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8"/>
        </w:rPr>
      </w:pPr>
      <w:r>
        <w:rPr>
          <w:rFonts w:ascii="Times New Roman;serif" w:hAnsi="Times New Roman;serif"/>
          <w:b w:val="false"/>
          <w:color w:val="000000"/>
          <w:sz w:val="8"/>
        </w:rPr>
        <w:t>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10-K</w:t>
      </w:r>
    </w:p>
    <w:p>
      <w:pPr>
        <w:pStyle w:val="TextBody"/>
        <w:bidi w:val="0"/>
        <w:spacing w:lineRule="auto" w:line="288" w:before="0" w:after="0"/>
        <w:jc w:val="center"/>
        <w:rPr>
          <w:rFonts w:ascii="Times New Roman;serif" w:hAnsi="Times New Roman;serif"/>
          <w:b w:val="false"/>
          <w:color w:val="000000"/>
          <w:sz w:val="8"/>
        </w:rPr>
      </w:pPr>
      <w:r>
        <w:rPr>
          <w:rFonts w:ascii="Times New Roman;serif" w:hAnsi="Times New Roman;serif"/>
          <w:b w:val="false"/>
          <w:color w:val="000000"/>
          <w:sz w:val="8"/>
        </w:rPr>
        <w:t>______________________________________________________________________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1"/>
        <w:gridCol w:w="257"/>
        <w:gridCol w:w="258"/>
        <w:gridCol w:w="2746"/>
        <w:gridCol w:w="2746"/>
        <w:gridCol w:w="3907"/>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(Mark One)</w:t>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For the fiscal year ended December 31, 2025</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39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001-39548</w:t>
      </w:r>
    </w:p>
    <w:p>
      <w:pPr>
        <w:pStyle w:val="TextBody"/>
        <w:bidi w:val="0"/>
        <w:spacing w:lineRule="auto" w:line="276" w:before="0" w:after="0"/>
        <w:jc w:val="center"/>
        <w:rPr>
          <w:rFonts w:ascii="Times New Roman;serif" w:hAnsi="Times New Roman;serif"/>
          <w:b w:val="false"/>
          <w:color w:val="000000"/>
          <w:sz w:val="8"/>
        </w:rPr>
      </w:pPr>
      <w:r>
        <w:rPr>
          <w:rFonts w:ascii="Times New Roman;serif" w:hAnsi="Times New Roman;serif"/>
          <w:b w:val="false"/>
          <w:color w:val="000000"/>
          <w:sz w:val="8"/>
        </w:rPr>
        <w:t>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BENTLEY SYSTEMS, INCORPORATED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8"/>
        </w:rPr>
      </w:pPr>
      <w:r>
        <w:rPr>
          <w:rFonts w:ascii="Times New Roman;serif" w:hAnsi="Times New Roman;serif"/>
          <w:b w:val="false"/>
          <w:color w:val="000000"/>
          <w:sz w:val="8"/>
        </w:rPr>
        <w:t>______________________________________________________________________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8"/>
        </w:rPr>
        <w:t>(610) 458-5000</w:t>
      </w:r>
    </w:p>
    <w:p>
      <w:pPr>
        <w:pStyle w:val="TextBody"/>
        <w:bidi w:val="0"/>
        <w:spacing w:lineRule="auto" w:line="276" w:before="0" w:after="0"/>
        <w:jc w:val="center"/>
        <w:rPr>
          <w:rFonts w:ascii="Times New Roman;serif" w:hAnsi="Times New Roman;serif"/>
          <w:b w:val="false"/>
          <w:color w:val="000000"/>
          <w:sz w:val="8"/>
        </w:rPr>
      </w:pPr>
      <w:r>
        <w:rPr>
          <w:rFonts w:ascii="Times New Roman;serif" w:hAnsi="Times New Roman;serif"/>
          <w:b w:val="false"/>
          <w:color w:val="000000"/>
          <w:sz w:val="8"/>
        </w:rPr>
        <w:t>______________________________________________________________________</w:t>
      </w:r>
    </w:p>
    <w:p>
      <w:pPr>
        <w:pStyle w:val="TextBody"/>
        <w:bidi w:val="0"/>
        <w:spacing w:before="0" w:after="0"/>
        <w:ind w:left="0" w:right="0" w:firstLine="36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jc w:val="center"/>
        <w:rPr/>
      </w:pPr>
      <w:r>
        <w:rPr>
          <w:rFonts w:ascii="Times New Roman;serif" w:hAnsi="Times New Roman;serif"/>
          <w:b w:val="false"/>
          <w:color w:val="000000"/>
          <w:sz w:val="16"/>
        </w:rPr>
        <w:t xml:space="preserve">Securities registered pursuant to Section 12(g) of the Act: </w:t>
      </w:r>
      <w:r>
        <w:rPr>
          <w:rFonts w:ascii="Times New Roman;serif" w:hAnsi="Times New Roman;serif"/>
          <w:b/>
          <w:color w:val="000000"/>
          <w:sz w:val="16"/>
        </w:rPr>
        <w:t>None</w:t>
      </w:r>
    </w:p>
    <w:p>
      <w:pPr>
        <w:pStyle w:val="TextBody"/>
        <w:bidi w:val="0"/>
        <w:spacing w:before="0" w:after="0"/>
        <w:ind w:left="0" w:right="0" w:firstLine="360"/>
        <w:jc w:val="left"/>
        <w:rPr/>
      </w:pPr>
      <w:r>
        <w:rPr/>
      </w:r>
    </w:p>
    <w:p>
      <w:pPr>
        <w:pStyle w:val="TextBody"/>
        <w:bidi w:val="0"/>
        <w:spacing w:lineRule="auto" w:line="288" w:before="0" w:after="4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a well-known seasoned issuer, as defined in Rule 405 of the Securities Act. Yes ☒  No ☐</w:t>
      </w:r>
    </w:p>
    <w:p>
      <w:pPr>
        <w:pStyle w:val="TextBody"/>
        <w:bidi w:val="0"/>
        <w:spacing w:lineRule="auto" w:line="288" w:before="0" w:after="4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if the registrant is not required to file reports pursuant to Section 13 or Section 15(d) of the Act. Yes ☐  No ☒</w:t>
      </w:r>
    </w:p>
    <w:p>
      <w:pPr>
        <w:pStyle w:val="TextBody"/>
        <w:bidi w:val="0"/>
        <w:spacing w:lineRule="auto" w:line="288" w:before="0" w:after="4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4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Emerging growth company </w:t>
            </w:r>
            <w:r>
              <w:rPr>
                <w:color w:val="000000"/>
              </w:rPr>
              <w:t>☐</w:t>
            </w:r>
          </w:p>
        </w:tc>
      </w:tr>
    </w:tbl>
    <w:p>
      <w:pPr>
        <w:pStyle w:val="TextBody"/>
        <w:bidi w:val="0"/>
        <w:spacing w:lineRule="auto" w:line="288" w:before="0" w:after="4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4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w:t>
        <w:noBreakHyphen/>
        <w:t>Oxley Act (15 U.S.C. 7262(b)) by the registered public accounting firm that prepared or issued its audit report. ☒</w:t>
      </w:r>
    </w:p>
    <w:p>
      <w:pPr>
        <w:pStyle w:val="TextBody"/>
        <w:bidi w:val="0"/>
        <w:spacing w:lineRule="auto" w:line="288" w:before="0" w:after="4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4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w:t>
        <w:noBreakHyphen/>
        <w:t>1(b). ☐</w:t>
      </w:r>
    </w:p>
    <w:p>
      <w:pPr>
        <w:pStyle w:val="TextBody"/>
        <w:bidi w:val="0"/>
        <w:spacing w:lineRule="auto" w:line="288" w:before="0" w:after="4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w:t>
        <w:noBreakHyphen/>
        <w:t>2 of the Exchange Act). Yes ☐  No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stock held by non-affiliates of the registrant as of June 30, 2025, the last business day of the registrant’s most recently completed second fiscal quarter, was $7.6 billion based on the closing price reported on the Nasdaq Stock Market LLC on that date. As of February 19, 2026, the registrant had 11,537,627 shares of Class A and 291,357,191 shares of Class B common stock outstanding.</w:t>
      </w:r>
    </w:p>
    <w:p>
      <w:pPr>
        <w:pStyle w:val="TextBody"/>
        <w:bidi w:val="0"/>
        <w:spacing w:before="0" w:after="0"/>
        <w:jc w:val="both"/>
        <w:rPr/>
      </w:pPr>
      <w:r>
        <w:rPr/>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Portions of the proxy statement for registrant’s 2026 Annual Meeting of Stockholders (the “2026 Proxy Statement”) are incorporated by reference in Part III of this Form 10</w:t>
        <w:noBreakHyphen/>
        <w:t>K to the extent stated herein. The 2026 Proxy Statement will be filed within 120 days of the registrant’s fiscal year ended December 31, 2025.</w:t>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73"/>
        <w:gridCol w:w="414"/>
        <w:gridCol w:w="419"/>
        <w:gridCol w:w="2693"/>
        <w:gridCol w:w="2650"/>
        <w:gridCol w:w="2656"/>
        <w:gridCol w:w="109"/>
        <w:gridCol w:w="109"/>
        <w:gridCol w:w="109"/>
        <w:gridCol w:w="167"/>
        <w:gridCol w:w="167"/>
        <w:gridCol w:w="239"/>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5">
              <w:r>
                <w:rPr>
                  <w:rStyle w:val="InternetLink"/>
                  <w:rFonts w:ascii="Times New Roman;serif" w:hAnsi="Times New Roman;serif"/>
                  <w:b/>
                  <w:color w:val="0000FF"/>
                  <w:sz w:val="20"/>
                  <w:u w:val="single"/>
                </w:rPr>
                <w:t>PART I</w:t>
              </w:r>
            </w:hyperlink>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5">
              <w:r>
                <w:rPr>
                  <w:rStyle w:val="InternetLink"/>
                  <w:rFonts w:ascii="Times New Roman;serif" w:hAnsi="Times New Roman;serif"/>
                  <w:b w:val="false"/>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5">
              <w:r>
                <w:rPr>
                  <w:rStyle w:val="InternetLink"/>
                  <w:rFonts w:ascii="Times New Roman;serif" w:hAnsi="Times New Roman;serif"/>
                  <w:b w:val="false"/>
                  <w:color w:val="0000FF"/>
                  <w:sz w:val="20"/>
                  <w:u w:val="single"/>
                </w:rPr>
                <w:t>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73">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73">
              <w:r>
                <w:rPr>
                  <w:rStyle w:val="InternetLink"/>
                  <w:rFonts w:ascii="Times New Roman;serif" w:hAnsi="Times New Roman;serif"/>
                  <w:b w:val="false"/>
                  <w:color w:val="0000FF"/>
                  <w:sz w:val="20"/>
                  <w:u w:val="single"/>
                </w:rPr>
                <w:t>16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79">
              <w:r>
                <w:rPr>
                  <w:rStyle w:val="InternetLink"/>
                  <w:rFonts w:ascii="Times New Roman;serif" w:hAnsi="Times New Roman;serif"/>
                  <w:b w:val="false"/>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79">
              <w:r>
                <w:rPr>
                  <w:rStyle w:val="InternetLink"/>
                  <w:rFonts w:ascii="Times New Roman;serif" w:hAnsi="Times New Roman;serif"/>
                  <w:b w:val="false"/>
                  <w:color w:val="0000FF"/>
                  <w:sz w:val="20"/>
                  <w:u w:val="single"/>
                </w:rPr>
                <w:t>30</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82">
              <w:r>
                <w:rPr>
                  <w:rStyle w:val="InternetLink"/>
                  <w:rFonts w:ascii="Times New Roman;serif" w:hAnsi="Times New Roman;serif"/>
                  <w:b w:val="false"/>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82">
              <w:r>
                <w:rPr>
                  <w:rStyle w:val="InternetLink"/>
                  <w:rFonts w:ascii="Times New Roman;serif" w:hAnsi="Times New Roman;serif"/>
                  <w:b w:val="false"/>
                  <w:color w:val="0000FF"/>
                  <w:sz w:val="20"/>
                  <w:u w:val="single"/>
                </w:rPr>
                <w:t>30</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85">
              <w:r>
                <w:rPr>
                  <w:rStyle w:val="InternetLink"/>
                  <w:rFonts w:ascii="Times New Roman;serif" w:hAnsi="Times New Roman;serif"/>
                  <w:b w:val="false"/>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85">
              <w:r>
                <w:rPr>
                  <w:rStyle w:val="InternetLink"/>
                  <w:rFonts w:ascii="Times New Roman;serif" w:hAnsi="Times New Roman;serif"/>
                  <w:b w:val="false"/>
                  <w:color w:val="0000FF"/>
                  <w:sz w:val="20"/>
                  <w:u w:val="single"/>
                </w:rPr>
                <w:t>31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88">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88">
              <w:r>
                <w:rPr>
                  <w:rStyle w:val="InternetLink"/>
                  <w:rFonts w:ascii="Times New Roman;serif" w:hAnsi="Times New Roman;serif"/>
                  <w:b w:val="false"/>
                  <w:color w:val="0000FF"/>
                  <w:sz w:val="20"/>
                  <w:u w:val="single"/>
                </w:rPr>
                <w:t>31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91">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91">
              <w:r>
                <w:rPr>
                  <w:rStyle w:val="InternetLink"/>
                  <w:rFonts w:ascii="Times New Roman;serif" w:hAnsi="Times New Roman;serif"/>
                  <w:b w:val="false"/>
                  <w:color w:val="0000FF"/>
                  <w:sz w:val="20"/>
                  <w:u w:val="single"/>
                </w:rPr>
                <w:t>31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94">
              <w:r>
                <w:rPr>
                  <w:rStyle w:val="InternetLink"/>
                  <w:rFonts w:ascii="Times New Roman;serif" w:hAnsi="Times New Roman;serif"/>
                  <w:b/>
                  <w:color w:val="0000FF"/>
                  <w:sz w:val="20"/>
                  <w:u w:val="single"/>
                </w:rPr>
                <w:t>PART II</w:t>
              </w:r>
            </w:hyperlink>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94">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94">
              <w:r>
                <w:rPr>
                  <w:rStyle w:val="InternetLink"/>
                  <w:rFonts w:ascii="Times New Roman;serif" w:hAnsi="Times New Roman;serif"/>
                  <w:b w:val="false"/>
                  <w:color w:val="0000FF"/>
                  <w:sz w:val="20"/>
                  <w:u w:val="single"/>
                </w:rPr>
                <w:t>32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100">
              <w:r>
                <w:rPr>
                  <w:rStyle w:val="InternetLink"/>
                  <w:rFonts w:ascii="Times New Roman;serif" w:hAnsi="Times New Roman;serif"/>
                  <w:b w:val="false"/>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100">
              <w:r>
                <w:rPr>
                  <w:rStyle w:val="InternetLink"/>
                  <w:rFonts w:ascii="Times New Roman;serif" w:hAnsi="Times New Roman;serif"/>
                  <w:b w:val="false"/>
                  <w:color w:val="0000FF"/>
                  <w:sz w:val="20"/>
                  <w:u w:val="single"/>
                </w:rPr>
                <w:t>33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106">
              <w:r>
                <w:rPr>
                  <w:rStyle w:val="InternetLink"/>
                  <w:rFonts w:ascii="Times New Roman;serif" w:hAnsi="Times New Roman;serif"/>
                  <w:b w:val="false"/>
                  <w:color w:val="0000FF"/>
                  <w:sz w:val="20"/>
                  <w:u w:val="single"/>
                </w:rPr>
                <w:t>34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38">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38">
              <w:r>
                <w:rPr>
                  <w:rStyle w:val="InternetLink"/>
                  <w:rFonts w:ascii="Times New Roman;serif" w:hAnsi="Times New Roman;serif"/>
                  <w:b w:val="false"/>
                  <w:color w:val="0000FF"/>
                  <w:sz w:val="20"/>
                  <w:u w:val="single"/>
                </w:rPr>
                <w:t>53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41">
              <w:r>
                <w:rPr>
                  <w:rStyle w:val="InternetLink"/>
                  <w:rFonts w:ascii="Times New Roman;serif" w:hAnsi="Times New Roman;serif"/>
                  <w:b w:val="false"/>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41">
              <w:r>
                <w:rPr>
                  <w:rStyle w:val="InternetLink"/>
                  <w:rFonts w:ascii="Times New Roman;serif" w:hAnsi="Times New Roman;serif"/>
                  <w:b w:val="false"/>
                  <w:color w:val="0000FF"/>
                  <w:sz w:val="20"/>
                  <w:u w:val="single"/>
                </w:rPr>
                <w:t>54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4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44">
              <w:r>
                <w:rPr>
                  <w:rStyle w:val="InternetLink"/>
                  <w:rFonts w:ascii="Times New Roman;serif" w:hAnsi="Times New Roman;serif"/>
                  <w:b w:val="false"/>
                  <w:color w:val="0000FF"/>
                  <w:sz w:val="20"/>
                  <w:u w:val="single"/>
                </w:rPr>
                <w:t>54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47">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47">
              <w:r>
                <w:rPr>
                  <w:rStyle w:val="InternetLink"/>
                  <w:rFonts w:ascii="Times New Roman;serif" w:hAnsi="Times New Roman;serif"/>
                  <w:b w:val="false"/>
                  <w:color w:val="0000FF"/>
                  <w:sz w:val="20"/>
                  <w:u w:val="single"/>
                </w:rPr>
                <w:t>54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53">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53">
              <w:r>
                <w:rPr>
                  <w:rStyle w:val="InternetLink"/>
                  <w:rFonts w:ascii="Times New Roman;serif" w:hAnsi="Times New Roman;serif"/>
                  <w:b w:val="false"/>
                  <w:color w:val="0000FF"/>
                  <w:sz w:val="20"/>
                  <w:u w:val="single"/>
                </w:rPr>
                <w:t>55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59">
              <w:r>
                <w:rPr>
                  <w:rStyle w:val="InternetLink"/>
                  <w:rFonts w:ascii="Times New Roman;serif" w:hAnsi="Times New Roman;serif"/>
                  <w:b w:val="false"/>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59">
              <w:r>
                <w:rPr>
                  <w:rStyle w:val="InternetLink"/>
                  <w:rFonts w:ascii="Times New Roman;serif" w:hAnsi="Times New Roman;serif"/>
                  <w:b w:val="false"/>
                  <w:color w:val="0000FF"/>
                  <w:sz w:val="20"/>
                  <w:u w:val="single"/>
                </w:rPr>
                <w:t>55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62">
              <w:r>
                <w:rPr>
                  <w:rStyle w:val="InternetLink"/>
                  <w:rFonts w:ascii="Times New Roman;serif" w:hAnsi="Times New Roman;serif"/>
                  <w:b/>
                  <w:color w:val="0000FF"/>
                  <w:sz w:val="20"/>
                  <w:u w:val="single"/>
                </w:rPr>
                <w:t>PART III</w:t>
              </w:r>
            </w:hyperlink>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62">
              <w:r>
                <w:rPr>
                  <w:rStyle w:val="InternetLink"/>
                  <w:rFonts w:ascii="Times New Roman;serif" w:hAnsi="Times New Roman;serif"/>
                  <w:b w:val="false"/>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62">
              <w:r>
                <w:rPr>
                  <w:rStyle w:val="InternetLink"/>
                  <w:rFonts w:ascii="Times New Roman;serif" w:hAnsi="Times New Roman;serif"/>
                  <w:b w:val="false"/>
                  <w:color w:val="0000FF"/>
                  <w:sz w:val="20"/>
                  <w:u w:val="single"/>
                </w:rPr>
                <w:t>56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65">
              <w:r>
                <w:rPr>
                  <w:rStyle w:val="InternetLink"/>
                  <w:rFonts w:ascii="Times New Roman;serif" w:hAnsi="Times New Roman;serif"/>
                  <w:b w:val="false"/>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65">
              <w:r>
                <w:rPr>
                  <w:rStyle w:val="InternetLink"/>
                  <w:rFonts w:ascii="Times New Roman;serif" w:hAnsi="Times New Roman;serif"/>
                  <w:b w:val="false"/>
                  <w:color w:val="0000FF"/>
                  <w:sz w:val="20"/>
                  <w:u w:val="single"/>
                </w:rPr>
                <w:t>57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95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950">
              <w:r>
                <w:rPr>
                  <w:rStyle w:val="InternetLink"/>
                  <w:rFonts w:ascii="Times New Roman;serif" w:hAnsi="Times New Roman;serif"/>
                  <w:b w:val="false"/>
                  <w:color w:val="0000FF"/>
                  <w:sz w:val="20"/>
                  <w:u w:val="single"/>
                </w:rPr>
                <w:t>57</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958">
              <w:r>
                <w:rPr>
                  <w:rStyle w:val="InternetLink"/>
                  <w:rFonts w:ascii="Times New Roman;serif" w:hAnsi="Times New Roman;serif"/>
                  <w:b w:val="false"/>
                  <w:color w:val="0000FF"/>
                  <w:sz w:val="20"/>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958">
              <w:r>
                <w:rPr>
                  <w:rStyle w:val="InternetLink"/>
                  <w:rFonts w:ascii="Times New Roman;serif" w:hAnsi="Times New Roman;serif"/>
                  <w:b w:val="false"/>
                  <w:color w:val="0000FF"/>
                  <w:sz w:val="20"/>
                  <w:u w:val="single"/>
                </w:rPr>
                <w:t>57</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966">
              <w:r>
                <w:rPr>
                  <w:rStyle w:val="InternetLink"/>
                  <w:rFonts w:ascii="Times New Roman;serif" w:hAnsi="Times New Roman;serif"/>
                  <w:b w:val="false"/>
                  <w:color w:val="0000FF"/>
                  <w:sz w:val="20"/>
                  <w:u w:val="single"/>
                </w:rPr>
                <w:t>Principal Accountant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966">
              <w:r>
                <w:rPr>
                  <w:rStyle w:val="InternetLink"/>
                  <w:rFonts w:ascii="Times New Roman;serif" w:hAnsi="Times New Roman;serif"/>
                  <w:b w:val="false"/>
                  <w:color w:val="0000FF"/>
                  <w:sz w:val="20"/>
                  <w:u w:val="single"/>
                </w:rPr>
                <w:t>57</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77">
              <w:r>
                <w:rPr>
                  <w:rStyle w:val="InternetLink"/>
                  <w:rFonts w:ascii="Times New Roman;serif" w:hAnsi="Times New Roman;serif"/>
                  <w:b/>
                  <w:color w:val="0000FF"/>
                  <w:sz w:val="20"/>
                  <w:u w:val="single"/>
                </w:rPr>
                <w:t>PART IV</w:t>
              </w:r>
            </w:hyperlink>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8587302324900">
              <w:r>
                <w:rPr>
                  <w:rStyle w:val="InternetLink"/>
                  <w:rFonts w:ascii="Times New Roman;serif" w:hAnsi="Times New Roman;serif"/>
                  <w:b w:val="false"/>
                  <w:color w:val="0000FF"/>
                  <w:sz w:val="20"/>
                  <w:u w:val="single"/>
                </w:rPr>
                <w:t>Exhibits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8587302324900">
              <w:r>
                <w:rPr>
                  <w:rStyle w:val="InternetLink"/>
                  <w:rFonts w:ascii="Times New Roman;serif" w:hAnsi="Times New Roman;serif"/>
                  <w:b w:val="false"/>
                  <w:color w:val="0000FF"/>
                  <w:sz w:val="20"/>
                  <w:u w:val="single"/>
                </w:rPr>
                <w:t>58</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80">
              <w:r>
                <w:rPr>
                  <w:rStyle w:val="InternetLink"/>
                  <w:rFonts w:ascii="Times New Roman;serif" w:hAnsi="Times New Roman;serif"/>
                  <w:b w:val="false"/>
                  <w:color w:val="0000FF"/>
                  <w:sz w:val="20"/>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80">
              <w:r>
                <w:rPr>
                  <w:rStyle w:val="InternetLink"/>
                  <w:rFonts w:ascii="Times New Roman;serif" w:hAnsi="Times New Roman;serif"/>
                  <w:b w:val="false"/>
                  <w:color w:val="0000FF"/>
                  <w:sz w:val="20"/>
                  <w:u w:val="single"/>
                </w:rPr>
                <w:t>60</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83">
              <w:r>
                <w:rPr>
                  <w:rStyle w:val="InternetLink"/>
                  <w:rFonts w:ascii="Times New Roman;serif" w:hAnsi="Times New Roman;serif"/>
                  <w:b w:val="false"/>
                  <w:color w:val="0000FF"/>
                  <w:sz w:val="20"/>
                  <w:u w:val="single"/>
                </w:rPr>
                <w:t>SIGNATURES</w:t>
              </w:r>
            </w:hyperlink>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83">
              <w:r>
                <w:rPr>
                  <w:rStyle w:val="InternetLink"/>
                  <w:rFonts w:ascii="Times New Roman;serif" w:hAnsi="Times New Roman;serif"/>
                  <w:b w:val="false"/>
                  <w:color w:val="0000FF"/>
                  <w:sz w:val="20"/>
                  <w:u w:val="single"/>
                </w:rPr>
                <w:t>61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92">
              <w:r>
                <w:rPr>
                  <w:rStyle w:val="InternetLink"/>
                  <w:rFonts w:ascii="Times New Roman;serif" w:hAnsi="Times New Roman;serif"/>
                  <w:b w:val="false"/>
                  <w:color w:val="0000FF"/>
                  <w:sz w:val="20"/>
                  <w:u w:val="single"/>
                </w:rPr>
                <w:t>Report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92">
              <w:r>
                <w:rPr>
                  <w:rStyle w:val="InternetLink"/>
                  <w:rFonts w:ascii="Times New Roman;serif" w:hAnsi="Times New Roman;serif"/>
                  <w:b w:val="false"/>
                  <w:color w:val="000080"/>
                  <w:sz w:val="20"/>
                  <w:u w:val="single"/>
                </w:rPr>
                <w:t>F-</w:t>
              </w:r>
            </w:hyperlink>
            <w:hyperlink w:anchor="ic737041303a94a84bbc963d0e9d92cd4_292">
              <w:r>
                <w:rPr>
                  <w:rStyle w:val="InternetLink"/>
                  <w:rFonts w:ascii="Times New Roman;serif" w:hAnsi="Times New Roman;serif"/>
                  <w:b w:val="false"/>
                  <w:color w:val="000080"/>
                  <w:sz w:val="20"/>
                  <w:u w:val="single"/>
                </w:rPr>
                <w:t>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c737041303a94a84bbc963d0e9d92cd4_301">
              <w:r>
                <w:rPr>
                  <w:rStyle w:val="InternetLink"/>
                  <w:rFonts w:ascii="Times New Roman;serif" w:hAnsi="Times New Roman;serif"/>
                  <w:b w:val="false"/>
                  <w:color w:val="0000FF"/>
                  <w:sz w:val="20"/>
                  <w:u w:val="single"/>
                </w:rPr>
                <w:t>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1">
              <w:r>
                <w:rPr>
                  <w:rStyle w:val="InternetLink"/>
                  <w:rFonts w:ascii="Times New Roman;serif" w:hAnsi="Times New Roman;serif"/>
                  <w:b w:val="false"/>
                  <w:color w:val="000080"/>
                  <w:sz w:val="20"/>
                  <w:u w:val="single"/>
                </w:rPr>
                <w:t>F-</w:t>
              </w:r>
            </w:hyperlink>
            <w:hyperlink w:anchor="ic737041303a94a84bbc963d0e9d92cd4_301">
              <w:r>
                <w:rPr>
                  <w:rStyle w:val="InternetLink"/>
                  <w:rFonts w:ascii="Times New Roman;serif" w:hAnsi="Times New Roman;serif"/>
                  <w:b w:val="false"/>
                  <w:color w:val="000080"/>
                  <w:sz w:val="20"/>
                  <w:u w:val="single"/>
                </w:rPr>
                <w:t>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22">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22">
              <w:r>
                <w:rPr>
                  <w:rStyle w:val="InternetLink"/>
                  <w:rFonts w:ascii="Times New Roman;serif" w:hAnsi="Times New Roman;serif"/>
                  <w:b w:val="false"/>
                  <w:color w:val="000080"/>
                  <w:sz w:val="20"/>
                  <w:u w:val="single"/>
                </w:rPr>
                <w:t>F-</w:t>
              </w:r>
            </w:hyperlink>
            <w:hyperlink w:anchor="ic737041303a94a84bbc963d0e9d92cd4_322">
              <w:r>
                <w:rPr>
                  <w:rStyle w:val="InternetLink"/>
                  <w:rFonts w:ascii="Times New Roman;serif" w:hAnsi="Times New Roman;serif"/>
                  <w:b w:val="false"/>
                  <w:color w:val="000080"/>
                  <w:sz w:val="20"/>
                  <w:u w:val="singl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w:t>
        <w:noBreakHyphen/>
        <w:t>K is for the year ended December 31, 2025. This Annual Report on Form 10</w:t>
        <w:noBreakHyphen/>
        <w:t>K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w:t>
        <w:noBreakHyphen/>
        <w:t>K. In addition, information that we file with the SEC in the future will automatically update and supersede information contained in this Annual Report on Form 10</w:t>
        <w:noBreakHyphen/>
        <w:t>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indicated otherwise, throughout this Annual Report on Form 10</w:t>
        <w:noBreakHyphen/>
        <w:t>K, we refer to Bentley Systems, Incorporated and its consolidated subsidiaries, as “Bentley Systems,” “Bentley,” the “Company,” “we,” “us,” and “our.”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w:t>
        <w:noBreakHyphen/>
        <w:t>K contains trademarks, service marks, brands, or product names owned by us, as well as those owned by others.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w:t>
        <w:noBreakHyphen/>
        <w:t>K includes forward</w:t>
        <w:noBreakHyphen/>
        <w:t>looking statements. All statements contained in this Annual Report on Form 10</w:t>
        <w:noBreakHyphen/>
        <w:t>K other than statements of historical facts, including statements regarding our future results of operations and financial condition,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Annual Report on Form 10</w:t>
        <w:noBreakHyphen/>
        <w:t>K may not occur and actual results could differ materially and adversely from those anticipated or implied in the forward</w:t>
        <w:noBreakHyphen/>
        <w:t>looking statements. The forward</w:t>
        <w:noBreakHyphen/>
        <w:t>looking statements, as well as our Annual Report on Form 10</w:t>
        <w:noBreakHyphen/>
        <w:t>K as a whole, are subject to risks and uncertainties.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Annual Report on Form 10</w:t>
        <w:noBreakHyphen/>
        <w:t>K in greater detail in the section titled “Risk Factors” and elsewhere in this Annual Report on Form 10</w:t>
        <w:noBreakHyphen/>
        <w:t>K. You should not rely upon forward</w:t>
        <w:noBreakHyphen/>
        <w:t>looking statements as predictions of future events.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Annual Report on Form 10</w:t>
        <w:noBreakHyphen/>
        <w:t>K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00"/>
        <w:jc w:val="both"/>
        <w:rPr>
          <w:rFonts w:ascii="Times New Roman;serif" w:hAnsi="Times New Roman;serif"/>
          <w:b/>
          <w:color w:val="000000"/>
          <w:sz w:val="20"/>
          <w:u w:val="single"/>
        </w:rPr>
      </w:pPr>
      <w:r>
        <w:rPr>
          <w:rFonts w:ascii="Times New Roman;serif" w:hAnsi="Times New Roman;serif"/>
          <w:b/>
          <w:color w:val="000000"/>
          <w:sz w:val="20"/>
          <w:u w:val="single"/>
        </w:rPr>
        <w:t>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is the infrastructure engineering software company.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purpose is to advance the world’s infrastructure for better quality of life. Our mission is to reshape how infrastructure systems and critical resources are delivered and optimized.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were founded in 1984 by the Bentley brothers and on September 25, 2020, we completed our initial public offering (“IPO”).</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enduring commitment is to develop and support the most comprehensive portfolio of integrated software offerings across disciplines, sectors, geographies, and the infrastructure lifecycle, enabling digital workflows that improve project delivery and asset performance.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users design, build, and operate infrastructure assets for the following sectors: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Public Works/Utilities</w:t>
      </w:r>
      <w:r>
        <w:rPr>
          <w:rFonts w:ascii="Times New Roman;serif" w:hAnsi="Times New Roman;serif"/>
          <w:b w:val="false"/>
          <w:color w:val="000000"/>
          <w:sz w:val="20"/>
        </w:rPr>
        <w:t>, which represents approximately 59% of our sector-attributable annualized recurring revenues (“ARR”)</w:t>
      </w:r>
      <w:r>
        <w:rPr>
          <w:rFonts w:ascii="Times New Roman;serif" w:hAnsi="Times New Roman;serif"/>
          <w:b w:val="false"/>
          <w:color w:val="000000"/>
          <w:sz w:val="13"/>
        </w:rPr>
        <w:t>(1)(2)</w:t>
      </w:r>
      <w:r>
        <w:rPr>
          <w:rFonts w:ascii="Times New Roman;serif" w:hAnsi="Times New Roman;serif"/>
          <w:b w:val="false"/>
          <w:color w:val="000000"/>
          <w:sz w:val="20"/>
        </w:rPr>
        <w:t>, includes roads, rail, bridges, tunnels, airports, and ports; federal, state, and municipal agencies; and networks for electricity, gas, water, wastewater, and communications;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Resources</w:t>
      </w:r>
      <w:r>
        <w:rPr>
          <w:rFonts w:ascii="Times New Roman;serif" w:hAnsi="Times New Roman;serif"/>
          <w:b w:val="false"/>
          <w:color w:val="000000"/>
          <w:sz w:val="20"/>
        </w:rPr>
        <w:t>, which represents approximately 27% of our sector-attributable ARR</w:t>
      </w:r>
      <w:r>
        <w:rPr>
          <w:rFonts w:ascii="Times New Roman;serif" w:hAnsi="Times New Roman;serif"/>
          <w:b w:val="false"/>
          <w:color w:val="000000"/>
          <w:sz w:val="13"/>
        </w:rPr>
        <w:t>(1)(2)</w:t>
      </w:r>
      <w:r>
        <w:rPr>
          <w:rFonts w:ascii="Times New Roman;serif" w:hAnsi="Times New Roman;serif"/>
          <w:b w:val="false"/>
          <w:color w:val="000000"/>
          <w:sz w:val="20"/>
        </w:rPr>
        <w:t>, includes mining, oil and gas upstream activities, offshore, pipelines, environmental management, and renewable energy;</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Industrial</w:t>
      </w:r>
      <w:r>
        <w:rPr>
          <w:rFonts w:ascii="Times New Roman;serif" w:hAnsi="Times New Roman;serif"/>
          <w:b w:val="false"/>
          <w:color w:val="000000"/>
          <w:sz w:val="20"/>
        </w:rPr>
        <w:t>, which represents approximately 9% of our sector-attributable ARR</w:t>
      </w:r>
      <w:r>
        <w:rPr>
          <w:rFonts w:ascii="Times New Roman;serif" w:hAnsi="Times New Roman;serif"/>
          <w:b w:val="false"/>
          <w:color w:val="000000"/>
          <w:sz w:val="13"/>
        </w:rPr>
        <w:t>(1)(2)</w:t>
      </w:r>
      <w:r>
        <w:rPr>
          <w:rFonts w:ascii="Times New Roman;serif" w:hAnsi="Times New Roman;serif"/>
          <w:b w:val="false"/>
          <w:color w:val="000000"/>
          <w:sz w:val="20"/>
        </w:rPr>
        <w:t>, includes process and discrete manufacturing, oil and gas downstream activities, and power generation;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Commercial/Facilities</w:t>
      </w:r>
      <w:r>
        <w:rPr>
          <w:rFonts w:ascii="Times New Roman;serif" w:hAnsi="Times New Roman;serif"/>
          <w:b w:val="false"/>
          <w:color w:val="000000"/>
          <w:sz w:val="20"/>
        </w:rPr>
        <w:t>, which represents approximately 5% of our sector-attributable ARR</w:t>
      </w:r>
      <w:r>
        <w:rPr>
          <w:rFonts w:ascii="Times New Roman;serif" w:hAnsi="Times New Roman;serif"/>
          <w:b w:val="false"/>
          <w:color w:val="000000"/>
          <w:sz w:val="13"/>
        </w:rPr>
        <w:t>(1)(2)</w:t>
      </w:r>
      <w:r>
        <w:rPr>
          <w:rFonts w:ascii="Times New Roman;serif" w:hAnsi="Times New Roman;serif"/>
          <w:b w:val="false"/>
          <w:color w:val="000000"/>
          <w:sz w:val="20"/>
        </w:rPr>
        <w:t>, includes campuses, office buildings, retail facilities, and hospitals.</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Our Products and Offerings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serve enterprises and professionals across the infrastructure lifecycle, from the design and construction of new projects to the operation and maintenance of existing assets. For projects, our software encompasses conception, planning, surveying, design, engineering, and construction, as well as the collaboration required to coordinate and share the work of interdisciplinary and/or distributed project teams. For assets, our software spans the operating life of commissioned infrastructure assets, allowing our accounts to manage engineering changes for safety and compliance and to model performance and reliability to support operations and maintenance decisions.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Bentley Open</w:t>
      </w:r>
      <w:r>
        <w:rPr>
          <w:color w:val="000000"/>
        </w:rPr>
        <w:t xml:space="preserve"> </w:t>
      </w:r>
      <w:r>
        <w:rPr>
          <w:rFonts w:ascii="Times New Roman;serif" w:hAnsi="Times New Roman;serif"/>
          <w:b w:val="false"/>
          <w:i/>
          <w:color w:val="000000"/>
          <w:sz w:val="20"/>
        </w:rPr>
        <w:t>Applications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Seequent</w:t>
      </w:r>
      <w:r>
        <w:rPr>
          <w:color w:val="000000"/>
        </w:rPr>
        <w:t xml:space="preserve"> </w:t>
      </w:r>
      <w:r>
        <w:rPr>
          <w:rFonts w:ascii="Times New Roman;serif" w:hAnsi="Times New Roman;serif"/>
          <w:b w:val="false"/>
          <w:color w:val="000000"/>
          <w:sz w:val="20"/>
        </w:rPr>
        <w:t>applications are primarily cloud-connected desktop modeling and simulation applications that support the breadth of engineering and geoprofessional disciplines.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Bentley Infrastructure Cloud</w:t>
      </w:r>
      <w:r>
        <w:rPr>
          <w:rFonts w:ascii="Times New Roman;serif" w:hAnsi="Times New Roman;serif"/>
          <w:b w:val="false"/>
          <w:color w:val="000000"/>
          <w:sz w:val="20"/>
        </w:rPr>
        <w:t>, provided via cloud and hybrid environments, extends enterprise collaboration during project delivery and helps manage engineering information during operations and maintenance.</w:t>
      </w:r>
    </w:p>
    <w:p>
      <w:pPr>
        <w:pStyle w:val="TextBody"/>
        <w:bidi w:val="0"/>
        <w:spacing w:lineRule="auto" w:line="288" w:before="0" w:after="200"/>
        <w:ind w:left="0" w:right="0" w:hanging="216"/>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Refer to the section titled “Key Business Metrics” included in Part II, Item 7 of this Annual Report on Form 10</w:t>
        <w:noBreakHyphen/>
        <w:t>K for additional information, including our definition and our use of ARR.</w:t>
      </w:r>
    </w:p>
    <w:p>
      <w:pPr>
        <w:pStyle w:val="TextBody"/>
        <w:bidi w:val="0"/>
        <w:spacing w:lineRule="auto" w:line="288" w:before="0" w:after="200"/>
        <w:ind w:left="0" w:right="0" w:hanging="216"/>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 xml:space="preserve">Sector-attributable ARR refers to the proportion of our ARR which can be attributed either based on the sector-specific classification of the account and/or the sector-specific classification of the product giving rise to the ARR. The portions of our ARR which cannot be sector-attributed consist generally of ARR within accounts that are diversified engineering firms which work in multiple sectors, and as to that portion of their ARR which are for products that are not sector-specific, such as </w:t>
      </w:r>
      <w:r>
        <w:rPr>
          <w:rFonts w:ascii="Times New Roman;serif" w:hAnsi="Times New Roman;serif"/>
          <w:b w:val="false"/>
          <w:i/>
          <w:color w:val="000000"/>
          <w:sz w:val="18"/>
        </w:rPr>
        <w:t>MicroStation</w:t>
      </w:r>
      <w:r>
        <w:rPr>
          <w:rFonts w:ascii="Times New Roman;serif" w:hAnsi="Times New Roman;serif"/>
          <w:b w:val="false"/>
          <w:color w:val="000000"/>
          <w:sz w:val="18"/>
        </w:rPr>
        <w:t xml:space="preserve">, and structural or geotechnical modeling and simulation applications, and </w:t>
      </w:r>
      <w:r>
        <w:rPr>
          <w:rFonts w:ascii="Times New Roman;serif" w:hAnsi="Times New Roman;serif"/>
          <w:b w:val="false"/>
          <w:i/>
          <w:color w:val="000000"/>
          <w:sz w:val="18"/>
        </w:rPr>
        <w:t>ProjectWise</w:t>
      </w:r>
      <w:r>
        <w:rPr>
          <w:rFonts w:ascii="Times New Roman;serif" w:hAnsi="Times New Roman;serif"/>
          <w:b w:val="false"/>
          <w:color w:val="000000"/>
          <w:sz w:val="18"/>
        </w:rPr>
        <w:t>, which are used across any and all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i/>
          <w:color w:val="000000"/>
          <w:sz w:val="20"/>
        </w:rPr>
        <w:t>Bentley Asset Analytics</w:t>
      </w:r>
      <w:r>
        <w:rPr>
          <w:color w:val="000000"/>
        </w:rPr>
        <w:t xml:space="preserve"> </w:t>
      </w:r>
      <w:r>
        <w:rPr>
          <w:rFonts w:ascii="Times New Roman;serif" w:hAnsi="Times New Roman;serif"/>
          <w:b w:val="false"/>
          <w:color w:val="000000"/>
          <w:sz w:val="20"/>
        </w:rPr>
        <w:t>automatically detect and analyze issues to trigger key operational workflows, improving overall asset performance.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Powering these products is our </w:t>
      </w:r>
      <w:r>
        <w:rPr>
          <w:rFonts w:ascii="Times New Roman;serif" w:hAnsi="Times New Roman;serif"/>
          <w:b w:val="false"/>
          <w:i/>
          <w:color w:val="000000"/>
          <w:sz w:val="20"/>
        </w:rPr>
        <w:t>Cesium and iTwin Platform</w:t>
      </w:r>
      <w:r>
        <w:rPr>
          <w:rFonts w:ascii="Times New Roman;serif" w:hAnsi="Times New Roman;serif"/>
          <w:b w:val="false"/>
          <w:color w:val="000000"/>
          <w:sz w:val="20"/>
        </w:rPr>
        <w:t>, a cloud</w:t>
        <w:noBreakHyphen/>
        <w:t>native technology platform to create, curate, and leverage infrastructure digital twins. Through our platform, our products are becoming increasingly data-centric to take advantage of digital twin and artificial intelligence (“AI”) capabilities.</w:t>
      </w:r>
    </w:p>
    <w:p>
      <w:pPr>
        <w:pStyle w:val="TextBody"/>
        <w:bidi w:val="0"/>
        <w:spacing w:before="300" w:after="300"/>
        <w:jc w:val="center"/>
        <w:rPr/>
      </w:pPr>
      <w:r>
        <w:rPr/>
        <w:drawing>
          <wp:inline distT="0" distB="0" distL="0" distR="0">
            <wp:extent cx="5943600" cy="18764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943600" cy="1876425"/>
                    </a:xfrm>
                    <a:prstGeom prst="rect">
                      <a:avLst/>
                    </a:prstGeom>
                  </pic:spPr>
                </pic:pic>
              </a:graphicData>
            </a:graphic>
          </wp:inline>
        </w:drawing>
      </w:r>
      <w:bookmarkStart w:id="0" w:name="i-1"/>
      <w:bookmarkEnd w:id="0"/>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proportions of our revenues are referenced in the diagram below.</w:t>
      </w:r>
    </w:p>
    <w:p>
      <w:pPr>
        <w:pStyle w:val="TextBody"/>
        <w:bidi w:val="0"/>
        <w:spacing w:before="0" w:after="200"/>
        <w:ind w:left="0" w:right="0" w:firstLine="360"/>
        <w:jc w:val="center"/>
        <w:rPr/>
      </w:pPr>
      <w:r>
        <w:rPr/>
        <w:drawing>
          <wp:inline distT="0" distB="0" distL="0" distR="0">
            <wp:extent cx="2190750" cy="2190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190750" cy="2190750"/>
                    </a:xfrm>
                    <a:prstGeom prst="rect">
                      <a:avLst/>
                    </a:prstGeom>
                  </pic:spPr>
                </pic:pic>
              </a:graphicData>
            </a:graphic>
          </wp:inline>
        </w:drawing>
      </w:r>
      <w:bookmarkStart w:id="1" w:name="i-2"/>
      <w:bookmarkEnd w:id="1"/>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comprehensive portfolio of integrated software offerings comprises:</w:t>
      </w:r>
    </w:p>
    <w:p>
      <w:pPr>
        <w:pStyle w:val="TextBody"/>
        <w:bidi w:val="0"/>
        <w:spacing w:lineRule="auto" w:line="288" w:before="0" w:after="200"/>
        <w:ind w:left="0" w:right="0" w:firstLine="360"/>
        <w:jc w:val="both"/>
        <w:rPr/>
      </w:pPr>
      <w:r>
        <w:rPr>
          <w:rFonts w:ascii="Times New Roman;serif" w:hAnsi="Times New Roman;serif"/>
          <w:b/>
          <w:i/>
          <w:color w:val="000000"/>
          <w:sz w:val="20"/>
        </w:rPr>
        <w:t>Bentley Open Applications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offer an open modeling environment comprising domain</w:t>
        <w:noBreakHyphen/>
        <w:t>specific modeling and simulation applications that analyze the functional performance of designs. Our engineering applications work together to improve infrastructure engineering quality and productivity, resulting in better project designs and deliverables.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Bentley Open Applications</w:t>
      </w:r>
      <w:r>
        <w:rPr>
          <w:color w:val="000000"/>
        </w:rPr>
        <w:t xml:space="preserve"> </w:t>
      </w:r>
      <w:r>
        <w:rPr>
          <w:rFonts w:ascii="Times New Roman;serif" w:hAnsi="Times New Roman;serif"/>
          <w:b w:val="false"/>
          <w:color w:val="000000"/>
          <w:sz w:val="20"/>
        </w:rPr>
        <w:t>support a wide variety of file formats – both Bentley and third</w:t>
        <w:noBreakHyphen/>
        <w:t>party – and industry standards and design codes, enabling digital workflows across design, simulation, and analysis, and ensuring engineering data is not locked in, but remains open and accessible. We take care to enable compatibility across successive generations of our applications, which enables engineers, throughout their careers, to maintain continuity with their preferred interfaces, formats, and methodologies, while advancing their work at the leading edge of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infrastructure sectors move toward more data-centric workflows, we are developing a new generation of digital-twin native, AI-powered, and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-connected applications to further improve individual and team productivity and collaboration. These new applications are designated with a plus symbol (“+”) in each product’s name.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open modeling applications include: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MicroStation</w:t>
      </w:r>
      <w:r>
        <w:rPr>
          <w:rFonts w:ascii="Times New Roman;serif" w:hAnsi="Times New Roman;serif"/>
          <w:b w:val="false"/>
          <w:color w:val="000000"/>
          <w:sz w:val="20"/>
        </w:rPr>
        <w:t>, for flexible 3D design and documentation, providing the common modeling environment upon which our applications are built;</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OpenBridge</w:t>
      </w:r>
      <w:r>
        <w:rPr>
          <w:rFonts w:ascii="Times New Roman;serif" w:hAnsi="Times New Roman;serif"/>
          <w:b w:val="false"/>
          <w:color w:val="000000"/>
          <w:sz w:val="20"/>
        </w:rPr>
        <w:t>, for the 3D design and documentation of bridges;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OpenBuildings</w:t>
      </w:r>
      <w:r>
        <w:rPr>
          <w:rFonts w:ascii="Times New Roman;serif" w:hAnsi="Times New Roman;serif"/>
          <w:b w:val="false"/>
          <w:color w:val="000000"/>
          <w:sz w:val="20"/>
        </w:rPr>
        <w:t>, for the 3D design and documentation of buildings and their integrated structural, HVAC, electrical, and plumbing systems;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OpenFlows</w:t>
      </w:r>
      <w:r>
        <w:rPr>
          <w:rFonts w:ascii="Times New Roman;serif" w:hAnsi="Times New Roman;serif"/>
          <w:b w:val="false"/>
          <w:color w:val="000000"/>
          <w:sz w:val="20"/>
        </w:rPr>
        <w:t>, for the planning, design, and operation of water, wastewater, and stormwater systems, incorporating hydrological, hydraulic, and flood modeling;</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OpenPlant</w:t>
      </w:r>
      <w:r>
        <w:rPr>
          <w:rFonts w:ascii="Times New Roman;serif" w:hAnsi="Times New Roman;serif"/>
          <w:b w:val="false"/>
          <w:color w:val="000000"/>
          <w:sz w:val="20"/>
        </w:rPr>
        <w:t>, for the 2D and 3D design and documentation of process plants;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OpenRail</w:t>
      </w:r>
      <w:r>
        <w:rPr>
          <w:rFonts w:ascii="Times New Roman;serif" w:hAnsi="Times New Roman;serif"/>
          <w:b w:val="false"/>
          <w:color w:val="000000"/>
          <w:sz w:val="20"/>
        </w:rPr>
        <w:t>, for the planning, 3D design, and documentation of rail and transit systems;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OpenRoads</w:t>
      </w:r>
      <w:r>
        <w:rPr>
          <w:rFonts w:ascii="Times New Roman;serif" w:hAnsi="Times New Roman;serif"/>
          <w:b w:val="false"/>
          <w:color w:val="000000"/>
          <w:sz w:val="20"/>
        </w:rPr>
        <w:t>, for the planning, 3D design, and documentation of roads and highways;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OpenSite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OpenSite+</w:t>
      </w:r>
      <w:r>
        <w:rPr>
          <w:rFonts w:ascii="Times New Roman;serif" w:hAnsi="Times New Roman;serif"/>
          <w:b w:val="false"/>
          <w:color w:val="000000"/>
          <w:sz w:val="20"/>
        </w:rPr>
        <w:t>, for the planning, 3D design, and documentation of building, residential development, and infrastructure sites;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OpenTower</w:t>
      </w:r>
      <w:r>
        <w:rPr>
          <w:rFonts w:ascii="Times New Roman;serif" w:hAnsi="Times New Roman;serif"/>
          <w:b w:val="false"/>
          <w:color w:val="000000"/>
          <w:sz w:val="20"/>
        </w:rPr>
        <w:t>, for the 3D design and analysis of communication towers;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OpenTunnel</w:t>
      </w:r>
      <w:r>
        <w:rPr>
          <w:rFonts w:ascii="Times New Roman;serif" w:hAnsi="Times New Roman;serif"/>
          <w:b w:val="false"/>
          <w:color w:val="000000"/>
          <w:sz w:val="20"/>
        </w:rPr>
        <w:t>, for the 3D design and analysis of tunnels;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OpenUtilities</w:t>
      </w:r>
      <w:r>
        <w:rPr>
          <w:rFonts w:ascii="Times New Roman;serif" w:hAnsi="Times New Roman;serif"/>
          <w:b w:val="false"/>
          <w:color w:val="000000"/>
          <w:sz w:val="20"/>
        </w:rPr>
        <w:t xml:space="preserve">, including </w:t>
      </w:r>
      <w:r>
        <w:rPr>
          <w:rFonts w:ascii="Times New Roman;serif" w:hAnsi="Times New Roman;serif"/>
          <w:b w:val="false"/>
          <w:i/>
          <w:color w:val="000000"/>
          <w:sz w:val="20"/>
        </w:rPr>
        <w:t>OpenUtilities Substation+</w:t>
      </w:r>
      <w:r>
        <w:rPr>
          <w:rFonts w:ascii="Times New Roman;serif" w:hAnsi="Times New Roman;serif"/>
          <w:b w:val="false"/>
          <w:color w:val="000000"/>
          <w:sz w:val="20"/>
        </w:rPr>
        <w:t>, for the design and management of electric, gas, water, wastewater, and district energy networks; 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open simulation applications include: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ADINA</w:t>
      </w:r>
      <w:r>
        <w:rPr>
          <w:rFonts w:ascii="Times New Roman;serif" w:hAnsi="Times New Roman;serif"/>
          <w:b w:val="false"/>
          <w:color w:val="000000"/>
          <w:sz w:val="20"/>
        </w:rPr>
        <w:t>, for nonlinear simulation and analysis;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AutoPIPE</w:t>
      </w:r>
      <w:r>
        <w:rPr>
          <w:rFonts w:ascii="Times New Roman;serif" w:hAnsi="Times New Roman;serif"/>
          <w:b w:val="false"/>
          <w:color w:val="000000"/>
          <w:sz w:val="20"/>
        </w:rPr>
        <w:t>, for analysis and simulation of pipe stress in industrial process plants;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MOSES</w:t>
      </w:r>
      <w:r>
        <w:rPr>
          <w:rFonts w:ascii="Times New Roman;serif" w:hAnsi="Times New Roman;serif"/>
          <w:b w:val="false"/>
          <w:color w:val="000000"/>
          <w:sz w:val="20"/>
        </w:rPr>
        <w:t>, for integrated offshore analysis and simulation;</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Power Line Systems (“PLS”)</w:t>
      </w:r>
      <w:r>
        <w:rPr>
          <w:rFonts w:ascii="Times New Roman;serif" w:hAnsi="Times New Roman;serif"/>
          <w:b w:val="false"/>
          <w:color w:val="000000"/>
          <w:sz w:val="20"/>
        </w:rPr>
        <w:t>, for analysis and simulation of overhead electric power transmission lines and their structures;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RAM</w:t>
      </w:r>
      <w:r>
        <w:rPr>
          <w:rFonts w:ascii="Times New Roman;serif" w:hAnsi="Times New Roman;serif"/>
          <w:b w:val="false"/>
          <w:color w:val="000000"/>
          <w:sz w:val="20"/>
        </w:rPr>
        <w:t>, for analysis and simulation of building structural performance;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SACS</w:t>
      </w:r>
      <w:r>
        <w:rPr>
          <w:rFonts w:ascii="Times New Roman;serif" w:hAnsi="Times New Roman;serif"/>
          <w:b w:val="false"/>
          <w:color w:val="000000"/>
          <w:sz w:val="20"/>
        </w:rPr>
        <w:t>, for analysis and simulation of offshore structural performance;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SPIDA</w:t>
      </w:r>
      <w:r>
        <w:rPr>
          <w:rFonts w:ascii="Times New Roman;serif" w:hAnsi="Times New Roman;serif"/>
          <w:b w:val="false"/>
          <w:color w:val="000000"/>
          <w:sz w:val="20"/>
        </w:rPr>
        <w:t>, for analysis and simulation of utility poles and overhead assets;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STAAD</w:t>
      </w:r>
      <w:r>
        <w:rPr>
          <w:rFonts w:ascii="Times New Roman;serif" w:hAnsi="Times New Roman;serif"/>
          <w:b w:val="false"/>
          <w:color w:val="000000"/>
          <w:sz w:val="20"/>
        </w:rPr>
        <w:t>, for analysis and simulation of structures of all types.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i/>
          <w:color w:val="000000"/>
          <w:sz w:val="20"/>
        </w:rPr>
        <w:t>Seequent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Our </w:t>
      </w:r>
      <w:r>
        <w:rPr>
          <w:rFonts w:ascii="Times New Roman;serif" w:hAnsi="Times New Roman;serif"/>
          <w:b w:val="false"/>
          <w:i/>
          <w:color w:val="000000"/>
          <w:sz w:val="20"/>
        </w:rPr>
        <w:t>Seequent</w:t>
      </w:r>
      <w:r>
        <w:rPr>
          <w:color w:val="000000"/>
        </w:rPr>
        <w:t xml:space="preserve"> </w:t>
      </w:r>
      <w:r>
        <w:rPr>
          <w:rFonts w:ascii="Times New Roman;serif" w:hAnsi="Times New Roman;serif"/>
          <w:b w:val="false"/>
          <w:color w:val="000000"/>
          <w:sz w:val="20"/>
        </w:rPr>
        <w:t>applications support modeling and simulation to help geoprofessionals and infrastructure engineers develop a detailed understanding, and take full account of, near and deep subsurface conditions.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include industry</w:t>
        <w:noBreakHyphen/>
        <w:t>leading earth modeling, subsurface</w:t>
        <w:noBreakHyphen/>
        <w:t>data management, and geoprofessional team collaboration software and geotechnical products that supplement visible built-asset representations above ground with more probabilistic modeling of subsurface conditions.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geoprofessional applications include: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AGS</w:t>
      </w:r>
      <w:r>
        <w:rPr>
          <w:rFonts w:ascii="Times New Roman;serif" w:hAnsi="Times New Roman;serif"/>
          <w:b w:val="false"/>
          <w:color w:val="000000"/>
          <w:sz w:val="20"/>
        </w:rPr>
        <w:t>, for processing, inversion, and visualization of geophysical data;</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Central</w:t>
      </w:r>
      <w:r>
        <w:rPr>
          <w:rFonts w:ascii="Times New Roman;serif" w:hAnsi="Times New Roman;serif"/>
          <w:b w:val="false"/>
          <w:color w:val="000000"/>
          <w:sz w:val="20"/>
        </w:rPr>
        <w:t>, for geological model management, to visualize, track, integrate, and manage geoscience data from a centralized, auditable environment;</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Evo</w:t>
      </w:r>
      <w:r>
        <w:rPr>
          <w:rFonts w:ascii="Times New Roman;serif" w:hAnsi="Times New Roman;serif"/>
          <w:b w:val="false"/>
          <w:color w:val="000000"/>
          <w:sz w:val="20"/>
        </w:rPr>
        <w:t xml:space="preserve">, a geoscience data and compute platform, for integrated workflows and collaboration across </w:t>
      </w:r>
      <w:r>
        <w:rPr>
          <w:rFonts w:ascii="Times New Roman;serif" w:hAnsi="Times New Roman;serif"/>
          <w:b w:val="false"/>
          <w:i/>
          <w:color w:val="000000"/>
          <w:sz w:val="20"/>
        </w:rPr>
        <w:t>Seequent</w:t>
      </w:r>
      <w:r>
        <w:rPr>
          <w:color w:val="000000"/>
        </w:rPr>
        <w:t xml:space="preserve"> </w:t>
      </w:r>
      <w:r>
        <w:rPr>
          <w:rFonts w:ascii="Times New Roman;serif" w:hAnsi="Times New Roman;serif"/>
          <w:b w:val="false"/>
          <w:color w:val="000000"/>
          <w:sz w:val="20"/>
        </w:rPr>
        <w:t>and third-party products;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GeoStudio</w:t>
      </w:r>
      <w:r>
        <w:rPr>
          <w:rFonts w:ascii="Times New Roman;serif" w:hAnsi="Times New Roman;serif"/>
          <w:b w:val="false"/>
          <w:color w:val="000000"/>
          <w:sz w:val="20"/>
        </w:rPr>
        <w:t>, for integrated geotechnical analysis of slope stability, groundwater flow, and heat and mass transfer in soil and rock;</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Imago</w:t>
      </w:r>
      <w:r>
        <w:rPr>
          <w:rFonts w:ascii="Times New Roman;serif" w:hAnsi="Times New Roman;serif"/>
          <w:b w:val="false"/>
          <w:color w:val="000000"/>
          <w:sz w:val="20"/>
        </w:rPr>
        <w:t>, for the capture and management of drilling core images;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Leapfrog</w:t>
      </w:r>
      <w:r>
        <w:rPr>
          <w:rFonts w:ascii="Times New Roman;serif" w:hAnsi="Times New Roman;serif"/>
          <w:b w:val="false"/>
          <w:color w:val="000000"/>
          <w:sz w:val="20"/>
        </w:rPr>
        <w:t>, for 3D implicit modeling designed to rapidly integrate, communicate, and interpret geological data;</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MX Deposit</w:t>
      </w:r>
      <w:r>
        <w:rPr>
          <w:rFonts w:ascii="Times New Roman;serif" w:hAnsi="Times New Roman;serif"/>
          <w:b w:val="false"/>
          <w:color w:val="000000"/>
          <w:sz w:val="20"/>
        </w:rPr>
        <w:t>, cloud drill hole software for simplifying and controlling how drill and other field data is collected, managed, and shared throughout the lifecycle of an ore deposit from early exploration through to mine production;</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Oasis montaj</w:t>
      </w:r>
      <w:r>
        <w:rPr>
          <w:rFonts w:ascii="Times New Roman;serif" w:hAnsi="Times New Roman;serif"/>
          <w:b w:val="false"/>
          <w:color w:val="000000"/>
          <w:sz w:val="20"/>
        </w:rPr>
        <w:t>, for the quality control, correction, visualization, analysis, and interpretation of geophysical, geologic and geochemical data;</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OpenGround</w:t>
      </w:r>
      <w:r>
        <w:rPr>
          <w:rFonts w:ascii="Times New Roman;serif" w:hAnsi="Times New Roman;serif"/>
          <w:b w:val="false"/>
          <w:color w:val="000000"/>
          <w:sz w:val="20"/>
        </w:rPr>
        <w:t>, for geotechnical information management for collecting, reporting, managing, visualizing, analyzing, and accessing geotechnical data;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PLAXIS</w:t>
      </w:r>
      <w:r>
        <w:rPr>
          <w:rFonts w:ascii="Times New Roman;serif" w:hAnsi="Times New Roman;serif"/>
          <w:b w:val="false"/>
          <w:color w:val="000000"/>
          <w:sz w:val="20"/>
        </w:rPr>
        <w:t>, for geotechnical analysis to solve common and complex geotechnical problems, including advanced analysis for excavations, foundations, tunnels, and other infrastructure projects.</w:t>
      </w:r>
    </w:p>
    <w:p>
      <w:pPr>
        <w:pStyle w:val="TextBody"/>
        <w:bidi w:val="0"/>
        <w:spacing w:lineRule="auto" w:line="288" w:before="0" w:after="200"/>
        <w:ind w:left="0" w:right="0" w:firstLine="360"/>
        <w:jc w:val="both"/>
        <w:rPr/>
      </w:pPr>
      <w:r>
        <w:rPr>
          <w:rFonts w:ascii="Times New Roman;serif" w:hAnsi="Times New Roman;serif"/>
          <w:b/>
          <w:i/>
          <w:color w:val="000000"/>
          <w:sz w:val="20"/>
        </w:rPr>
        <w:t>Bentley Infrastructure Cloud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enterprise information system spans the end</w:t>
        <w:noBreakHyphen/>
        <w:t>to</w:t>
        <w:noBreakHyphen/>
        <w:t>end lifecycle and value chain of the world’s infrastructure, helping engineers to produce higher quality deliverables, contractors to execute better with their supply chain, and owners to maintain a complete and accurate picture of their asset throughout its lifecycle.</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encompasses: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Connect</w:t>
      </w:r>
      <w:r>
        <w:rPr>
          <w:rFonts w:ascii="Times New Roman;serif" w:hAnsi="Times New Roman;serif"/>
          <w:b w:val="false"/>
          <w:color w:val="000000"/>
          <w:sz w:val="20"/>
        </w:rPr>
        <w:t xml:space="preserve">, the foundational layer of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 which provides a connected data environment and unified experience for infrastructure professionals to improve collaboration;</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ProjectWise</w:t>
      </w:r>
      <w:r>
        <w:rPr>
          <w:rFonts w:ascii="Times New Roman;serif" w:hAnsi="Times New Roman;serif"/>
          <w:b w:val="false"/>
          <w:color w:val="000000"/>
          <w:sz w:val="20"/>
        </w:rPr>
        <w:t>, for advanced design and construction workflows;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SYNCHRO and SYNCHRO+</w:t>
      </w:r>
      <w:r>
        <w:rPr>
          <w:rFonts w:ascii="Times New Roman;serif" w:hAnsi="Times New Roman;serif"/>
          <w:b w:val="false"/>
          <w:color w:val="000000"/>
          <w:sz w:val="20"/>
        </w:rPr>
        <w:t>, for 4D construction modeling to visualize and assess sequencing strategies;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AssetWise</w:t>
      </w:r>
      <w:r>
        <w:rPr>
          <w:rFonts w:ascii="Times New Roman;serif" w:hAnsi="Times New Roman;serif"/>
          <w:b w:val="false"/>
          <w:color w:val="000000"/>
          <w:sz w:val="20"/>
        </w:rPr>
        <w:t>, for asset operations and maintenance workflows.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By unifying data between engineering applications and enterprise systems, </w:t>
      </w: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 xml:space="preserve">helps organizations manage their data in a single environment and enrich it across the lifecycle, for integrated workflows, improved collaboration, and increased productivity. Powered by our platform and infrastructure schemas and thus seamlessly integrating with </w:t>
      </w:r>
      <w:r>
        <w:rPr>
          <w:rFonts w:ascii="Times New Roman;serif" w:hAnsi="Times New Roman;serif"/>
          <w:b w:val="false"/>
          <w:i/>
          <w:color w:val="000000"/>
          <w:sz w:val="20"/>
        </w:rPr>
        <w:t>Bentley Open Applications</w:t>
      </w:r>
      <w:r>
        <w:rPr>
          <w:rFonts w:ascii="Times New Roman;serif" w:hAnsi="Times New Roman;serif"/>
          <w:b w:val="false"/>
          <w:color w:val="000000"/>
          <w:sz w:val="20"/>
        </w:rPr>
        <w:t xml:space="preserve">, </w:t>
      </w: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enables better project delivery and asset performance through complete and evergreen digital twins.</w:t>
      </w:r>
    </w:p>
    <w:p>
      <w:pPr>
        <w:pStyle w:val="TextBody"/>
        <w:bidi w:val="0"/>
        <w:spacing w:lineRule="auto" w:line="288" w:before="0" w:after="200"/>
        <w:ind w:left="0" w:right="0" w:firstLine="360"/>
        <w:jc w:val="both"/>
        <w:rPr/>
      </w:pPr>
      <w:r>
        <w:rPr>
          <w:rFonts w:ascii="Times New Roman;serif" w:hAnsi="Times New Roman;serif"/>
          <w:b/>
          <w:i/>
          <w:color w:val="000000"/>
          <w:sz w:val="20"/>
        </w:rPr>
        <w:t>Bentley Asset Analytics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asset analytics products unlock real-time insights and time-saving automation through AI-powered infrastructure digital twins to optimize asset performance and workflows. These offerings are applied to specific asset types and use cases.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Bentley Asset Analytics</w:t>
      </w:r>
      <w:r>
        <w:rPr>
          <w:color w:val="000000"/>
        </w:rPr>
        <w:t xml:space="preserve"> </w:t>
      </w:r>
      <w:r>
        <w:rPr>
          <w:rFonts w:ascii="Times New Roman;serif" w:hAnsi="Times New Roman;serif"/>
          <w:b w:val="false"/>
          <w:color w:val="000000"/>
          <w:sz w:val="20"/>
        </w:rPr>
        <w:t>includes: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Bentley OpenPaths</w:t>
      </w:r>
      <w:r>
        <w:rPr>
          <w:rFonts w:ascii="Times New Roman;serif" w:hAnsi="Times New Roman;serif"/>
          <w:b w:val="false"/>
          <w:color w:val="000000"/>
          <w:sz w:val="20"/>
        </w:rPr>
        <w:t>, for multimodal transport network modeling and travel demand forecasting;</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Blyncsy</w:t>
      </w:r>
      <w:r>
        <w:rPr>
          <w:rFonts w:ascii="Times New Roman;serif" w:hAnsi="Times New Roman;serif"/>
          <w:b w:val="false"/>
          <w:color w:val="000000"/>
          <w:sz w:val="20"/>
        </w:rPr>
        <w:t>, for inspecting and detecting roadway conditions;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Bridge Monitoring</w:t>
      </w:r>
      <w:r>
        <w:rPr>
          <w:rFonts w:ascii="Times New Roman;serif" w:hAnsi="Times New Roman;serif"/>
          <w:b w:val="false"/>
          <w:color w:val="000000"/>
          <w:sz w:val="20"/>
        </w:rPr>
        <w:t>, for identifying and classifying bridge defects;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Dam Monitoring</w:t>
      </w:r>
      <w:r>
        <w:rPr>
          <w:rFonts w:ascii="Times New Roman;serif" w:hAnsi="Times New Roman;serif"/>
          <w:b w:val="false"/>
          <w:color w:val="000000"/>
          <w:sz w:val="20"/>
        </w:rPr>
        <w:t>, for assessing, monitoring, and analyzing risks to dams;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LEGION</w:t>
      </w:r>
      <w:r>
        <w:rPr>
          <w:rFonts w:ascii="Times New Roman;serif" w:hAnsi="Times New Roman;serif"/>
          <w:b w:val="false"/>
          <w:color w:val="000000"/>
          <w:sz w:val="20"/>
        </w:rPr>
        <w:t>, for pedestrian traffic simulation;</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OpenTower iQ</w:t>
      </w:r>
      <w:r>
        <w:rPr>
          <w:rFonts w:ascii="Times New Roman;serif" w:hAnsi="Times New Roman;serif"/>
          <w:b w:val="false"/>
          <w:color w:val="000000"/>
          <w:sz w:val="20"/>
        </w:rPr>
        <w:t>, for creating digital twins of cell tower infrastructure;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Pointivo</w:t>
      </w:r>
      <w:r>
        <w:rPr>
          <w:color w:val="000000"/>
        </w:rPr>
        <w:t xml:space="preserve"> </w:t>
      </w:r>
      <w:r>
        <w:rPr>
          <w:rFonts w:ascii="Times New Roman;serif" w:hAnsi="Times New Roman;serif"/>
          <w:b w:val="false"/>
          <w:color w:val="000000"/>
          <w:sz w:val="20"/>
        </w:rPr>
        <w:t>technologies, for drone data processing, AI-powered damage detection, and geolocation;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Talon</w:t>
      </w:r>
      <w:r>
        <w:rPr>
          <w:rFonts w:ascii="Times New Roman;serif" w:hAnsi="Times New Roman;serif"/>
          <w:b w:val="false"/>
          <w:color w:val="000000"/>
          <w:sz w:val="20"/>
        </w:rPr>
        <w:t>, for sites surveys, inspections, and asset digitization across wireless telecom, broadband, and electric utilities.</w:t>
      </w:r>
    </w:p>
    <w:p>
      <w:pPr>
        <w:pStyle w:val="TextBody"/>
        <w:bidi w:val="0"/>
        <w:spacing w:lineRule="auto" w:line="288" w:before="0" w:after="200"/>
        <w:ind w:left="0" w:right="0" w:firstLine="360"/>
        <w:jc w:val="both"/>
        <w:rPr/>
      </w:pPr>
      <w:r>
        <w:rPr>
          <w:rFonts w:ascii="Times New Roman;serif" w:hAnsi="Times New Roman;serif"/>
          <w:b/>
          <w:i/>
          <w:color w:val="000000"/>
          <w:sz w:val="20"/>
        </w:rPr>
        <w:t>Cesium and iTwin Platform.</w:t>
      </w:r>
      <w:r>
        <w:rPr>
          <w:color w:val="000000"/>
        </w:rPr>
        <w:t xml:space="preserve"> </w:t>
      </w:r>
      <w:r>
        <w:rPr>
          <w:rFonts w:ascii="Times New Roman;serif" w:hAnsi="Times New Roman;serif"/>
          <w:b w:val="false"/>
          <w:color w:val="000000"/>
          <w:sz w:val="20"/>
        </w:rPr>
        <w:t xml:space="preserve">Our </w:t>
      </w:r>
      <w:r>
        <w:rPr>
          <w:rFonts w:ascii="Times New Roman;serif" w:hAnsi="Times New Roman;serif"/>
          <w:b w:val="false"/>
          <w:i/>
          <w:color w:val="000000"/>
          <w:sz w:val="20"/>
        </w:rPr>
        <w:t>Cesium and iTwin Platform</w:t>
      </w:r>
      <w:r>
        <w:rPr>
          <w:color w:val="000000"/>
        </w:rPr>
        <w:t xml:space="preserve"> </w:t>
      </w:r>
      <w:r>
        <w:rPr>
          <w:rFonts w:ascii="Times New Roman;serif" w:hAnsi="Times New Roman;serif"/>
          <w:b w:val="false"/>
          <w:color w:val="000000"/>
          <w:sz w:val="20"/>
        </w:rPr>
        <w:t>for developing infrastructure digital twin applications leveraging our infrastructure schemas, enables users to create and curate cloud</w:t>
        <w:noBreakHyphen/>
        <w:t>native digital representations of physical infrastructure assets, incorporating underlying engineering information federated with operational and enterprise data, and then to model, simulate, analyze, synchronize, track, and predict performance over time. Using digital twins, our users can more fully extend digital workflows across the entire infrastructure lifecycle, increasing the value of infrastructure engineers’ work.</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platform was augmented through the acquisition of Cesium in September 2024. </w:t>
      </w:r>
      <w:r>
        <w:rPr>
          <w:rFonts w:ascii="Times New Roman;serif" w:hAnsi="Times New Roman;serif"/>
          <w:b w:val="false"/>
          <w:i/>
          <w:color w:val="000000"/>
          <w:sz w:val="20"/>
        </w:rPr>
        <w:t>Cesium</w:t>
      </w:r>
      <w:r>
        <w:rPr>
          <w:color w:val="000000"/>
        </w:rPr>
        <w:t xml:space="preserve"> </w:t>
      </w:r>
      <w:r>
        <w:rPr>
          <w:rFonts w:ascii="Times New Roman;serif" w:hAnsi="Times New Roman;serif"/>
          <w:b w:val="false"/>
          <w:color w:val="000000"/>
          <w:sz w:val="20"/>
        </w:rPr>
        <w:t xml:space="preserve">technology is used to develop powerful 3D geospatial applications—helping organizations understand their assets, environments, and operations in a 3D geospatial context. The combination of </w:t>
      </w:r>
      <w:r>
        <w:rPr>
          <w:rFonts w:ascii="Times New Roman;serif" w:hAnsi="Times New Roman;serif"/>
          <w:b w:val="false"/>
          <w:i/>
          <w:color w:val="000000"/>
          <w:sz w:val="20"/>
        </w:rPr>
        <w:t>Cesium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iTwin</w:t>
      </w:r>
      <w:r>
        <w:rPr>
          <w:color w:val="000000"/>
        </w:rPr>
        <w:t xml:space="preserve"> </w:t>
      </w:r>
      <w:r>
        <w:rPr>
          <w:rFonts w:ascii="Times New Roman;serif" w:hAnsi="Times New Roman;serif"/>
          <w:b w:val="false"/>
          <w:color w:val="000000"/>
          <w:sz w:val="20"/>
        </w:rPr>
        <w:t>capabilities enables developers and users to seamlessly align 3D geospatial data with engineering, operational, and enterprise data to create digital twins with astonishing user experiences that scale from vast infrastructure networks to the millimeter-accurate details of individual assets.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Through our platform, we are adding digital twin capabilities to our existing products and developing a new generation of data-centric and AI-powered offerings. The platform also supports a thriving ecosystem of third</w:t>
        <w:noBreakHyphen/>
        <w:t xml:space="preserve">party developers who use our open standards-based and open source tools and open application programming interfaces (APIs) to develop applications for the built and natural environment. With tens of thousands of developers, Cesium is the de-facto developer platform for 3D geospatial applications. The combination of </w:t>
      </w:r>
      <w:r>
        <w:rPr>
          <w:rFonts w:ascii="Times New Roman;serif" w:hAnsi="Times New Roman;serif"/>
          <w:b w:val="false"/>
          <w:i/>
          <w:color w:val="000000"/>
          <w:sz w:val="20"/>
        </w:rPr>
        <w:t>Cesium</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iTwin</w:t>
      </w:r>
      <w:r>
        <w:rPr>
          <w:color w:val="000000"/>
        </w:rPr>
        <w:t xml:space="preserve"> </w:t>
      </w:r>
      <w:r>
        <w:rPr>
          <w:rFonts w:ascii="Times New Roman;serif" w:hAnsi="Times New Roman;serif"/>
          <w:b w:val="false"/>
          <w:color w:val="000000"/>
          <w:sz w:val="20"/>
        </w:rPr>
        <w:t>provides new opportunities for growth and value creation for this developer ecosystem.</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Additionally, some capabilities of the platform are offered as discrete </w:t>
      </w:r>
      <w:r>
        <w:rPr>
          <w:rFonts w:ascii="Times New Roman;serif" w:hAnsi="Times New Roman;serif"/>
          <w:b w:val="false"/>
          <w:i/>
          <w:color w:val="000000"/>
          <w:sz w:val="20"/>
        </w:rPr>
        <w:t>iTwin</w:t>
      </w:r>
      <w:r>
        <w:rPr>
          <w:color w:val="000000"/>
        </w:rPr>
        <w:t xml:space="preserve"> </w:t>
      </w:r>
      <w:r>
        <w:rPr>
          <w:rFonts w:ascii="Times New Roman;serif" w:hAnsi="Times New Roman;serif"/>
          <w:b w:val="false"/>
          <w:color w:val="000000"/>
          <w:sz w:val="20"/>
        </w:rPr>
        <w:t>products. These include: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iTwin Capture</w:t>
      </w:r>
      <w:r>
        <w:rPr>
          <w:rFonts w:ascii="Times New Roman;serif" w:hAnsi="Times New Roman;serif"/>
          <w:b w:val="false"/>
          <w:color w:val="000000"/>
          <w:sz w:val="20"/>
        </w:rPr>
        <w:t>, for capturing, modeling, analyzing, and sharing reality data, enabling users to easily create engineering</w:t>
        <w:noBreakHyphen/>
        <w:t>ready, high-resolution 3D meshes of infrastructure assets using drone video and survey imagery;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iTwin Engage</w:t>
      </w:r>
      <w:r>
        <w:rPr>
          <w:rFonts w:ascii="Times New Roman;serif" w:hAnsi="Times New Roman;serif"/>
          <w:b w:val="false"/>
          <w:color w:val="000000"/>
          <w:sz w:val="20"/>
        </w:rPr>
        <w:t>, for enabling infrastructure teams and their stakeholders to engage with immersive, photorealistic renderings of existing and future infrastructure assets;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iTwin Experience</w:t>
      </w:r>
      <w:r>
        <w:rPr>
          <w:rFonts w:ascii="Times New Roman;serif" w:hAnsi="Times New Roman;serif"/>
          <w:b w:val="false"/>
          <w:color w:val="000000"/>
          <w:sz w:val="20"/>
        </w:rPr>
        <w:t>, for visualizing and navigating digital twins, empowering owner</w:t>
        <w:noBreakHyphen/>
        <w:t>operators and their constituents with insights into critical infrastructure;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iTwin IoT</w:t>
      </w:r>
      <w:r>
        <w:rPr>
          <w:rFonts w:ascii="Times New Roman;serif" w:hAnsi="Times New Roman;serif"/>
          <w:b w:val="false"/>
          <w:color w:val="000000"/>
          <w:sz w:val="20"/>
        </w:rPr>
        <w:t>, for acquiring and analyzing sensor data, enabling users to seamlessly incorporate Internet of Things (“IoT”) data created by sensors and condition monitoring devices for real-time safety and risk monitoring in infrastructure construction and operations activities.</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Comprehensiveness of Our Offerings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offerings are comprehensive across professional disciplines, infrastructure sectors, geographies, and the infrastructure lifecycle, resulting in what we believe to be durable competitive advantages:</w:t>
      </w:r>
    </w:p>
    <w:p>
      <w:pPr>
        <w:pStyle w:val="TextBody"/>
        <w:bidi w:val="0"/>
        <w:spacing w:lineRule="auto" w:line="288" w:before="0" w:after="200"/>
        <w:ind w:left="0" w:right="0" w:firstLine="360"/>
        <w:jc w:val="both"/>
        <w:rPr/>
      </w:pPr>
      <w:r>
        <w:rPr>
          <w:rFonts w:ascii="Times New Roman;serif" w:hAnsi="Times New Roman;serif"/>
          <w:b/>
          <w:i/>
          <w:color w:val="000000"/>
          <w:sz w:val="20"/>
        </w:rPr>
        <w:t>Professional Disciplines</w:t>
      </w:r>
      <w:r>
        <w:rPr>
          <w:rFonts w:ascii="Times New Roman;serif" w:hAnsi="Times New Roman;serif"/>
          <w:b w:val="false"/>
          <w:color w:val="000000"/>
          <w:sz w:val="20"/>
        </w:rPr>
        <w:t>. Each infrastructure project requires seamless and deep collaboration among professional disciplines, which can include civil, structural, geotechnical, subsurface, and process engineers; architects; geospatial professionals; city and regional planners; contractors; fabricators; and operations and maintenance engineers. Our open modeling and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pStyle w:val="TextBody"/>
        <w:bidi w:val="0"/>
        <w:spacing w:lineRule="auto" w:line="288" w:before="0" w:after="200"/>
        <w:ind w:left="0" w:right="0" w:firstLine="360"/>
        <w:jc w:val="both"/>
        <w:rPr/>
      </w:pPr>
      <w:r>
        <w:rPr>
          <w:rFonts w:ascii="Times New Roman;serif" w:hAnsi="Times New Roman;serif"/>
          <w:b/>
          <w:i/>
          <w:color w:val="000000"/>
          <w:sz w:val="20"/>
        </w:rPr>
        <w:t>Lifecycle Stages.</w:t>
      </w:r>
      <w:r>
        <w:rPr>
          <w:color w:val="000000"/>
        </w:rPr>
        <w:t xml:space="preserve"> </w:t>
      </w:r>
      <w:r>
        <w:rPr>
          <w:rFonts w:ascii="Times New Roman;serif" w:hAnsi="Times New Roman;serif"/>
          <w:b w:val="false"/>
          <w:color w:val="000000"/>
          <w:sz w:val="20"/>
        </w:rPr>
        <w:t>Both project delivery enterprises and owner</w:t>
        <w:noBreakHyphen/>
        <w:t>operators benefit from our software, which enables digital workflows to extend across the infrastructure lifecycle, from design to construction and ultimately asset management. This capability allows our users’ digital engineering models to be leveraged as the context for real-time condition monitoring to achieve better and safer operations and maintenance.</w:t>
      </w:r>
    </w:p>
    <w:p>
      <w:pPr>
        <w:pStyle w:val="TextBody"/>
        <w:bidi w:val="0"/>
        <w:spacing w:lineRule="auto" w:line="288" w:before="0" w:after="200"/>
        <w:ind w:left="0" w:right="0" w:firstLine="360"/>
        <w:jc w:val="both"/>
        <w:rPr/>
      </w:pPr>
      <w:r>
        <w:rPr>
          <w:rFonts w:ascii="Times New Roman;serif" w:hAnsi="Times New Roman;serif"/>
          <w:b/>
          <w:i/>
          <w:color w:val="000000"/>
          <w:sz w:val="20"/>
        </w:rPr>
        <w:t>Infrastructure Sectors.</w:t>
      </w:r>
      <w:r>
        <w:rPr>
          <w:color w:val="000000"/>
        </w:rPr>
        <w:t xml:space="preserve"> </w:t>
      </w:r>
      <w:r>
        <w:rPr>
          <w:rFonts w:ascii="Times New Roman;serif" w:hAnsi="Times New Roman;serif"/>
          <w:b w:val="false"/>
          <w:color w:val="000000"/>
          <w:sz w:val="20"/>
        </w:rPr>
        <w:t>Most major engineering and project delivery firms pursue an ever</w:t>
        <w:noBreakHyphen/>
        <w:t>changing mix of projects across the public works/utilities, industrial, 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w:t>
        <w:noBreakHyphen/>
        <w:t>financed industrial, resources, and commercial/facilities sectors, we have historically witnessed offsetting counter</w:t>
        <w:noBreakHyphen/>
        <w:t>cyclical government investment in public works/utilities.</w:t>
      </w:r>
    </w:p>
    <w:p>
      <w:pPr>
        <w:pStyle w:val="TextBody"/>
        <w:bidi w:val="0"/>
        <w:spacing w:lineRule="auto" w:line="288" w:before="0" w:after="200"/>
        <w:ind w:left="0" w:right="0" w:firstLine="360"/>
        <w:jc w:val="both"/>
        <w:rPr/>
      </w:pPr>
      <w:r>
        <w:rPr>
          <w:rFonts w:ascii="Times New Roman;serif" w:hAnsi="Times New Roman;serif"/>
          <w:b/>
          <w:i/>
          <w:color w:val="000000"/>
          <w:sz w:val="20"/>
        </w:rPr>
        <w:t>Geographies.</w:t>
      </w:r>
      <w:r>
        <w:rPr>
          <w:color w:val="000000"/>
        </w:rPr>
        <w:t xml:space="preserve"> </w:t>
      </w:r>
      <w:r>
        <w:rPr>
          <w:rFonts w:ascii="Times New Roman;serif" w:hAnsi="Times New Roman;serif"/>
          <w:b w:val="false"/>
          <w:color w:val="000000"/>
          <w:sz w:val="20"/>
        </w:rPr>
        <w:t>While design codes may vary by country, infrastructure purposes and engineering practices are fundamentally the same throughout the world, which makes it possible for our infrastructure modeling applications to be used globally. Our offerings are available in most major languages, supporting country</w:t>
        <w:noBreakHyphen/>
        <w:t>specific design codes, standards, and conventions. Our development teams are also globally dispersed, due in part to acquisitions made in various countries, but also to provide any needed last-mile localization of our applications. Our global comprehensiveness enables our project delivery accounts to compete more efficiently across geographic markets, thus also providing global supply</w:t>
        <w:noBreakHyphen/>
        <w:t>chain sourcing choices for owners.</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Digital Twins and AI</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our company’s history, as computing capabilities have advanced, the scope of infrastructure engineering software has correspondingly increased. However, project and asset software markets have developed independently from one another, resulting in disconnected digital workflows. We believe the advancement from siloed project-specific software, including for computer-aided design (CAD) and building information modeling (BIM), and asset-specific software, including for geographic information systems (GIS), to unified and evergreen infrastructure digital twins will have the effect of merging what have been to date separate market spaces as well as enabling new use cases that were not possible or practical with previous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growing adoption of data-centric workflows, via infrastructure digital twins, will serve to overcome the factors that have held back the digital advancement of infrastructure engineering and will facilitate the broader use of engineering data in the operation of infrastructure assets. Moreover, we believe that due to the comprehensiveness of our offerings across the infrastructure lifecycle, infrastructure digital twins and newly enabled digital workflows spanning design, construction, and operations will most particularly benefit our users and enhance our competitiveness.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includes the increasing use of AI, which represents a paradigm shift for infrastructure sectors, which create massive amounts of data during design, construction, and operations. Infrastructure organizations can leverage AI during project delivery to automate repetitive tasks and more, enabling engineers to focus on higher-value activities. They can also apply AI during operations to analyze data for insights into asset conditions.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We believe that helping infrastructure organizations deploy AI across the lifecycle represents a significant opportunity for Bentley. With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 xml:space="preserve">, organizations can unlock access to their data, freeing it from closed formats and aligning it to open schemas, to enable AI across projects. </w:t>
      </w: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also helps organizations maintain a digital thread from design through construction and operations, enabling AI-based performance recommendations.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We are also embedding AI capabilities across our comprehensive portfolio of integrated software offerings. For example, Bentley Copilot is a context-aware AI assistant that guides users through workflows, surfaces relevant information, and can make changes to design models; our next-generation applications such as </w:t>
      </w:r>
      <w:r>
        <w:rPr>
          <w:rFonts w:ascii="Times New Roman;serif" w:hAnsi="Times New Roman;serif"/>
          <w:b w:val="false"/>
          <w:i/>
          <w:color w:val="000000"/>
          <w:sz w:val="20"/>
        </w:rPr>
        <w:t>Bentley OpenSite+</w:t>
      </w:r>
      <w:r>
        <w:rPr>
          <w:color w:val="000000"/>
        </w:rPr>
        <w:t xml:space="preserve"> </w:t>
      </w:r>
      <w:r>
        <w:rPr>
          <w:rFonts w:ascii="Times New Roman;serif" w:hAnsi="Times New Roman;serif"/>
          <w:b w:val="false"/>
          <w:color w:val="000000"/>
          <w:sz w:val="20"/>
        </w:rPr>
        <w:t xml:space="preserve">include native AI capabilities, e.g., for drawings production; and </w:t>
      </w:r>
      <w:r>
        <w:rPr>
          <w:rFonts w:ascii="Times New Roman;serif" w:hAnsi="Times New Roman;serif"/>
          <w:b w:val="false"/>
          <w:i/>
          <w:color w:val="000000"/>
          <w:sz w:val="20"/>
        </w:rPr>
        <w:t>Bentley Asset Analytics</w:t>
      </w:r>
      <w:r>
        <w:rPr>
          <w:color w:val="000000"/>
        </w:rPr>
        <w:t xml:space="preserve"> </w:t>
      </w:r>
      <w:r>
        <w:rPr>
          <w:rFonts w:ascii="Times New Roman;serif" w:hAnsi="Times New Roman;serif"/>
          <w:b w:val="false"/>
          <w:color w:val="000000"/>
          <w:sz w:val="20"/>
        </w:rPr>
        <w:t>products include AI agents that automatically identify maintenance issues and recommend preventive action.</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Our Commercial Offerings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Licensing and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 variety of licensing and subscription options so that users can choose what works best for them, their project, and their organization.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For larger organizations with centralized management of their engineering software portfolio, we offer our Enterprise 365 (“E365”) subscription. Our E365 subscription is an all</w:t>
        <w:noBreakHyphen/>
        <w:t>inclusive global consumption</w:t>
        <w:noBreakHyphen/>
        <w:t xml:space="preserve">based plan which provides access to our comprehensive portfolio of integrated software offerings with uniform pricing across all countries. E365 subscriptions require a Cloud Services Subscription (“CSS”) (described below) and are charged to accounts primarily based upon daily usage or elective subscriptions, dependent on product. They are also inclusive of “Enterprise Services” (described below). Our </w:t>
      </w: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offerings utilized under E365 are charged based on the total number of users within a calendar quarter, or fixed asset bands, respectively. While the majority of our E365 subscriptions revenue is attributed to daily consumption of our applications, E365 subscriptions typically contain floors or ceilings on usage charges.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perpetual license for Bentley software is a one</w:t>
        <w:noBreakHyphen/>
        <w:t>time purchase with an annual maintenance subscription, called SELECT, which includes 24/7 technical support, access to learning resources, and the ability to exchange licenses for other software once a year. In addition, SELECT offers license pooling, which enables software access from multiple computers, and term licenses, which enables users to access software beyond their license entitlements for monthly or quarterly periods to cover short</w:t>
        <w:noBreakHyphen/>
        <w:t>term surges in their workload.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offer a 12</w:t>
        <w:noBreakHyphen/>
        <w:t>month named-user subscription including license, training, and knowledgeable engineering support procured through our e</w:t>
        <w:noBreakHyphen/>
        <w:t>store, Virtuosity, which is a convenient and cost</w:t>
        <w:noBreakHyphen/>
        <w:t>effective way for infrastructure professionals in small</w:t>
        <w:noBreakHyphen/>
        <w:t xml:space="preserve"> and medium</w:t>
        <w:noBreakHyphen/>
        <w:t>sized businesses (“SMBs”) to access Bentley software.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We deliver our </w:t>
      </w: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capabilities under our CSS, charged quarterly based on the number of users of various levels of functionality. Pricing includes cloud provisioning, although some accounts elect on</w:t>
        <w:noBreakHyphen/>
        <w:t>premises and/or hybrid hosting.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CSS streamlines the procurement, administration, and payment process for us and our accounts for cloud offerings, term licenses, and recurring services. Participants in our E365 program use CSS as the funding mechanism for their subscription. At the end of 2025, accounts representing approximately 60% of our total ARR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had chosen to implement, for licensing of our software, our commercial models eligible under CSS.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Enterprise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enterprise accounts, services are delivered via proactive and continuous engagement with users and accounts with business outcomes in mind, ensuring that accounts achieve optimal results from our software. This collaborative process culminates in a statement of work that outlines specific, structured engagements called “Blueprints.” These services are offered both virtually and in-person, delivered by colleagues, most with domain experience and credentials in infrastructure engineering. Enterprise services, based on allotted credits, are bundled into our E365 subscription.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We also offer specialized services, including services to support </w:t>
      </w: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implementations and advisory services to aid organizations in adopting digital technologies and workflows.</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Our Primary Growth Initiatives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Incremental to our long</w:t>
        <w:noBreakHyphen/>
        <w:t>standing programmatic acquisition strategy, we have determinedly invested internal resources to accelerate organic growth, with increasing success, through the following primary growth initiatives:</w:t>
      </w:r>
    </w:p>
    <w:p>
      <w:pPr>
        <w:pStyle w:val="TextBody"/>
        <w:bidi w:val="0"/>
        <w:spacing w:lineRule="auto" w:line="288" w:before="0" w:after="200"/>
        <w:ind w:left="0" w:right="0" w:hanging="270"/>
        <w:jc w:val="both"/>
        <w:rPr/>
      </w:pPr>
      <w:r>
        <w:rPr>
          <w:color w:val="000000"/>
        </w:rPr>
        <w:t>•</w:t>
      </w:r>
      <w:r>
        <w:rPr>
          <w:rFonts w:ascii="Times New Roman;serif" w:hAnsi="Times New Roman;serif"/>
          <w:b/>
          <w:i/>
          <w:color w:val="000000"/>
          <w:sz w:val="20"/>
        </w:rPr>
        <w:t>Accretion in Enterprise Accounts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have established that E365 helps our accounts implement, propagate, and upgrade our offerings more quickly, encouraging greater consumption of our software and stronger account relationships. We intend to continue to expand the reach of our E365 subscription within virtually all of our enterprise accounts;</w:t>
      </w:r>
    </w:p>
    <w:p>
      <w:pPr>
        <w:pStyle w:val="TextBody"/>
        <w:bidi w:val="0"/>
        <w:spacing w:lineRule="auto" w:line="288" w:before="0" w:after="200"/>
        <w:ind w:left="0" w:right="0" w:hanging="270"/>
        <w:jc w:val="both"/>
        <w:rPr/>
      </w:pPr>
      <w:r>
        <w:rPr>
          <w:color w:val="000000"/>
        </w:rPr>
        <w:t>•</w:t>
      </w:r>
      <w:r>
        <w:rPr>
          <w:rFonts w:ascii="Times New Roman;serif" w:hAnsi="Times New Roman;serif"/>
          <w:b/>
          <w:i/>
          <w:color w:val="000000"/>
          <w:sz w:val="20"/>
        </w:rPr>
        <w:t>Accretion in SMBs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New business from SMB accounts, including from hundreds of new “logos” each quarter, has become a substantial contributor to our overall ARR growth</w:t>
      </w:r>
      <w:r>
        <w:rPr>
          <w:rFonts w:ascii="Times New Roman;serif" w:hAnsi="Times New Roman;serif"/>
          <w:b w:val="false"/>
          <w:color w:val="000000"/>
          <w:sz w:val="13"/>
        </w:rPr>
        <w:t>(2)</w:t>
      </w:r>
      <w:r>
        <w:rPr>
          <w:rFonts w:ascii="Times New Roman;serif" w:hAnsi="Times New Roman;serif"/>
          <w:b w:val="false"/>
          <w:color w:val="000000"/>
          <w:sz w:val="20"/>
        </w:rPr>
        <w:t>, and we are encouraged to continue investment in our Virtuosity business and e</w:t>
        <w:noBreakHyphen/>
        <w:t>store. Development and deployment of a “low touch” and ultimately “no touch” digital experience will enable this business to further scale and align with the market potential; and</w:t>
      </w:r>
    </w:p>
    <w:p>
      <w:pPr>
        <w:pStyle w:val="TextBody"/>
        <w:bidi w:val="0"/>
        <w:spacing w:lineRule="auto" w:line="288" w:before="0" w:after="200"/>
        <w:ind w:left="0" w:right="0" w:hanging="270"/>
        <w:jc w:val="both"/>
        <w:rPr/>
      </w:pPr>
      <w:r>
        <w:rPr>
          <w:color w:val="000000"/>
        </w:rPr>
        <w:t>•</w:t>
      </w:r>
      <w:r>
        <w:rPr>
          <w:rFonts w:ascii="Times New Roman;serif" w:hAnsi="Times New Roman;serif"/>
          <w:b/>
          <w:i/>
          <w:color w:val="000000"/>
          <w:sz w:val="20"/>
        </w:rPr>
        <w:t>Asset Analytics:</w:t>
      </w:r>
      <w:r>
        <w:rPr>
          <w:color w:val="000000"/>
        </w:rPr>
        <w:t xml:space="preserve"> </w:t>
      </w:r>
      <w:r>
        <w:rPr>
          <w:rFonts w:ascii="Times New Roman;serif" w:hAnsi="Times New Roman;serif"/>
          <w:b w:val="false"/>
          <w:color w:val="000000"/>
          <w:sz w:val="20"/>
        </w:rPr>
        <w:t xml:space="preserve">The third growth initiative involves further expansion into asset operations and maintenance, leveraging digital twin opportunities to be incrementally monetized through cloud subscriptions charged per asset. Our </w:t>
      </w:r>
      <w:r>
        <w:rPr>
          <w:rFonts w:ascii="Times New Roman;serif" w:hAnsi="Times New Roman;serif"/>
          <w:b w:val="false"/>
          <w:i/>
          <w:color w:val="000000"/>
          <w:sz w:val="20"/>
        </w:rPr>
        <w:t>Bentley Asset Analytics</w:t>
      </w:r>
      <w:r>
        <w:rPr>
          <w:color w:val="000000"/>
        </w:rPr>
        <w:t xml:space="preserve"> </w:t>
      </w:r>
      <w:r>
        <w:rPr>
          <w:rFonts w:ascii="Times New Roman;serif" w:hAnsi="Times New Roman;serif"/>
          <w:b w:val="false"/>
          <w:color w:val="000000"/>
          <w:sz w:val="20"/>
        </w:rPr>
        <w:t>portfolio leverages digital twin and AI capabilities to generate discrete and actionable insights of existing infrastructure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Our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our software to nearly 42,000 accounts in 189 countries worldwide. Our revenues are balanced and diversified between engineering and construction contracting firms who work together to deliver the design and construction of capital projects (representing 52%, 51%, and 50% of our 2025, 2024, and 2023 total revenues, respectively), and their clients, the world’s public and private infrastructure asset owners and operators (representing 48%, 49%, and 50% of our 2025, 2024, and 2023 total revenues,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bring our offerings to market primarily through direct sales channels, including through our account managers and our Virtuosity inside sales colleagues and e</w:t>
        <w:noBreakHyphen/>
        <w:t>store, which generated approximately 94% of our 2025 total revenues. We also rely on specialist channel partners in geographic regions where we do not currently have a meaningful presence or where, for some of our offerings, direct sales efforts are less economically feasible. Channel partners accounted for approximately 6% of our 2025 total revenues.</w:t>
      </w:r>
    </w:p>
    <w:p>
      <w:pPr>
        <w:pStyle w:val="TextBody"/>
        <w:bidi w:val="0"/>
        <w:spacing w:lineRule="auto" w:line="288" w:before="0" w:after="200"/>
        <w:ind w:left="0" w:right="0" w:hanging="216"/>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Refer to the section titled “Key Business Metrics” included in Part II, Item 7 of this Annual Report on Form 10</w:t>
        <w:noBreakHyphen/>
        <w:t>K for additional information, including our definition and our use of ARR.</w:t>
      </w:r>
    </w:p>
    <w:p>
      <w:pPr>
        <w:pStyle w:val="TextBody"/>
        <w:bidi w:val="0"/>
        <w:spacing w:lineRule="auto" w:line="288" w:before="0" w:after="200"/>
        <w:ind w:left="0" w:right="0" w:hanging="216"/>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8"/>
        </w:rPr>
        <w:t>Refer to the section titled “Key Business Metrics” included in Part II, Item 7 of this Annual Report on Form 10</w:t>
        <w:noBreakHyphen/>
        <w:t>K for additional information, including our definition and our use of ARR growth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material account concentration. No account, including any group of accounts under common control or accounts that are affiliates of each other, represented more than 2% of our total revenues in 2025, 2024, or 2023.</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Our Acquisitions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our founding, we have purposefully pursued a strategy of acquiring and integrating specialized infrastructure engineering software businesses, including 8 acquisitions over the past three years. Most acquired products had already been interfacing with our platform prior to acquisition, and our acquisition purpose is typically to improve their technical and commercial integration.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have been able to make platform acquisitions which appreciably increase our scale and/or the scope of our platform capabilities. Our platform acquisitions have been:</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 xml:space="preserve">Seequent Holdings Limited </w:t>
      </w:r>
      <w:r>
        <w:rPr>
          <w:rFonts w:ascii="Times New Roman;serif" w:hAnsi="Times New Roman;serif"/>
          <w:b w:val="false"/>
          <w:color w:val="000000"/>
          <w:sz w:val="20"/>
        </w:rPr>
        <w:t>(2021), to enable infrastructure digital twin capabilities to incorporate modeling and simulation of full subsurface depths, and advancing infrastructure resilience and sustainability by helping geoprofessionals to understand environmental conditions and to mitigate environmental risks;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PLS</w:t>
      </w:r>
      <w:r>
        <w:rPr>
          <w:color w:val="000000"/>
        </w:rPr>
        <w:t xml:space="preserve"> </w:t>
      </w:r>
      <w:r>
        <w:rPr>
          <w:rFonts w:ascii="Times New Roman;serif" w:hAnsi="Times New Roman;serif"/>
          <w:b w:val="false"/>
          <w:color w:val="000000"/>
          <w:sz w:val="20"/>
        </w:rPr>
        <w:t>(2022), to bring design, analysis, and management of overhead electric power transmission lines and structures to our grid digital twin offerings. PLS substantially completes the reach of our comprehensive portfolio for the lifecycle integration of grid infrastructure across electrical transmission, substation, and distribution assets, and communications towers.</w:t>
      </w:r>
    </w:p>
    <w:p>
      <w:pPr>
        <w:pStyle w:val="TextBody"/>
        <w:bidi w:val="0"/>
        <w:spacing w:lineRule="auto" w:line="288" w:before="0" w:after="200"/>
        <w:ind w:left="0" w:right="0" w:firstLine="360"/>
        <w:jc w:val="both"/>
        <w:rPr/>
      </w:pPr>
      <w:r>
        <w:rPr>
          <w:rFonts w:ascii="Times New Roman;serif" w:hAnsi="Times New Roman;serif"/>
          <w:b w:val="false"/>
          <w:color w:val="000000"/>
          <w:sz w:val="20"/>
        </w:rPr>
        <w:t>Our programmatic acquisitions, which most often “fill white space” within our ecosystem, add their value principally by enhancing our platform comprehensiveness, and accordingly we consider this programmatic aspect of our growth as characteristically within our mainstream business performance (unlike platform acquisitions). Our average historical ARR growth rate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from programmatic acquisitions over the past three years has been less than 1% measured on a constant currency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Our Competition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our software is highly competitive and subject to change. We compete against large, global, publicly</w:t>
        <w:noBreakHyphen/>
        <w:t>traded companies that have resources greater than our own, and against small, new, or geographically</w:t>
        <w:noBreakHyphen/>
        <w:t>focused firms that specialize in developing niche software offerings. While we do not believe that any competitor offers a portfolio as comprehensive as ours, we do face strong competition, varying by infrastructure lifecycle phase and sector:</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 xml:space="preserve">our key competitors in </w:t>
      </w:r>
      <w:r>
        <w:rPr>
          <w:rFonts w:ascii="Times New Roman;serif" w:hAnsi="Times New Roman;serif"/>
          <w:b w:val="false"/>
          <w:i/>
          <w:color w:val="000000"/>
          <w:sz w:val="20"/>
        </w:rPr>
        <w:t>Public Works/Utilities</w:t>
      </w:r>
      <w:r>
        <w:rPr>
          <w:color w:val="000000"/>
        </w:rPr>
        <w:t xml:space="preserve"> </w:t>
      </w:r>
      <w:r>
        <w:rPr>
          <w:rFonts w:ascii="Times New Roman;serif" w:hAnsi="Times New Roman;serif"/>
          <w:b w:val="false"/>
          <w:color w:val="000000"/>
          <w:sz w:val="20"/>
        </w:rPr>
        <w:t>applications include Autodesk, Inc., Trimble Inc., and Hexagon AB;</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 xml:space="preserve">our key competitors in </w:t>
      </w:r>
      <w:r>
        <w:rPr>
          <w:rFonts w:ascii="Times New Roman;serif" w:hAnsi="Times New Roman;serif"/>
          <w:b w:val="false"/>
          <w:i/>
          <w:color w:val="000000"/>
          <w:sz w:val="20"/>
        </w:rPr>
        <w:t>Resources</w:t>
      </w:r>
      <w:r>
        <w:rPr>
          <w:color w:val="000000"/>
        </w:rPr>
        <w:t xml:space="preserve"> </w:t>
      </w:r>
      <w:r>
        <w:rPr>
          <w:rFonts w:ascii="Times New Roman;serif" w:hAnsi="Times New Roman;serif"/>
          <w:b w:val="false"/>
          <w:color w:val="000000"/>
          <w:sz w:val="20"/>
        </w:rPr>
        <w:t>applications include Hexagon AB and the AVEVA unit of Schneider Electric, as well as Dassault Systèmes, Datamine, Maptek, RMS, and Micromine in mining;</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 xml:space="preserve">our key competitors in </w:t>
      </w:r>
      <w:r>
        <w:rPr>
          <w:rFonts w:ascii="Times New Roman;serif" w:hAnsi="Times New Roman;serif"/>
          <w:b w:val="false"/>
          <w:i/>
          <w:color w:val="000000"/>
          <w:sz w:val="20"/>
        </w:rPr>
        <w:t>Industrial</w:t>
      </w:r>
      <w:r>
        <w:rPr>
          <w:color w:val="000000"/>
        </w:rPr>
        <w:t xml:space="preserve"> </w:t>
      </w:r>
      <w:r>
        <w:rPr>
          <w:rFonts w:ascii="Times New Roman;serif" w:hAnsi="Times New Roman;serif"/>
          <w:b w:val="false"/>
          <w:color w:val="000000"/>
          <w:sz w:val="20"/>
        </w:rPr>
        <w:t>applications include Hexagon AB and the AVEVA unit of Schneider Electric;</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 xml:space="preserve">our key competitors in </w:t>
      </w:r>
      <w:r>
        <w:rPr>
          <w:rFonts w:ascii="Times New Roman;serif" w:hAnsi="Times New Roman;serif"/>
          <w:b w:val="false"/>
          <w:i/>
          <w:color w:val="000000"/>
          <w:sz w:val="20"/>
        </w:rPr>
        <w:t>Commercial/Facilities</w:t>
      </w:r>
      <w:r>
        <w:rPr>
          <w:color w:val="000000"/>
        </w:rPr>
        <w:t xml:space="preserve"> </w:t>
      </w:r>
      <w:r>
        <w:rPr>
          <w:rFonts w:ascii="Times New Roman;serif" w:hAnsi="Times New Roman;serif"/>
          <w:b w:val="false"/>
          <w:color w:val="000000"/>
          <w:sz w:val="20"/>
        </w:rPr>
        <w:t>applications include Autodesk, Inc., Nemetschek SE, and Trimble Inc.;</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our key competitors in project delivery systems include Autodesk, Inc. and Oracle Corporation;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our key competitors in asset performance systems include the AVEVA unit of Schneider Electric, Esri, and GE Vernova.</w:t>
      </w:r>
    </w:p>
    <w:p>
      <w:pPr>
        <w:pStyle w:val="TextBody"/>
        <w:bidi w:val="0"/>
        <w:spacing w:lineRule="auto" w:line="288" w:before="0" w:after="200"/>
        <w:ind w:left="0" w:right="0" w:hanging="216"/>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Refer to the section titled “Key Business Metrics” included in Part II, Item 7 of this Annual Report on Form 10</w:t>
        <w:noBreakHyphen/>
        <w:t>K for additional information, including our definition and our use of ARR growth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competitive factors affecting our market include: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product features, performance, and effectiveness;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reliability and security;</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openness and the ability to integrate with other technologies;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price, commercial model, and total cost of use;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brand awareness and reputation.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compete favorably against our competitors based on the factors above and that we distinguish ourselves through the comprehensiveness of our software offerings portfolio, our commitment to both integration and interoperability across the entire infrastructure lifecycle, our flexible commercial models, and our direct sales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Our Research and Development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make substantial investments in research and development because we believe the infrastructure engineering software market presents compelling opportunities for the application of new technologies that advance our current offerings. Our research and development roadmap balances technological advances and new offerings with continuous enhancements to existing offerings. Our allocation of research and development resources is guided by management</w:t>
        <w:noBreakHyphen/>
        <w:t>established priorities, input from product managers, and feedback from various channels including users and user-facing teams.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resource allocation process, we also conduct a cost</w:t>
        <w:noBreakHyphen/>
        <w:t>benefit analysis of acquiring available technology in the marketplace versus developing our own software.</w:t>
      </w:r>
    </w:p>
    <w:p>
      <w:pPr>
        <w:pStyle w:val="TextBody"/>
        <w:bidi w:val="0"/>
        <w:spacing w:lineRule="auto" w:line="288" w:before="0" w:after="200"/>
        <w:jc w:val="both"/>
        <w:rPr>
          <w:rFonts w:ascii="Times New Roman;serif" w:hAnsi="Times New Roman;serif"/>
          <w:b/>
          <w:color w:val="000000"/>
          <w:sz w:val="20"/>
          <w:u w:val="single"/>
        </w:rPr>
      </w:pPr>
      <w:r>
        <w:rPr>
          <w:rFonts w:ascii="Times New Roman;serif" w:hAnsi="Times New Roman;serif"/>
          <w:b/>
          <w:color w:val="000000"/>
          <w:sz w:val="20"/>
          <w:u w:val="single"/>
        </w:rPr>
        <w:t>Our Intellectual Property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success of our business depends more on the quality of our proprietary software, technology, processes, and domain expertise than on copyrights, patents, trademarks, and trade secrets. While we consider our intellectual property rights to be valuable, we do not believe that our competitive position depends primarily on obtaining legal protection for our software and technology. Instead, we believe that our competitive position depends primarily on our ability to maintain a leadership position by developing innovative proprietary software, technology, information, processes, and know</w:t>
        <w:noBreakHyphen/>
        <w:t>how. Nevertheless, we rely on a combination of copyrights, patents, trademarks, and trade secrets in the U.S. and other jurisdictions to secure our intellectual property, and we use contractual provisions and non</w:t>
        <w:noBreakHyphen/>
        <w:t>disclosure agreements to protect it. In addition, from time to time we enter into collaboration arrangements and in</w:t>
        <w:noBreakHyphen/>
        <w:t>bound licensing agreements with third parties, including certain of our competitors, in order to expand the functionality and interoperability of our software. We are not substantially dependent upon any one of these arrangements, and we are not obligated to pay any material royalty or license fees with respect to them.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patents cover systems and methods relating to various aspects of software for infrastructure design and modeling, collaboration and work</w:t>
        <w:noBreakHyphen/>
        <w:t>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innovate and increase our strategic position, our software developers are incentivized to alert our internal patent committee to innovations that might be patentable or of strategic value. We also assess appropriate occasions for seeking patent and other intellectual property protections for aspects of our technology and offerings that we believe constitute innovations providing significant competitive advantages, both domestically and outside of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Despite the foregoing, our intellectual property rights may not be successfully asserted in the future or may be invalidated, circumvented, or challenged by third parties. Moreover, the laws and enforcement of the laws of various foreign countries where our products are licensed do not protect our intellectual property rights to the same extent as U.S. laws. Enforcement of intellectual property rights against alleged infringers could lead to costly litigation and counterclaims, and our inability or perceived inability to protect our proprietary information could harm our business. While we have recovered some revenue resulting from the unauthorized use of our software, we are unable to measure the full extent to which unauthorized use of our software products exists.</w:t>
      </w:r>
    </w:p>
    <w:p>
      <w:pPr>
        <w:pStyle w:val="TextBody"/>
        <w:bidi w:val="0"/>
        <w:spacing w:lineRule="auto" w:line="288" w:before="0" w:after="200"/>
        <w:jc w:val="both"/>
        <w:rPr>
          <w:rFonts w:ascii="Times New Roman;serif" w:hAnsi="Times New Roman;serif"/>
          <w:b/>
          <w:color w:val="000000"/>
          <w:sz w:val="20"/>
          <w:u w:val="single"/>
        </w:rPr>
      </w:pPr>
      <w:r>
        <w:rPr>
          <w:rFonts w:ascii="Times New Roman;serif" w:hAnsi="Times New Roman;serif"/>
          <w:b/>
          <w:color w:val="000000"/>
          <w:sz w:val="20"/>
          <w:u w:val="single"/>
        </w:rPr>
        <w:t>Our Production and Suppliers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supplier of cloud services is Microsoft, with whom we have entered into a multi-year contract for a committed level of expenditures for Azure. We added Google Cloud as a cloud service provider in 2024 to expand our delivery capabilities and optimize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u w:val="single"/>
        </w:rPr>
      </w:pPr>
      <w:r>
        <w:rPr>
          <w:rFonts w:ascii="Times New Roman;serif" w:hAnsi="Times New Roman;serif"/>
          <w:b/>
          <w:color w:val="000000"/>
          <w:sz w:val="20"/>
          <w:u w:val="single"/>
        </w:rPr>
        <w:t>Impact at Bentley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Around the world, infrastructure professionals rely on Bentley software to help them design, build, and operate better and more resilient infrastructure for transportation, water, energy, cities, and more. Our greatest opportunity for impact is through the products and services we provide that empower our users to achieve sustainable development goals by realizing outcomes that are more sustainable and resilient. Our impact strategy is rooted in our passion for advancing infrastructure challenges by enabling the building of a better world.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four pillars of this strategy include:</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Handprint</w:t>
      </w:r>
      <w:r>
        <w:rPr>
          <w:rFonts w:ascii="Times New Roman;serif" w:hAnsi="Times New Roman;serif"/>
          <w:b w:val="false"/>
          <w:color w:val="000000"/>
          <w:sz w:val="20"/>
        </w:rPr>
        <w:t>. The ways in which we empower our users to design, build, and operate sustainable infrastructure and collaborate across enterprises to create a better and more resilient future for all;</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Footprint</w:t>
      </w:r>
      <w:r>
        <w:rPr>
          <w:rFonts w:ascii="Times New Roman;serif" w:hAnsi="Times New Roman;serif"/>
          <w:b w:val="false"/>
          <w:color w:val="000000"/>
          <w:sz w:val="20"/>
        </w:rPr>
        <w:t>. The actions we are taking to minimize environmental impacts across the business by closely managing, monitoring, and improving our operations;</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Social</w:t>
      </w:r>
      <w:r>
        <w:rPr>
          <w:rFonts w:ascii="Times New Roman;serif" w:hAnsi="Times New Roman;serif"/>
          <w:b w:val="false"/>
          <w:color w:val="000000"/>
          <w:sz w:val="20"/>
        </w:rPr>
        <w:t>. The programs and processes that foster an inclusive culture where our colleagues and communities can thrive and do the best work of their careers, as well as the ways we are helping to grow the pipeline of infrastructure engineers through education, recruitment, and community engagement; and</w:t>
      </w:r>
    </w:p>
    <w:p>
      <w:pPr>
        <w:pStyle w:val="TextBody"/>
        <w:bidi w:val="0"/>
        <w:spacing w:lineRule="auto" w:line="288" w:before="0" w:after="200"/>
        <w:ind w:left="0" w:right="0" w:hanging="270"/>
        <w:jc w:val="both"/>
        <w:rPr/>
      </w:pPr>
      <w:r>
        <w:rPr>
          <w:color w:val="000000"/>
        </w:rPr>
        <w:t>•</w:t>
      </w:r>
      <w:r>
        <w:rPr>
          <w:rFonts w:ascii="Times New Roman;serif" w:hAnsi="Times New Roman;serif"/>
          <w:b w:val="false"/>
          <w:i/>
          <w:color w:val="000000"/>
          <w:sz w:val="20"/>
        </w:rPr>
        <w:t>Governance</w:t>
      </w:r>
      <w:r>
        <w:rPr>
          <w:rFonts w:ascii="Times New Roman;serif" w:hAnsi="Times New Roman;serif"/>
          <w:b w:val="false"/>
          <w:color w:val="000000"/>
          <w:sz w:val="20"/>
        </w:rPr>
        <w:t>. Our approach to effective governance is to ensure the highest level of accountability and compliance rigor.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look forward to sharing updates for our full-year 2025 performance in our next Impact Report, scheduled to be published in the second quarter of 2026. To learn more, visit the impact portion of our website at www.bentley.com/company/impact/. The information posted on this website is not incorporated into this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u w:val="single"/>
        </w:rPr>
      </w:pPr>
      <w:r>
        <w:rPr>
          <w:rFonts w:ascii="Times New Roman;serif" w:hAnsi="Times New Roman;serif"/>
          <w:b/>
          <w:color w:val="000000"/>
          <w:sz w:val="20"/>
          <w:u w:val="single"/>
        </w:rPr>
        <w:t>Human Capital Management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colleagues are a key success factor in driving our continued growth. We create an enriching colleague experience, underscored by our mission, actions, and priorities (MAP) in which colleagues can do the best work of their career while making a positive impact by advancing the world’s infrastructure.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5,800 full</w:t>
        <w:noBreakHyphen/>
        <w:t>time colleagues globally, including approximately 2,400 in the Americas (the U.S., Canada, and Latin America, including the Caribbean); approximately 1,600 in Europe, the Middle East, and Africa (“EMEA”); and approximately 1,800 in Asia</w:t>
        <w:noBreakHyphen/>
        <w:t>Pacific (“APAC”). None of our full</w:t>
        <w:noBreakHyphen/>
        <w:t>time U.S. colleagues are unionized. Outside the U.S., a small overall portion of our colleagues in certain countries are represented by a colleague representative organization, such as a union or colleague association. Our colleagues bring nearly 70 languages to fulfill the needs of our globally dispersed accounts and users. Our colleagues are highly qualified with an average of seven years of total service and advanced academic credentials, including over 160 doctoral degrees and over 1,400 master’s</w:t>
        <w:noBreakHyphen/>
        <w:t>level degrees.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Colleague Experience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achieve a strong level of performance, engagement, and belonging through focused efforts to build trust and enhance personal and organizational experiences, empowering colleagues to learn and grow every day, providing recognition for great work, and supporting colleague wellbeing. We encourage meaningful and continuous feedback through biannual performance reviews, engagement surveys, and two-way communication to ensure colleagues are equipped to succeed.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Talent Acquisition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Company’s purpose, mission, values, and culture are drivers for attracting and retaining colleagues. Our talent acquisition strategy leverages best practices to attract, engage, and hire top talent quickly and effectively. We enjoy high levels of colleague referrals to supplement our corporate hiring practices, and nurture relationships with agencies and universities around the world to hire talented professionals and graduates, all of which provides a strong talent pipeline.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Professional Development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invest in continuous professional development through targeted classroom style programs, peer collaboration, and experiential learning opportunities. Our colleagues have opportunities to learn from peers, mentors, leaders, subject matter experts, or by taking advantage of AI agents to role-play and get real-time feedback. Our investment in growth and development for all roles fosters a unified “One Bentley” mindset and builds a robust pipeline of internal successors for key roles across the organization.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Belonging and Inclusion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global company with colleagues of different cultures, backgrounds, and perspectives based in 45 countries worldwide and speaking nearly 70 languages. We strive to build a culture where all colleagues feel a sense of belonging so that they can fully realize their potential and produce their best work.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executive management team and senior leaders are integral partners in this mission, acting as executive sponsors for key Belonging and Inclusion initiatives. Our Inclusion, Diversity, and Equity Alliance (“IDEA”) program includes colleague-led resource groups, open to all colleagues, that empower their members to join peers from across the business and the globe to foster belonging and inclusion. Through events and programming, IDEA offers support, education, networking, and professional development opportunities to our global colleagues.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u w:val="single"/>
        </w:rPr>
      </w:pPr>
      <w:r>
        <w:rPr>
          <w:rFonts w:ascii="Times New Roman;serif" w:hAnsi="Times New Roman;serif"/>
          <w:b/>
          <w:color w:val="000000"/>
          <w:sz w:val="20"/>
          <w:u w:val="single"/>
        </w:rPr>
        <w:t>Corporate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Incorporated was incorporated in Delaware in 1987 and is headquartered in Exton, Pennsylvania.</w:t>
      </w:r>
    </w:p>
    <w:p>
      <w:pPr>
        <w:pStyle w:val="TextBody"/>
        <w:bidi w:val="0"/>
        <w:spacing w:lineRule="auto" w:line="288" w:before="0" w:after="200"/>
        <w:jc w:val="both"/>
        <w:rPr>
          <w:rFonts w:ascii="Times New Roman;serif" w:hAnsi="Times New Roman;serif"/>
          <w:b/>
          <w:color w:val="000000"/>
          <w:sz w:val="20"/>
          <w:u w:val="single"/>
        </w:rPr>
      </w:pPr>
      <w:r>
        <w:rPr>
          <w:rFonts w:ascii="Times New Roman;serif" w:hAnsi="Times New Roman;serif"/>
          <w:b/>
          <w:color w:val="000000"/>
          <w:sz w:val="20"/>
          <w:u w:val="single"/>
        </w:rPr>
        <w:t>Website Access to Reports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internet address is www.bentley.com. The information posted on our website is not incorporated into this Annual Report on Form 10</w:t>
        <w:noBreakHyphen/>
        <w:t>K. Our Annual Report on Form 10</w:t>
        <w:noBreakHyphen/>
        <w:t>K, Quarterly Reports on Form 10</w:t>
        <w:noBreakHyphen/>
        <w:t>Q, Current Reports on Form 8</w:t>
        <w:noBreakHyphen/>
        <w:t>K and amendments to reports filed or furnished pursuant to Sections 13(a) and 15(d) of the Securities Exchange Act of 1934, as amended, are available free of charge on the SEC’s website at www.sec.gov and on the Investor Relations portion of our website at www.bentley.com (or investors.bentley.com)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material factors that make an investment in the Company and its securities speculative or risky. The risks described herein are not the only risks we may face. Additional risks and uncertainties not currently known to us or that we currently deem to be immaterial may also materially adversely affect our business, financial condition, results of operations, or cash flows.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Demand for our software is subject to volatility in our accounts’ underlying businesses, which includes infrastructure projects that typically have long timelines.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sales are based significantly on accounts’ demand for software in the following infrastructure sectors: (i) public works/utilities; (ii) resources; (iii) industrial; and (iv)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Infrastructure projects typically have long timelines and we may invest in building capacity based on expected demand for our software that takes longer to develop than we expect or fails to develop at all. Additionally, government spending on infrastructure may decrease, which could decrease the demand for our software and have a negative impact on our results of operations. We may not be successful in forecasting future demand levels and could fail to win business at the expected rates. If we underestimate the demand for our software, we may be unable to fulfill the increased demand in a timely fashion or at all. If we overestimate the demand for our software, we may incur additional expenses for which we would not have corresponding revenues, negatively impacting our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majority of our revenues and an increasing percentage of our operations are attributable to operations outside the U.S., and our results of operations therefore may be materially affected by the legal, regulatory, social, political, economic, and other risks of foreign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59%, 58%, and 58% of our total revenues were from outside the U.S. for the years ended December 31, 2025, 2024, and 2023, respectively. We anticipate that revenues from accounts outside the U.S. will continue to comprise a majority of our total revenues for the foreseeable future.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U.S. are subject to legal, regulatory, social, political, economic, and other risks inherent in international business operations, including, without limitation, local product preference and product requirements, trade protection measures, sanctions, quotas, embargoes, import and export licensing requirements, duties, tariffs or surcharges and more stringent regulations relating to privacy and data security and access to, or use of, commercial and personal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Decreased investment by APAC, including China, may have a negative effect on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Approximately 18% of our total revenues for the years ended December 31, 2025, 2024, and 2023 relate to infrastructure projects in APAC, including China. We cannot assure you that spending in these countries on infrastructure projects will continue at historical levels or increase in the future, or that demand for our software in APAC in general will not be negatively affected by reductions in spending or other limitations.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 that could negatively impact our financial results and cash flows.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software in 189 countries, primarily through a direct sales force located throughout the world. Approximately 59%, 58%, and 58% of our total revenues were from outside the U.S. for the years ended December 31, 2025, 2024, and 2023, respectively. As we continue to expand our presence in international regions, the portion of our revenues, expenses, cash, accounts receivable, and payment obligations denominated in foreign currencies continues to increase. Further, we anticipate that revenues from accounts outside of the U.S. will continue to comprise the majority of our total revenues for the foreseeable future.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our international activities, we have revenues, expenses, cash, accounts receivable and payment obligations denominated in foreign currencies. For the years ended December 31, 2025, 2024, and 2023, 33%, 34%, and 35%,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condition,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Canadian dollar, Australian dollar, Chinese yuan renminbi, and New Zealand dollar. For example, the Chinese yuan renminbi has fluctuated against the U.S. dollar, at times significantly and unpredictably, due to changes in foreign exchange for a wide variety of reasons, including actions instituted by China. Because of changes in trade between the U.S. and China, and renminbi internationalization, China may in the future announce further changes to the exchange rate system, and we cannot assure you that the renminbi will not appreciate or depreciate significantly in value against the U.S. dollar in the future.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may not be able to increase the number of new subscription</w:t>
        <w:noBreakHyphen/>
        <w:t>based accounts or cause existing accounts to renew their subscriptions, which could have a negative impact on our future revenues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increase demand for our subscription</w:t>
        <w:noBreakHyphen/>
        <w:t xml:space="preserve">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accounts do not renew their subscriptions or if they renew on less favorable terms, our revenues may decline, which could harm our business, financial condition, and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Consolidation among our accounts and other enterprises in the markets in which we operate may result in a loss of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and services that we provide to them. If an existing account is acquired by another company that uses the software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have in the past and expect to continue in the future to seek to grow our business through acquisitions of or investments in new or complementary businesses, software, or technologies, and the failure to manage acquisitions or investments, or the failure to integrate them with our existing platform and business, could harm us.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we are able to consummate acquisitions that we believe will be successful, these transactions present many risks including, among others, failing to achieve anticipated synergies and revenue increases, difficulty incorporating and integrating the acquired technologies or software solutions with our offerings and existing applications, difficulties managing an acquired company’s technologies or lines of business or entering new markets where we have limited prior experience or where competitors may have stronger market positions, the loss of key colleagues, accounts, and channel partners of ours or of the acquired company, and the requirement to test and assimilate the internal control processes of the acquired business in accordance with the requirements of Section 404 of the Sarbanes-Oxley Act of 2002.</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Quality problems, defects, errors, failures, or vulnerabilities in our software or services could harm our reputation and adversely affect our business, financial condition, results of operations, and prospects.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offerings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with enhanced security features and may be more vulnerable to cyber</w:t>
        <w:noBreakHyphen/>
        <w:t>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business, financial condition, results of operations, and prospects may be harmed if we are unable to cross</w:t>
        <w:noBreakHyphen/>
        <w:t>sell our software offerings.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component of our growth strategy is to increase the cross</w:t>
        <w:noBreakHyphen/>
        <w:t>selling of our software offerings to current and future accounts, however, we may not be successful in doing so if our accounts find our additional offerings to be unnecessary or unattractive. We have invested, and intend to continue to invest, significant resources in developing and acquiring additional software offerings, which resources may not be recovered if we are unable to successfully cross</w:t>
        <w:noBreakHyphen/>
        <w:t>sell these offerings to accounts using our existing software. Any failure to sell additional software offerings to current and future accounts could harm our business, financial condition, results of operations, and prospects.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There are significant costs and restrictions associated with the repatriation of cash from our non-U.S.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balances are concentrated in a few locations around the world, with approximately 68% and 96% of those balances held outside of the U.S. as of December 31, 2025 and 2024, respectively. Cash repatriation restrictions may limit our ability to repatriate cash held by our foreign subsidiaries. 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 portion of our revenues are from sales by our channel partners and we could be subject to loss or liability based on their actions.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through our global network of independent regional channel partners accounted for 6%, 7%, and 8% of our total revenues for the years ended December 31, 2025, 2024, and 2023, respectively. These channel partners sell our software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financial results. Our channel partners may also not have loyalty to our brand and therefore may not be particularly motivated to sell our software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channel partners could also subject us to lawsuits, potential liability, and reputational harm if, for example, any channel partners misrepresent the functionality of our software or services to accounts, fail to comply with their contractual obligations, or violate laws or our corporate policies. Such actions may impact our ability to distribute our software into certain regions and markets, and may have an adverse effect on our results of operations and cash flows.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incorporate artificial intelligence and machine learning (collectively “AI” herein this item) into our software offerings, and challenges with properly managing its use could result in reputational harm, or liability, and adversely affect our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AI represents a paradigm shift for infrastructure sectors. We are building and embedding AI capabilities across our comprehensive portfolio of integrated software offerings to support and accelerate the use of AI by our users and accounts. We expect data-centric and AI-powered offerings to help drive future growth in our business but there can be no assurance that we will realize the anticipated growth or benefits. As with many innovations, there may be slow adoption, regulatory challenges, or we may fail to appropriately implement and market our data-centric and AI-powered offerings.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AI is becoming an increasingly regulated space with a number of jurisdictions having proposed or enacted laws concerning AI. Against this regulatory backdrop, our offerings based on AI may expose us to additional lawsuits and regulatory investigations and subject us to legal liability as well as brand and reputational harm. Further, research and development associated with our AI offerings may be impacted by the increasingly complex regulatory landscape by increasing the burdens and costs associated with research and development.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Risks Related to Information Technology (“IT”) Systems and Intellectual Property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Interruptions in the availability of server systems or communications with Internet, third</w:t>
        <w:noBreakHyphen/>
        <w:t>party hosting facilities or cloud</w:t>
        <w:noBreakHyphen/>
        <w:t>based services, or failure to maintain the security, confidentiality, accessibility, or integrity of data stored on such systems, could harm our business or impair the delivery of our managed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software development personnel, source code, and computer equipment is located at operating facilities outside the U.S. We also depend on data maintained on servers running third</w:t>
        <w:noBreakHyphen/>
        <w:t>party enterprise-wide administrative, account relationship management, and other business operations systems. We further rely upon a variety of Internet service providers, third</w:t>
        <w:noBreakHyphen/>
        <w:t>party hosting facilities, and cloud computing platform providers, such as Microsoft Azure, as well as local service providers to support project teams and users in most regions and countries throughout the world, particularly with respect to our cloud service offerings.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If our security measures or those of our third</w:t>
        <w:noBreakHyphen/>
        <w:t>party cloud data hosts, cloud computing platform providers, or third</w:t>
        <w:noBreakHyphen/>
        <w:t>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digitize and use cloud and web</w:t>
        <w:noBreakHyphen/>
        <w:t xml:space="preserve">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litigation, and possible liability. Although we devote resources to maintaining our security and integrity, we may not prevent security incidents.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risk of a security breach or disruption, particularly through cyber</w:t>
        <w:noBreakHyphen/>
        <w:t>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 could attack our accounts’ data (including their employees’ personal data), our data (including colleagues’ personal data), our IT systems or those of our accounts and/or critical vendors. It is virtually impossible for us to entirely eliminate this risk. Like all software, our software is vulnerable to cyber</w:t>
        <w:noBreakHyphen/>
        <w:t>attacks. The impact of cyber</w:t>
        <w:noBreakHyphen/>
        <w:t>attacks could disrupt the proper functioning of our software or services, cause errors in the output of our accounts’ work, allow unauthorized access to sensitive, proprietary, or confidential information of ours or our accounts, and other destructive outcomes.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Failure to protect our intellectual property rights could impair our ability to protect our proprietary technology and our brand.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steps we take may not be adequate to protect our technologies and intellectual property, our patent and trademark applications may not lead to issued patents or registered trademarks, others may develop or patent similar or superior technologies or offerings, and our patents, trademarks, and other intellectual property may be challenged, invalidated, designed around, or circumvented by others. Furthermore, effective copyright, patent, trademark, and trade secret protection may not be available in every country in which our offerings are available or where we do business.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Increasingly regulatory focus on privacy, data protection, cross-border data flows, and information security issues, and new and expanding laws may apply to our business and non</w:t>
        <w:noBreakHyphen/>
        <w:t>compliance with such rules may limit the use and adoption of our services, adversely affect our business, or expose us to increased liability.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global software and service provider, we collect and process personal data and other data from our users and prospective users. We use this information to provide software offerings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statement provided to each account. We may also share accounts’ personal data with certain third parties as described in the privacy statement provided to each account. Further, we collect and otherwise process personal data of our global employees and contractors.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Governments, regulators, privacy advocates, plaintiffs’ attorneys, and our users and accounts are increasingly focused on how companies collect, process, use, store, share, and transmit personal data. Regulation relating to the provision of our software is evolving, as federal, state, and foreign governments continue to adopt new, or modify existing, laws and regulations addressing privacy, data protection, data sovereignty, information security and the collection, processing, storage, sharing, transmission, and use of data generally. This evolving regulatory landscape may be subject to differing interpretations, jurisdiction specific inconsistencies, or may conflict with other rules. We expect the regulatory landscape to remain uncertain for the foreseeable future. Further, our expectation is that there will continue to be new laws, regulations, and industry standards applicable to our collection, processing, storage, sharing, transmission, and use of data generally.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Globally, laws such as the General Data Protection Regulation (the “GDPR”) in the European Union (the “E.U.”) and the Personal Information Protection Law (the “PIPL”) in China have been enacted, and numerous other countries have proposed or have enacted laws concerning privacy, data protection, data sovereignty, and information security; these laws impose obligations directly on us as both a data controller and a data processor, as well as on many of our users. In addition, new and emerging state laws in the U.S.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$7,988 per violation.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monitor the regulatory environment and have invested in addressing these developments, operating in an increasingly complex regulatory landscape may impact our innovation and business drivers in developing new and emerging technologies (e.g., AI). Globally, these and other requirements are causing increased scrutiny amongst users, particularly in the public sector and highly regulated industries, which could restrict the use and adoption of our software (in particular cloud services). Further, these developments may require us to take on more onerous obligations in our contracts, restrict our ability to store, transfer, and process data or, in some cases, impact our ability or our users’ ability to offer our services in certain locations, to deploy our offerings, or to derive insights from user data globally.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Around the world, there is continued uncertainty in relation to the legal mechanisms supporting cross</w:t>
        <w:noBreakHyphen/>
        <w:t>border data flows which are subject to evolving guidance, active litigation, and enforcement proceedings in a number of jurisdictions. A number of countries including China, Australia, New Zealand, Brazil, and Japan have established specific requirements for cross</w:t>
        <w:noBreakHyphen/>
        <w:t>border data transfers. Further, a number of countries and states have adopted or are considering adopting data localization policies which would further restrict cross</w:t>
        <w:noBreakHyphen/>
        <w:t>border data transfers and may require data to be localized in the country of origin (potentially at a state level) which could substantially impact our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failure to comply with applicable laws and regulations, or to protect data, could result in enforcement action against us, including fines and public censure, claims for damages by users, accounts, and other affected individuals, damage to our reputation and loss of goodwill (both in relation to existing accounts and prospective accounts), any of which could harm our business,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Around the world, there are numerous lawsuits in process against various technology companies that process personal data. If those lawsuits are successful, it could increase the likelihood that we may be exposed to liability for our own policies and practices concerning the processing of personal data and could hurt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accounts expect us to meet voluntary certification or other standards established by third parties or imposed by the accounts themselves. If we are unable to maintain these certifications or meet these standards, it could adversely affect our ability to provide our software to certain accounts and could harm our business. Further, if we were to experience a breach of systems compromising our accounts’ sensitive data, our brand and reputation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 adversely affected, use of our software and services could decrease, and we could be exposed to a risk of loss, litigation, and regulatory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costs of compliance with and other burdens imposed by laws, regulations, and standards may limit the use and adoption of our services and reduce overall demand for them, or lead to significant fines, penalties, or liabilities for any noncompliance.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concerns regarding privacy, data protection, cross-border data flows, and information security may cause our accounts’ customers to resist providing the data necessary to allow our accounts to use our services effectively. Even the perception that the privacy of data is not satisfactorily protected or does not meet regulatory requirements could inhibit sales of our software or services, and could limit adoption of our cloud</w:t>
        <w:noBreakHyphen/>
        <w:t>based offerings.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license third</w:t>
        <w:noBreakHyphen/>
        <w:t>party technologies for the development of certain software offerings, and, in some instances, we incorporate third</w:t>
        <w:noBreakHyphen/>
        <w:t>party technologies, including open source software, into our software. If we fail to maintain these licenses or are unable to secure alternative licenses on reasonable terms, our business could be adversely affected.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license third-party technologies to develop certain software offerings, and, in some cases, we incorporate third</w:t>
        <w:noBreakHyphen/>
        <w:t>party technologies into our own software, including technologies owned by our competitors. If we were to seek to expand the scope of this activity in the future, we could be required to obtain additional licenses and enter into long</w:t>
        <w:noBreakHyphen/>
        <w:t>term arrangements with third parties on whose technology we could become substantially dependent.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use or license these third</w:t>
        <w:noBreakHyphen/>
        <w:t>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offerings could be adversely impacted. In addition, licensed technology may be subject to claims that it infringes others’ intellectual property rights and we may lose access to or have restrictions placed on our use of the licensed technology. 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Assertions by third parties of infringement or other violations by us of their intellectual property rights could result in significant costs and harm our business,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Risks Related to Regulation and Litigation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 and potential tariffs imposed by the U.S. government or a global trade war could increase the cost of our products and services and the cost of conducting our business, which could harm our business,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U.S., particularly from China. The imposition of additional tariffs by the U.S. could result in the adoption of tariffs by other countries, leading to a global trade war. In addition, certain of these risks may be heightened as a result of changing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climates. For example, the U.S.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Failure to comply with the U.S. Foreign Corrupt Practices Act (“FCPA”) and similar anti</w:t>
        <w:noBreakHyphen/>
        <w:t>bribery and anti</w:t>
        <w:noBreakHyphen/>
        <w:t>corruption laws associated with our activities outside the U.S. could subject us to penalties and other adverse consequences.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revenues are from jurisdictions outside of the U.S. We are subject to the FCPA, which generally prohibits U.S. companies and their intermediaries from making payments to foreign 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are subject to governmental sanctions compliance, and export and import controls that could impair our ability to compete in international markets or subject us to liability if we violate the controls.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offerings may be subject to U.S. export controls and economic sanctions laws and regulations that restrict the delivery of our software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w:t>
        <w:noBreakHyphen/>
        <w:t>disclosures, or other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if our channel partners fail to obtain appropriate import, export, or re</w:t>
        <w:noBreakHyphen/>
        <w:t>export licenses or permits, we may also be adversely affected, for example, through reputational harm, as well as other negative consequences including government investigations and penalties. Complying with export control and sanctions regulations for a particular sale may be time</w:t>
        <w:noBreakHyphen/>
        <w:t>consuming and may result in the delay or loss of sales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may face exposure to product or professional liability claims that could cause us to be liable for damages.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our software, including AI-enabled offerings,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and services are used for increasingly complex and high</w:t>
        <w:noBreakHyphen/>
        <w:t>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credit agreement, as amended, contains restrictive covenants that may limit our operating flexibility, and certain changes in ownership of equity interests in us by the Bentley Family (Barry J. Bentley, Gregory S. Bentley, Keith A. Bentley, Raymond B. Bentley, and Richard P. Bentley, collectively (the “Bentleys”), certain other family members and trusts and other entities controlled by or primarily for the benefit of the Bentleys and their families) constitutes an event of default.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second amended and restated credit agreement, entered into on October 18, 2024 with a syndicate of banks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repurchase our common stock and outstanding indebtedness,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senior secured leverage ratio to exceed 3.00 to 1.00 and a covenant requiring the fixed charge coverage ratio for any period of four consecutive fiscal quarters to not be less than 3.00 to 1.00, and financial reporting requirements. Borrowings under the Credit Facility are secured by a first priority security interest in substantially all of our U.S. assets and 65% of the stock of our and certain of our subsidiaries’ foreign subsidiaries.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if the Bentley Family ceases to collectively own equity interests in us representing at least 20%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there is no guarantee that we will be able to generate sufficient cash flows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may incur substantial additional debt, which could exacerbate the risks described above.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Refer to the section titled “Liquidity and Capital Resources” included in Part II, Item 7 of this Annual Report on Form 10</w:t>
        <w:noBreakHyphen/>
        <w:t>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Servicing our debt requires a significant amount of cash, and we may not have sufficient cash flows from our business to pay our substantial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flows from operations in the future sufficient to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future indebtedness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Risks Related to Our Class B Common Stock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We issued convertible notes that have rights senior to our Class B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2021, we issued $575 million aggregate principal amount of convertible senior notes due 2027 (the “2027 Notes”), which will mature on July 1, 2027, unless earlier redeemed or repurchased by us or converted by the holder pursuant to their terms. The 2027 Notes rank senior in right of payment to our Class B common stock and any of our indebtedness that is expressly subordinated in right of payment to the 2027 Notes; equal in right of payment to any of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 In the event of our bankruptcy, liquidation, reorganization, or other winding up, our assets that secure debt ranking senior or equal in right of payment to the 2027 Notes will be available to pay obligations on the 2027 Notes only after the secured debt has been repaid in full from these assets, and our assets will be available to pay common stockholders only after all debt obligations have been repaid. There may not be sufficient assets remaining to pay amounts due on any or all of the 2027 Notes then outstanding or any or all shares of our Class B common stock then outstanding.</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accounting method for convertible debt securities that may be settled in cash, such as the 2027 Notes, could have a material effect on our reported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accounting method for reflecting the 2027 Notes on our consolidated balance sheets and reflecting the underlying shares of our Class B common stock in our reported diluted earnings per share may adversely affect our reported earnings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if</w:t>
        <w:noBreakHyphen/>
        <w:t>converted method, diluted earnings per share will be calculated assuming that all the 2027 Notes are converted solely into shares of Class B common stock at the beginning of the reporting period, unless the result would be anti</w:t>
        <w:noBreakHyphen/>
        <w:t>dilutive. The application of the if</w:t>
        <w:noBreakHyphen/>
        <w:t>converted method will reduce our reported diluted earnings per share.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any of the conditions to the convertibility of the 2027 Notes is satisfied, then we may be required under applicable accounting standards to reclassify the liability carrying value of the 2027 Notes as a current, rather than long</w:t>
        <w:noBreakHyphen/>
        <w:t>term, liability. This reclassification could be required even if no noteholders convert their notes and could materially reduce our reported working capital.</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conditional conversion feature of the 2027 Notes may adversely affect our financial condition and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the conditional conversion feature of the 2027 Notes is triggered, holders of the 2027 Notes will be entitled to convert the 2027 Notes at any time during specified periods at their option. If one or more holders elect to convert their 2027 Notes, unless we elect to satisfy our conversion obligation by delivering solely shares of our Class B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2027 Notes, we could be required under applicable accounting rules to reclassify all or a portion of the outstanding principal of the 2027 Notes as a current, rather than long</w:t>
        <w:noBreakHyphen/>
        <w:t>term, liability, which would result in a material reduction of our net working capital.</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Conversion of the 2027 Notes will dilute the ownership interest of existing stockholders, including holders who had previously converted their 2027 Notes, or may otherwise depress the price of our Class B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conversion of some or all of the 2027 Notes will dilute the ownership interests of existing stockholders to the extent we deliver shares upon conversion of any of the 2027 Notes. Any sales in the public market of the Class B common stock issuable upon such conversion could adversely affect prevailing market prices of our Class B common stock. In addition, the existence of the 2027 Notes may encourage short selling by market participants because the conversion of the 2027 Notes could be used to satisfy short positions, or anticipated conversion of the 2027 Notes into shares of our Class B common stock could depress the price of our Class B common stock. As of December 31, 2025, without giving effect to any potential adjustments to the conversion rate set forth in the indenture or any limits on conversion, and assuming our Class B common stock is trading at or above $83.23 per share for the 2027 Notes, 6,908,567 shares of our Class B common stock would be issuable upon a full conversion of the 2027 Notes.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capped call transactions entered into when we issued the 2027 Notes may affect the value of our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2027 Notes, we entered into capped call transactions with the respective option counterparties. The capped call transactions are expected generally to reduce the potential dilution upon conversion of the 2027 Notes, and/or offset any cash payments we are required to make in excess of the principal amount of converted 2027 Notes with such reduction and/or offset subject to a cap. In connection with establishing their initial hedges of the capped call transactions, the option counterparties or their respective affiliates entered into various derivative transactions with respect to our Class B common stock concurrently with or shortly after the pricing of the 2027 Notes. The option counterparties or their respective affiliates may modify their hedge positions by entering into or unwinding derivatives with respect to our Class B common stock and/or purchasing or selling our Class B common stock or other securities of ours in secondary market transactions prior to the maturity of the 2027 Notes (and are likely to do so during any observation period related to a conversion of the 2027 Notes). This activity could cause or avoid an increase or a decrease in the market price of our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control with the Bentley Control Group (the Bentleys and certain of their family members, trusts or other permitted transferees, as well as all other holders of our Class A common stock in respect of such shares of Class A common stock, who collectively are acting as a group).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A common stock has 29 votes per share, and our Class B common stock, which is the class of common stock that is issuable upon conversion of the 2027 Notes, and is the only class that is publicly traded and listed, has one vote per share. The beneficial owners of our Class A common stock together hold approximately 53.5% of the voting power of our outstanding common stock as of December 31, 2025. Moreover, as a result of the 29 to one voting ratio between our Class A and Class B common stock, the Bentley Control Group controls and will continue to control a majority of the combined voting power of our common stock and therefore is able to control all matters submitted to our stockholders for approval, subject to the occurrence of certain events that would reduce the voting power of our Class A common stock or cause the conversion thereof. This concentrated control will limit or preclude stockholders’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those of other stockholders and may vote in a way with which other stockholders disagree and which may be adverse to such other stockholders’ interests.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are a “controlled company” for the purposes of Nasdaq Listing Rules, which provides us with exemptions from certain of the corporate governance standards imposed by the rules of The Nasdaq Global Select Market. These provisions further allow the Bentley Control Group to exercise significant control over our corporate decisions and limit the ability of the public stockholders to influence our decision making.</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The choice of forum provision in our amended and restated certificate of incorporation could limit our stockholders’ ability to obtain a favorable judicial forum for disputes with us or our directors, officers or colleagues.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Delaware General Corporation Law, our amended and restated certificate of incorporation or amended and restated bylaws,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Global economic and political conditions may negatively impact our business, financial condition, results of operations, and cash flows.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and performance depend significantly on foreign and domestic economic and political conditions. Uncertainty regarding economic and political conditions may negatively impact us as accounts defer spending or postpone infrastructure projects in response to tighter credit, higher unemployment, higher interest rates, higher inflation, increases on tariffs, financial market volatility, government austerity programs, negative financial news, declining valuations of investments, and other factors. In addition, certain of our accounts’ budgets may be constrained and they may be unable to procure our offerings at the same level as in prior periods. Our accounts’ ability to pay for our software and services may also be impaired, which may lead to an increase in our allowance for doubtful accounts and write</w:t>
        <w:noBreakHyphen/>
        <w:t>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business, financial condition, results of operations, and cash flows.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Geopolitical trends toward nationalism and protectionism and the weakening or dissolution of international trade pacts in response to changing trade policies may increase the cost of, or otherwise interfere with, conducting our business including supply chain disruptions, and reduced competitiveness due to the imposition of trade barriers.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trade relations between the U.S., E.U., and China, as well as terrorist attacks, cyber events, armed conflicts (or the threat or escalation thereof), bank failures, civil unrest, espionage, natural disasters, epidemics, and pandemics in any of the countries in which we do business could harm our business, financial condition, results of operations, and cash flows.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existing financial accounting standards or practices, or taxation rules or practices may adversely affect our 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 Additionally, our effective tax rate is subject to volatility related to the tax effects associated with the accounting for stock</w:t>
        <w:noBreakHyphen/>
        <w:t>based compensation including as a result of price changes in our Class B common stock.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If our goodwill or amortizable intangible assets become impaired, then we could be required to record a significant charge to earnings.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generally accepted accounting principles (“GAAP”) requires us to test for goodwill impairment at least annually. In addition, we assess our goodwill and amortizable intangible assets for impairment if events occur or circumstances change that would more likely than not reduce its fair value below its carrying value, including declines in stock price, market capitalization, or cash flows, and slower growth rates in our industry. Depending on the results of our assessment, we could be required to record a significant impairment charge in our consolidated financial statements during the period in which any impairment of our goodwill or amortizable intangible assets was determined, negatively impacting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 comprehensive process for: (i) identifying the assets, threats, and vulnerabilities that affect our information systems and networks; (ii) analyzing the likelihood and impact of potential cyberattacks on our assets, operations, and objectives; (iii) evaluating the existing cybersecurity controls and measures that we have in place to prevent, detect, and respond to cyberattacks; and (iv) implementing and monitoring the appropriate cybersecurity solutions and practices that reduce our cyber risk exposure and enhance our cyber resilience.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doing so, our Information Security Team, which is comprised of dedicated privacy and security professionals and run by our Chief Information Security Officer (“CISO”), stays abreast of security industry and threat trends, and regularly seeks to improve our cybersecurity risk management program. Our executive leadership team, with input and guidance from our CISO, is responsible for our overall enterprise risk management system and processes, and regularly considers cybersecurity risks in the context of other material risks to the Company. Our CISO, who has over 15 years’ experience in cybersecurity and 30 years’ experience in software engineering, design, and development, has been with the Company for more than ten years and has helped grow the Company’s Information Security Team into its current mature form.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our overall cybersecurity strategy, as and when we detect cybersecurity threats, our Information Security Team documents the relevant incident details, assesses the impact and severity of it, identifies the root cause and corrective actions, and communicates the incident to our CISO and any other relevant parties as needed. We also seek to address cybersecurity risks associated with our third-party vendors by making our Information Security Team a key part of relevant vendor onboarding, whereby we conduct comprehensive risk assessments of such vendors’ cybersecurity policies and practices. When necessary, we utilize third party auditors and consultants to assess third-party cybersecurity risks, and we consult with outside counsel as appropriate, including on materiality analysis and disclosure matters. Our senior management makes the final materiality determinations and disclosure and other compliance decisions.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full Board of Directors has oversight responsibility for risks and incidents relating to cybersecurity risk. The Board of Directors reviews and discusses with management our policies and practices regarding risk assessment and management, including planning regarding business continuity and cybersecurity. In addition, the Board of Directors receives regular reports from management on cybersecurity matters, including areas such as strategic plans and programs, threat intelligence, major cybersecurity risk areas, regulations, and cybersecurity incidents.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team, including our Chief Information Officer (“CIO”), Chief Technology Officer (“CTO”), and Chief Legal Officer (“CLO”), are responsible for assessing and managing material risks from cybersecurity threats, including supervision of our internal security incident response team. Each of these leaders have extensive experience assessing and managing cybersecurity programs and risk. Our CIO joined Bentley in 2025 and is responsible for the Company’s internal technology infrastructure, systems, data, and security. Our CIO has over 25 years of experience as a technologist across a wide variety of industries. She brings significant experience leading enterprise technology organizations and developing cybersecurity and data</w:t>
        <w:noBreakHyphen/>
        <w:t>protection practices to support large</w:t>
        <w:noBreakHyphen/>
        <w:t>scale operational environments. Our CTO joined Bentley in 2021 and is the principal architect of the Company’s technology directions. Our CTO has over 20 years of technology leadership experience in startups, scaleups, and large organizations. His strategic role includes ensuring that our software development and engineering are secure, resilient, and aligned with risk management needs. Our CLO has been with Bentley since 1998 and is responsible for the day-to-day operations of the global Law and Corporate Advancement team. Our CLO brings deep expertise in legal and regulatory frameworks, including cybersecurity and data protection, ensuring the organization’s compliance with evolving regulations. He leads a global privacy team focused on best practices in safeguarding sensitive information and proactively manages risks related to cyber threats and privacy concerns.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team brings extensive expertise in identifying and addressing cybersecurity risks across enterprise operations, encompassing information technology, information security, privacy and data protection, product security, physical security, and legal and regulatory considerations. Additionally, our leadership team has substantial experience in overseeing risk management programs and possesses a deep understanding of the challenges faced by enterprise organizations. Their significant operational background enables them to offer valuable guidance in developing, executing, and evaluating our strategic operating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strategy, results of operations, and financial condition have not been materially affected by risks from cybersecurity threats, but we cannot provide assurance that they will not be materially affected in the future by such risks or any future material incidents. For more information on our cybersecurity related risks, refer to Item 1A. Risk Factors of this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own our corporate headquarters, which is located in Exton, Pennsylvania. Our headquarters accommodates our principal software engineering, sales, marketing professional services, and administrative activities. In addition to our headquarters, we own one other location in India, which is used for product development and technical support. We lease facilities in 96 locations in the U.S. and internationally through our foreign subsidiaries.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properties are in good operating condition and are suitable and adequate for our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Market Information for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B common stock is traded on the Nasdaq Stock Market LLC under the symbol BSY. There is no established public trading market for our Class A common stock. See Note 13 to our consolidated financial statements included in Part II, Item 8 of this Annual Report on Form 10</w:t>
        <w:noBreakHyphen/>
        <w:t>K for more information about the terms of our common stock.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Stockholders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30, 2026, there were 15 holders of record of our Class A common stock and 1,434 holders of record of our Class B common stock. Because many of our shares of Class B common stock are held by brokers or other institutions on behalf of stockholders, we are unable to estimate the total number of Class B stockholders represented by the record holders.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declaration and payment of dividends is within the discretion of our Board of Directors. We paid quarterly dividends of $0.07 per share of common stock during the year ended December 31, 2025, $0.06 per share of common stock during the year ended December 31, 2024, and $0.05 per share of common stock during the year ended December 31, 2023.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Securities Authorized for Issuance Under Equity Compensation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Part III, Item 12 of this Annual Report on Form 10</w:t>
        <w:noBreakHyphen/>
        <w:t>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October 1, 2025 to December 31, 2025, we issued 22,341 shares of our Class B common stock in connection with distributions from our amended and restated Bentley Systems, Incorporated Nonqualified Deferred Compensation Plan (the “DCP”).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Class B common stock we repurchased during the three months ended December 31, 2025:</w:t>
      </w:r>
    </w:p>
    <w:tbl>
      <w:tblPr>
        <w:tblW w:w="10140" w:type="dxa"/>
        <w:jc w:val="center"/>
        <w:tblInd w:w="0" w:type="dxa"/>
        <w:tblLayout w:type="fixed"/>
        <w:tblCellMar>
          <w:top w:w="28" w:type="dxa"/>
          <w:left w:w="28" w:type="dxa"/>
          <w:bottom w:w="28" w:type="dxa"/>
          <w:right w:w="28" w:type="dxa"/>
        </w:tblCellMar>
      </w:tblPr>
      <w:tblGrid>
        <w:gridCol w:w="1119"/>
        <w:gridCol w:w="984"/>
        <w:gridCol w:w="1002"/>
        <w:gridCol w:w="109"/>
        <w:gridCol w:w="109"/>
        <w:gridCol w:w="109"/>
        <w:gridCol w:w="459"/>
        <w:gridCol w:w="459"/>
        <w:gridCol w:w="461"/>
        <w:gridCol w:w="109"/>
        <w:gridCol w:w="109"/>
        <w:gridCol w:w="109"/>
        <w:gridCol w:w="269"/>
        <w:gridCol w:w="766"/>
        <w:gridCol w:w="149"/>
        <w:gridCol w:w="109"/>
        <w:gridCol w:w="109"/>
        <w:gridCol w:w="109"/>
        <w:gridCol w:w="514"/>
        <w:gridCol w:w="514"/>
        <w:gridCol w:w="516"/>
        <w:gridCol w:w="109"/>
        <w:gridCol w:w="109"/>
        <w:gridCol w:w="109"/>
        <w:gridCol w:w="226"/>
        <w:gridCol w:w="1216"/>
        <w:gridCol w:w="178"/>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Shares</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Part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that May Yet Be</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Publicly Announced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Under</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Program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the Program </w:t>
            </w:r>
            <w:r>
              <w:rPr>
                <w:rFonts w:ascii="Times New Roman;serif" w:hAnsi="Times New Roman;serif"/>
                <w:b/>
                <w:color w:val="000000"/>
                <w:sz w:val="10"/>
              </w:rPr>
              <w:t>(2)</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 2025 to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98,358,335 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1, 2025 to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981,911 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981,911 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499,058,147 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 2025 to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447,859 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447,859 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481,558,236 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1,429,770 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1,429,770 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(2)These amounts correspond to the program publicly announced and approved by our Board of Directors in March 2024 and November 2025 that authorized the repurchase of up to $200 million and $500 million, respectively, of our Class B common stock and/or outstanding convertible senior notes. The updated $500 million authorization expires on December 31, 2028 and supersedes our prior $200 million authorization, which was set to expire on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The following discussion should be read in conjunction with our audited consolidated financial statements and notes thereto included in Part II, Item 8 of this Annual Report on Form 10</w:t>
        <w:noBreakHyphen/>
        <w:t>K. In addition to historical information, this discussion contains forward</w:t>
        <w:noBreakHyphen/>
        <w:t>looking statements that involve risks, uncertainties, and assumptions that could cause actual results to differ materially from management’s expectations. Factors that could cause such differences are set forth in Part I, Item 1A. Risk Factors of this Annual Report on Form 10</w:t>
        <w:noBreakHyphen/>
        <w:t xml:space="preserve">K. Refer to Item 7. Management’s Discussion and Analysis of Financial Condition and Results of Operations in our </w:t>
      </w:r>
      <w:hyperlink r:id="rId4">
        <w:r>
          <w:rPr>
            <w:rStyle w:val="InternetLink"/>
            <w:rFonts w:ascii="Times New Roman;serif" w:hAnsi="Times New Roman;serif"/>
            <w:b w:val="false"/>
            <w:i/>
            <w:color w:val="0000FF"/>
            <w:sz w:val="20"/>
            <w:u w:val="single"/>
          </w:rPr>
          <w:t>2024 Annual Report on Form 10</w:t>
          <w:noBreakHyphen/>
          <w:t>K</w:t>
        </w:r>
      </w:hyperlink>
      <w:r>
        <w:rPr>
          <w:color w:val="000000"/>
        </w:rPr>
        <w:t xml:space="preserve"> </w:t>
      </w:r>
      <w:r>
        <w:rPr>
          <w:rFonts w:ascii="Times New Roman;serif" w:hAnsi="Times New Roman;serif"/>
          <w:b w:val="false"/>
          <w:i/>
          <w:color w:val="000000"/>
          <w:sz w:val="20"/>
        </w:rPr>
        <w:t>for management’s discussion and analysis of financial condition and results of operations for the year ended December 31, 2024 compared to the year ended December 31, 2023.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is the infrastructure engineering software company. Our purpose is to advance the world’s infrastructure for better quality of life. Our mission is to reshape how infrastructure systems and critical resources are delivered and optimized. We manage our business globally within one reportable segment, the development and marketing of computer software and related services, which is consistent with how our chief operating decision maker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Total revenues were $1,501,779 for the year ended December 31, 2025, up 11.0% or 10.1%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prior year;</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Subscriptions revenues were $1,376,696 for the year ended December 31, 2025, up 12.5% or 11.7%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prior year;</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ARR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$1,462,145 as of December 31, 2025, compared to $1,283,256 as of December 31, 2024; Constant currency</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ARR growth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11.5%;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Last twelve-month recurring revenues dollar-based net retention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109% as of December 31, 2025, compared to 110% as of December 31,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Operating income was $362,621 for the year ended December 31, 2025, compared to $302,150 for the prior year;</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Adjusted operating income less stock-based compensation expense (“AOI less SBC”) (previously titled Adjusted operating income inclusive of stock-based compensation expense (“Adjusted OI w/SBC”))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$429,917 for the year ended December 31, 2025, compared to $372,222 for the prior year; and</w:t>
      </w:r>
    </w:p>
    <w:p>
      <w:pPr>
        <w:pStyle w:val="TextBody"/>
        <w:bidi w:val="0"/>
        <w:spacing w:lineRule="auto" w:line="288" w:before="0" w:after="120"/>
        <w:ind w:left="0" w:right="0" w:hanging="270"/>
        <w:jc w:val="both"/>
        <w:rPr/>
      </w:pPr>
      <w:r>
        <w:rPr>
          <w:color w:val="000000"/>
        </w:rPr>
        <w:t>•</w:t>
      </w:r>
      <w:r>
        <w:rPr>
          <w:rFonts w:ascii="Times New Roman;serif" w:hAnsi="Times New Roman;serif"/>
          <w:b w:val="false"/>
          <w:color w:val="000000"/>
          <w:sz w:val="20"/>
        </w:rPr>
        <w:t>Cash flows from operating activities were $538,464 for the year ended December 31, 2025, compared to $435,292 for the prior year.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and AOI less SBC are non</w:t>
        <w:noBreakHyphen/>
        <w:t>GAAP financial measures. Refer to the “Non</w:t>
        <w:noBreakHyphen/>
        <w:t>GAAP Financial Measures” section for additional information, including our definitions and our uses of constant currency and AOI less SBC.</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been, and in the future will be, affected by changes in foreign currency exchange rates. For the years ended December 31, 2025, 2024, and 2023, approximately 33%, 34%, and 35%, respectively, of our total revenues and 45%, 42%, and 45%, respectively, of our total operating expenses were denominated in a currency other than the U.S. dollar including most significantly: euros, British pounds, Canadian dollars, Australian dollars, Chinese yuan renminbi, and New Zealand dollars. Other than the natural hedge attributable to matching revenues and expenses in the same currencies, we do not currently hedge foreign currency exposure. Additionally, because we have operations in, and derive revenue from, geographies around the world, we will continue to monitor the impact of tariffs and other trade policies on our business and the businesses of our accounts, as well as on our financial condition, results of operations, and/or cash flows.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revenues from subscriptions, perpetual licenses, and services. Our total revenues are diversified by account type, size, and geographic region. The majority of our revenue growth, excluding the impact from acquisitions, is driven by additional subscriptions revenues from existing accounts using the same products. To a lesser extent, our revenue growth is attributable to subscriptions revenues from new accounts and subscriptions revenues from existing accounts using new products. We believe that we have a loyal account base, with over 70% of our total revenues for the years ended December 31, 2025, 2024, and 2023 generated from organizations that have been our accounts for over ten years.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below, the following is supplemental data of our revenues:</w:t>
      </w:r>
    </w:p>
    <w:tbl>
      <w:tblPr>
        <w:tblW w:w="6162" w:type="dxa"/>
        <w:jc w:val="center"/>
        <w:tblInd w:w="0" w:type="dxa"/>
        <w:tblLayout w:type="fixed"/>
        <w:tblCellMar>
          <w:top w:w="28" w:type="dxa"/>
          <w:left w:w="28" w:type="dxa"/>
          <w:bottom w:w="28" w:type="dxa"/>
          <w:right w:w="28" w:type="dxa"/>
        </w:tblCellMar>
      </w:tblPr>
      <w:tblGrid>
        <w:gridCol w:w="1220"/>
        <w:gridCol w:w="1075"/>
        <w:gridCol w:w="1080"/>
        <w:gridCol w:w="109"/>
        <w:gridCol w:w="109"/>
        <w:gridCol w:w="109"/>
        <w:gridCol w:w="158"/>
        <w:gridCol w:w="158"/>
        <w:gridCol w:w="271"/>
        <w:gridCol w:w="109"/>
        <w:gridCol w:w="109"/>
        <w:gridCol w:w="109"/>
        <w:gridCol w:w="158"/>
        <w:gridCol w:w="158"/>
        <w:gridCol w:w="271"/>
        <w:gridCol w:w="109"/>
        <w:gridCol w:w="109"/>
        <w:gridCol w:w="109"/>
        <w:gridCol w:w="158"/>
        <w:gridCol w:w="158"/>
        <w:gridCol w:w="316"/>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a percentage of 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sales channels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channel partners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 and 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Largest account represents no more than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volume, mix, and duration of contract types starting or renewing in any given period may have a material impact on revenue in the period, and as a result can impact the comparability of reported revenue period-over-period. Our subscriptions, perpetual licenses, and services offerings are recognized pursuant to applicable GAAP guidance. See Note 3 to our consolidated financial statements included in Part II, Item 8 of this Annual Report on Form 10</w:t>
        <w:noBreakHyphen/>
        <w:t>K for additional information on our revenues. We believe that subscription revenues will continue to comprise a majority of our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Consolidated Revenues</w:t>
      </w:r>
    </w:p>
    <w:tbl>
      <w:tblPr>
        <w:tblW w:w="10550" w:type="dxa"/>
        <w:jc w:val="left"/>
        <w:tblInd w:w="0" w:type="dxa"/>
        <w:tblLayout w:type="fixed"/>
        <w:tblCellMar>
          <w:top w:w="28" w:type="dxa"/>
          <w:left w:w="28" w:type="dxa"/>
          <w:bottom w:w="28" w:type="dxa"/>
          <w:right w:w="28" w:type="dxa"/>
        </w:tblCellMar>
      </w:tblPr>
      <w:tblGrid>
        <w:gridCol w:w="446"/>
        <w:gridCol w:w="392"/>
        <w:gridCol w:w="39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33"/>
        <w:gridCol w:w="233"/>
        <w:gridCol w:w="271"/>
        <w:gridCol w:w="109"/>
        <w:gridCol w:w="109"/>
        <w:gridCol w:w="109"/>
        <w:gridCol w:w="233"/>
        <w:gridCol w:w="233"/>
        <w:gridCol w:w="444"/>
        <w:gridCol w:w="109"/>
        <w:gridCol w:w="109"/>
        <w:gridCol w:w="109"/>
        <w:gridCol w:w="263"/>
        <w:gridCol w:w="263"/>
        <w:gridCol w:w="271"/>
        <w:gridCol w:w="109"/>
        <w:gridCol w:w="109"/>
        <w:gridCol w:w="109"/>
        <w:gridCol w:w="263"/>
        <w:gridCol w:w="263"/>
        <w:gridCol w:w="499"/>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to 2024</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w:t>
        <w:noBreakHyphen/>
        <w:t>GAAP financial measure. Refer to the “Non</w:t>
        <w:noBreakHyphen/>
        <w:t>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total revenues for the year ended December 31, 2025 was primarily driven by an increase in subscriptions revenues, partially offset by a decrease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Subscriptions</w:t>
      </w:r>
      <w:r>
        <w:rPr>
          <w:rFonts w:ascii="Times New Roman;serif" w:hAnsi="Times New Roman;serif"/>
          <w:b w:val="false"/>
          <w:color w:val="000000"/>
          <w:sz w:val="20"/>
        </w:rPr>
        <w:t>. For the year ended December 31, 2025, the increase in subscriptions revenues was driven by improvements in our business performance of $153,334 ($142,592 on a constant currency basis). Our business performance includes the impact from programmatic acquisitions, which generally are immaterial, individually and in the aggregate.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For the year ended December 31, 2025, the improvements in business performance were primarily driven by expansion from accounts with revenues in the prior period (“existing accounts”), and growth of 2.5% attributable to new accounts, most notably small- and medium-sized accounts. Improvements in business performance for the year ended December 31, 2025 were led by </w:t>
      </w:r>
      <w:r>
        <w:rPr>
          <w:rFonts w:ascii="Times New Roman;serif" w:hAnsi="Times New Roman;serif"/>
          <w:b w:val="false"/>
          <w:i/>
          <w:color w:val="000000"/>
          <w:sz w:val="20"/>
        </w:rPr>
        <w:t>Bentley Open Applications</w:t>
      </w:r>
      <w:r>
        <w:rPr>
          <w:rFonts w:ascii="Times New Roman;serif" w:hAnsi="Times New Roman;serif"/>
          <w:b w:val="false"/>
          <w:color w:val="000000"/>
          <w:sz w:val="20"/>
        </w:rPr>
        <w:t xml:space="preserve">, followed by </w:t>
      </w:r>
      <w:r>
        <w:rPr>
          <w:rFonts w:ascii="Times New Roman;serif" w:hAnsi="Times New Roman;serif"/>
          <w:b w:val="false"/>
          <w:i/>
          <w:color w:val="000000"/>
          <w:sz w:val="20"/>
        </w:rPr>
        <w:t>Seequent</w:t>
      </w:r>
      <w:r>
        <w:rPr>
          <w:color w:val="000000"/>
        </w:rPr>
        <w:t xml:space="preserve"> </w:t>
      </w:r>
      <w:r>
        <w:rPr>
          <w:rFonts w:ascii="Times New Roman;serif" w:hAnsi="Times New Roman;serif"/>
          <w:b w:val="false"/>
          <w:color w:val="000000"/>
          <w:sz w:val="20"/>
        </w:rPr>
        <w:t xml:space="preserve">applications, and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Perpetual licenses</w:t>
      </w:r>
      <w:r>
        <w:rPr>
          <w:rFonts w:ascii="Times New Roman;serif" w:hAnsi="Times New Roman;serif"/>
          <w:b w:val="false"/>
          <w:color w:val="000000"/>
          <w:sz w:val="20"/>
        </w:rPr>
        <w:t>. For the year ended December 31, 2025, perpetual licenses revenues were flat compared to the prior year.</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Services.</w:t>
      </w:r>
      <w:r>
        <w:rPr>
          <w:color w:val="000000"/>
        </w:rPr>
        <w:t xml:space="preserve"> </w:t>
      </w:r>
      <w:r>
        <w:rPr>
          <w:rFonts w:ascii="Times New Roman;serif" w:hAnsi="Times New Roman;serif"/>
          <w:b w:val="false"/>
          <w:color w:val="000000"/>
          <w:sz w:val="20"/>
        </w:rPr>
        <w:t>For the year ended December 31, 2025, the decrease in services revenues was driven by a decline in our business performance of $4,869 ($5,548 on a constant currency basis), primarily due to the winding down of a large services project in the beginning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Revenues by Geographic Region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w:t>
      </w:r>
    </w:p>
    <w:tbl>
      <w:tblPr>
        <w:tblW w:w="10205" w:type="dxa"/>
        <w:jc w:val="left"/>
        <w:tblInd w:w="0" w:type="dxa"/>
        <w:tblLayout w:type="fixed"/>
        <w:tblCellMar>
          <w:top w:w="28" w:type="dxa"/>
          <w:left w:w="28" w:type="dxa"/>
          <w:bottom w:w="28" w:type="dxa"/>
          <w:right w:w="28" w:type="dxa"/>
        </w:tblCellMar>
      </w:tblPr>
      <w:tblGrid>
        <w:gridCol w:w="363"/>
        <w:gridCol w:w="319"/>
        <w:gridCol w:w="32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33"/>
        <w:gridCol w:w="233"/>
        <w:gridCol w:w="271"/>
        <w:gridCol w:w="109"/>
        <w:gridCol w:w="109"/>
        <w:gridCol w:w="109"/>
        <w:gridCol w:w="233"/>
        <w:gridCol w:w="233"/>
        <w:gridCol w:w="444"/>
        <w:gridCol w:w="109"/>
        <w:gridCol w:w="109"/>
        <w:gridCol w:w="109"/>
        <w:gridCol w:w="233"/>
        <w:gridCol w:w="233"/>
        <w:gridCol w:w="271"/>
        <w:gridCol w:w="109"/>
        <w:gridCol w:w="109"/>
        <w:gridCol w:w="109"/>
        <w:gridCol w:w="233"/>
        <w:gridCol w:w="233"/>
        <w:gridCol w:w="501"/>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to 2024</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i/>
          <w:color w:val="000000"/>
          <w:sz w:val="20"/>
        </w:rPr>
        <w:t>Americas</w:t>
      </w:r>
      <w:r>
        <w:rPr>
          <w:rFonts w:ascii="Times New Roman;serif" w:hAnsi="Times New Roman;serif"/>
          <w:b w:val="false"/>
          <w:color w:val="000000"/>
          <w:sz w:val="20"/>
        </w:rPr>
        <w:t>. For the year ended December 31, 2025, the increase in revenues from the Americas was primarily driven by improvements in our business performance of $73,493 ($74,816 on a constant currency basis).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year ended December 31, 2025 were primarily due to expansion of our subscriptions revenues from existing accounts in the U.S., as well as increases in our subscriptions revenues from new accounts.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EMEA</w:t>
      </w:r>
      <w:r>
        <w:rPr>
          <w:rFonts w:ascii="Times New Roman;serif" w:hAnsi="Times New Roman;serif"/>
          <w:b w:val="false"/>
          <w:color w:val="000000"/>
          <w:sz w:val="20"/>
        </w:rPr>
        <w:t>. For the year ended December 31, 2025, the increase in revenues from EMEA was primarily driven by improvements in our business performance of $48,444 ($35,754 on a constant currency basis).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year ended December 31, 2025 were primarily due to expansion of our subscriptions revenues from existing accounts in the United Kingdom (“U.K.”) and the Middle East, as well as increases in our subscriptions revenues from new accounts, partially offset by a decline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APAC.</w:t>
      </w:r>
      <w:r>
        <w:rPr>
          <w:color w:val="000000"/>
        </w:rPr>
        <w:t xml:space="preserve"> </w:t>
      </w:r>
      <w:r>
        <w:rPr>
          <w:rFonts w:ascii="Times New Roman;serif" w:hAnsi="Times New Roman;serif"/>
          <w:b w:val="false"/>
          <w:color w:val="000000"/>
          <w:sz w:val="20"/>
        </w:rPr>
        <w:t>For the year ended December 31, 2025, the increase in revenues from APAC was primarily driven by improvements in our business performance of $26,747 ($26,524 on a constant currency basis).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year ended December 31, 2025 were primarily due to expansion of our subscriptions revenues from existing accounts in Australia and India, as well as increases in our subscriptions revenues from new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for the year ended December 31, 2025, our revenues in China were essentially flat. Our perpetual licenses revenues in China increased primarily due to expansion from new accounts, partially offset by a decline from existing accounts. Our subscriptions revenues in China decreased primarily due to a decline from existing accounts, partially offset by an increase from new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future results in China remain uncertain as a result of continued geopolitical challenges, the obstacles there to cloud</w:t>
        <w:noBreakHyphen/>
        <w:t>deployed software, and the financial timing impact of the preference there for license sales, rather than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Revenues and Operating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Headcount-Related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approximately 80% of our aggregate cost of revenues, research and development, selling and marketing, and general and administrative expenses were represented by what we refer to herein as “headcount</w:t>
        <w:noBreakHyphen/>
        <w:t>related” costs. These costs primarily include salaries, benefits, bonuses, stock</w:t>
        <w:noBreakHyphen/>
        <w:t>based compensation expense, employment taxes, travel, training, and realignment and optimization of our colleagues, and third</w:t>
        <w:noBreakHyphen/>
        <w:t>party personnel expenses and related overhead. Our headcount</w:t>
        <w:noBreakHyphen/>
        <w:t>related costs are variable in nature. We actively manage these costs to align to our trending run rate of revenue performance, with the objective of enhancing visibility and predictability of resulting operating profit margins.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2023, we approved a strategic realignment program to better serve our accounts and to better align resources with the strategy of the business, including reinvestment in go-to-market functions, as well as in AI in product development (the “2023 Program”). The realignment program resulted in realignment costs of $847 and $12,579 for the years ended December 31, 2024 and 2023, respectively, which represent termination benefits for colleagues whose roles were impacted (less than five percent of total headcount). See Note 21 to our consolidated financial statements included in Part II, Item 8 of this Annual Report on Form 10</w:t>
        <w:noBreakHyphen/>
        <w:t>K for additional information. The 2023 Program activities, including payments of termination benefits, were completed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Revenues</w:t>
      </w:r>
    </w:p>
    <w:tbl>
      <w:tblPr>
        <w:tblW w:w="10205" w:type="dxa"/>
        <w:jc w:val="left"/>
        <w:tblInd w:w="0" w:type="dxa"/>
        <w:tblLayout w:type="fixed"/>
        <w:tblCellMar>
          <w:top w:w="28" w:type="dxa"/>
          <w:left w:w="28" w:type="dxa"/>
          <w:bottom w:w="28" w:type="dxa"/>
          <w:right w:w="28" w:type="dxa"/>
        </w:tblCellMar>
      </w:tblPr>
      <w:tblGrid>
        <w:gridCol w:w="460"/>
        <w:gridCol w:w="404"/>
        <w:gridCol w:w="40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273"/>
        <w:gridCol w:w="109"/>
        <w:gridCol w:w="109"/>
        <w:gridCol w:w="109"/>
        <w:gridCol w:w="263"/>
        <w:gridCol w:w="263"/>
        <w:gridCol w:w="444"/>
        <w:gridCol w:w="109"/>
        <w:gridCol w:w="109"/>
        <w:gridCol w:w="109"/>
        <w:gridCol w:w="262"/>
        <w:gridCol w:w="264"/>
        <w:gridCol w:w="273"/>
        <w:gridCol w:w="109"/>
        <w:gridCol w:w="109"/>
        <w:gridCol w:w="109"/>
        <w:gridCol w:w="262"/>
        <w:gridCol w:w="264"/>
        <w:gridCol w:w="501"/>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to 2024</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Cost of subscriptions and licenses expenses primarily include headcount</w:t>
        <w:noBreakHyphen/>
        <w:t>related costs, as well as cloud</w:t>
        <w:noBreakHyphen/>
        <w:t>related costs incurred for servicing our accounts using cloud provisioned offerings and our license administration platform. Cost of subscriptions and licenses expenses also include channel partner compensation for providing sales coverage to users, depreciation of property and equipment, amortization of capitalized software costs associated with servicing software subscriptions and our Accelerated Commercial Development Program (“ACDP”), and amortization of intangible assets associated with acquired software and technology.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on a constant currency basis, cost of subscriptions and licenses expenses increased primarily due to an increase in headcount</w:t>
        <w:noBreakHyphen/>
        <w:t>related costs of $15,149, mainly due to an increase in annual and other compensation costs, and an increase in cloud-related costs of $10,007.</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services. </w:t>
      </w:r>
      <w:r>
        <w:rPr>
          <w:rFonts w:ascii="Times New Roman;serif" w:hAnsi="Times New Roman;serif"/>
          <w:b w:val="false"/>
          <w:color w:val="000000"/>
          <w:sz w:val="20"/>
        </w:rPr>
        <w:t>Cost of services expenses primarily include headcount</w:t>
        <w:noBreakHyphen/>
        <w:t>related costs, as well as depreciation of property and equipment, and amortization of capitalized software costs used for providing training, implementation, configuration, and customization services to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on a constant currency basis, cost of services expenses decreased primarily due to a decrease in headcount</w:t>
        <w:noBreakHyphen/>
        <w:t>related costs of $6,718, mainly due to a reduction in third</w:t>
        <w:noBreakHyphen/>
        <w:t>party personnel costs, and to a lesser extent, lower annual and other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0205" w:type="dxa"/>
        <w:jc w:val="center"/>
        <w:tblInd w:w="0" w:type="dxa"/>
        <w:tblLayout w:type="fixed"/>
        <w:tblCellMar>
          <w:top w:w="28" w:type="dxa"/>
          <w:left w:w="28" w:type="dxa"/>
          <w:bottom w:w="28" w:type="dxa"/>
          <w:right w:w="28" w:type="dxa"/>
        </w:tblCellMar>
      </w:tblPr>
      <w:tblGrid>
        <w:gridCol w:w="548"/>
        <w:gridCol w:w="391"/>
        <w:gridCol w:w="39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2"/>
        <w:gridCol w:w="109"/>
        <w:gridCol w:w="109"/>
        <w:gridCol w:w="109"/>
        <w:gridCol w:w="232"/>
        <w:gridCol w:w="234"/>
        <w:gridCol w:w="444"/>
        <w:gridCol w:w="109"/>
        <w:gridCol w:w="109"/>
        <w:gridCol w:w="109"/>
        <w:gridCol w:w="261"/>
        <w:gridCol w:w="265"/>
        <w:gridCol w:w="272"/>
        <w:gridCol w:w="109"/>
        <w:gridCol w:w="109"/>
        <w:gridCol w:w="109"/>
        <w:gridCol w:w="261"/>
        <w:gridCol w:w="265"/>
        <w:gridCol w:w="501"/>
      </w:tblGrid>
      <w:tr>
        <w:trPr/>
        <w:tc>
          <w:tcPr>
            <w:tcW w:w="5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to 2024</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w:t>
            </w:r>
            <w:r>
              <w:rPr>
                <w:rFonts w:ascii="Times New Roman;serif" w:hAnsi="Times New Roman;serif"/>
                <w:b/>
                <w:color w:val="000000"/>
                <w:sz w:val="10"/>
              </w:rPr>
              <w:t>(1)</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 and for a reconciliation of constant currency growth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Research and development expenses primarily consist of headcount</w:t>
        <w:noBreakHyphen/>
        <w:t>related costs, including costs to develop software products or the software component of products to be sold, leased, or marketed to external accounts, before technological feasibility is reached, which is generally shortly before the release of such products. Our research and development roadmap balances technology advances and new offerings with continuous enhancements to existing offerings. Our allocation of research and development resources is based on a cost</w:t>
        <w:noBreakHyphen/>
        <w:t>benefit analysis of acquiring available technology in the marketplace versus developing our own software. We anticipate that we will continue to make substantial investments in research and development because we believe the infrastructure engineering software market presents compelling opportunities for the application of new technologies that advance our current offerings.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on a constant currency basis, research and development expenses increased primarily due to an increase in headcount</w:t>
        <w:noBreakHyphen/>
        <w:t>related costs of $25,665, mainly due to increases in headcount, and annual and other compensation costs, and to a lesser extent, higher colleague separation costs. Headcount</w:t>
        <w:noBreakHyphen/>
        <w:t>related costs for the year ended December 31, 2024 were lower due to run</w:t>
        <w:noBreakHyphen/>
        <w:t>rate savings as a result of the 2023 Program.</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Selling and marketing. </w:t>
      </w:r>
      <w:r>
        <w:rPr>
          <w:rFonts w:ascii="Times New Roman;serif" w:hAnsi="Times New Roman;serif"/>
          <w:b w:val="false"/>
          <w:color w:val="000000"/>
          <w:sz w:val="20"/>
        </w:rPr>
        <w:t>Selling and marketing expenses primarily include headcount</w:t>
        <w:noBreakHyphen/>
        <w:t>related costs, as well as the expense of online marketing, product marketing and other brand</w:t>
        <w:noBreakHyphen/>
        <w:t>building activities, such as advertising, trade shows, and expositions, and various sales and promotional programs. We anticipate that we will continue to make strategic investments in our global business systems and methods to enhance major account sales activities and to support our worldwide sales and marketing strategies, and the business in general.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on a constant currency basis, selling and marketing expenses increased primarily due to an increase in headcount</w:t>
        <w:noBreakHyphen/>
        <w:t>related costs of $24,174, mainly due to increases in headcount, and annual and other compensation costs, and an increase in promotional costs of $6,216. Headcount</w:t>
        <w:noBreakHyphen/>
        <w:t>related costs for the year ended December 31, 2024 were lower due to run</w:t>
        <w:noBreakHyphen/>
        <w:t>rate savings as a result of the 2023 Program.</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expenses primarily include headcount</w:t>
        <w:noBreakHyphen/>
        <w:t>related costs for our finance, human resources, and legal functions, as well as professional fees for legal and accounting services. General and administrative expenses also include acquisition costs, which consist of costs related to legal, accounting, valuation, insurance, and other consulting and transaction fees. Acquisition costs may drive fluctuations in general and administrative expenses depending on the timing of business combinations.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Starting in 2026, we expect general and administrative expenses to include amortization of internal-use software implementation costs, which represents amortization of deferred costs primarily related to the implementation of our new enterprise-wide administrative and business management platforms which are planned to complete going live in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on a constant currency basis, general and administrative expenses increased primarily due to an increase in headcount</w:t>
        <w:noBreakHyphen/>
        <w:t>related costs of $4,412, mainly due to increases in headcount, and annual and other compensation costs, partially offset by lower incentive compensation expense related to the reduction in Gregory S. Bentley’s fractional interest under the amended and restated Bentley Systems, Incorporated Bonus Pool Plan (the “Bonus Plan”) as part of Mr. Bentley’s transition to the role of Executive Chair effective July 1, 2024. Additionally, during the year ended December 31, 2024, we recognized approximately $2,200 of other corporate initiatives expenses, which did not recur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rFonts w:ascii="Times New Roman;serif" w:hAnsi="Times New Roman;serif"/>
          <w:b w:val="false"/>
          <w:color w:val="000000"/>
          <w:sz w:val="20"/>
        </w:rPr>
        <w:t>. Deferred compensation plan reflects the expense (income) recorded related to changes in deferred compensation plan liabilities, which are marked to market at the end of each reporting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deferred compensation plan expense was attributable to the marked to market impact on deferred compensation plan liability balances period over period.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Amortization of purchased intangibles includes the</w:t>
      </w:r>
      <w:r>
        <w:rPr>
          <w:color w:val="000000"/>
        </w:rPr>
        <w:t xml:space="preserve"> </w:t>
      </w:r>
      <w:r>
        <w:rPr>
          <w:rFonts w:ascii="Times New Roman;serif" w:hAnsi="Times New Roman;serif"/>
          <w:b w:val="false"/>
          <w:color w:val="000000"/>
          <w:sz w:val="20"/>
        </w:rPr>
        <w:t>amortization of acquired non</w:t>
        <w:noBreakHyphen/>
        <w:t>product related intangible assets, primarily customer relationships, trademarks, and non</w:t>
        <w:noBreakHyphen/>
        <w:t>compete agreements recorded in connection with completed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on a constant currency basis, amortization of purchased intangibles decreased primarily due to previously acquired intangible assets that continue to become fully amortized and lower acquisition activity as compared to prior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8322" w:type="dxa"/>
        <w:jc w:val="center"/>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63"/>
        <w:gridCol w:w="263"/>
        <w:gridCol w:w="398"/>
        <w:gridCol w:w="109"/>
        <w:gridCol w:w="109"/>
        <w:gridCol w:w="109"/>
        <w:gridCol w:w="263"/>
        <w:gridCol w:w="263"/>
        <w:gridCol w:w="446"/>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 2024</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primarily represents interest expense on our credit facility borrowings and outstanding convertible senior notes, amortization of deferred debt issuance costs, and interest income from our investments in money market funds. The majority of our debt is protected from rising interest rates, through either very low fixed coupon interest on our convertible notes or our $200,000 interest rate swap, which expires in 2030.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interest expense, net decreased primarily due to lower weighted average debt outstanding under the credit facilities as compared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7286" w:type="dxa"/>
        <w:jc w:val="center"/>
        <w:tblInd w:w="0" w:type="dxa"/>
        <w:tblLayout w:type="fixed"/>
        <w:tblCellMar>
          <w:top w:w="28" w:type="dxa"/>
          <w:left w:w="28" w:type="dxa"/>
          <w:bottom w:w="28" w:type="dxa"/>
          <w:right w:w="28" w:type="dxa"/>
        </w:tblCellMar>
      </w:tblPr>
      <w:tblGrid>
        <w:gridCol w:w="1238"/>
        <w:gridCol w:w="1087"/>
        <w:gridCol w:w="1094"/>
        <w:gridCol w:w="211"/>
        <w:gridCol w:w="796"/>
        <w:gridCol w:w="109"/>
        <w:gridCol w:w="109"/>
        <w:gridCol w:w="109"/>
        <w:gridCol w:w="109"/>
        <w:gridCol w:w="211"/>
        <w:gridCol w:w="721"/>
        <w:gridCol w:w="109"/>
        <w:gridCol w:w="109"/>
        <w:gridCol w:w="109"/>
        <w:gridCol w:w="109"/>
        <w:gridCol w:w="211"/>
        <w:gridCol w:w="691"/>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from:</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gain is primarily attributable to foreign currency translation derived mainly from U.S. dollar denominated cash and cash equivalents, account receivables, customer deposits, and intercompany balances held by foreign subsidiaries.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income (expense), net for the year ended December 31, 2023 includes non-marketable equity investment impairment and other charges of $(16,988), partially offset by gains on non-marketable equity investments of $2,360.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(Benefit) for Income Taxes</w:t>
      </w:r>
    </w:p>
    <w:tbl>
      <w:tblPr>
        <w:tblW w:w="7772" w:type="dxa"/>
        <w:jc w:val="center"/>
        <w:tblInd w:w="0" w:type="dxa"/>
        <w:tblLayout w:type="fixed"/>
        <w:tblCellMar>
          <w:top w:w="28" w:type="dxa"/>
          <w:left w:w="28" w:type="dxa"/>
          <w:bottom w:w="28" w:type="dxa"/>
          <w:right w:w="28" w:type="dxa"/>
        </w:tblCellMar>
      </w:tblPr>
      <w:tblGrid>
        <w:gridCol w:w="1091"/>
        <w:gridCol w:w="957"/>
        <w:gridCol w:w="966"/>
        <w:gridCol w:w="211"/>
        <w:gridCol w:w="826"/>
        <w:gridCol w:w="271"/>
        <w:gridCol w:w="109"/>
        <w:gridCol w:w="109"/>
        <w:gridCol w:w="109"/>
        <w:gridCol w:w="211"/>
        <w:gridCol w:w="826"/>
        <w:gridCol w:w="271"/>
        <w:gridCol w:w="109"/>
        <w:gridCol w:w="109"/>
        <w:gridCol w:w="109"/>
        <w:gridCol w:w="211"/>
        <w:gridCol w:w="901"/>
        <w:gridCol w:w="376"/>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Provision (benefit) for income taxes includes the aggregate consolidated income tax expense for U.S. domestic and foreign income taxes.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effective tax rate was higher as compared to the year ended December 31, 2024 primarily due to the decrease in tax benefits related to stock</w:t>
        <w:noBreakHyphen/>
        <w:t>based compensation, net of the impact from officer compensation limitation provisions, recognized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includes the permanent extension of certain expiring provisions of the U.S. Tax Cuts and Jobs Act (the “JOBS Act”), modifications to the international tax framework, and the restoration of favorable tax treatment for certain business provisions. The legislation has multiple effective dates. The OBBBA had a favorable impact on our cash paid for income taxes in 2025, with continued cash tax favorability expected in 2026, primarily attributable to the change in restoring immediate U.S. tax deductions for domestic research and development expenses. The OBBBA did not have a material impact on the effective tax rate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9242"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Twelve-months ended constant currency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ARR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resulting from the annualization of recurring contracts with consumption measurement durations of less than one year, as a percentage of total ARR, was 51%, 50%, and 47% as of December 31, 2025, 2024, and 2023, respectively, with our E365 subscription offering representing 46%, 45%, and 41% of total ARR as of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ARR growth rate is the growth rate of ARR measured on a constant currency basis. In reporting period-over-period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Last Twelve</w:t>
        <w:noBreakHyphen/>
        <w:t>Months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last twelve</w:t>
        <w:noBreakHyphen/>
        <w:t>months recurring revenues for the periods ended December 31, 2025, 2024, and 2023 compared to the last twelve</w:t>
        <w:noBreakHyphen/>
        <w:t>months of the comparative twelve</w:t>
        <w:noBreakHyphen/>
        <w:t>month period increased by $153,346, $141,327, and $118,653, respectively.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December 31, 2025, 2024, and 2023, 93%, 91%, and 89%, respectively, of our revenues were recurring revenues.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Account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 Dollar</w:t>
        <w:noBreakHyphen/>
        <w:t>Based Net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that recurring revenues represented 93%, 91%, and 89% of our total revenues for the twelve months ended December 31, 2025, 2024, and 2023,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Less Stock-Based Compensation Expense (“AOI less SBC”)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defined as operating income adjusted for the following: amortization of purchased intangibles, expense (income) relating to deferred compensation plan liabilities, acquisition expenses (inclusive of cash</w:t>
        <w:noBreakHyphen/>
        <w:t>settled retention incentives provided to key employees of acquired companies),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(“AOI”)</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defined as operating income adjusted for the following: amortization of purchased intangibles, expense (income) relating to deferred compensation plan liabilities, acquisition expenses (inclusive of cash</w:t>
        <w:noBreakHyphen/>
        <w:t>settled retention incentives provided to key employees of acquired companies), realignment expenses (income), and stock</w:t>
        <w:noBreakHyphen/>
        <w:t>based compensation expense, for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SBC and to Adjusted operating income:</w:t>
      </w:r>
    </w:p>
    <w:tbl>
      <w:tblPr>
        <w:tblW w:w="7586" w:type="dxa"/>
        <w:jc w:val="center"/>
        <w:tblInd w:w="0" w:type="dxa"/>
        <w:tblLayout w:type="fixed"/>
        <w:tblCellMar>
          <w:top w:w="28" w:type="dxa"/>
          <w:left w:w="28" w:type="dxa"/>
          <w:bottom w:w="28" w:type="dxa"/>
          <w:right w:w="28" w:type="dxa"/>
        </w:tblCellMar>
      </w:tblPr>
      <w:tblGrid>
        <w:gridCol w:w="1248"/>
        <w:gridCol w:w="1097"/>
        <w:gridCol w:w="1104"/>
        <w:gridCol w:w="211"/>
        <w:gridCol w:w="826"/>
        <w:gridCol w:w="109"/>
        <w:gridCol w:w="109"/>
        <w:gridCol w:w="109"/>
        <w:gridCol w:w="109"/>
        <w:gridCol w:w="211"/>
        <w:gridCol w:w="826"/>
        <w:gridCol w:w="109"/>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purchased intangibles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plan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AOI less SBC</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our adjustments in arriving at AOI less SBC and Adjusted operating income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Amortization of purchased intangibles</w:t>
      </w:r>
      <w:r>
        <w:rPr>
          <w:rFonts w:ascii="Times New Roman;serif" w:hAnsi="Times New Roman;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Deferred compensation plan</w:t>
      </w:r>
      <w:r>
        <w:rPr>
          <w:rFonts w:ascii="Times New Roman;serif" w:hAnsi="Times New Roman;serif"/>
          <w:b w:val="false"/>
          <w:color w:val="000000"/>
          <w:sz w:val="18"/>
        </w:rPr>
        <w:t xml:space="preserve">. We exclude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 xml:space="preserve">expense (income) when we evaluate our continuing operational performance because it is not reflective of our ongoing business and results of operations.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in the consolidated statements of operations.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(3)</w:t>
      </w:r>
      <w:r>
        <w:rPr>
          <w:rFonts w:ascii="Times New Roman;serif" w:hAnsi="Times New Roman;serif"/>
          <w:b w:val="false"/>
          <w:i/>
          <w:color w:val="000000"/>
          <w:sz w:val="18"/>
        </w:rPr>
        <w:t>Acquisition expenses</w:t>
      </w:r>
      <w:r>
        <w:rPr>
          <w:rFonts w:ascii="Times New Roman;serif" w:hAnsi="Times New Roman;serif"/>
          <w:b w:val="false"/>
          <w:color w:val="000000"/>
          <w:sz w:val="18"/>
        </w:rPr>
        <w:t>. We incur expenses for professional services rendered in connection with business combinations, which are included in our GAAP presentation of general and administrative expense. Also included in our acquisition expenses are cash</w:t>
        <w:noBreakHyphen/>
        <w:t>settled retention incentives provided to key employees of the acquired companies. We exclude these acquisition expenses when we evaluate our continuing operational performance as we would not have otherwise incurred these expenses in the periods presented as part of our continuing operations.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(4)</w:t>
      </w:r>
      <w:r>
        <w:rPr>
          <w:rFonts w:ascii="Times New Roman;serif" w:hAnsi="Times New Roman;serif"/>
          <w:b w:val="false"/>
          <w:i/>
          <w:color w:val="000000"/>
          <w:sz w:val="18"/>
        </w:rPr>
        <w:t>Realignment expenses</w:t>
      </w:r>
      <w:r>
        <w:rPr>
          <w:rFonts w:ascii="Times New Roman;serif" w:hAnsi="Times New Roman;serif"/>
          <w:b w:val="false"/>
          <w:color w:val="000000"/>
          <w:sz w:val="18"/>
        </w:rPr>
        <w:t>.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During the fourth quarter of 2023, we approved the 2023 Program. For the years ended December 31, 2024 and 2023, we recognized realignment costs related to the aforementioned program of $847 and $12,579, respectively, which represent termination benefits for colleagues whose roles were impacted (see Note 21 to our consolidated financial statements included in Part II, Item 8 of this Annual Report on Form 10</w:t>
        <w:noBreakHyphen/>
        <w:t>K). For the year ended December 31, 2023, realignment expenses were partially offset by income associated with the continued wind down of our Russian entities following our decision to exit the Russian market beginning in the second quarter of 2022.</w:t>
      </w:r>
    </w:p>
    <w:p>
      <w:pPr>
        <w:pStyle w:val="TextBody"/>
        <w:bidi w:val="0"/>
        <w:spacing w:lineRule="auto" w:line="288" w:before="0" w:after="200"/>
        <w:ind w:left="0" w:right="0" w:hanging="360"/>
        <w:jc w:val="both"/>
        <w:rPr/>
      </w:pPr>
      <w:r>
        <w:rPr>
          <w:rFonts w:ascii="Times New Roman;serif" w:hAnsi="Times New Roman;serif"/>
          <w:b w:val="false"/>
          <w:color w:val="000000"/>
          <w:sz w:val="18"/>
        </w:rPr>
        <w:t>(5)</w:t>
      </w:r>
      <w:r>
        <w:rPr>
          <w:rFonts w:ascii="Times New Roman;serif" w:hAnsi="Times New Roman;serif"/>
          <w:b w:val="false"/>
          <w:i/>
          <w:color w:val="000000"/>
          <w:sz w:val="18"/>
        </w:rPr>
        <w:t>Stock</w:t>
        <w:noBreakHyphen/>
        <w:t>based compensation expense</w:t>
      </w:r>
      <w:r>
        <w:rPr>
          <w:rFonts w:ascii="Times New Roman;serif" w:hAnsi="Times New Roman;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Constant Currency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consolidated revenues to consolidated revenues in constant currency: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Constant Currency Change 2024 to 2025:</w:t>
      </w:r>
    </w:p>
    <w:tbl>
      <w:tblPr>
        <w:tblW w:w="10205" w:type="dxa"/>
        <w:jc w:val="center"/>
        <w:tblInd w:w="0" w:type="dxa"/>
        <w:tblLayout w:type="fixed"/>
        <w:tblCellMar>
          <w:top w:w="28" w:type="dxa"/>
          <w:left w:w="28" w:type="dxa"/>
          <w:bottom w:w="28" w:type="dxa"/>
          <w:right w:w="28" w:type="dxa"/>
        </w:tblCellMar>
      </w:tblPr>
      <w:tblGrid>
        <w:gridCol w:w="461"/>
        <w:gridCol w:w="405"/>
        <w:gridCol w:w="406"/>
        <w:gridCol w:w="211"/>
        <w:gridCol w:w="976"/>
        <w:gridCol w:w="109"/>
        <w:gridCol w:w="109"/>
        <w:gridCol w:w="109"/>
        <w:gridCol w:w="109"/>
        <w:gridCol w:w="227"/>
        <w:gridCol w:w="799"/>
        <w:gridCol w:w="117"/>
        <w:gridCol w:w="109"/>
        <w:gridCol w:w="109"/>
        <w:gridCol w:w="109"/>
        <w:gridCol w:w="212"/>
        <w:gridCol w:w="982"/>
        <w:gridCol w:w="109"/>
        <w:gridCol w:w="109"/>
        <w:gridCol w:w="109"/>
        <w:gridCol w:w="109"/>
        <w:gridCol w:w="211"/>
        <w:gridCol w:w="976"/>
        <w:gridCol w:w="109"/>
        <w:gridCol w:w="109"/>
        <w:gridCol w:w="109"/>
        <w:gridCol w:w="109"/>
        <w:gridCol w:w="234"/>
        <w:gridCol w:w="552"/>
        <w:gridCol w:w="121"/>
        <w:gridCol w:w="109"/>
        <w:gridCol w:w="109"/>
        <w:gridCol w:w="109"/>
        <w:gridCol w:w="212"/>
        <w:gridCol w:w="982"/>
        <w:gridCol w:w="159"/>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1,222,571 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1,268,527 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1,352,298 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Constant Currency Change 2023 to 2024:</w:t>
      </w:r>
    </w:p>
    <w:tbl>
      <w:tblPr>
        <w:tblW w:w="10205" w:type="dxa"/>
        <w:jc w:val="center"/>
        <w:tblInd w:w="0" w:type="dxa"/>
        <w:tblLayout w:type="fixed"/>
        <w:tblCellMar>
          <w:top w:w="28" w:type="dxa"/>
          <w:left w:w="28" w:type="dxa"/>
          <w:bottom w:w="28" w:type="dxa"/>
          <w:right w:w="28" w:type="dxa"/>
        </w:tblCellMar>
      </w:tblPr>
      <w:tblGrid>
        <w:gridCol w:w="467"/>
        <w:gridCol w:w="410"/>
        <w:gridCol w:w="411"/>
        <w:gridCol w:w="211"/>
        <w:gridCol w:w="976"/>
        <w:gridCol w:w="109"/>
        <w:gridCol w:w="109"/>
        <w:gridCol w:w="109"/>
        <w:gridCol w:w="109"/>
        <w:gridCol w:w="253"/>
        <w:gridCol w:w="561"/>
        <w:gridCol w:w="133"/>
        <w:gridCol w:w="109"/>
        <w:gridCol w:w="109"/>
        <w:gridCol w:w="109"/>
        <w:gridCol w:w="212"/>
        <w:gridCol w:w="984"/>
        <w:gridCol w:w="109"/>
        <w:gridCol w:w="109"/>
        <w:gridCol w:w="109"/>
        <w:gridCol w:w="109"/>
        <w:gridCol w:w="211"/>
        <w:gridCol w:w="976"/>
        <w:gridCol w:w="109"/>
        <w:gridCol w:w="109"/>
        <w:gridCol w:w="109"/>
        <w:gridCol w:w="109"/>
        <w:gridCol w:w="237"/>
        <w:gridCol w:w="720"/>
        <w:gridCol w:w="122"/>
        <w:gridCol w:w="109"/>
        <w:gridCol w:w="109"/>
        <w:gridCol w:w="109"/>
        <w:gridCol w:w="212"/>
        <w:gridCol w:w="984"/>
        <w:gridCol w:w="163"/>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1,079,330 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1,125,364 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1,227,371 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revenues by geographic region to revenues by geographic region in constant currency: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Constant Currency Change 2024 to 2025:</w:t>
      </w:r>
    </w:p>
    <w:tbl>
      <w:tblPr>
        <w:tblW w:w="10205" w:type="dxa"/>
        <w:jc w:val="center"/>
        <w:tblInd w:w="0" w:type="dxa"/>
        <w:tblLayout w:type="fixed"/>
        <w:tblCellMar>
          <w:top w:w="28" w:type="dxa"/>
          <w:left w:w="28" w:type="dxa"/>
          <w:bottom w:w="28" w:type="dxa"/>
          <w:right w:w="28" w:type="dxa"/>
        </w:tblCellMar>
      </w:tblPr>
      <w:tblGrid>
        <w:gridCol w:w="332"/>
        <w:gridCol w:w="292"/>
        <w:gridCol w:w="294"/>
        <w:gridCol w:w="211"/>
        <w:gridCol w:w="976"/>
        <w:gridCol w:w="109"/>
        <w:gridCol w:w="109"/>
        <w:gridCol w:w="109"/>
        <w:gridCol w:w="109"/>
        <w:gridCol w:w="255"/>
        <w:gridCol w:w="909"/>
        <w:gridCol w:w="131"/>
        <w:gridCol w:w="109"/>
        <w:gridCol w:w="109"/>
        <w:gridCol w:w="109"/>
        <w:gridCol w:w="214"/>
        <w:gridCol w:w="993"/>
        <w:gridCol w:w="110"/>
        <w:gridCol w:w="109"/>
        <w:gridCol w:w="109"/>
        <w:gridCol w:w="109"/>
        <w:gridCol w:w="211"/>
        <w:gridCol w:w="976"/>
        <w:gridCol w:w="109"/>
        <w:gridCol w:w="109"/>
        <w:gridCol w:w="109"/>
        <w:gridCol w:w="109"/>
        <w:gridCol w:w="275"/>
        <w:gridCol w:w="661"/>
        <w:gridCol w:w="142"/>
        <w:gridCol w:w="109"/>
        <w:gridCol w:w="109"/>
        <w:gridCol w:w="109"/>
        <w:gridCol w:w="214"/>
        <w:gridCol w:w="992"/>
        <w:gridCol w:w="164"/>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1,489,392 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1,352,298 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Constant Currency Change 2023 to 2024:</w:t>
      </w:r>
    </w:p>
    <w:tbl>
      <w:tblPr>
        <w:tblW w:w="10205" w:type="dxa"/>
        <w:jc w:val="center"/>
        <w:tblInd w:w="0" w:type="dxa"/>
        <w:tblLayout w:type="fixed"/>
        <w:tblCellMar>
          <w:top w:w="28" w:type="dxa"/>
          <w:left w:w="28" w:type="dxa"/>
          <w:bottom w:w="28" w:type="dxa"/>
          <w:right w:w="28" w:type="dxa"/>
        </w:tblCellMar>
      </w:tblPr>
      <w:tblGrid>
        <w:gridCol w:w="332"/>
        <w:gridCol w:w="292"/>
        <w:gridCol w:w="294"/>
        <w:gridCol w:w="211"/>
        <w:gridCol w:w="976"/>
        <w:gridCol w:w="109"/>
        <w:gridCol w:w="109"/>
        <w:gridCol w:w="109"/>
        <w:gridCol w:w="109"/>
        <w:gridCol w:w="266"/>
        <w:gridCol w:w="778"/>
        <w:gridCol w:w="137"/>
        <w:gridCol w:w="109"/>
        <w:gridCol w:w="109"/>
        <w:gridCol w:w="109"/>
        <w:gridCol w:w="214"/>
        <w:gridCol w:w="992"/>
        <w:gridCol w:w="110"/>
        <w:gridCol w:w="109"/>
        <w:gridCol w:w="109"/>
        <w:gridCol w:w="109"/>
        <w:gridCol w:w="211"/>
        <w:gridCol w:w="976"/>
        <w:gridCol w:w="109"/>
        <w:gridCol w:w="109"/>
        <w:gridCol w:w="109"/>
        <w:gridCol w:w="109"/>
        <w:gridCol w:w="260"/>
        <w:gridCol w:w="800"/>
        <w:gridCol w:w="134"/>
        <w:gridCol w:w="109"/>
        <w:gridCol w:w="109"/>
        <w:gridCol w:w="109"/>
        <w:gridCol w:w="214"/>
        <w:gridCol w:w="992"/>
        <w:gridCol w:w="163"/>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1,353,941 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1,227,371 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cost of revenues to cost of revenues in constant currency: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Constant Currency Change 2024 to 2025:</w:t>
      </w:r>
    </w:p>
    <w:tbl>
      <w:tblPr>
        <w:tblW w:w="10205" w:type="dxa"/>
        <w:jc w:val="center"/>
        <w:tblInd w:w="0" w:type="dxa"/>
        <w:tblLayout w:type="fixed"/>
        <w:tblCellMar>
          <w:top w:w="28" w:type="dxa"/>
          <w:left w:w="28" w:type="dxa"/>
          <w:bottom w:w="28" w:type="dxa"/>
          <w:right w:w="28" w:type="dxa"/>
        </w:tblCellMar>
      </w:tblPr>
      <w:tblGrid>
        <w:gridCol w:w="518"/>
        <w:gridCol w:w="455"/>
        <w:gridCol w:w="457"/>
        <w:gridCol w:w="211"/>
        <w:gridCol w:w="826"/>
        <w:gridCol w:w="109"/>
        <w:gridCol w:w="109"/>
        <w:gridCol w:w="109"/>
        <w:gridCol w:w="109"/>
        <w:gridCol w:w="275"/>
        <w:gridCol w:w="848"/>
        <w:gridCol w:w="141"/>
        <w:gridCol w:w="109"/>
        <w:gridCol w:w="109"/>
        <w:gridCol w:w="109"/>
        <w:gridCol w:w="220"/>
        <w:gridCol w:w="861"/>
        <w:gridCol w:w="113"/>
        <w:gridCol w:w="109"/>
        <w:gridCol w:w="109"/>
        <w:gridCol w:w="109"/>
        <w:gridCol w:w="211"/>
        <w:gridCol w:w="826"/>
        <w:gridCol w:w="109"/>
        <w:gridCol w:w="109"/>
        <w:gridCol w:w="109"/>
        <w:gridCol w:w="109"/>
        <w:gridCol w:w="346"/>
        <w:gridCol w:w="618"/>
        <w:gridCol w:w="180"/>
        <w:gridCol w:w="109"/>
        <w:gridCol w:w="109"/>
        <w:gridCol w:w="109"/>
        <w:gridCol w:w="219"/>
        <w:gridCol w:w="860"/>
        <w:gridCol w:w="167"/>
      </w:tblGrid>
      <w:tr>
        <w:trPr/>
        <w:tc>
          <w:tcPr>
            <w:tcW w:w="51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Constant Currency Change 2023 to 2024:</w:t>
      </w:r>
    </w:p>
    <w:tbl>
      <w:tblPr>
        <w:tblW w:w="10205" w:type="dxa"/>
        <w:jc w:val="center"/>
        <w:tblInd w:w="0" w:type="dxa"/>
        <w:tblLayout w:type="fixed"/>
        <w:tblCellMar>
          <w:top w:w="28" w:type="dxa"/>
          <w:left w:w="28" w:type="dxa"/>
          <w:bottom w:w="28" w:type="dxa"/>
          <w:right w:w="28" w:type="dxa"/>
        </w:tblCellMar>
      </w:tblPr>
      <w:tblGrid>
        <w:gridCol w:w="528"/>
        <w:gridCol w:w="464"/>
        <w:gridCol w:w="466"/>
        <w:gridCol w:w="211"/>
        <w:gridCol w:w="826"/>
        <w:gridCol w:w="109"/>
        <w:gridCol w:w="109"/>
        <w:gridCol w:w="109"/>
        <w:gridCol w:w="109"/>
        <w:gridCol w:w="317"/>
        <w:gridCol w:w="701"/>
        <w:gridCol w:w="166"/>
        <w:gridCol w:w="109"/>
        <w:gridCol w:w="109"/>
        <w:gridCol w:w="109"/>
        <w:gridCol w:w="221"/>
        <w:gridCol w:w="865"/>
        <w:gridCol w:w="114"/>
        <w:gridCol w:w="109"/>
        <w:gridCol w:w="109"/>
        <w:gridCol w:w="109"/>
        <w:gridCol w:w="211"/>
        <w:gridCol w:w="826"/>
        <w:gridCol w:w="109"/>
        <w:gridCol w:w="109"/>
        <w:gridCol w:w="109"/>
        <w:gridCol w:w="109"/>
        <w:gridCol w:w="367"/>
        <w:gridCol w:w="627"/>
        <w:gridCol w:w="191"/>
        <w:gridCol w:w="109"/>
        <w:gridCol w:w="109"/>
        <w:gridCol w:w="109"/>
        <w:gridCol w:w="220"/>
        <w:gridCol w:w="864"/>
        <w:gridCol w:w="167"/>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266,111 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expenses to operating expenses in constant currency: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Constant Currency Change 2024 to 2025:</w:t>
      </w:r>
    </w:p>
    <w:tbl>
      <w:tblPr>
        <w:tblW w:w="10205" w:type="dxa"/>
        <w:jc w:val="left"/>
        <w:tblInd w:w="0" w:type="dxa"/>
        <w:tblLayout w:type="fixed"/>
        <w:tblCellMar>
          <w:top w:w="28" w:type="dxa"/>
          <w:left w:w="28" w:type="dxa"/>
          <w:bottom w:w="28" w:type="dxa"/>
          <w:right w:w="28" w:type="dxa"/>
        </w:tblCellMar>
      </w:tblPr>
      <w:tblGrid>
        <w:gridCol w:w="612"/>
        <w:gridCol w:w="455"/>
        <w:gridCol w:w="458"/>
        <w:gridCol w:w="211"/>
        <w:gridCol w:w="826"/>
        <w:gridCol w:w="109"/>
        <w:gridCol w:w="109"/>
        <w:gridCol w:w="109"/>
        <w:gridCol w:w="109"/>
        <w:gridCol w:w="266"/>
        <w:gridCol w:w="821"/>
        <w:gridCol w:w="137"/>
        <w:gridCol w:w="109"/>
        <w:gridCol w:w="109"/>
        <w:gridCol w:w="109"/>
        <w:gridCol w:w="218"/>
        <w:gridCol w:w="856"/>
        <w:gridCol w:w="112"/>
        <w:gridCol w:w="109"/>
        <w:gridCol w:w="109"/>
        <w:gridCol w:w="109"/>
        <w:gridCol w:w="211"/>
        <w:gridCol w:w="826"/>
        <w:gridCol w:w="109"/>
        <w:gridCol w:w="109"/>
        <w:gridCol w:w="109"/>
        <w:gridCol w:w="109"/>
        <w:gridCol w:w="333"/>
        <w:gridCol w:w="595"/>
        <w:gridCol w:w="174"/>
        <w:gridCol w:w="109"/>
        <w:gridCol w:w="109"/>
        <w:gridCol w:w="109"/>
        <w:gridCol w:w="218"/>
        <w:gridCol w:w="855"/>
        <w:gridCol w:w="168"/>
      </w:tblGrid>
      <w:tr>
        <w:trPr/>
        <w:tc>
          <w:tcPr>
            <w:tcW w:w="6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281,272 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858,333 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793,121 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Constant Currency Change 2023 to 2024:</w:t>
      </w:r>
    </w:p>
    <w:tbl>
      <w:tblPr>
        <w:tblW w:w="10205" w:type="dxa"/>
        <w:jc w:val="center"/>
        <w:tblInd w:w="0" w:type="dxa"/>
        <w:tblLayout w:type="fixed"/>
        <w:tblCellMar>
          <w:top w:w="28" w:type="dxa"/>
          <w:left w:w="28" w:type="dxa"/>
          <w:bottom w:w="28" w:type="dxa"/>
          <w:right w:w="28" w:type="dxa"/>
        </w:tblCellMar>
      </w:tblPr>
      <w:tblGrid>
        <w:gridCol w:w="613"/>
        <w:gridCol w:w="457"/>
        <w:gridCol w:w="459"/>
        <w:gridCol w:w="211"/>
        <w:gridCol w:w="826"/>
        <w:gridCol w:w="109"/>
        <w:gridCol w:w="109"/>
        <w:gridCol w:w="109"/>
        <w:gridCol w:w="109"/>
        <w:gridCol w:w="274"/>
        <w:gridCol w:w="800"/>
        <w:gridCol w:w="141"/>
        <w:gridCol w:w="109"/>
        <w:gridCol w:w="109"/>
        <w:gridCol w:w="109"/>
        <w:gridCol w:w="218"/>
        <w:gridCol w:w="857"/>
        <w:gridCol w:w="113"/>
        <w:gridCol w:w="109"/>
        <w:gridCol w:w="109"/>
        <w:gridCol w:w="109"/>
        <w:gridCol w:w="211"/>
        <w:gridCol w:w="826"/>
        <w:gridCol w:w="109"/>
        <w:gridCol w:w="109"/>
        <w:gridCol w:w="109"/>
        <w:gridCol w:w="109"/>
        <w:gridCol w:w="282"/>
        <w:gridCol w:w="679"/>
        <w:gridCol w:w="145"/>
        <w:gridCol w:w="109"/>
        <w:gridCol w:w="109"/>
        <w:gridCol w:w="109"/>
        <w:gridCol w:w="218"/>
        <w:gridCol w:w="856"/>
        <w:gridCol w:w="166"/>
      </w:tblGrid>
      <w:tr>
        <w:trPr/>
        <w:tc>
          <w:tcPr>
            <w:tcW w:w="6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2023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274,636 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794,355 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731,283 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and Cash Equivalents</w:t>
      </w:r>
    </w:p>
    <w:tbl>
      <w:tblPr>
        <w:tblW w:w="7118" w:type="dxa"/>
        <w:jc w:val="center"/>
        <w:tblInd w:w="0" w:type="dxa"/>
        <w:tblLayout w:type="fixed"/>
        <w:tblCellMar>
          <w:top w:w="28" w:type="dxa"/>
          <w:left w:w="28" w:type="dxa"/>
          <w:bottom w:w="28" w:type="dxa"/>
          <w:right w:w="28" w:type="dxa"/>
        </w:tblCellMar>
      </w:tblPr>
      <w:tblGrid>
        <w:gridCol w:w="1651"/>
        <w:gridCol w:w="1452"/>
        <w:gridCol w:w="1456"/>
        <w:gridCol w:w="211"/>
        <w:gridCol w:w="826"/>
        <w:gridCol w:w="109"/>
        <w:gridCol w:w="109"/>
        <w:gridCol w:w="109"/>
        <w:gridCol w:w="109"/>
        <w:gridCol w:w="211"/>
        <w:gridCol w:w="721"/>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domestically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by foreign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we made cash repatriations to the U.S. of approximately $180,000 and $138,000, respectively, from earnings generated by our foreign subsidiaries. In 2025 and 2024, the repatriations were primarily used to pay down our credit facility borrowings and to supplement our domestic working capital needs.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consummate acquisitions, or otherwise pursue our business strategies. We cannot provide assurance that we could obtain additional financing on favorable terms or at all.</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Cash Flows Activity</w:t>
      </w:r>
    </w:p>
    <w:tbl>
      <w:tblPr>
        <w:tblW w:w="7016"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1"/>
        <w:gridCol w:w="901"/>
        <w:gridCol w:w="109"/>
        <w:gridCol w:w="109"/>
        <w:gridCol w:w="109"/>
        <w:gridCol w:w="109"/>
        <w:gridCol w:w="211"/>
        <w:gridCol w:w="90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compared to the prior year, net cash provided by operating activities was higher by $103,172 due to an increase in net income of $43,361, an increase in net cash flows from the change in operating assets and liabilities of $36,777, and a net increase in non</w:t>
        <w:noBreakHyphen/>
        <w:t>cash adjustments of $23,034. The increase in net cash flows from the change in operating assets and liabilities year over year was primarily due to higher deferred revenues, timing of collections on our receivables, higher accounts payable, lower capitalized internal-use software implementation costs, as well as the overall timing of payments for software maintenance contracts. Offsetting these increases were lower period over period Cloud Services Subscription deposits and lower accruals and other current liabilities.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lower by $30,958 for the year ended December 31, 2025, compared to the prior year, primarily due to lower acquisition related payments of $37,155. We used available cash and borrowings under our credit facilities to fund our acquisitions.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higher by $86,448 for the year ended December 31, 2025, compared to the prior year, primarily due to higher payments for shares acquired of $80,381, including shares repurchased under the BSY Stock Repurchase Program (the “Repurchase Program”) and higher dividend payments of $12,848, primarily due to an increase in our quarterly dividend per share to $0.07 in 2025 from $0.06 in 2024, partially offset by lower net paydowns of the credit facilities of $11,398. Additionally, we paid $9,797 in cash to repurchase $10,000 aggregate principal amount of our outstanding 2026 Notes during the first quarter of 2025.</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Long-Term Debt</w:t>
      </w:r>
    </w:p>
    <w:tbl>
      <w:tblPr>
        <w:tblW w:w="5798"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11"/>
        <w:gridCol w:w="97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18, 2024, we entered into the Credit Facility, which provides us with a $1,300,000 revolving credit facility, including a $125,000 swingline loan and $125,000 in letters of credit. The Credit Facility also provides us with a $500,000 “accordion” feature to increase the facility in the form of both revolving indebtedness and/or incremental term loans. On October 18, 2024, we used borrowings under the Credit Facility to repay all indebtedness outstanding under the 2017 Credit Facility, including the outstanding senior secured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$1,299,850 available under the Credit Facility, and we were in compliance with all covenants under the Credit Facility, the 2026 Notes, and the 2027 Notes.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2026 Notes were classified as long</w:t>
        <w:noBreakHyphen/>
        <w:t>term in the consolidated balance sheets as we had the ability and intent to refinance them on a long</w:t>
        <w:noBreakHyphen/>
        <w:t>term basis through available capacity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Notes matured on January 15, 2026. Upon maturity, we repaid $678,254, which consisted of the remaining outstanding principal balance and accrued interest on the 2026 Notes using borrowings under the Credit Facility and available cash on hand.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credit facilities, 2026 Notes, and 2027 Notes are described in Note 10 to our consolidated financial statements included in Part II, Item 8 of this Annual Report on Form 10</w:t>
        <w:noBreakHyphen/>
        <w:t>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had authorized us to repurchase up to $200,000 of our Class B common stock and/or outstanding convertible senior notes through June 30, 2024 under the Repurchase Program. This authorization under the Repurchase Program expired on June 30, 2024. In March 2024, our Board of Directors approved an extension to the Repurchase Program authorizing us to repurchase up to $200,000 of our Class B common stock and/or outstanding convertible senior notes from June 30, 2024 through June 30, 2026. In November 2025, our Board of Directors approved an extension to the Repurchase Program authorizing us to repurchase up to $500,000 of our Class B common stock and/or outstanding convertible senior notes from November 21, 2025 through December 31, 2028. This updated authorization supersedes our prior authorization, which was set to expire on June 30, 2026. We may use available working capital, cash provided by operating activities, and/or external borrowings including available liquidity under our Credit Facility to make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repurchased 2,887,224 shares for $125,057, and $10,000 aggregate principal amount of our outstanding 2026 Notes for $9,797 under the Repurchase Program. During the year ended December 31, 2024, we repurchased 1,292,733 shares for $64,359 under the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Withholding Taxes on Certain Equity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the right to require that certain equity awardees receive gross or net quantities of shares of our Class B common stock, including distributions from the DCP and share issuances under the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We exercised our right to require that impacted equity awardees receive gross quantities of our Class B common stock during the first quarter of 2025, but we allowed impacted awardees the option to receive net quantities of shares of our Class B common stock during the second, third, and fourth quarters of 2025. During the year ended December 31, 2024, we exercised our right to require that impacted equity awardees receive gross quantities of our Class B common stock. We will continue to evaluate whether share awards will be required to be received by awardees on a gross basis, or if net settlement may be elected by awardees.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 Payments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declaration and payment of dividends is within the discretion of our Board of Directors. We paid quarterly dividends of $0.07 per share of common stock during the year ended December 31, 2025 and $0.06 per share of common stock during the year ended December 31, 2024.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Contractual Obligations and Other Commitments: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most significant contractual obligations as of December 31, 2025:</w:t>
      </w:r>
    </w:p>
    <w:tbl>
      <w:tblPr>
        <w:tblW w:w="7333" w:type="dxa"/>
        <w:jc w:val="center"/>
        <w:tblInd w:w="0" w:type="dxa"/>
        <w:tblLayout w:type="fixed"/>
        <w:tblCellMar>
          <w:top w:w="28" w:type="dxa"/>
          <w:left w:w="28" w:type="dxa"/>
          <w:bottom w:w="28" w:type="dxa"/>
          <w:right w:w="28" w:type="dxa"/>
        </w:tblCellMar>
      </w:tblPr>
      <w:tblGrid>
        <w:gridCol w:w="668"/>
        <w:gridCol w:w="587"/>
        <w:gridCol w:w="589"/>
        <w:gridCol w:w="211"/>
        <w:gridCol w:w="976"/>
        <w:gridCol w:w="109"/>
        <w:gridCol w:w="109"/>
        <w:gridCol w:w="109"/>
        <w:gridCol w:w="109"/>
        <w:gridCol w:w="334"/>
        <w:gridCol w:w="1308"/>
        <w:gridCol w:w="172"/>
        <w:gridCol w:w="109"/>
        <w:gridCol w:w="109"/>
        <w:gridCol w:w="109"/>
        <w:gridCol w:w="305"/>
        <w:gridCol w:w="1197"/>
        <w:gridCol w:w="223"/>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Due within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Due after 12 months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Debt Obligations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DCP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represent the face value of debt and exclude interest payments.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largest contractual obligations relate to our outstanding debt, which include convertible notes due in 2026 and 2027. We repaid the 2026 Notes upon maturity on January 15, 2026. Our Credit Facility matures on October 18, 2029, subject to a “revolving maturity date” on the date that is 91 days prior to the maturity date of our outstanding convertible debt, unless on such date we meet certain liquidity requirements. We typically fund and expect to continue to fund debt maturities and interest payments with cash flows generated from operations, existing cash and cash equivalents, or proceeds from additional financing. If an early conversion notice is received, we have the option to pay cash, deliver shares of our Class B common stock, or a combination thereof. See Note 10 to our consolidated financial statements included in Part II, Item 8 of this Annual Report on Form 10</w:t>
        <w:noBreakHyphen/>
        <w:t>K for additional information on our debt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non</w:t>
        <w:noBreakHyphen/>
        <w:t>cancelable future cash purchase commitments for services related to cloud provisioning of our software and for internal</w:t>
        <w:noBreakHyphen/>
        <w:t>use software costs. Our purchase obligations are in addition to amounts included in our consolidated balance sheets. We have funded and expect to continue to be able to fund our purchase obligations with cash flows generated from operations, existing cash and cash equivalents or revolving loan borrowings under the Credit Facility. See Note 18 to our consolidated financial statements included in Part II, Item 8 of this Annual Report on Form 10</w:t>
        <w:noBreakHyphen/>
        <w:t>K for additional information on our purchase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DCP obligations represent DCP participants’ holdings in phantom investment funds, which are classified as liabilities as they will be settled in cash upon eventual distribution. We have funded and expect to continue to be able to fund our DCP obligations with cash flows generated from operations, existing cash and cash equivalents, or revolving loan borrowings under the Credit Facility. See Note 12 to our consolidated financial statements included in Part II, Item 8 of this Annual Report on Form 10</w:t>
        <w:noBreakHyphen/>
        <w:t>K for additional information on our DCP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other future contractual obligations are related to leases. See Note 8 to our consolidated financial statements included in Part II, Item 8 of this Annual Report on Form 10</w:t>
        <w:noBreakHyphen/>
        <w:t>K for additional information on our lease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conformity with GAAP requires us to make estimates that affect the reported amounts of assets, liabilities, revenues,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contracts with customers may include promises to transfer licenses (perpetual or term</w:t>
        <w:noBreakHyphen/>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Portfolio balancing exchange rights are included in </w:t>
      </w:r>
      <w:r>
        <w:rPr>
          <w:rFonts w:ascii="Times New Roman;serif" w:hAnsi="Times New Roman;serif"/>
          <w:b w:val="false"/>
          <w:i/>
          <w:color w:val="000000"/>
          <w:sz w:val="20"/>
        </w:rPr>
        <w:t>Deferred revenues</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Goodwill and 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primarily arise from acquisitions and principally consist of goodwill, acquired software and technology, customer relationships, and trademarks. Finite-lived intangible assets are amortized on a straight</w:t>
        <w:noBreakHyphen/>
        <w:t>line basis over their estimated useful lives.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We allocate goodwill to reporting units on a relative fair value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testing for goodwill impairment, we may first qualitatively assess whether it is more likely than not (a likelihood of more than 50 percent) that a goodwill impairment exists. If it is determined that a quantitative assessment is required and the carrying amount exceeds its fair value, we will recognize goodwill impairment in the amount in which the carrying amount of the reporting unit exceeds its fair value, but not to exceed the carrying amount of goodwill within the reporting unit. The process of evaluating the potential impairment of goodwill is subjective and requires significant judgment at many points in the process. The value of our goodwill could also be impacted by future adverse changes including declines in our stock price, market capitalization, or cash flows, and slower growth rates in our industry. There was no impairment of goodwill as a result of our annual impairment assessments conducted for the years ended December 31, 2025, 2024, or 2023.</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evaluate intangible assets subject to amortization for impairment whenever events or changes in circumstances indicate that the carrying value of these assets may not be recoverable or that useful lives of those assets are no longer appropriate. If circumstances require an asset to be tested for possible impairment, we first compare the undiscounted cash flows expected to be generated by that asset to its carrying value. If the carrying value of the asset is not recoverable on an undiscounted cash flow basis, an impairment is recognized to the extent that the carrying value exceeds its fair value. The process of evaluating the potential impairment of intangible assets is subjective and requires significant judgment at many points in the process. There was no impairment of intangible assets subject to amortization for the years ended December 31, 2025, 2024, or 2023.</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net operating loss (“NOL”) carryforwards, credit carryforwards, and temporary differences between the financial statement and tax basis of assets and liabilities using enacted tax rates in effect for the year in which the items are expected to reverse. The effect of a change in tax rates on deferred tax assets and liabilities is recognized in income in the period of the enactment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perform a quarterly assessment of the recoverability of the net deferred tax assets. We consider all available evidence, both positive and negative, in determining whether all or a portion of a deferred tax asset is more likely than not to be realized. In the event we determine that all or a portion of the deferred tax assets is not more likely than not to be realized, an adjustment to the valuation allowance would be recorded that would increase the provision for income taxes. To the extent that the realization of a deferred tax asset is based upon forecasted future earnings, our judgment regarding future profitability may change due to future market conditions and other factors. Assumptions about future taxable income require significant judgment and, while these assumptions rely heavily on estimates, such estimates are consistent with the plans we are using to manage the underlying business. Any change in future profitability may require material adjustments to these net deferred tax assets, resulting in a reduction in net income in the period when such determination is made. Additionally,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We are subject to income taxes in the U.S. and in numerous foreign jurisdictions. The calculation of our tax liabilities often involves dealing with uncertainties in the application of complex tax laws and regulations in a multitude of jurisdictions across our global operations. There are many transactions and calculations about which the ultimate tax outcome is uncertain. A benefit from an uncertain tax position may be recognized when it is more likely than not that the position will be sustained based upon the technical merits of the position. This may include expected resolutions upon examination, any related appeals, or through a litigation processes. As a result, our calculations involve estimates by management. Due to the complexity of some of these uncertainties, the ultimate resolution may result in a payment, potentially including interest and penalties, that is materially different from our current estimates of the unrecognized tax benefit liabilities. These differences, along with any related interest and penalties, will generally be reflected as increases or decreases to income tax expense in the period in which new information becomes available.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line in the consolidated statements of operations. Accrued interest and penalties are included within the related tax liability line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condition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200"/>
        <w:ind w:left="0" w:right="0" w:firstLine="360"/>
        <w:jc w:val="both"/>
        <w:rPr/>
      </w:pPr>
      <w:r>
        <w:rPr>
          <w:rFonts w:ascii="Times New Roman;serif" w:hAnsi="Times New Roman;serif"/>
          <w:b w:val="false"/>
          <w:color w:val="000000"/>
          <w:sz w:val="20"/>
        </w:rPr>
        <w:t>Our revenues, earnings, cash flows, receivables, and payables are</w:t>
      </w:r>
      <w:r>
        <w:rPr>
          <w:color w:val="000000"/>
        </w:rPr>
        <w:t xml:space="preserve"> </w:t>
      </w:r>
      <w:r>
        <w:rPr>
          <w:rFonts w:ascii="Times New Roman;serif" w:hAnsi="Times New Roman;serif"/>
          <w:b w:val="false"/>
          <w:color w:val="000000"/>
          <w:sz w:val="20"/>
        </w:rPr>
        <w:t>subject to fluctuations due to changes in foreign 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Canadian dollars, Australian dollars, Chinese yuan renminbi, and New Zealand dollars. For the year ended December 31, 2025, approximately 59% of our total revenues are derived from outside of the U.S. and approximately 33% of our revenues are denominated in a currency other than the U.S. dollar. In 2025, 67%, 11%, 6%, 3%, and 13% of our total revenues were denominated in U.S. dollars, euros, British pounds, Canadian dollars, and other currencies, respectively, and 55%, 13%, 8%, 7%, and 17% of our aggregate cost of revenues and operating expenses were denominated in U.S. dollars, euros, British pounds, Canadian dollars, and other currencies, respectively. Financial results therefore are affected by changes in foreign currency rates. We estimate that a 10% strengthening of the U.S. dollar versus our other currencies would have increased our 2025 annual operating income by approximately $2.4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interest rates on our Credit Facility fluctuate based on various market conditions that affect the Secured Overnight Financing Rate (“SOFR”), the prime rate, or the overnight bank funding effective rate. The cost of borrowing thereunder may be impacted as a result of our interest rate risk exposure. Effective on April 2, 2020, we entered into an interest rate swap with a notional amount of $200.0 million and a ten</w:t>
        <w:noBreakHyphen/>
        <w:t>year term to reduce the interest rate risk associated with a portion of our floating rate debt. Under the terms of the interest rate swap, we pay a fixed interest rate of 72.9 basis points (“bps”), and will receive a floating interest rate equal to daily SOFR plus an Alternative Reference Rates Committee (“ARRC”) spread adjustment of 11.448 bps. We do not enter into investments or derivative instruments for trading or speculative purposes. The fair value of our 2026 Notes and 2027 Notes is subject to interest rate risk, market risk, and other factors due to the conversion feature. The capped call options that were entered into concurrently with the issuance of our 2026 Notes and 2027 Notes were completed to reduce the potential dilution from the conversion of the 2026 Notes and 2027 Notes. The fair value of the 2026 Notes and 2027 Notes will generally increase as interest rates fall and decrease as interest rates rise. In addition, the fair value of the 2026 Notes and 2027 Notes will generally increase as our Class B common stock price increases and will generally decrease as the common stock price declines. The interest and market value changes affect the fair value of the 2026 Notes and 2027 Notes, but do not impact our financial condition, results of operations, or cash flows due to the fixed nature of the debt obligation. Due to the short-term nature of our investments, we have not been exposed to, nor do we anticipate being exposed to, material risks due to changes in interest rates. We had cash and cash equivalents of $123.3 million and $64.0 million as of December 31, 2025 and 2024, respectively, which 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A hypothetical 10% change in interest rates during any of the periods presented would not have had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at the end of this report beginning on page F</w:t>
        <w:noBreakHyphen/>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Effectiveness of Disclosure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December 31, 2025, our disclosure controls and procedures were effective at the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0" w:after="200"/>
        <w:ind w:left="0" w:right="0" w:firstLine="360"/>
        <w:jc w:val="both"/>
        <w:rPr/>
      </w:pPr>
      <w:r>
        <w:rPr>
          <w:rFonts w:ascii="Times New Roman;serif" w:hAnsi="Times New Roman;serif"/>
          <w:b w:val="false"/>
          <w:color w:val="000000"/>
          <w:sz w:val="20"/>
        </w:rPr>
        <w:t>Our management is responsible for establishing and maintaining adequate internal control over financial reporting (as defined in Rule 13a</w:t>
        <w:noBreakHyphen/>
        <w:t xml:space="preserve">15(f) under the Securities Exchange Act of 1934, as amended). Our management assessed the effectiveness of our internal control over financial reporting as of December 31, 2025. In making this assessment, our management used the criteria set forth by the Committee of Sponsoring Organizations of the Treadway Commission (“COSO”)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i/>
          <w:color w:val="000000"/>
          <w:sz w:val="20"/>
        </w:rPr>
        <w:t>(2013)</w:t>
      </w:r>
      <w:r>
        <w:rPr>
          <w:rFonts w:ascii="Times New Roman;serif" w:hAnsi="Times New Roman;serif"/>
          <w:b w:val="false"/>
          <w:color w:val="000000"/>
          <w:sz w:val="20"/>
        </w:rPr>
        <w: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has concluded that, as of December 31, 2025,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KPMG LLP, has issued an audit report on the effectiveness of our internal control over financial reporting, which is included in Part II, Item 8 of this Annual Report on Form 10</w:t>
        <w:noBreakHyphen/>
        <w:t>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management’s evaluation pursuant to Rules 13a or 15d of the Exchange Act that occurred during the quarter ended December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17, 2025, Werner Andre, the Company’s Chief Financial Officer, adopted a trading plan established pursuant to Rule 10b5</w:t>
        <w:noBreakHyphen/>
        <w:t>1 of the Exchange Act, which is intended to satisfy the affirmative defense conditions of Rule 10b5</w:t>
        <w:noBreakHyphen/>
        <w:t>1(c), to sell an aggregate of 29,757 shares of our Class B common stock. Mr. Andre’s plan expires on November 10,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Dividends Declared Subsequent to December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23, 2026, our Board of Directors declared a $0.07 per share dividend for the first quarter of 2026. The cash dividend will be payable on March 19, 2026 to all stockholders of record of Class A and Class B common stock as of the close of business on March 10, 2026. The Company publicly announced the dividend declaration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2026 Proxy Statement, which will be filed with the SEC not later than 120 days subsequent to December 31, 2025.</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Information About Our Executive Officers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sets forth certain information as of February 26, 2026, regarding our executive officers.</w:t>
      </w:r>
    </w:p>
    <w:tbl>
      <w:tblPr>
        <w:tblW w:w="5649" w:type="dxa"/>
        <w:jc w:val="left"/>
        <w:tblInd w:w="0" w:type="dxa"/>
        <w:tblLayout w:type="fixed"/>
        <w:tblCellMar>
          <w:top w:w="28" w:type="dxa"/>
          <w:left w:w="28" w:type="dxa"/>
          <w:bottom w:w="28" w:type="dxa"/>
          <w:right w:w="28" w:type="dxa"/>
        </w:tblCellMar>
      </w:tblPr>
      <w:tblGrid>
        <w:gridCol w:w="630"/>
        <w:gridCol w:w="550"/>
        <w:gridCol w:w="559"/>
        <w:gridCol w:w="109"/>
        <w:gridCol w:w="109"/>
        <w:gridCol w:w="109"/>
        <w:gridCol w:w="135"/>
        <w:gridCol w:w="135"/>
        <w:gridCol w:w="136"/>
        <w:gridCol w:w="109"/>
        <w:gridCol w:w="109"/>
        <w:gridCol w:w="109"/>
        <w:gridCol w:w="832"/>
        <w:gridCol w:w="832"/>
        <w:gridCol w:w="1186"/>
      </w:tblGrid>
      <w:tr>
        <w:trPr/>
        <w:tc>
          <w:tcPr>
            <w:tcW w:w="63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Position</w:t>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Gregory S.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 and President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Brock Ballard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Revenue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Julien Moutte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Technology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Shaman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spacing w:lineRule="auto" w:line="288" w:before="0" w:after="200"/>
        <w:ind w:left="0" w:right="0" w:firstLine="360"/>
        <w:jc w:val="both"/>
        <w:rPr/>
      </w:pPr>
      <w:r>
        <w:rPr>
          <w:rFonts w:ascii="Times New Roman;serif" w:hAnsi="Times New Roman;serif"/>
          <w:b/>
          <w:i/>
          <w:color w:val="000000"/>
          <w:sz w:val="20"/>
        </w:rPr>
        <w:t>Gregory S. Bentley</w:t>
      </w:r>
      <w:r>
        <w:rPr>
          <w:color w:val="000000"/>
        </w:rPr>
        <w:t xml:space="preserve"> </w:t>
      </w:r>
      <w:r>
        <w:rPr>
          <w:rFonts w:ascii="Times New Roman;serif" w:hAnsi="Times New Roman;serif"/>
          <w:b w:val="false"/>
          <w:color w:val="000000"/>
          <w:sz w:val="20"/>
        </w:rPr>
        <w:t>has served as our President since June 1996 and as our Executive Chair since July 2024. He served as our Chief Executive Officer from August 2000 to July 2024. Prior to joining us in 1991, Mr. Bentley 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w:t>
      </w:r>
    </w:p>
    <w:p>
      <w:pPr>
        <w:pStyle w:val="TextBody"/>
        <w:bidi w:val="0"/>
        <w:spacing w:lineRule="auto" w:line="288" w:before="0" w:after="200"/>
        <w:ind w:left="0" w:right="0" w:firstLine="360"/>
        <w:jc w:val="both"/>
        <w:rPr/>
      </w:pPr>
      <w:r>
        <w:rPr>
          <w:rFonts w:ascii="Times New Roman;serif" w:hAnsi="Times New Roman;serif"/>
          <w:b/>
          <w:i/>
          <w:color w:val="000000"/>
          <w:sz w:val="20"/>
        </w:rPr>
        <w:t>Nicholas H. Cumins</w:t>
      </w:r>
      <w:r>
        <w:rPr>
          <w:color w:val="000000"/>
        </w:rPr>
        <w:t xml:space="preserve"> </w:t>
      </w:r>
      <w:r>
        <w:rPr>
          <w:rFonts w:ascii="Times New Roman;serif" w:hAnsi="Times New Roman;serif"/>
          <w:b w:val="false"/>
          <w:color w:val="000000"/>
          <w:sz w:val="20"/>
        </w:rPr>
        <w:t>has served as our Chief Executive Officer since July 1, 2024 and is responsible for our overall strategy and growth. Mr. Cumins previously served as our Chief Operating Officer since January 1, 2022. Mr. Cumins joined us in September 2020 as our Chief Product Officer. Prior to joining us, Mr. Cumins served as general manager of SAP Marketing Cloud, a comprehensive marketing automation platform, from 2018 to 2020. Mr. Cumins also served as chief product officer of Scytl, a platform for online voting, in Barcelona from 2016 to 2018, and senior vice president of product with OpenX, a pioneer in programmatic advertising, in Los Angeles from 2013 to 2016. He holds Maîtrise de Droit (Law) and Maîtrise de Sciences de Gestion (Business) degrees from University Paris II Panthéon-Assas, Paris, France.</w:t>
      </w:r>
    </w:p>
    <w:p>
      <w:pPr>
        <w:pStyle w:val="TextBody"/>
        <w:bidi w:val="0"/>
        <w:spacing w:lineRule="auto" w:line="288" w:before="0" w:after="200"/>
        <w:ind w:left="0" w:right="0" w:firstLine="360"/>
        <w:jc w:val="both"/>
        <w:rPr/>
      </w:pPr>
      <w:r>
        <w:rPr>
          <w:rFonts w:ascii="Times New Roman;serif" w:hAnsi="Times New Roman;serif"/>
          <w:b/>
          <w:i/>
          <w:color w:val="000000"/>
          <w:sz w:val="20"/>
        </w:rPr>
        <w:t>Werner Andre</w:t>
      </w:r>
      <w:r>
        <w:rPr>
          <w:color w:val="000000"/>
        </w:rPr>
        <w:t xml:space="preserve"> </w:t>
      </w:r>
      <w:r>
        <w:rPr>
          <w:rFonts w:ascii="Times New Roman;serif" w:hAnsi="Times New Roman;serif"/>
          <w:b w:val="false"/>
          <w:color w:val="000000"/>
          <w:sz w:val="20"/>
        </w:rPr>
        <w:t>has served as our Chief Financial Officer since January 1, 2022 and is responsible for all aspects of finance including worldwide accounting, financial planning and analysis, tax, and treasury. Mr. Andre joined us in 2015 as Global Corporate Controller and served as our Chief Accounting Officer from 2020 through March 2024. Prior to joining us, Mr. Andre served as the assistant corporate controller – international accounting and reporting for Rockwood Holdings, Inc. from 2010 to 2015, and held several roles with PricewaterhouseCoopers LLP from 1995 to 2010. He holds B.S. and M.B.A. degrees in Accounting and Financial Reporting from the University for Economics and Business Administration in Vienna.</w:t>
      </w:r>
    </w:p>
    <w:p>
      <w:pPr>
        <w:pStyle w:val="TextBody"/>
        <w:bidi w:val="0"/>
        <w:spacing w:lineRule="auto" w:line="288" w:before="0" w:after="200"/>
        <w:ind w:left="0" w:right="0" w:firstLine="360"/>
        <w:jc w:val="both"/>
        <w:rPr/>
      </w:pPr>
      <w:r>
        <w:rPr>
          <w:rFonts w:ascii="Times New Roman;serif" w:hAnsi="Times New Roman;serif"/>
          <w:b/>
          <w:i/>
          <w:color w:val="000000"/>
          <w:sz w:val="20"/>
        </w:rPr>
        <w:t>Brock Ballard</w:t>
      </w:r>
      <w:r>
        <w:rPr>
          <w:color w:val="000000"/>
        </w:rPr>
        <w:t xml:space="preserve"> </w:t>
      </w:r>
      <w:r>
        <w:rPr>
          <w:rFonts w:ascii="Times New Roman;serif" w:hAnsi="Times New Roman;serif"/>
          <w:b w:val="false"/>
          <w:color w:val="000000"/>
          <w:sz w:val="20"/>
        </w:rPr>
        <w:t>has served as our Chief Revenue Officer since January 1, 2023 and is responsible for leading all of our accounts globally. Mr. Ballard joined us in 2020 as Vice President and Regional Executive, Americas. Prior to joining us, Mr. Ballard served in sales leadership positions with Dassault Systèmes, Autodesk, Inc., and Océ. He holds a Bachelor of Arts in Communication and Information Sciences from the University of Alabama.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i/>
          <w:color w:val="000000"/>
          <w:sz w:val="20"/>
        </w:rPr>
        <w:t>James Lee</w:t>
      </w:r>
      <w:r>
        <w:rPr>
          <w:color w:val="000000"/>
        </w:rPr>
        <w:t xml:space="preserve"> </w:t>
      </w:r>
      <w:r>
        <w:rPr>
          <w:rFonts w:ascii="Times New Roman;serif" w:hAnsi="Times New Roman;serif"/>
          <w:b w:val="false"/>
          <w:color w:val="000000"/>
          <w:sz w:val="20"/>
        </w:rPr>
        <w:t>has served as our Chief Operating Officer since joining us in January 2025. Mr. Lee is responsible for strengthening cross-functional planning and execution, driving operational excellence, and overseeing corporate development. Prior to joining us, Mr. Lee joined Google in 2020 and served as the general manager of the startups and AI business at Google Cloud, an infrastructure and platform services business, since 2023. Prior to joining Google, Mr. Lee worked at SAP, an enterprise software solutions company, from 2008 to 2020, most recently serving as Chief Operating Officer for SAP Ariba and Fieldglass. He holds a Master of Business Administration from Harvard Business School, a Bachelor of Commerce from the University of British Columbia, and a Diploma in Piano Performance from the Royal Conservatory of Music.</w:t>
      </w:r>
    </w:p>
    <w:p>
      <w:pPr>
        <w:pStyle w:val="TextBody"/>
        <w:bidi w:val="0"/>
        <w:spacing w:lineRule="auto" w:line="288" w:before="0" w:after="200"/>
        <w:ind w:left="0" w:right="0" w:firstLine="360"/>
        <w:jc w:val="both"/>
        <w:rPr/>
      </w:pPr>
      <w:r>
        <w:rPr>
          <w:rFonts w:ascii="Times New Roman;serif" w:hAnsi="Times New Roman;serif"/>
          <w:b/>
          <w:i/>
          <w:color w:val="000000"/>
          <w:sz w:val="20"/>
        </w:rPr>
        <w:t>Julien Moutte</w:t>
      </w:r>
      <w:r>
        <w:rPr>
          <w:color w:val="000000"/>
        </w:rPr>
        <w:t xml:space="preserve"> </w:t>
      </w:r>
      <w:r>
        <w:rPr>
          <w:rFonts w:ascii="Times New Roman;serif" w:hAnsi="Times New Roman;serif"/>
          <w:b w:val="false"/>
          <w:color w:val="000000"/>
          <w:sz w:val="20"/>
        </w:rPr>
        <w:t>has served as our Chief Technology Officer since 2023 and is the principal architect of our technology directions. Mr. Moutte has over 20 years of technology leadership experience in startups, scaleups, and large organizations. Prior to joining us as Vice President of Technology in 2021, Mr. Moutte served as head of technology for SAP Marketing Cloud and a member of the office of the chief technology officer with SAP Customer Experience. He also served as chief technology officer of Scytl, a platform for online voting, and the Fluendo, the Free Software multimedia experts, which he co</w:t>
        <w:noBreakHyphen/>
        <w:t>founded in 2004 in Barcelona, Spain. He holds a degree in Computer Science from Université Claude Bernard in Lyon, France.</w:t>
      </w:r>
    </w:p>
    <w:p>
      <w:pPr>
        <w:pStyle w:val="TextBody"/>
        <w:bidi w:val="0"/>
        <w:spacing w:lineRule="auto" w:line="288" w:before="0" w:after="200"/>
        <w:ind w:left="0" w:right="0" w:firstLine="360"/>
        <w:jc w:val="both"/>
        <w:rPr/>
      </w:pPr>
      <w:r>
        <w:rPr>
          <w:rFonts w:ascii="Times New Roman;serif" w:hAnsi="Times New Roman;serif"/>
          <w:b/>
          <w:i/>
          <w:color w:val="000000"/>
          <w:sz w:val="20"/>
        </w:rPr>
        <w:t>David R. Shaman</w:t>
      </w:r>
      <w:r>
        <w:rPr>
          <w:rFonts w:ascii="Times New Roman;serif" w:hAnsi="Times New Roman;serif"/>
          <w:b w:val="false"/>
          <w:color w:val="000000"/>
          <w:sz w:val="20"/>
        </w:rPr>
        <w:t>, our Chief Legal Officer, has led our legal team since 2015 and is responsible for legal, regulatory compliance, government relations, and license compliance activities. Mr. Shaman previously served as Deputy General Counsel from 2006 to 2015. Prior to joining us in 1998, Mr. Shaman was an associate at the law firm Covington &amp; Burling LLP. Mr. Shaman’s international experience includes eight years leading our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2026 Proxy Statement, which will be filed with the SEC not later than 120 days subsequent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2026 Proxy Statement, which will be filed with the SEC not later than 120 days subsequent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2026 Proxy Statement, which will be filed with the SEC not later than 120 days subsequent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our 2026 Proxy Statement, which will be filed with the SEC not later than 120 days subsequent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15. Exhibit and Financial Statement Schedules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984"/>
        <w:gridCol w:w="2984"/>
        <w:gridCol w:w="2995"/>
        <w:gridCol w:w="109"/>
        <w:gridCol w:w="109"/>
        <w:gridCol w:w="109"/>
        <w:gridCol w:w="167"/>
        <w:gridCol w:w="167"/>
        <w:gridCol w:w="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37041303a94a84bbc963d0e9d92cd4_292">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(KPMG LLP, Philadelphia, Pennsylvania, PCAOB ID: 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737041303a94a84bbc963d0e9d92cd4_292">
              <w:r>
                <w:rPr>
                  <w:rStyle w:val="InternetLink"/>
                  <w:rFonts w:ascii="Times New Roman;serif" w:hAnsi="Times New Roman;serif"/>
                  <w:b w:val="false"/>
                  <w:color w:val="000080"/>
                  <w:sz w:val="20"/>
                  <w:u w:val="single"/>
                </w:rPr>
                <w:t>F-</w:t>
              </w:r>
            </w:hyperlink>
            <w:hyperlink w:anchor="ic737041303a94a84bbc963d0e9d92cd4_292">
              <w:r>
                <w:rPr>
                  <w:rStyle w:val="InternetLink"/>
                  <w:rFonts w:ascii="Times New Roman;serif" w:hAnsi="Times New Roman;serif"/>
                  <w:b w:val="false"/>
                  <w:color w:val="000080"/>
                  <w:sz w:val="20"/>
                  <w:u w:val="single"/>
                </w:rPr>
                <w:t>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01">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1">
              <w:r>
                <w:rPr>
                  <w:rStyle w:val="InternetLink"/>
                  <w:rFonts w:ascii="Times New Roman;serif" w:hAnsi="Times New Roman;serif"/>
                  <w:b w:val="false"/>
                  <w:color w:val="000080"/>
                  <w:sz w:val="20"/>
                  <w:u w:val="single"/>
                </w:rPr>
                <w:t>F-</w:t>
              </w:r>
            </w:hyperlink>
            <w:hyperlink w:anchor="ic737041303a94a84bbc963d0e9d92cd4_301">
              <w:r>
                <w:rPr>
                  <w:rStyle w:val="InternetLink"/>
                  <w:rFonts w:ascii="Times New Roman;serif" w:hAnsi="Times New Roman;serif"/>
                  <w:b w:val="false"/>
                  <w:color w:val="000080"/>
                  <w:sz w:val="20"/>
                  <w:u w:val="single"/>
                </w:rPr>
                <w:t>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04">
              <w:r>
                <w:rPr>
                  <w:rStyle w:val="InternetLink"/>
                  <w:rFonts w:ascii="Times New Roman;serif" w:hAnsi="Times New Roman;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4">
              <w:r>
                <w:rPr>
                  <w:rStyle w:val="InternetLink"/>
                  <w:rFonts w:ascii="Times New Roman;serif" w:hAnsi="Times New Roman;serif"/>
                  <w:b w:val="false"/>
                  <w:color w:val="000080"/>
                  <w:sz w:val="20"/>
                  <w:u w:val="single"/>
                </w:rPr>
                <w:t>F-</w:t>
              </w:r>
            </w:hyperlink>
            <w:hyperlink w:anchor="ic737041303a94a84bbc963d0e9d92cd4_304">
              <w:r>
                <w:rPr>
                  <w:rStyle w:val="InternetLink"/>
                  <w:rFonts w:ascii="Times New Roman;serif" w:hAnsi="Times New Roman;serif"/>
                  <w:b w:val="false"/>
                  <w:color w:val="000080"/>
                  <w:sz w:val="20"/>
                  <w:u w:val="single"/>
                </w:rPr>
                <w:t>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07">
              <w:r>
                <w:rPr>
                  <w:rStyle w:val="InternetLink"/>
                  <w:rFonts w:ascii="Times New Roman;serif" w:hAnsi="Times New Roman;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7">
              <w:r>
                <w:rPr>
                  <w:rStyle w:val="InternetLink"/>
                  <w:rFonts w:ascii="Times New Roman;serif" w:hAnsi="Times New Roman;serif"/>
                  <w:b w:val="false"/>
                  <w:color w:val="000080"/>
                  <w:sz w:val="20"/>
                  <w:u w:val="single"/>
                </w:rPr>
                <w:t>F-</w:t>
              </w:r>
            </w:hyperlink>
            <w:hyperlink w:anchor="ic737041303a94a84bbc963d0e9d92cd4_307">
              <w:r>
                <w:rPr>
                  <w:rStyle w:val="InternetLink"/>
                  <w:rFonts w:ascii="Times New Roman;serif" w:hAnsi="Times New Roman;serif"/>
                  <w:b w:val="false"/>
                  <w:color w:val="000080"/>
                  <w:sz w:val="20"/>
                  <w:u w:val="single"/>
                </w:rPr>
                <w:t>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10">
              <w:r>
                <w:rPr>
                  <w:rStyle w:val="InternetLink"/>
                  <w:rFonts w:ascii="Times New Roman;serif" w:hAnsi="Times New Roman;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10">
              <w:r>
                <w:rPr>
                  <w:rStyle w:val="InternetLink"/>
                  <w:rFonts w:ascii="Times New Roman;serif" w:hAnsi="Times New Roman;serif"/>
                  <w:b w:val="false"/>
                  <w:color w:val="000080"/>
                  <w:sz w:val="20"/>
                  <w:u w:val="single"/>
                </w:rPr>
                <w:t>F-</w:t>
              </w:r>
            </w:hyperlink>
            <w:hyperlink w:anchor="ic737041303a94a84bbc963d0e9d92cd4_310">
              <w:r>
                <w:rPr>
                  <w:rStyle w:val="InternetLink"/>
                  <w:rFonts w:ascii="Times New Roman;serif" w:hAnsi="Times New Roman;serif"/>
                  <w:b w:val="false"/>
                  <w:color w:val="000080"/>
                  <w:sz w:val="20"/>
                  <w:u w:val="single"/>
                </w:rPr>
                <w:t>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13">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13">
              <w:r>
                <w:rPr>
                  <w:rStyle w:val="InternetLink"/>
                  <w:rFonts w:ascii="Times New Roman;serif" w:hAnsi="Times New Roman;serif"/>
                  <w:b w:val="false"/>
                  <w:color w:val="000080"/>
                  <w:sz w:val="20"/>
                  <w:u w:val="single"/>
                </w:rPr>
                <w:t>F-</w:t>
              </w:r>
            </w:hyperlink>
            <w:hyperlink w:anchor="ic737041303a94a84bbc963d0e9d92cd4_313">
              <w:r>
                <w:rPr>
                  <w:rStyle w:val="InternetLink"/>
                  <w:rFonts w:ascii="Times New Roman;serif" w:hAnsi="Times New Roman;serif"/>
                  <w:b w:val="false"/>
                  <w:color w:val="000080"/>
                  <w:sz w:val="20"/>
                  <w:u w:val="single"/>
                </w:rPr>
                <w:t>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22">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22">
              <w:r>
                <w:rPr>
                  <w:rStyle w:val="InternetLink"/>
                  <w:rFonts w:ascii="Times New Roman;serif" w:hAnsi="Times New Roman;serif"/>
                  <w:b w:val="false"/>
                  <w:color w:val="000080"/>
                  <w:sz w:val="20"/>
                  <w:u w:val="single"/>
                </w:rPr>
                <w:t>F-</w:t>
              </w:r>
            </w:hyperlink>
            <w:hyperlink w:anchor="ic737041303a94a84bbc963d0e9d92cd4_322">
              <w:r>
                <w:rPr>
                  <w:rStyle w:val="InternetLink"/>
                  <w:rFonts w:ascii="Times New Roman;serif" w:hAnsi="Times New Roman;serif"/>
                  <w:b w:val="false"/>
                  <w:color w:val="000080"/>
                  <w:sz w:val="20"/>
                  <w:u w:val="single"/>
                </w:rPr>
                <w:t>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since they are either not required, not applicable, or the information is included in the consolidated financial statements or notes thereto.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5"/>
        <w:gridCol w:w="224"/>
        <w:gridCol w:w="227"/>
        <w:gridCol w:w="109"/>
        <w:gridCol w:w="109"/>
        <w:gridCol w:w="109"/>
        <w:gridCol w:w="1305"/>
        <w:gridCol w:w="1170"/>
        <w:gridCol w:w="1174"/>
        <w:gridCol w:w="109"/>
        <w:gridCol w:w="109"/>
        <w:gridCol w:w="109"/>
        <w:gridCol w:w="171"/>
        <w:gridCol w:w="171"/>
        <w:gridCol w:w="172"/>
        <w:gridCol w:w="109"/>
        <w:gridCol w:w="109"/>
        <w:gridCol w:w="109"/>
        <w:gridCol w:w="299"/>
        <w:gridCol w:w="243"/>
        <w:gridCol w:w="162"/>
        <w:gridCol w:w="109"/>
        <w:gridCol w:w="109"/>
        <w:gridCol w:w="109"/>
        <w:gridCol w:w="213"/>
        <w:gridCol w:w="213"/>
        <w:gridCol w:w="214"/>
        <w:gridCol w:w="109"/>
        <w:gridCol w:w="109"/>
        <w:gridCol w:w="109"/>
        <w:gridCol w:w="398"/>
        <w:gridCol w:w="398"/>
        <w:gridCol w:w="402"/>
        <w:gridCol w:w="109"/>
        <w:gridCol w:w="109"/>
        <w:gridCol w:w="109"/>
        <w:gridCol w:w="240"/>
        <w:gridCol w:w="240"/>
        <w:gridCol w:w="35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Amended and Restated Certificate of Incorporation of Bentley Systems, Incorporated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25,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Amended and Restated Bylaws of Bentley Systems, Incorporated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Form of Bentley Systems, Incorporated Class B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333-248246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18,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Indenture, dated as of June 28, 2021, between Bentley Systems, Incorporated and Wilmington Trust,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June 29,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Form of 0.375% Convertible Senior Note due 2027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in 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June 29,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Description of Bentley Systems, Incorporated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Form of Capped Call Confirmation relating to the 0.375% Convertible Senior Note due 2027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June 29,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Second Amended and Restated Credit Agreement, dated as of October 18, 2024, by and among Bentley Systems, Incorporated, the lenders party thereto, and PNC Bank, National Association,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Bentley Systems, Incorporated 2020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Amendment No. 1 to the Bentley Systems, Incorporated 2020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Form of Restricted Stock Unit Award Agreement under the Bentley Systems, Incorporated 2020 Omnibus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tbl>
      <w:tblPr>
        <w:tblW w:w="10205" w:type="dxa"/>
        <w:jc w:val="left"/>
        <w:tblInd w:w="0" w:type="dxa"/>
        <w:tblLayout w:type="fixed"/>
        <w:tblCellMar>
          <w:top w:w="28" w:type="dxa"/>
          <w:left w:w="28" w:type="dxa"/>
          <w:bottom w:w="28" w:type="dxa"/>
          <w:right w:w="28" w:type="dxa"/>
        </w:tblCellMar>
      </w:tblPr>
      <w:tblGrid>
        <w:gridCol w:w="260"/>
        <w:gridCol w:w="228"/>
        <w:gridCol w:w="231"/>
        <w:gridCol w:w="109"/>
        <w:gridCol w:w="109"/>
        <w:gridCol w:w="109"/>
        <w:gridCol w:w="1461"/>
        <w:gridCol w:w="1200"/>
        <w:gridCol w:w="1205"/>
        <w:gridCol w:w="109"/>
        <w:gridCol w:w="109"/>
        <w:gridCol w:w="109"/>
        <w:gridCol w:w="173"/>
        <w:gridCol w:w="173"/>
        <w:gridCol w:w="174"/>
        <w:gridCol w:w="109"/>
        <w:gridCol w:w="109"/>
        <w:gridCol w:w="109"/>
        <w:gridCol w:w="299"/>
        <w:gridCol w:w="243"/>
        <w:gridCol w:w="160"/>
        <w:gridCol w:w="109"/>
        <w:gridCol w:w="109"/>
        <w:gridCol w:w="109"/>
        <w:gridCol w:w="210"/>
        <w:gridCol w:w="210"/>
        <w:gridCol w:w="211"/>
        <w:gridCol w:w="109"/>
        <w:gridCol w:w="109"/>
        <w:gridCol w:w="109"/>
        <w:gridCol w:w="339"/>
        <w:gridCol w:w="339"/>
        <w:gridCol w:w="293"/>
        <w:gridCol w:w="109"/>
        <w:gridCol w:w="109"/>
        <w:gridCol w:w="109"/>
        <w:gridCol w:w="240"/>
        <w:gridCol w:w="240"/>
        <w:gridCol w:w="354"/>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Bentley Systems, Incorporated Global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Bentley Systems, Incorporated Nonqualified Deferred Compensation Plan, as amended and restated effective as of September 22,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Amendment No. 1 to the Amended and Restated Bentley Systems, Incorporated Nonqualified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Bentley Systems, Incorporated Nonqualified Deferred Compensation Plan for Non-Employee Directors, as amended and restated effective as of January 1,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333-248246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September 8,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Bentley Systems, Incorporated Bonus Pool Plan, as amended and restated effective as of September 22,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Amendment No. 1 to the Amended and Restated Bentley Systems, Incorporated Bonus Pool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Amendment No. 2 to the Amended and Restated Bentley Systems, Incorporated Bonus Pool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Bentley Systems, Incorporated Severance Policy for Key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Letter Agreement by and among Nicholas H. Cumins, Bentley Systems, Incorporated, and Bentley Systems France S.a.r.l.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5q4exhibit1015.htm">
              <w:r>
                <w:rPr>
                  <w:rStyle w:val="InternetLink"/>
                  <w:rFonts w:ascii="Times New Roman;serif" w:hAnsi="Times New Roman;serif"/>
                  <w:b w:val="false"/>
                  <w:color w:val="0000FF"/>
                  <w:sz w:val="18"/>
                  <w:u w:val="single"/>
                </w:rPr>
                <w:t>Employment Agreement by and between James Lee and Bentley Systems, Incorporated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Common Stock Purchase Agreement, by and among Bentley Systems, Incorporated, Siemens AG, and the persons listed as “Key Holders” therein, dated September 23, 2016, as amended on October 28, 2016, and April 23,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333-248246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August 21,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Bentley Systems, Incorporated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5q4exhibit21.htm">
              <w:r>
                <w:rPr>
                  <w:rStyle w:val="InternetLink"/>
                  <w:rFonts w:ascii="Times New Roman;serif" w:hAnsi="Times New Roman;serif"/>
                  <w:b w:val="false"/>
                  <w:color w:val="0000FF"/>
                  <w:sz w:val="18"/>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5q4exhibit23.htm">
              <w:r>
                <w:rPr>
                  <w:rStyle w:val="InternetLink"/>
                  <w:rFonts w:ascii="Times New Roman;serif" w:hAnsi="Times New Roman;serif"/>
                  <w:b w:val="false"/>
                  <w:color w:val="0000FF"/>
                  <w:sz w:val="18"/>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5q4exhibit311.htm">
              <w:r>
                <w:rPr>
                  <w:rStyle w:val="InternetLink"/>
                  <w:rFonts w:ascii="Times New Roman;serif" w:hAnsi="Times New Roman;serif"/>
                  <w:b w:val="false"/>
                  <w:color w:val="0000FF"/>
                  <w:sz w:val="18"/>
                  <w:u w:val="single"/>
                </w:rPr>
                <w:t>Certification of CEO pursuant to Rule 13a-14(a) and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5q4exhibit312.htm">
              <w:r>
                <w:rPr>
                  <w:rStyle w:val="InternetLink"/>
                  <w:rFonts w:ascii="Times New Roman;serif" w:hAnsi="Times New Roman;serif"/>
                  <w:b w:val="false"/>
                  <w:color w:val="0000FF"/>
                  <w:sz w:val="18"/>
                  <w:u w:val="single"/>
                </w:rPr>
                <w:t>Certification of CFO pursuant to Rule 13a-14(a) and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5q4exhibit32.htm">
              <w:r>
                <w:rPr>
                  <w:rStyle w:val="InternetLink"/>
                  <w:rFonts w:ascii="Times New Roman;serif" w:hAnsi="Times New Roman;serif"/>
                  <w:b w:val="false"/>
                  <w:color w:val="0000FF"/>
                  <w:sz w:val="18"/>
                  <w:u w:val="single"/>
                </w:rPr>
                <w:t>Certification of CEO and CFO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Bentley Systems, Incorporated Incentive Compensation Clawback Policy, as Adopted on August 17, 2023 Pursuant to Nasdaq Rule 5608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001-39548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Document—the instance document does not appear in the Interactive Data File as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tbl>
      <w:tblPr>
        <w:tblW w:w="10205" w:type="dxa"/>
        <w:jc w:val="left"/>
        <w:tblInd w:w="0" w:type="dxa"/>
        <w:tblLayout w:type="fixed"/>
        <w:tblCellMar>
          <w:top w:w="28" w:type="dxa"/>
          <w:left w:w="28" w:type="dxa"/>
          <w:bottom w:w="28" w:type="dxa"/>
          <w:right w:w="28" w:type="dxa"/>
        </w:tblCellMar>
      </w:tblPr>
      <w:tblGrid>
        <w:gridCol w:w="280"/>
        <w:gridCol w:w="246"/>
        <w:gridCol w:w="249"/>
        <w:gridCol w:w="109"/>
        <w:gridCol w:w="109"/>
        <w:gridCol w:w="109"/>
        <w:gridCol w:w="1356"/>
        <w:gridCol w:w="1347"/>
        <w:gridCol w:w="1352"/>
        <w:gridCol w:w="109"/>
        <w:gridCol w:w="109"/>
        <w:gridCol w:w="109"/>
        <w:gridCol w:w="170"/>
        <w:gridCol w:w="170"/>
        <w:gridCol w:w="171"/>
        <w:gridCol w:w="109"/>
        <w:gridCol w:w="109"/>
        <w:gridCol w:w="109"/>
        <w:gridCol w:w="203"/>
        <w:gridCol w:w="203"/>
        <w:gridCol w:w="204"/>
        <w:gridCol w:w="109"/>
        <w:gridCol w:w="109"/>
        <w:gridCol w:w="109"/>
        <w:gridCol w:w="210"/>
        <w:gridCol w:w="210"/>
        <w:gridCol w:w="211"/>
        <w:gridCol w:w="109"/>
        <w:gridCol w:w="109"/>
        <w:gridCol w:w="109"/>
        <w:gridCol w:w="276"/>
        <w:gridCol w:w="276"/>
        <w:gridCol w:w="278"/>
        <w:gridCol w:w="109"/>
        <w:gridCol w:w="109"/>
        <w:gridCol w:w="109"/>
        <w:gridCol w:w="240"/>
        <w:gridCol w:w="240"/>
        <w:gridCol w:w="351"/>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Filed or furnished herewith. The certification attached as Exhibit 32 that accompanies this Annual Report on Form 10</w:t>
              <w:noBreakHyphen/>
              <w:t>K is not deemed filed with the SEC and is not to be incorporated by reference into any filing of Bentley Systems, Incorporated under the Securities Act of 1933, as amended, or the Securities Exchange Act of 1934, as amended, whether made before or after the date of this Annual Report on Form 10</w:t>
              <w:noBreakHyphen/>
              <w:t>K, irrespective of any general incorporation language contained in such filing.</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 Exhibits: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hereby file the exhibits listed in the attached Exhibit Index.</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 Financial Statement Schedules: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88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423"/>
        <w:gridCol w:w="423"/>
        <w:gridCol w:w="423"/>
        <w:gridCol w:w="639"/>
        <w:gridCol w:w="639"/>
        <w:gridCol w:w="92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Bentley Systems, Incorporated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0" w:after="3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as of February 26, 2026.</w:t>
      </w:r>
    </w:p>
    <w:tbl>
      <w:tblPr>
        <w:tblW w:w="6087" w:type="dxa"/>
        <w:jc w:val="center"/>
        <w:tblInd w:w="0" w:type="dxa"/>
        <w:tblLayout w:type="fixed"/>
        <w:tblCellMar>
          <w:top w:w="28" w:type="dxa"/>
          <w:left w:w="28" w:type="dxa"/>
          <w:bottom w:w="28" w:type="dxa"/>
          <w:right w:w="28" w:type="dxa"/>
        </w:tblCellMar>
      </w:tblPr>
      <w:tblGrid>
        <w:gridCol w:w="840"/>
        <w:gridCol w:w="740"/>
        <w:gridCol w:w="745"/>
        <w:gridCol w:w="109"/>
        <w:gridCol w:w="109"/>
        <w:gridCol w:w="109"/>
        <w:gridCol w:w="1003"/>
        <w:gridCol w:w="1003"/>
        <w:gridCol w:w="1429"/>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Nicholas H. Cumins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Werner Andre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T</w:t>
            </w:r>
            <w:r>
              <w:rPr>
                <w:rFonts w:ascii="Times New Roman;serif" w:hAnsi="Times New Roman;serif"/>
                <w:b w:val="false"/>
                <w:color w:val="000000"/>
                <w:sz w:val="16"/>
              </w:rPr>
              <w:t>HOMAS</w:t>
            </w:r>
            <w:r>
              <w:rPr>
                <w:color w:val="000000"/>
              </w:rPr>
              <w:t xml:space="preserve"> </w:t>
            </w:r>
            <w:r>
              <w:rPr>
                <w:rFonts w:ascii="Times New Roman;serif" w:hAnsi="Times New Roman;serif"/>
                <w:b w:val="false"/>
                <w:color w:val="000000"/>
                <w:sz w:val="20"/>
              </w:rPr>
              <w:t>F. T</w:t>
            </w:r>
            <w:r>
              <w:rPr>
                <w:rFonts w:ascii="Times New Roman;serif" w:hAnsi="Times New Roman;serif"/>
                <w:b w:val="false"/>
                <w:color w:val="000000"/>
                <w:sz w:val="16"/>
              </w:rPr>
              <w:t>RIMBACK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 and Controller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Thomas F. Trimback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G</w:t>
            </w:r>
            <w:r>
              <w:rPr>
                <w:rFonts w:ascii="Times New Roman;serif" w:hAnsi="Times New Roman;serif"/>
                <w:b w:val="false"/>
                <w:color w:val="000000"/>
                <w:sz w:val="16"/>
              </w:rPr>
              <w:t>REGORY</w:t>
            </w:r>
            <w:r>
              <w:rPr>
                <w:color w:val="000000"/>
              </w:rPr>
              <w:t xml:space="preserve"> </w:t>
            </w:r>
            <w:r>
              <w:rPr>
                <w:rFonts w:ascii="Times New Roman;serif" w:hAnsi="Times New Roman;serif"/>
                <w:b w:val="false"/>
                <w:color w:val="000000"/>
                <w:sz w:val="20"/>
              </w:rPr>
              <w:t>S. B</w:t>
            </w:r>
            <w:r>
              <w:rPr>
                <w:rFonts w:ascii="Times New Roman;serif" w:hAnsi="Times New Roman;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Chair and President</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Gregory S.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ARRY</w:t>
            </w:r>
            <w:r>
              <w:rPr>
                <w:color w:val="000000"/>
              </w:rPr>
              <w:t xml:space="preserve"> </w:t>
            </w:r>
            <w:r>
              <w:rPr>
                <w:rFonts w:ascii="Times New Roman;serif" w:hAnsi="Times New Roman;serif"/>
                <w:b w:val="false"/>
                <w:color w:val="000000"/>
                <w:sz w:val="20"/>
              </w:rPr>
              <w:t>J. B</w:t>
            </w:r>
            <w:r>
              <w:rPr>
                <w:rFonts w:ascii="Times New Roman;serif" w:hAnsi="Times New Roman;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Barry J.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K</w:t>
            </w:r>
            <w:r>
              <w:rPr>
                <w:rFonts w:ascii="Times New Roman;serif" w:hAnsi="Times New Roman;serif"/>
                <w:b w:val="false"/>
                <w:color w:val="000000"/>
                <w:sz w:val="16"/>
              </w:rPr>
              <w:t>EITH</w:t>
            </w:r>
            <w:r>
              <w:rPr>
                <w:color w:val="000000"/>
              </w:rPr>
              <w:t xml:space="preserve"> </w:t>
            </w:r>
            <w:r>
              <w:rPr>
                <w:rFonts w:ascii="Times New Roman;serif" w:hAnsi="Times New Roman;serif"/>
                <w:b w:val="false"/>
                <w:color w:val="000000"/>
                <w:sz w:val="20"/>
              </w:rPr>
              <w:t>A. B</w:t>
            </w:r>
            <w:r>
              <w:rPr>
                <w:rFonts w:ascii="Times New Roman;serif" w:hAnsi="Times New Roman;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Keith A.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AYMOND</w:t>
            </w:r>
            <w:r>
              <w:rPr>
                <w:color w:val="000000"/>
              </w:rPr>
              <w:t xml:space="preserve"> </w:t>
            </w:r>
            <w:r>
              <w:rPr>
                <w:rFonts w:ascii="Times New Roman;serif" w:hAnsi="Times New Roman;serif"/>
                <w:b w:val="false"/>
                <w:color w:val="000000"/>
                <w:sz w:val="20"/>
              </w:rPr>
              <w:t>B. B</w:t>
            </w:r>
            <w:r>
              <w:rPr>
                <w:rFonts w:ascii="Times New Roman;serif" w:hAnsi="Times New Roman;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Raymond B.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K</w:t>
            </w:r>
            <w:r>
              <w:rPr>
                <w:rFonts w:ascii="Times New Roman;serif" w:hAnsi="Times New Roman;serif"/>
                <w:b w:val="false"/>
                <w:color w:val="000000"/>
                <w:sz w:val="16"/>
              </w:rPr>
              <w:t>IRK</w:t>
            </w:r>
            <w:r>
              <w:rPr>
                <w:color w:val="000000"/>
              </w:rPr>
              <w:t xml:space="preserve"> </w:t>
            </w:r>
            <w:r>
              <w:rPr>
                <w:rFonts w:ascii="Times New Roman;serif" w:hAnsi="Times New Roman;serif"/>
                <w:b w:val="false"/>
                <w:color w:val="000000"/>
                <w:sz w:val="20"/>
              </w:rPr>
              <w:t>B. G</w:t>
            </w:r>
            <w:r>
              <w:rPr>
                <w:rFonts w:ascii="Times New Roman;serif" w:hAnsi="Times New Roman;serif"/>
                <w:b w:val="false"/>
                <w:color w:val="000000"/>
                <w:sz w:val="16"/>
              </w:rPr>
              <w:t>RISWOLD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Kirk B. Griswold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J</w:t>
            </w:r>
            <w:r>
              <w:rPr>
                <w:rFonts w:ascii="Times New Roman;serif" w:hAnsi="Times New Roman;serif"/>
                <w:b w:val="false"/>
                <w:color w:val="000000"/>
                <w:sz w:val="16"/>
              </w:rPr>
              <w:t>ANET</w:t>
            </w:r>
            <w:r>
              <w:rPr>
                <w:color w:val="000000"/>
              </w:rPr>
              <w:t xml:space="preserve"> </w:t>
            </w:r>
            <w:r>
              <w:rPr>
                <w:rFonts w:ascii="Times New Roman;serif" w:hAnsi="Times New Roman;serif"/>
                <w:b w:val="false"/>
                <w:color w:val="000000"/>
                <w:sz w:val="20"/>
              </w:rPr>
              <w:t>B. H</w:t>
            </w:r>
            <w:r>
              <w:rPr>
                <w:rFonts w:ascii="Times New Roman;serif" w:hAnsi="Times New Roman;serif"/>
                <w:b w:val="false"/>
                <w:color w:val="000000"/>
                <w:sz w:val="16"/>
              </w:rPr>
              <w:t>AUGEN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Janet B. Haugen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RIAN</w:t>
            </w:r>
            <w:r>
              <w:rPr>
                <w:color w:val="000000"/>
              </w:rPr>
              <w:t xml:space="preserve"> </w:t>
            </w:r>
            <w:r>
              <w:rPr>
                <w:rFonts w:ascii="Times New Roman;serif" w:hAnsi="Times New Roman;serif"/>
                <w:b w:val="false"/>
                <w:color w:val="000000"/>
                <w:sz w:val="20"/>
              </w:rPr>
              <w:t>F. H</w:t>
            </w:r>
            <w:r>
              <w:rPr>
                <w:rFonts w:ascii="Times New Roman;serif" w:hAnsi="Times New Roman;serif"/>
                <w:b w:val="false"/>
                <w:color w:val="000000"/>
                <w:sz w:val="16"/>
              </w:rPr>
              <w:t>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F.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Bentley Systems, Incorporated: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lineRule="auto" w:line="288" w:before="0" w:after="200"/>
        <w:jc w:val="both"/>
        <w:rPr/>
      </w:pPr>
      <w:r>
        <w:rPr>
          <w:rFonts w:ascii="Times New Roman;serif" w:hAnsi="Times New Roman;serif"/>
          <w:b w:val="false"/>
          <w:color w:val="000000"/>
          <w:sz w:val="20"/>
        </w:rPr>
        <w:t>We have audited the accompanying consolidated balance sheets of Bentley Systems, Incorporated and subsidiaries (the Company) as of December 31, 2025 and 2024, the related consolidated statements of operations, comprehensive income, equity, and cash flows for each of the years in the three</w:t>
        <w:noBreakHyphen/>
        <w:t xml:space="preserv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0" w:after="200"/>
        <w:jc w:val="both"/>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years in the three</w:t>
        <w:noBreakHyphen/>
        <w:t xml:space="preserv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Basis for Opinions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IT systems used in subscriptions and licenses revenues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discussed in Note 3 to the consolidated financial statements and disclosed in the consolidated statements of operations, the Company recorded $1,501,779 thousand of total revenues for the year ended December 31, 2025, of which $1,422,876 thousand related to subscriptions and licenses. There are high volumes of subscription and license transactions processed across multiple information technology (IT) systems.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identified the evaluation of the sufficiency of audit evidence over subscriptions and licenses revenues as a critical audit matter. This matter required especially subjective auditor judgment because of the number of IT applications involved in the subscriptions and licenses revenue recognition process. This matter also included determining the nature and extent of audit evidence obtained over subscriptions and licenses revenues and required specialized skills and knowledge for the performance of certain procedures.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applied auditor judgment to determine the nature and extent of procedures to be performed over subscriptions and licenses revenues, including the determination of the IT applications subject to testing. We evaluated the design and tested the operating effectiveness of certain internal controls over the Company’s subscriptions and licenses revenue process, including associated IT controls. We assessed the recorded subscriptions and licenses revenues by selecting a sample of transactions and comparing the amounts recognized for consistency with underlying documentation, including contracts with customers. We also involved IT professionals with specialized skills and knowledge, who assisted in testing key reports, application controls and general IT controls over certain IT applications that are used by the Company in its subscriptions and licenses revenue recognition process. We evaluated the sufficiency of audit evidence obtained by assessing the results of procedures performed, including the appropriateness of the nature and extent of such evidence.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35"/>
        <w:gridCol w:w="2167"/>
        <w:gridCol w:w="2150"/>
        <w:gridCol w:w="109"/>
        <w:gridCol w:w="109"/>
        <w:gridCol w:w="109"/>
        <w:gridCol w:w="196"/>
        <w:gridCol w:w="871"/>
        <w:gridCol w:w="109"/>
        <w:gridCol w:w="109"/>
        <w:gridCol w:w="109"/>
        <w:gridCol w:w="109"/>
        <w:gridCol w:w="196"/>
        <w:gridCol w:w="871"/>
        <w:gridCol w:w="156"/>
      </w:tblGrid>
      <w:tr>
        <w:trPr/>
        <w:tc>
          <w:tcPr>
            <w:tcW w:w="283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3,399,807 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Cloud Services Subscription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814,334 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1,388,088 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2,358,687 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authorized 100,000,000 shares; none issued or outstanding as of December 31,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authorized 100,000,000 shares; issued and outstanding 11,537,627 shares as of December 31,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$0.01 par value, authorized 1,800,000,000 shares; issued and outstanding 290,817,470 and 290,439,703 shares as of December 31, 2025 and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Bentley Systems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3,399,807 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22"/>
        <w:gridCol w:w="1677"/>
        <w:gridCol w:w="1691"/>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92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 net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314,690,707 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312,358,823 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333,089,213 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333,774,167 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332,503,633 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87"/>
        <w:gridCol w:w="1818"/>
        <w:gridCol w:w="1835"/>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087"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gain (loss) on retirement plan, net of tax effect of $(106), $(45), and $(89),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BENTLEY SYSTEMS, INCORPORATED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Equity</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 thousands, except share data)</w:t>
      </w:r>
    </w:p>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75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289,014,487 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DCP,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3,410,006 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DCP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2,621,959 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643,039 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296,265,837 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883,982 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DCP</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4,707,845 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DCP elective participant deferrals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Bonus Plan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844,283 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904,789 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301,977,330 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DCP,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1,657,737 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Bonus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280,767 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1,230,105 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302,355,097 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1,189,492 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before="0" w:after="0"/>
        <w:jc w:val="center"/>
        <w:rPr/>
      </w:pPr>
      <w:r>
        <w:rPr/>
      </w:r>
    </w:p>
    <w:tbl>
      <w:tblPr>
        <w:tblW w:w="9938" w:type="dxa"/>
        <w:jc w:val="center"/>
        <w:tblInd w:w="0" w:type="dxa"/>
        <w:tblLayout w:type="fixed"/>
        <w:tblCellMar>
          <w:top w:w="28" w:type="dxa"/>
          <w:left w:w="28" w:type="dxa"/>
          <w:bottom w:w="28" w:type="dxa"/>
          <w:right w:w="28" w:type="dxa"/>
        </w:tblCellMar>
      </w:tblPr>
      <w:tblGrid>
        <w:gridCol w:w="2097"/>
        <w:gridCol w:w="1839"/>
        <w:gridCol w:w="1853"/>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remeasurement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Cloud Services Subscription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net of 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investment in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contingent and non-contingent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before="0" w:after="0"/>
        <w:jc w:val="center"/>
        <w:rPr/>
      </w:pPr>
      <w:r>
        <w:rPr/>
      </w:r>
    </w:p>
    <w:tbl>
      <w:tblPr>
        <w:tblW w:w="7868" w:type="dxa"/>
        <w:jc w:val="center"/>
        <w:tblInd w:w="0" w:type="dxa"/>
        <w:tblLayout w:type="fixed"/>
        <w:tblCellMar>
          <w:top w:w="28" w:type="dxa"/>
          <w:left w:w="28" w:type="dxa"/>
          <w:bottom w:w="28" w:type="dxa"/>
          <w:right w:w="28" w:type="dxa"/>
        </w:tblCellMar>
      </w:tblPr>
      <w:tblGrid>
        <w:gridCol w:w="1346"/>
        <w:gridCol w:w="1185"/>
        <w:gridCol w:w="118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paid for income taxes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non-contingent consideration,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Share-settled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DCP elective participant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(1)Cash paid for income taxes includes third</w:t>
        <w:noBreakHyphen/>
        <w:t>party withholding taxes.</w:t>
      </w:r>
    </w:p>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 Description of Business and Summary of Significant Accounting Policies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Business and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is the infrastructure engineering software company. The Company’s purpose is to advance the world’s infrastructure for better quality of life. The Company’s mission is to reshape how infrastructure systems and critical resources are delivered and optimized.</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serves enterprises and professionals across the infrastructure lifecycle, from the design and construction of new projects to the operation and maintenance of existing assets. The Company’s </w:t>
      </w:r>
      <w:r>
        <w:rPr>
          <w:rFonts w:ascii="Times New Roman;serif" w:hAnsi="Times New Roman;serif"/>
          <w:b w:val="false"/>
          <w:i/>
          <w:color w:val="000000"/>
          <w:sz w:val="20"/>
        </w:rPr>
        <w:t>Bentley Open</w:t>
      </w:r>
      <w:r>
        <w:rPr>
          <w:color w:val="000000"/>
        </w:rPr>
        <w:t xml:space="preserve"> </w:t>
      </w:r>
      <w:r>
        <w:rPr>
          <w:rFonts w:ascii="Times New Roman;serif" w:hAnsi="Times New Roman;serif"/>
          <w:b w:val="false"/>
          <w:i/>
          <w:color w:val="000000"/>
          <w:sz w:val="20"/>
        </w:rPr>
        <w:t>Applications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Seequent</w:t>
      </w:r>
      <w:r>
        <w:rPr>
          <w:color w:val="000000"/>
        </w:rPr>
        <w:t xml:space="preserve"> </w:t>
      </w:r>
      <w:r>
        <w:rPr>
          <w:rFonts w:ascii="Times New Roman;serif" w:hAnsi="Times New Roman;serif"/>
          <w:b w:val="false"/>
          <w:color w:val="000000"/>
          <w:sz w:val="20"/>
        </w:rPr>
        <w:t xml:space="preserve">applications are primarily cloud-connected desktop modeling and simulation applications that support the breadth of engineering and geoprofessional disciplines.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 xml:space="preserve">, provided via cloud and hybrid environments, extends enterprise collaboration during project delivery, and helps manage engineering information during operations and maintenance. </w:t>
      </w:r>
      <w:r>
        <w:rPr>
          <w:rFonts w:ascii="Times New Roman;serif" w:hAnsi="Times New Roman;serif"/>
          <w:b w:val="false"/>
          <w:i/>
          <w:color w:val="000000"/>
          <w:sz w:val="20"/>
        </w:rPr>
        <w:t>Bentley Asset Analytics</w:t>
      </w:r>
      <w:r>
        <w:rPr>
          <w:color w:val="000000"/>
        </w:rPr>
        <w:t xml:space="preserve"> </w:t>
      </w:r>
      <w:r>
        <w:rPr>
          <w:rFonts w:ascii="Times New Roman;serif" w:hAnsi="Times New Roman;serif"/>
          <w:b w:val="false"/>
          <w:color w:val="000000"/>
          <w:sz w:val="20"/>
        </w:rPr>
        <w:t xml:space="preserve">products automatically detect and analyze issues to trigger key operational workflows, improving overall asset performance. Powering these products is the </w:t>
      </w:r>
      <w:r>
        <w:rPr>
          <w:rFonts w:ascii="Times New Roman;serif" w:hAnsi="Times New Roman;serif"/>
          <w:b w:val="false"/>
          <w:i/>
          <w:color w:val="000000"/>
          <w:sz w:val="20"/>
        </w:rPr>
        <w:t>Cesium and iTwin Platform</w:t>
      </w:r>
      <w:r>
        <w:rPr>
          <w:rFonts w:ascii="Times New Roman;serif" w:hAnsi="Times New Roman;serif"/>
          <w:b w:val="false"/>
          <w:color w:val="000000"/>
          <w:sz w:val="20"/>
        </w:rPr>
        <w:t>, a cloud</w:t>
        <w:noBreakHyphen/>
        <w:t>native technology platform to create, curate, and leverage infrastructure digital twins. Through the Company’s platform, products are becoming increasingly data-centric to take advantage of digital twin and AI capabilities.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Basis of Presentation and Consolidation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consolidated subsidiaries. All intercompany accounts and transactions have been eliminated in consolidation.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consolidated financial statements and accompanying notes have been prepared in U.S. dollars. Gains and losses resulting from foreign currency transactions denominated in currencies other than the functional currency are included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 xml:space="preserve">in the consolidated statements of operations.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Times New Roman;serif" w:hAnsi="Times New Roman;serif"/>
          <w:b w:val="false"/>
          <w:i/>
          <w:color w:val="000000"/>
          <w:sz w:val="20"/>
        </w:rPr>
        <w:t>Other comprehensive income (loss), net of taxes</w:t>
      </w:r>
      <w:r>
        <w:rPr>
          <w:color w:val="000000"/>
        </w:rPr>
        <w:t xml:space="preserve"> </w:t>
      </w:r>
      <w:r>
        <w:rPr>
          <w:rFonts w:ascii="Times New Roman;serif" w:hAnsi="Times New Roman;serif"/>
          <w:b w:val="false"/>
          <w:color w:val="000000"/>
          <w:sz w:val="20"/>
        </w:rPr>
        <w:t>in the consolidated statements of comprehensive income.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of prior period amounts have been made to conform to the current period presentation.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Policies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are prepared in accordance with GAAP, which require management to select accounting policies and make estimates that affect the reported amount of assets, liabilities, revenues, and expenses, and the related disclosure of contingent assets and contingent liabilities. Actual results could differ materially from these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on other accounting policies and methods used in the preparation of the Company’s consolidated financial statements are included, where applicable, in their respective notes to the consolidated financial statements that follow. Below is a discussion of accounting policies and methods used in the consolidated financial statements that are not presented within other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i/>
          <w:color w:val="000000"/>
          <w:sz w:val="20"/>
        </w:rPr>
        <w:t>Cost of Revenues</w:t>
      </w:r>
      <w:r>
        <w:rPr>
          <w:color w:val="000000"/>
        </w:rPr>
        <w:t xml:space="preserve"> — </w:t>
      </w: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 xml:space="preserve">is comprised of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Cost of Services</w:t>
      </w:r>
      <w:r>
        <w:rPr>
          <w:color w:val="000000"/>
        </w:rPr>
        <w:t xml:space="preserve"> </w:t>
      </w:r>
      <w:r>
        <w:rPr>
          <w:rFonts w:ascii="Times New Roman;serif" w:hAnsi="Times New Roman;serif"/>
          <w:b w:val="false"/>
          <w:color w:val="000000"/>
          <w:sz w:val="20"/>
        </w:rPr>
        <w:t>in the consolidated statements of operations. Cost of subscription and licenses expenses primarily include headcount</w:t>
        <w:noBreakHyphen/>
        <w:t>related costs, as well as cloud</w:t>
        <w:noBreakHyphen/>
        <w:t>related costs incurred for servicing the Company’s accounts using cloud provisioned offerings and the Company’s license administration platform. Cost of subscriptions and licenses expenses also include channel partner compensation for providing sales coverage to users, depreciation of property and equipment, amortization of capitalized software costs associated with servicing software subscriptions and the Company’s ACDP described below, and amortization of intangible assets associated with acquired software and technology. Cost of services expenses primarily include headcount</w:t>
        <w:noBreakHyphen/>
        <w:t>related costs, as well as depreciation of property and equipment, and amortization of capitalized software costs used for providing training, implementation, configuration, and customization services to accounts.</w:t>
      </w:r>
    </w:p>
    <w:p>
      <w:pPr>
        <w:pStyle w:val="TextBody"/>
        <w:bidi w:val="0"/>
        <w:spacing w:lineRule="auto" w:line="288" w:before="0" w:after="200"/>
        <w:ind w:left="0" w:right="0" w:firstLine="360"/>
        <w:jc w:val="both"/>
        <w:rPr/>
      </w:pPr>
      <w:r>
        <w:rPr>
          <w:rFonts w:ascii="Times New Roman;serif" w:hAnsi="Times New Roman;serif"/>
          <w:b/>
          <w:i/>
          <w:color w:val="000000"/>
          <w:sz w:val="20"/>
        </w:rPr>
        <w:t>Software Development Costs</w:t>
      </w:r>
      <w:r>
        <w:rPr>
          <w:color w:val="000000"/>
        </w:rPr>
        <w:t xml:space="preserve"> — </w:t>
      </w:r>
      <w:r>
        <w:rPr>
          <w:rFonts w:ascii="Times New Roman;serif" w:hAnsi="Times New Roman;serif"/>
          <w:b w:val="false"/>
          <w:color w:val="000000"/>
          <w:sz w:val="20"/>
        </w:rPr>
        <w:t xml:space="preserve">The Company’s software development costs, including costs to develop software products or the software component of products to be sold, leased, or marketed to external accounts, before technological feasibility is reached, are included in </w:t>
      </w: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in the consolidated statements of operations. Research and development expenses, which are generally expensed as incurred, primarily consist of headcount</w:t>
        <w:noBreakHyphen/>
        <w:t>related costs. In general, technological feasibility is reached shortly before the release of such products.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its ACDP (the Company’s structured approach to an in</w:t>
        <w:noBreakHyphen/>
        <w:t>house business incubator function), the Company capitalizes certain development costs related to specified projects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w:t>
        <w:noBreakHyphen/>
        <w:t xml:space="preserve">risk development issues. Once the software is ready for its intended use, amortization is recorded over the software’s estimated useful life (generally three years). Total costs capitalized under the ACDP were $2,053, $3,878, and $4,558 for the years ended December 31, 2025, 2024, and 2023, respectively. Additionally, total ACDP related amortization was $5,711, $3,720, and $7,711 for the years ended December 31, 2025, 2024, and 2023, respectively, and is included in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in the consolidated statements of operations. The Company evaluates the recoverability of capitalized ACDP costs whenever events or changes in circumstances indicate that the carrying value of these assets may not be recoverable. Impairments of capitalized ACDP, which were recorded as amortization expense in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in the consolidated statements of operations, were not material during the years ended December 31, 2025, 2024, or 2023. As of December 31, 2025 and 2024, $10,270 and $12,961 of ACDP capitalized costs were recorded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 respectively.</w:t>
      </w:r>
    </w:p>
    <w:p>
      <w:pPr>
        <w:pStyle w:val="TextBody"/>
        <w:bidi w:val="0"/>
        <w:spacing w:lineRule="auto" w:line="288" w:before="0" w:after="200"/>
        <w:ind w:left="0" w:right="0" w:firstLine="360"/>
        <w:jc w:val="both"/>
        <w:rPr/>
      </w:pPr>
      <w:r>
        <w:rPr>
          <w:rFonts w:ascii="Times New Roman;serif" w:hAnsi="Times New Roman;serif"/>
          <w:b/>
          <w:i/>
          <w:color w:val="000000"/>
          <w:sz w:val="20"/>
        </w:rPr>
        <w:t>Advertising Expense</w:t>
      </w:r>
      <w:r>
        <w:rPr>
          <w:color w:val="000000"/>
        </w:rPr>
        <w:t xml:space="preserve"> — </w:t>
      </w:r>
      <w:r>
        <w:rPr>
          <w:rFonts w:ascii="Times New Roman;serif" w:hAnsi="Times New Roman;serif"/>
          <w:b w:val="false"/>
          <w:color w:val="000000"/>
          <w:sz w:val="20"/>
        </w:rPr>
        <w:t xml:space="preserve">The Company expenses advertising costs as incurred. Advertising expense for the years ended December 31, 2025, 2024, and 2023 was $6,387, $6,383, and $5,365, respectively, and is included in </w:t>
      </w:r>
      <w:r>
        <w:rPr>
          <w:rFonts w:ascii="Times New Roman;serif" w:hAnsi="Times New Roman;serif"/>
          <w:b w:val="false"/>
          <w:i/>
          <w:color w:val="000000"/>
          <w:sz w:val="20"/>
        </w:rPr>
        <w:t xml:space="preserve">Selling and marketing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i/>
          <w:color w:val="000000"/>
          <w:sz w:val="20"/>
        </w:rPr>
        <w:t>Cash and Cash Equivalents</w:t>
      </w:r>
      <w:r>
        <w:rPr>
          <w:color w:val="000000"/>
        </w:rPr>
        <w:t xml:space="preserve"> — </w:t>
      </w:r>
      <w:r>
        <w:rPr>
          <w:rFonts w:ascii="Times New Roman;serif" w:hAnsi="Times New Roman;serif"/>
          <w:b w:val="false"/>
          <w:color w:val="000000"/>
          <w:sz w:val="20"/>
        </w:rPr>
        <w:t>The Company considers all highly liquid investments with a maturity of three months or less at the date of purchase to be cash equivalents. As of December 31, 2025 and 2024, all of the Company’s cash and cash equivalents consisted of money market funds and cash held in checking accounts maintained at various financial institutions. Cash equivalents are recorded at cost, which approximates fair value.</w:t>
      </w:r>
    </w:p>
    <w:p>
      <w:pPr>
        <w:pStyle w:val="TextBody"/>
        <w:bidi w:val="0"/>
        <w:spacing w:lineRule="auto" w:line="288" w:before="0" w:after="200"/>
        <w:ind w:left="0" w:right="0" w:firstLine="360"/>
        <w:jc w:val="both"/>
        <w:rPr/>
      </w:pPr>
      <w:r>
        <w:rPr>
          <w:rFonts w:ascii="Times New Roman;serif" w:hAnsi="Times New Roman;serif"/>
          <w:b/>
          <w:i/>
          <w:color w:val="000000"/>
          <w:sz w:val="20"/>
        </w:rPr>
        <w:t>Accounts Receivable and Allowance for Doubtful Accounts</w:t>
      </w:r>
      <w:r>
        <w:rPr>
          <w:color w:val="000000"/>
        </w:rPr>
        <w:t xml:space="preserve"> — </w:t>
      </w:r>
      <w:r>
        <w:rPr>
          <w:rFonts w:ascii="Times New Roman;serif" w:hAnsi="Times New Roman;serif"/>
          <w:b w:val="false"/>
          <w:color w:val="000000"/>
          <w:sz w:val="20"/>
        </w:rPr>
        <w:t>Accounts receivable primarily represent receivables from customers for products and services invoiced by the Company for which payment is outstanding and also unbilled accounts receivable (see Note 3). Receivables are recorded at the invoiced amount and do not bear interest.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establishes an allowance for doubtful accounts for expected losses during the accounts receivable collection process. The allowance for doubtful accounts is presented separately in the consolidated balance sheets and reduces the accounts receivable balance to the net realizable value of the outstanding accounts receivable. The development of the allowance for doubtful accounts is based on an expected loss model which considers historical write</w:t>
        <w:noBreakHyphen/>
        <w:t>off and recovery experience, aging trends affecting specific accounts, and general operational factors affecting all accounts. Account balances are charged off against the allowance after all means of collection have been exhausted and the potential for recovery is considered remote.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current economic trends and takes into account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receivables could be further adjusted.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allowance for doubtful accounts was as follows:</w:t>
      </w:r>
    </w:p>
    <w:tbl>
      <w:tblPr>
        <w:tblW w:w="5678" w:type="dxa"/>
        <w:jc w:val="left"/>
        <w:tblInd w:w="0" w:type="dxa"/>
        <w:tblLayout w:type="fixed"/>
        <w:tblCellMar>
          <w:top w:w="28" w:type="dxa"/>
          <w:left w:w="28" w:type="dxa"/>
          <w:bottom w:w="28" w:type="dxa"/>
          <w:right w:w="28" w:type="dxa"/>
        </w:tblCellMar>
      </w:tblPr>
      <w:tblGrid>
        <w:gridCol w:w="1244"/>
        <w:gridCol w:w="1092"/>
        <w:gridCol w:w="1098"/>
        <w:gridCol w:w="211"/>
        <w:gridCol w:w="616"/>
        <w:gridCol w:w="109"/>
        <w:gridCol w:w="109"/>
        <w:gridCol w:w="109"/>
        <w:gridCol w:w="109"/>
        <w:gridCol w:w="211"/>
        <w:gridCol w:w="61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i/>
          <w:color w:val="000000"/>
          <w:sz w:val="20"/>
        </w:rPr>
        <w:t>Concentration of Credit Risk</w:t>
      </w:r>
      <w:r>
        <w:rPr>
          <w:color w:val="000000"/>
        </w:rPr>
        <w:t xml:space="preserve"> — </w:t>
      </w:r>
      <w:r>
        <w:rPr>
          <w:rFonts w:ascii="Times New Roman;serif" w:hAnsi="Times New Roman;serif"/>
          <w:b w:val="false"/>
          <w:color w:val="000000"/>
          <w:sz w:val="20"/>
        </w:rPr>
        <w:t>Financial instruments that potentially subject the Company to concentration of credit risk consist primarily of its cash and cash equivalents, and receivables.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 No single customer accounted for more than 2% of the Company’s total revenues for the years ended December 31, 2025, 2024, or 2023.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and cash equivalents are deposited with financial institutions and invested in money market funds that the Company believes are of high credit quality.</w:t>
      </w:r>
    </w:p>
    <w:p>
      <w:pPr>
        <w:pStyle w:val="TextBody"/>
        <w:bidi w:val="0"/>
        <w:spacing w:lineRule="auto" w:line="288" w:before="0" w:after="200"/>
        <w:ind w:left="0" w:right="0" w:firstLine="360"/>
        <w:jc w:val="both"/>
        <w:rPr/>
      </w:pPr>
      <w:r>
        <w:rPr>
          <w:rFonts w:ascii="Times New Roman;serif" w:hAnsi="Times New Roman;serif"/>
          <w:b/>
          <w:i/>
          <w:color w:val="000000"/>
          <w:sz w:val="20"/>
        </w:rPr>
        <w:t>Internal-Use Software Implementation Costs</w:t>
      </w:r>
      <w:r>
        <w:rPr>
          <w:color w:val="000000"/>
        </w:rPr>
        <w:t xml:space="preserve"> — </w:t>
      </w:r>
      <w:r>
        <w:rPr>
          <w:rFonts w:ascii="Times New Roman;serif" w:hAnsi="Times New Roman;serif"/>
          <w:b w:val="false"/>
          <w:color w:val="000000"/>
          <w:sz w:val="20"/>
        </w:rPr>
        <w:t xml:space="preserve">The Company has entered into cloud-based software hosting arrangements related to new internal-use information technology systems, including new enterprise-wide administrative and business management platforms. Certain implementation costs are capitalized and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in the consolidated balance sheets, depending on the short- or long-term nature of such costs. Costs incurred during the preliminary project stage and post-implementation stage are expensed as incurred. Capitalized internal-use software implementation costs are amortized, beginning on the date the related software is ready for its intended use, on a straight-line basis over the remaining term of the hosting arrangement primarily as a component of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Selling and marketing </w:t>
      </w:r>
      <w:r>
        <w:rPr>
          <w:rFonts w:ascii="Times New Roman;serif" w:hAnsi="Times New Roman;serif"/>
          <w:b w:val="false"/>
          <w:color w:val="000000"/>
          <w:sz w:val="20"/>
        </w:rPr>
        <w:t xml:space="preserve">in the consolidated statements of operations. </w:t>
      </w:r>
      <w:r>
        <w:rPr>
          <w:rFonts w:ascii="Times New Roman;serif" w:hAnsi="Times New Roman;serif"/>
          <w:b w:val="false"/>
          <w:color w:val="231F20"/>
          <w:sz w:val="20"/>
        </w:rPr>
        <w:t xml:space="preserve">Options to extend the hosting arrangement are considered in determining the remaining term when it is reasonably certain that the option will be exercised. The Company evaluates </w:t>
      </w:r>
      <w:r>
        <w:rPr>
          <w:rFonts w:ascii="Times New Roman;serif" w:hAnsi="Times New Roman;serif"/>
          <w:b w:val="false"/>
          <w:color w:val="000000"/>
          <w:sz w:val="20"/>
        </w:rPr>
        <w:t>the recoverability of capitalized internal-use software implementation costs whenever events or changes in circumstances indicate that the carrying value of these assets may not be recoverable.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internal-use software implementation costs are included in the consolidated balance sheets as follows:</w:t>
      </w:r>
    </w:p>
    <w:tbl>
      <w:tblPr>
        <w:tblW w:w="6518" w:type="dxa"/>
        <w:jc w:val="center"/>
        <w:tblInd w:w="0" w:type="dxa"/>
        <w:tblLayout w:type="fixed"/>
        <w:tblCellMar>
          <w:top w:w="28" w:type="dxa"/>
          <w:left w:w="28" w:type="dxa"/>
          <w:bottom w:w="28" w:type="dxa"/>
          <w:right w:w="28" w:type="dxa"/>
        </w:tblCellMar>
      </w:tblPr>
      <w:tblGrid>
        <w:gridCol w:w="1469"/>
        <w:gridCol w:w="1292"/>
        <w:gridCol w:w="1303"/>
        <w:gridCol w:w="211"/>
        <w:gridCol w:w="721"/>
        <w:gridCol w:w="109"/>
        <w:gridCol w:w="109"/>
        <w:gridCol w:w="109"/>
        <w:gridCol w:w="109"/>
        <w:gridCol w:w="211"/>
        <w:gridCol w:w="721"/>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internal-use software implementation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internal-use software implementation costs for the years ended December 31, 2025, 2024, and 2023 was $3,673, $1,712, and $865,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September 2025, the Financial Accounting Standards Board (“FASB”) issued Accounting Standards Update (“ASU”) No. 2025</w:t>
        <w:noBreakHyphen/>
        <w:t xml:space="preserve">06, </w:t>
      </w:r>
      <w:r>
        <w:rPr>
          <w:rFonts w:ascii="Times New Roman;serif" w:hAnsi="Times New Roman;serif"/>
          <w:b w:val="false"/>
          <w:i/>
          <w:color w:val="000000"/>
          <w:sz w:val="20"/>
        </w:rPr>
        <w:t>Intangibles—Goodwill and Other—Internal-Use Software (Subtopic</w:t>
      </w:r>
      <w:r>
        <w:rPr>
          <w:color w:val="000000"/>
        </w:rPr>
        <w:t> </w:t>
      </w:r>
      <w:r>
        <w:rPr>
          <w:rFonts w:ascii="Times New Roman;serif" w:hAnsi="Times New Roman;serif"/>
          <w:b w:val="false"/>
          <w:i/>
          <w:color w:val="000000"/>
          <w:sz w:val="20"/>
        </w:rPr>
        <w:t>350</w:t>
        <w:noBreakHyphen/>
        <w:t>40): Targeted Improvements to the Accounting for Internal-Use Software</w:t>
      </w:r>
      <w:r>
        <w:rPr>
          <w:color w:val="000000"/>
        </w:rPr>
        <w:t xml:space="preserve"> </w:t>
      </w:r>
      <w:r>
        <w:rPr>
          <w:rFonts w:ascii="Times New Roman;serif" w:hAnsi="Times New Roman;serif"/>
          <w:b w:val="false"/>
          <w:color w:val="000000"/>
          <w:sz w:val="20"/>
        </w:rPr>
        <w:t>(“ASU 2025</w:t>
        <w:noBreakHyphen/>
        <w:t>06”), which amends certain aspects of the accounting for and disclosure of software costs under Subtopic 350-40, referred to as internal-use software. ASU 2025-06 is effective for the Company for the annual reporting period beginning after December 15, 2027, and interim periods within that annual reporting period. Early adoption is permitted as of the beginning of an annual reporting period. The amendments in ASU 2025-06 may be adopted on a prospective basis to financial statements issued for reporting periods after the effective date, on a retrospective basis to all periods presented, or on a modified prospective transition basis for in-process projects through a cumulative-effect adjustment to the opening balance of retained earnings. The Company is currently evaluating the impact of the adoption of ASU 2025</w:t>
        <w:noBreakHyphen/>
        <w:t>06 on its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July 2025, the FASB issued ASU No. 2025</w:t>
        <w:noBreakHyphen/>
        <w:t xml:space="preserve">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w:t>
        <w:noBreakHyphen/>
        <w:t xml:space="preserve">05”), which provides public entities with an optional practical expedient when estimating expected credit losses for current accounts receivables and current contract assets arising from transactions accounted for under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that assumes that current conditions as of the balance sheet date do not change for the remaining life of the asset. ASU 2025-05 is effective for the Company for annual reporting periods beginning after December 15, 2025 and interim reporting periods within those annual reporting periods if the Company elects the practical expedient. Early adoption is permitted. The Company currently does not expect a material impact of the adoption of ASU 2025</w:t>
        <w:noBreakHyphen/>
        <w:t>05 on its consolidated financial statements and related disclosures.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November 2024, the FASB issued ASU No. 2024</w:t>
        <w:noBreakHyphen/>
        <w:t xml:space="preserve">03, </w:t>
      </w:r>
      <w:r>
        <w:rPr>
          <w:rFonts w:ascii="Times New Roman;serif" w:hAnsi="Times New Roman;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w:t>
        <w:noBreakHyphen/>
        <w:t>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noBreakHyphen/>
        <w:t>03, however, other than additional disclosure, the Company does not expect a change to the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March 2024, the SEC adopted the final rule under SEC Release No. 33</w:t>
        <w:noBreakHyphen/>
        <w:t xml:space="preserve">11275, </w:t>
      </w:r>
      <w:r>
        <w:rPr>
          <w:rFonts w:ascii="Times New Roman;serif" w:hAnsi="Times New Roman;serif"/>
          <w:b w:val="false"/>
          <w:i/>
          <w:color w:val="000000"/>
          <w:sz w:val="20"/>
        </w:rPr>
        <w:t>The Enhancement and Standardization of Climate</w:t>
        <w:noBreakHyphen/>
        <w:t>Related Disclosures for Investors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final rule requires registrants to disclose certain climate</w:t>
        <w:noBreakHyphen/>
        <w:t>related information in registration statements and annual reports. The final rule disclosure requirements would have begun phasing in prospectively for the Company’s fiscal year beginning January 1, 2025. In April 2024, the SEC issued an order staying the final rule pending completion of a judicial review of certain petitions challenging their validity. In March 2025, the SEC voted to end its defense of the final rule. In September 2025, judicial review was suspended awaiting SEC clarity on its position. The Company is currently monitoring the status of the final rule pending the court’s ultimate decision and evaluating the impact of the final rule on its consolidated financial statements disclosures.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Recently Adopted Accounting Guidance</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December 2023, the FASB issued ASU No. 2023</w:t>
        <w:noBreakHyphen/>
        <w:t xml:space="preserve">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w:t>
        <w:noBreakHyphen/>
        <w:t>09”), which expands disclosures in an entity’s income tax rate reconciliation table and regarding cash taxes paid both in the U.S. and foreign jurisdictions. The Company adopted this ASU during the year ended December 31, 2025 (see Note 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Disaggregation of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revenues consist of the following:</w:t>
      </w:r>
    </w:p>
    <w:tbl>
      <w:tblPr>
        <w:tblW w:w="6866" w:type="dxa"/>
        <w:jc w:val="left"/>
        <w:tblInd w:w="0" w:type="dxa"/>
        <w:tblLayout w:type="fixed"/>
        <w:tblCellMar>
          <w:top w:w="28" w:type="dxa"/>
          <w:left w:w="28" w:type="dxa"/>
          <w:bottom w:w="28" w:type="dxa"/>
          <w:right w:w="28" w:type="dxa"/>
        </w:tblCellMar>
      </w:tblPr>
      <w:tblGrid>
        <w:gridCol w:w="825"/>
        <w:gridCol w:w="726"/>
        <w:gridCol w:w="728"/>
        <w:gridCol w:w="211"/>
        <w:gridCol w:w="976"/>
        <w:gridCol w:w="109"/>
        <w:gridCol w:w="109"/>
        <w:gridCol w:w="109"/>
        <w:gridCol w:w="109"/>
        <w:gridCol w:w="211"/>
        <w:gridCol w:w="976"/>
        <w:gridCol w:w="109"/>
        <w:gridCol w:w="109"/>
        <w:gridCol w:w="109"/>
        <w:gridCol w:w="109"/>
        <w:gridCol w:w="211"/>
        <w:gridCol w:w="97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Enterprise subscriptions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 subscriptions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license subscriptions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(1)Enterprise subscriptions are primarily revenues attributable to E365 subscriptions of $614,306, $517,997, and $411,025 for the years ended December 31, 2025, 2024, and 2023,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recognizes perpetual licenses and the term license component of subscriptions as revenue when either the licenses are delivered or at the start of the subscription term. For the years ended December 31, 2025, 2024, and 2023, the Company recognized $777,411, $679,811, and $592,737 of license related revenues, respectively, of which $731,231, $633,850, and $546,699, respectively, were attributable to the term license component of the Company’s subscription</w:t>
        <w:noBreakHyphen/>
        <w:t xml:space="preserve">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 Revenues by geographic region are as follows:</w:t>
      </w:r>
    </w:p>
    <w:tbl>
      <w:tblPr>
        <w:tblW w:w="5906" w:type="dxa"/>
        <w:jc w:val="center"/>
        <w:tblInd w:w="0" w:type="dxa"/>
        <w:tblLayout w:type="fixed"/>
        <w:tblCellMar>
          <w:top w:w="28" w:type="dxa"/>
          <w:left w:w="28" w:type="dxa"/>
          <w:bottom w:w="28" w:type="dxa"/>
          <w:right w:w="28" w:type="dxa"/>
        </w:tblCellMar>
      </w:tblPr>
      <w:tblGrid>
        <w:gridCol w:w="477"/>
        <w:gridCol w:w="419"/>
        <w:gridCol w:w="423"/>
        <w:gridCol w:w="211"/>
        <w:gridCol w:w="976"/>
        <w:gridCol w:w="109"/>
        <w:gridCol w:w="109"/>
        <w:gridCol w:w="109"/>
        <w:gridCol w:w="109"/>
        <w:gridCol w:w="211"/>
        <w:gridCol w:w="976"/>
        <w:gridCol w:w="109"/>
        <w:gridCol w:w="109"/>
        <w:gridCol w:w="109"/>
        <w:gridCol w:w="109"/>
        <w:gridCol w:w="211"/>
        <w:gridCol w:w="97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 Revenue attributable to the U.S. totaled $620,441, $561,683, and $511,828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primarily utilizes its direct internal sales force and also has arrangements through independent channel partners to promote and sell its products and subscriptions to end</w:t>
        <w:noBreakHyphen/>
        <w:t>users. Channel partners are authorized to promote the sale of an authorized set of the Company’s products and subscriptions within an authorized geographic region under a Channel Partner Agreement. The Company derived 6%, 7%, and 8% of its total revenues through channel partners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Nature of Products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upon the transfer of promised goods or services to customers in an amount that reflects the expected consideration received in exchange for those goods or services. The Company generates revenues from subscriptions, perpetual licenses,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Subscriptions and perpetual licenses are typically paid upfront, and services are typically paid in arrears, based on the contract terms described below, generally with payment terms of 30 days. The Company does not have any material variable consideration, such as obligations for returns, refunds, or warranties.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Subscriptions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Enterprise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enterprise subscription offerings, which provide its enterprise accounts with complete and unlimited global access to the Company’s comprehensive portfolio of integrated software offerings. E365 subscriptions require a CSS (described below) and are charged to accounts primarily based upon daily usage. The daily usage fee includes a term license component, SELECT maintenance and support, hosting, and “Blueprints,” which are specific, structured engagements outlined in a statement of work and designed to enable accounts to achieve optimal business outcomes through more efficient and effective utilization of the Company’s software. E365 revenues are recognized based upon usage incurred by the account. Usage is primarily defined as distinct user access on a daily basis. E365 subscriptions typically contain quarterly usage floors or ceilings. The term of E365 subscriptions aligns with calendar quarters and revenue is recognized based on actual usage.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SELECT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prepaid annual recurring subscriptions that accounts (which are based on distinct contractual and billing 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noBreakHyphen/>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Term License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annual, quarterly, and monthly term licenses for its software 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CSS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For usage</w:t>
        <w:noBreakHyphen/>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Visas are QTLs or ATLs enabling users to access specific project or enterprise information and entitles users to certain functionality of the Company’s </w:t>
      </w:r>
      <w:r>
        <w:rPr>
          <w:rFonts w:ascii="Times New Roman;serif" w:hAnsi="Times New Roman;serif"/>
          <w:b w:val="false"/>
          <w:i/>
          <w:color w:val="000000"/>
          <w:sz w:val="20"/>
        </w:rPr>
        <w:t>Bentley Infrastructure Cloud</w:t>
      </w:r>
      <w:r>
        <w:rPr>
          <w:color w:val="000000"/>
        </w:rPr>
        <w:t xml:space="preserve"> </w:t>
      </w:r>
      <w:r>
        <w:rPr>
          <w:rFonts w:ascii="Times New Roman;serif" w:hAnsi="Times New Roman;serif"/>
          <w:b w:val="false"/>
          <w:color w:val="000000"/>
          <w:sz w:val="20"/>
        </w:rPr>
        <w:t>offerings. The Company’s standard offerings are usage based with monetization through the Company’s CSS program described below.</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serif" w:hAnsi="Times New Roman;serif"/>
          <w:b w:val="false"/>
          <w:i/>
          <w:color w:val="000000"/>
          <w:sz w:val="20"/>
        </w:rPr>
        <w:t xml:space="preserve">Cloud Services Subscription deposits </w:t>
      </w:r>
      <w:r>
        <w:rPr>
          <w:rFonts w:ascii="Times New Roman;serif" w:hAnsi="Times New Roman;serif"/>
          <w:b w:val="false"/>
          <w:color w:val="000000"/>
          <w:sz w:val="20"/>
        </w:rPr>
        <w:t>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Perpetual Licenses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provides professional services, including training, implementation, configuration, and customization services. The Company performs projects on both a time and materials and a fixed fee basis. Certain of the Company’s fixed</w:t>
        <w:noBreakHyphen/>
        <w:t>fee arrangements, including its Success Services offerings, are structured as subscription</w:t>
        <w:noBreakHyphen/>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Significant Judgments and Estimates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may include promises to transfer licenses (perpetual or term</w:t>
        <w:noBreakHyphen/>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Unbilled Accounts Receivable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Unbilled accounts receivable represent amounts that are unbilled due to agreed-upon contractual terms in which billing occurs subsequent to revenue recognition, and are included in </w:t>
      </w:r>
      <w:r>
        <w:rPr>
          <w:rFonts w:ascii="Times New Roman;serif" w:hAnsi="Times New Roman;serif"/>
          <w:b w:val="false"/>
          <w:i/>
          <w:color w:val="000000"/>
          <w:sz w:val="20"/>
        </w:rPr>
        <w:t>Accounts receivable</w:t>
      </w:r>
      <w:r>
        <w:rPr>
          <w:color w:val="000000"/>
        </w:rPr>
        <w:t xml:space="preserve"> </w:t>
      </w:r>
      <w:r>
        <w:rPr>
          <w:rFonts w:ascii="Times New Roman;serif" w:hAnsi="Times New Roman;serif"/>
          <w:b w:val="false"/>
          <w:color w:val="000000"/>
          <w:sz w:val="20"/>
        </w:rPr>
        <w:t>in the consolidated balance sheets. As of December 31, 2025 and 2024, unbilled accounts receivable were $182,315 and $159,924,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December 31, 2025 and 2024, the Company’s contract assets relate to performance obligations completed in advance of the right to invoice and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in the consolidated balance sheets. Contract assets were not material as of December 31, 2025 or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revenues consist of billings made or payments received in advance of revenue recognition from subscriptions and services. The primary changes in deferred revenues are due to the Company’s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$253,003 of revenues that were included in the December 31, 2024 deferred revenues balance were recognized. There were additional deferrals of $270,695, which were primarily related to new billings. For the year ended December 31, 2024, $231,114 of revenues that were included in the December 31, 2023 deferred revenues balance were recognized. There were additional deferrals of $233,910, which were primarily related to new billings.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December 31, 2025 and 2024, the Company deferred $19,822 and $18,540, respectively, related to portfolio balancing exchange rights which is included in </w:t>
      </w:r>
      <w:r>
        <w:rPr>
          <w:rFonts w:ascii="Times New Roman;serif" w:hAnsi="Times New Roman;serif"/>
          <w:b w:val="false"/>
          <w:i/>
          <w:color w:val="000000"/>
          <w:sz w:val="20"/>
        </w:rPr>
        <w:t>Deferred revenues</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Costs to Obtain a Contract with a Customer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costs under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December 31, 2025 and 2024, deferred costs of $4,969 and $4,490, respectively,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 xml:space="preserve">in the consolidated balance sheets and $10,572 and $10,715, respectively, are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in the consolidated balance sheets. Amortization expense related to assets recognized from costs to obtain a contract with a customer was $5,746, $5,241, and $5,567 for the years ended December 31, 2025, 2024, and 2023, respectively, and is included in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Selling and marketing</w:t>
      </w:r>
      <w:r>
        <w:rPr>
          <w:color w:val="000000"/>
        </w:rPr>
        <w:t xml:space="preserve"> </w:t>
      </w:r>
      <w:r>
        <w:rPr>
          <w:rFonts w:ascii="Times New Roman;serif" w:hAnsi="Times New Roman;serif"/>
          <w:b w:val="false"/>
          <w:color w:val="000000"/>
          <w:sz w:val="20"/>
        </w:rPr>
        <w:t>in the consolidated statements of operations. Impairments of contract cost assets were not material during the years ended December 31, 2025, 2024, or 2023.</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As of December 31, 2025, amounts allocated to these remaining performance obligations are $296,654, of which the Company expects to recognize approximately 94%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4: Acquisitions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details of the Company’s acquisition activity are as follows:</w:t>
      </w:r>
    </w:p>
    <w:tbl>
      <w:tblPr>
        <w:tblW w:w="6041" w:type="dxa"/>
        <w:jc w:val="center"/>
        <w:tblInd w:w="0" w:type="dxa"/>
        <w:tblLayout w:type="fixed"/>
        <w:tblCellMar>
          <w:top w:w="28" w:type="dxa"/>
          <w:left w:w="28" w:type="dxa"/>
          <w:bottom w:w="28" w:type="dxa"/>
          <w:right w:w="28" w:type="dxa"/>
        </w:tblCellMar>
      </w:tblPr>
      <w:tblGrid>
        <w:gridCol w:w="727"/>
        <w:gridCol w:w="640"/>
        <w:gridCol w:w="642"/>
        <w:gridCol w:w="211"/>
        <w:gridCol w:w="826"/>
        <w:gridCol w:w="109"/>
        <w:gridCol w:w="109"/>
        <w:gridCol w:w="109"/>
        <w:gridCol w:w="109"/>
        <w:gridCol w:w="211"/>
        <w:gridCol w:w="826"/>
        <w:gridCol w:w="109"/>
        <w:gridCol w:w="109"/>
        <w:gridCol w:w="109"/>
        <w:gridCol w:w="109"/>
        <w:gridCol w:w="211"/>
        <w:gridCol w:w="72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acquisitions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 paid at closing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(1)Of the cash paid at closing, $9,500 was held in an escrow account to secure any potential indemnification and other obligations of the seller as of December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operating results for any acquired business are included in the Company’s consolidated financial statements from the closing date of each respective acquisition and were not material, individually or in the aggregate, to the Company’s consolidated financial statements of operations. The following summarizes the fair values of the assets acquired and liabilities assumed, as well as the weighted average useful lives assigned to acquired intangible assets at the respective date of each acquisition:</w:t>
      </w:r>
    </w:p>
    <w:tbl>
      <w:tblPr>
        <w:tblW w:w="10205" w:type="dxa"/>
        <w:jc w:val="center"/>
        <w:tblInd w:w="0" w:type="dxa"/>
        <w:tblLayout w:type="fixed"/>
        <w:tblCellMar>
          <w:top w:w="28" w:type="dxa"/>
          <w:left w:w="28" w:type="dxa"/>
          <w:bottom w:w="28" w:type="dxa"/>
          <w:right w:w="28" w:type="dxa"/>
        </w:tblCellMar>
      </w:tblPr>
      <w:tblGrid>
        <w:gridCol w:w="2154"/>
        <w:gridCol w:w="1895"/>
        <w:gridCol w:w="1905"/>
        <w:gridCol w:w="211"/>
        <w:gridCol w:w="826"/>
        <w:gridCol w:w="109"/>
        <w:gridCol w:w="109"/>
        <w:gridCol w:w="109"/>
        <w:gridCol w:w="109"/>
        <w:gridCol w:w="211"/>
        <w:gridCol w:w="826"/>
        <w:gridCol w:w="109"/>
        <w:gridCol w:w="109"/>
        <w:gridCol w:w="109"/>
        <w:gridCol w:w="109"/>
        <w:gridCol w:w="211"/>
        <w:gridCol w:w="721"/>
        <w:gridCol w:w="109"/>
        <w:gridCol w:w="109"/>
        <w:gridCol w:w="155"/>
      </w:tblGrid>
      <w:tr>
        <w:trPr/>
        <w:tc>
          <w:tcPr>
            <w:tcW w:w="215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at closing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non-contingent consideration,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Software and technology (weighted average useful life of 3, 5, and 3 years,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 (weighted average useful life of 5, 3, and 6 years,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 (weighted average useful life of 5, 10, and 5 years,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 excluding goodwill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identifiable assets acquired excluding goodwill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allocates the purchase price for each acquisition to the net tangible and intangible assets acquired and liabilities assumed based on their estimated fair value at the respective acquisition date, with the exception of deferred revenues which are recognized and measured on the acquisition date in accordance with the Company’s revenue recognition policies in Note 3. The fair values of the working capital, other assets (liabilities), and property and equipment approximated their respective carrying values as of the acquisition date. The fair values of the intangible assets were primarily determined using the income approach. When applying the income approach, indications of fair values were developed by discounting future net cash flows to their present values at market</w:t>
        <w:noBreakHyphen/>
        <w:t>based rates of return. The cash flows were based on estimates used to price the acquisitions and the discount rates applied were benchmarked with reference to the implied rate of return from the Company’s pricing model and the weighted average cost of capital. Goodwill is measured as the excess of the purchase price over the value of net identifiable assets acquired. While best estimates and assumptions are used to accurately value assets acquired and liabilities assumed at the acquisition date, as well as contingent and non</w:t>
        <w:noBreakHyphen/>
        <w:t>contingent consideration, where applicable, the Company’s estimates are inherently uncertain and subject to refinement. Any adjustments to estimated fair value are recorded to goodwill, provided that the Company is within the measurement period (up to one year from the acquisition date) and that the Company continues to collect information to determine estimated fair value. Subsequent to the measurement period or the Company’s final determination of estimated fair value, whichever comes first, adjustments are recorded 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recorded in connection with the acquisitions was attributable to synergies expected to arise from cost saving opportunities, as well as future expected cash flows. The Company expects $8,799 of the goodwill recorded relating to the 2025 acquisitions will be deductible for income tax purposes.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 the process of finalizing the purchase accounting for certain acquisitions completed during the year ended December 31, 2025.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 The primary areas of preliminary purchase price allocation that are not yet finalized relate to working capital, tax assets and liabilities, and amounts allocated to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tbl>
      <w:tblPr>
        <w:tblW w:w="5364" w:type="dxa"/>
        <w:jc w:val="center"/>
        <w:tblInd w:w="0" w:type="dxa"/>
        <w:tblLayout w:type="fixed"/>
        <w:tblCellMar>
          <w:top w:w="28" w:type="dxa"/>
          <w:left w:w="28" w:type="dxa"/>
          <w:bottom w:w="28" w:type="dxa"/>
          <w:right w:w="28" w:type="dxa"/>
        </w:tblCellMar>
      </w:tblPr>
      <w:tblGrid>
        <w:gridCol w:w="1054"/>
        <w:gridCol w:w="924"/>
        <w:gridCol w:w="932"/>
        <w:gridCol w:w="211"/>
        <w:gridCol w:w="721"/>
        <w:gridCol w:w="109"/>
        <w:gridCol w:w="109"/>
        <w:gridCol w:w="109"/>
        <w:gridCol w:w="109"/>
        <w:gridCol w:w="211"/>
        <w:gridCol w:w="72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years ended December 31, 2025, 2024, and 2023 was $14,505, $13,684, and $12,368,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less accumulated depreciation. Depreciation is calculated using the straight</w:t>
        <w:noBreakHyphen/>
        <w:t>line method over the estimated useful lives of the assets.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Estimated useful lives of property and equipment are as follows:</w:t>
      </w:r>
    </w:p>
    <w:tbl>
      <w:tblPr>
        <w:tblW w:w="3897" w:type="dxa"/>
        <w:jc w:val="left"/>
        <w:tblInd w:w="0" w:type="dxa"/>
        <w:tblLayout w:type="fixed"/>
        <w:tblCellMar>
          <w:top w:w="28" w:type="dxa"/>
          <w:left w:w="28" w:type="dxa"/>
          <w:bottom w:w="28" w:type="dxa"/>
          <w:right w:w="28" w:type="dxa"/>
        </w:tblCellMar>
      </w:tblPr>
      <w:tblGrid>
        <w:gridCol w:w="1054"/>
        <w:gridCol w:w="925"/>
        <w:gridCol w:w="930"/>
        <w:gridCol w:w="154"/>
        <w:gridCol w:w="154"/>
        <w:gridCol w:w="154"/>
        <w:gridCol w:w="154"/>
        <w:gridCol w:w="154"/>
        <w:gridCol w:w="218"/>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maintenance and repairs is charged to expense as incurred. Upon retirement or other disposition, the cost of the asset and the related accumulated depreciation are removed from the accounts and any resulting gain or loss is recognized in the consolidated statements of operations. Related to the aircraft, ongoing operating and fixed costs are shared on a proportional use basis subject to a cost</w:t>
        <w:noBreakHyphen/>
        <w:t>sharing agreement as the Company’s Executive Chair owns 50%. Such costs were not material during the years ended December 31, 2025, 2024, or 2023.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property and equipment whenever events or changes in circumstances indicate that the carrying value of these assets may not be recoverable.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Impairments of property and equipment were not material during the years ended December 31, 2025,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6: Goodwill and 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assets primarily arise from acquisitions and principally consist of goodwill, acquired software and technology, customer relationships, and trademarks. Finite-lived intangible assets are amortized on a straight</w:t>
        <w:noBreakHyphen/>
        <w:t>line basis over their estimated useful lives.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2,482,154 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The Company allocates goodwill to reporting units on a relative fair value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testing for goodwill impairment, the Company may first qualitatively assess whether it is more likely than not (a likelihood of more than 50 percent) that a goodwill impairment exists. If it is determined that a quantitative assessment is required and the carrying amount exceeds its fair value, the Company will recognize goodwill impairment in the amount in which the carrying amount of the reporting unit exceeds its fair value, but not to exceed the carrying amount of goodwill within the reporting unit. There was no impairment of goodwill as a result of the Company’s annual impairment assessments conducted for the years ended December 31, 2025, 2024, or 2023.</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intangible assets other than goodwill are as follows:</w:t>
      </w:r>
    </w:p>
    <w:tbl>
      <w:tblPr>
        <w:tblW w:w="10250" w:type="dxa"/>
        <w:jc w:val="center"/>
        <w:tblInd w:w="0" w:type="dxa"/>
        <w:tblLayout w:type="fixed"/>
        <w:tblCellMar>
          <w:top w:w="28" w:type="dxa"/>
          <w:left w:w="28" w:type="dxa"/>
          <w:bottom w:w="28" w:type="dxa"/>
          <w:right w:w="28" w:type="dxa"/>
        </w:tblCellMar>
      </w:tblPr>
      <w:tblGrid>
        <w:gridCol w:w="449"/>
        <w:gridCol w:w="315"/>
        <w:gridCol w:w="317"/>
        <w:gridCol w:w="295"/>
        <w:gridCol w:w="295"/>
        <w:gridCol w:w="296"/>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 Weighted Average Useful Life</w:t>
              <w:b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Book</w:t>
              <w:br/>
              <w:t>Value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subject to amortization:</w:t>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and technology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purchased intangible assets with finite lives is included in the consolidated statements of operations as follows:</w:t>
      </w:r>
    </w:p>
    <w:tbl>
      <w:tblPr>
        <w:tblW w:w="7062"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for purchased intangible assets with finite lives for the years after December 31, 2025 are estimated as follows:</w:t>
      </w:r>
    </w:p>
    <w:tbl>
      <w:tblPr>
        <w:tblW w:w="2137" w:type="dxa"/>
        <w:jc w:val="center"/>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intangible assets subject to amortization for impairment whenever events or changes in circumstances indicate that the carrying value of these assets may not be recoverable or that useful lives of those assets are no longer appropriate.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There was no impairment of intangible assets subject to amortization for the years ended December 31, 2025,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7: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consist of the following:</w:t>
      </w:r>
    </w:p>
    <w:tbl>
      <w:tblPr>
        <w:tblW w:w="5469" w:type="dxa"/>
        <w:jc w:val="center"/>
        <w:tblInd w:w="0" w:type="dxa"/>
        <w:tblLayout w:type="fixed"/>
        <w:tblCellMar>
          <w:top w:w="28" w:type="dxa"/>
          <w:left w:w="28" w:type="dxa"/>
          <w:bottom w:w="28" w:type="dxa"/>
          <w:right w:w="28" w:type="dxa"/>
        </w:tblCellMar>
      </w:tblPr>
      <w:tblGrid>
        <w:gridCol w:w="1093"/>
        <w:gridCol w:w="960"/>
        <w:gridCol w:w="962"/>
        <w:gridCol w:w="211"/>
        <w:gridCol w:w="721"/>
        <w:gridCol w:w="109"/>
        <w:gridCol w:w="109"/>
        <w:gridCol w:w="109"/>
        <w:gridCol w:w="109"/>
        <w:gridCol w:w="211"/>
        <w:gridCol w:w="721"/>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Non-Marketable Equity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in privately-held technology development companies in which it does not have a controlling interest or the ability to exercise significant influence. These investments consist of equity securities that do not have readily determinable values and are accounted for using the measurement alternative, recording at cost less impairments, if any, plus or minus changes resulting from observable price changes in orderly transactions for the identical or a similar investment of the same investee. The Company’s share of income or loss of such companies is not included in the Company’s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March 2023, the Company acquired an equity interest in Worldsensing, a leading global connectivity hardware platform company for infrastructure monitoring, via contribution of its sensemetrics’ Thread connectivity device business (the “Thread business”) and cash. The non</w:t>
        <w:noBreakHyphen/>
        <w:t xml:space="preserve">cash contribution of the Thread business resulted in an insignificant gain, which was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consolidated statements of operations for the year ended December 31, 2023. As of December 31, 2025 and 2024, the Company’s investment balance in Worldsensing was $8,928.</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years ended December 31, 2025 and 2024, the Company invested a total of $981 and $1,435, respectively. During the year ended December 31, 2023, the Company recognized gains on investments of $2,360, which were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consolidated statements of operations (see Note 20).</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acquired a business for $5,000 from Teralytics Holdings AG (“Teralytics”), a global platform company for human mobility analysis. During the fourth quarter of 2024, the Company sold its ownership percentage in Teralytics, which resulted in no gain or loss.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tests its investments for impairment whenever circumstances indicate that the carrying value of these investments may not be recoverable. Impairment of investments were not material during the year ended December 31, 2025 or 2024. During the year ended December 31, 2023, the Company recognized impairment charges of $14,588 to write</w:t>
        <w:noBreakHyphen/>
        <w:t>down certain non-marketable equity investments to their fair value primarily as a result of the investees’ decline in operating performance and the overall decline in the venture investment valuation environment. The impairment charges included $11,130 to write</w:t>
        <w:noBreakHyphen/>
        <w:t xml:space="preserve">off the Company’s non-marketable equity investment in Teralytics. The impairment charges were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consolidated statements of operations for the year ended December 31, 2023 (see Note 20).</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Equity Method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applies the equity method of accounting for its investment in which it does have the ability to exercise significant influence. Under the equity method, the Company recognizes its initial investment at cost and updates the carrying value of its investment by its proportional share of income or losses from the investment. In addition, the Company decreases the carrying value by any dividends received from the investee. The Company does not otherwise adjust the carrying value to reflect changes to the fair market value of the investment. The Company’s equity method investments in joint ventures are considered related parties.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investments were made during the years ended December 31, 2025 and 2024. During the years ended December 31, 2025 and 2024, transactions between the Company and its joint ventures were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consist of office facilities, office equipment, and automobiles. As of December 31, 2025, the Company’s leases have remaining terms of less than one year to eight years, some of which include one or more options to renew, with renewal terms from one year to five years and some of which include options to terminate the leases from less than one year to five years.</w:t>
      </w:r>
    </w:p>
    <w:p>
      <w:pPr>
        <w:pStyle w:val="TextBody"/>
        <w:bidi w:val="0"/>
        <w:spacing w:lineRule="auto" w:line="288" w:before="0" w:after="200"/>
        <w:ind w:left="0" w:right="0" w:firstLine="360"/>
        <w:jc w:val="both"/>
        <w:rPr/>
      </w:pPr>
      <w:r>
        <w:rPr>
          <w:rFonts w:ascii="Times New Roman;serif" w:hAnsi="Times New Roman;serif"/>
          <w:b w:val="false"/>
          <w:color w:val="231F20"/>
          <w:sz w:val="20"/>
        </w:rPr>
        <w:t xml:space="preserve">The Company determines if an arrangement is a lease at inception. Operating leases are included in </w:t>
      </w:r>
      <w:r>
        <w:rPr>
          <w:rFonts w:ascii="Times New Roman;serif" w:hAnsi="Times New Roman;serif"/>
          <w:b w:val="false"/>
          <w:i/>
          <w:color w:val="231F20"/>
          <w:sz w:val="20"/>
        </w:rPr>
        <w:t>Operating lease right</w:t>
        <w:noBreakHyphen/>
        <w:t>of</w:t>
        <w:noBreakHyphen/>
        <w:t>use assets, Operating lease liabilities</w:t>
      </w:r>
      <w:r>
        <w:rPr>
          <w:rFonts w:ascii="Times New Roman;serif" w:hAnsi="Times New Roman;serif"/>
          <w:b w:val="false"/>
          <w:color w:val="231F20"/>
          <w:sz w:val="20"/>
        </w:rPr>
        <w:t xml:space="preserve">, and </w:t>
      </w:r>
      <w:r>
        <w:rPr>
          <w:rFonts w:ascii="Times New Roman;serif" w:hAnsi="Times New Roman;serif"/>
          <w:b w:val="false"/>
          <w:i/>
          <w:color w:val="231F20"/>
          <w:sz w:val="20"/>
        </w:rPr>
        <w:t>Long</w:t>
        <w:noBreakHyphen/>
        <w:t>term operating lease liabilities</w:t>
      </w:r>
      <w:r>
        <w:rPr>
          <w:color w:val="231F20"/>
        </w:rPr>
        <w:t xml:space="preserve"> </w:t>
      </w:r>
      <w:r>
        <w:rPr>
          <w:rFonts w:ascii="Times New Roman;serif" w:hAnsi="Times New Roman;serif"/>
          <w:b w:val="false"/>
          <w:color w:val="231F20"/>
          <w:sz w:val="20"/>
        </w:rPr>
        <w:t>in the consolidated balance sheets. Operating lease right</w:t>
        <w:noBreakHyphen/>
        <w:t>of</w:t>
        <w:noBreakHyphen/>
        <w:t>use assets represent the Company’s right to use an underlying asset for the lease term and operating lease liabilities represent the Company’s obligation to make lease payments arising from the lease. Operating lease right</w:t>
        <w:noBreakHyphen/>
        <w:t>of</w:t>
        <w:noBreakHyphen/>
        <w:t>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w:t>
        <w:noBreakHyphen/>
        <w:t>of</w:t>
        <w:noBreakHyphen/>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noBreakHyphen/>
        <w:t>line basis over the lease term.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contracts with lease and non</w:t>
        <w:noBreakHyphen/>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and utilities. The Company has elected not to recognize a right</w:t>
        <w:noBreakHyphen/>
        <w:t>of</w:t>
        <w:noBreakHyphen/>
        <w:t>use asset or lease liability for short</w:t>
        <w:noBreakHyphen/>
        <w:t>term leases (leases with a term of twelve months or less). Short</w:t>
        <w:noBreakHyphen/>
        <w:t>term leases are recognized in the consolidated statements of operations on a straight</w:t>
        <w:noBreakHyphen/>
        <w:t>line basis over the lease term.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lease cost is included in the consolidated statements of operations as follows:</w:t>
      </w:r>
    </w:p>
    <w:tbl>
      <w:tblPr>
        <w:tblW w:w="6027" w:type="dxa"/>
        <w:jc w:val="center"/>
        <w:tblInd w:w="0" w:type="dxa"/>
        <w:tblLayout w:type="fixed"/>
        <w:tblCellMar>
          <w:top w:w="28" w:type="dxa"/>
          <w:left w:w="28" w:type="dxa"/>
          <w:bottom w:w="28" w:type="dxa"/>
          <w:right w:w="28" w:type="dxa"/>
        </w:tblCellMar>
      </w:tblPr>
      <w:tblGrid>
        <w:gridCol w:w="798"/>
        <w:gridCol w:w="701"/>
        <w:gridCol w:w="706"/>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(1)Operating lease cost includes rent cost related to operating leases for office facilities of $14,247, $16,927, and $19,199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operating cash flows and other information related to leases was as follows:</w:t>
      </w:r>
    </w:p>
    <w:tbl>
      <w:tblPr>
        <w:tblW w:w="10205" w:type="dxa"/>
        <w:jc w:val="center"/>
        <w:tblInd w:w="0" w:type="dxa"/>
        <w:tblLayout w:type="fixed"/>
        <w:tblCellMar>
          <w:top w:w="28" w:type="dxa"/>
          <w:left w:w="28" w:type="dxa"/>
          <w:bottom w:w="28" w:type="dxa"/>
          <w:right w:w="28" w:type="dxa"/>
        </w:tblCellMar>
      </w:tblPr>
      <w:tblGrid>
        <w:gridCol w:w="2310"/>
        <w:gridCol w:w="2032"/>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Right-of-use assets obtained in exchange for new operating lease liabilities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(1)Right</w:t>
        <w:noBreakHyphen/>
        <w:t>of</w:t>
        <w:noBreakHyphen/>
        <w:t>use assets obtained in exchange for new operating lease liabilities does not include the impact from acquisitions of $309, $103, and $397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for operating leases was 3.8 years and 4.3 years as of December 31, 2025 and 2024, respectively. The weighted average discount rate was 5.4% and 5.2% as of December 31, 2025 and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for the years after December 31, 2025 are as follows:</w:t>
      </w:r>
    </w:p>
    <w:tbl>
      <w:tblPr>
        <w:tblW w:w="3740" w:type="dxa"/>
        <w:jc w:val="center"/>
        <w:tblInd w:w="0" w:type="dxa"/>
        <w:tblLayout w:type="fixed"/>
        <w:tblCellMar>
          <w:top w:w="28" w:type="dxa"/>
          <w:left w:w="28" w:type="dxa"/>
          <w:bottom w:w="28" w:type="dxa"/>
          <w:right w:w="28" w:type="dxa"/>
        </w:tblCellMar>
      </w:tblPr>
      <w:tblGrid>
        <w:gridCol w:w="959"/>
        <w:gridCol w:w="842"/>
        <w:gridCol w:w="853"/>
        <w:gridCol w:w="211"/>
        <w:gridCol w:w="721"/>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additional minimum operating lease payments of $16,521 for executed leases that have not yet commenced, primarily for office locations.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right</w:t>
        <w:noBreakHyphen/>
        <w:t>of</w:t>
        <w:noBreakHyphen/>
        <w:t>use assets whenever events or changes in circumstances indicate that the carrying value of these assets may not be recoverable.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Impairments were not material during the years ended December 31, 2025, 2024,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9: Accruals and Other Current Liabilities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and other current liabilities consist of the following:</w:t>
      </w:r>
    </w:p>
    <w:tbl>
      <w:tblPr>
        <w:tblW w:w="6173" w:type="dxa"/>
        <w:jc w:val="center"/>
        <w:tblInd w:w="0" w:type="dxa"/>
        <w:tblLayout w:type="fixed"/>
        <w:tblCellMar>
          <w:top w:w="28" w:type="dxa"/>
          <w:left w:w="28" w:type="dxa"/>
          <w:bottom w:w="28" w:type="dxa"/>
          <w:right w:w="28" w:type="dxa"/>
        </w:tblCellMar>
      </w:tblPr>
      <w:tblGrid>
        <w:gridCol w:w="1272"/>
        <w:gridCol w:w="1115"/>
        <w:gridCol w:w="1122"/>
        <w:gridCol w:w="211"/>
        <w:gridCol w:w="826"/>
        <w:gridCol w:w="109"/>
        <w:gridCol w:w="109"/>
        <w:gridCol w:w="109"/>
        <w:gridCol w:w="109"/>
        <w:gridCol w:w="211"/>
        <w:gridCol w:w="82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accruals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10: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w:t>
        <w:noBreakHyphen/>
        <w:t>term debt consists of the following:</w:t>
      </w:r>
    </w:p>
    <w:tbl>
      <w:tblPr>
        <w:tblW w:w="6489" w:type="dxa"/>
        <w:jc w:val="center"/>
        <w:tblInd w:w="0" w:type="dxa"/>
        <w:tblLayout w:type="fixed"/>
        <w:tblCellMar>
          <w:top w:w="28" w:type="dxa"/>
          <w:left w:w="28" w:type="dxa"/>
          <w:bottom w:w="28" w:type="dxa"/>
          <w:right w:w="28" w:type="dxa"/>
        </w:tblCellMar>
      </w:tblPr>
      <w:tblGrid>
        <w:gridCol w:w="1277"/>
        <w:gridCol w:w="1121"/>
        <w:gridCol w:w="1127"/>
        <w:gridCol w:w="211"/>
        <w:gridCol w:w="976"/>
        <w:gridCol w:w="109"/>
        <w:gridCol w:w="109"/>
        <w:gridCol w:w="109"/>
        <w:gridCol w:w="109"/>
        <w:gridCol w:w="211"/>
        <w:gridCol w:w="97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 facility due October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On October 18, 2024, the Company entered into the Credit Facility, which provides the Company with a $1,300,000 revolving credit facility, including a $125,000 swingline loan and $125,000 in letters of credit. The Credit Facility also provides the Company with a $500,000 “accordion” feature to increase the facility in the form of both revolving indebtedness and/or incremental term loans. On October 18, 2024, the Company used borrowings under the Credit Facility to repay a portion of the revolving indebtedness outstanding under the amended and restated credit agreement, entered into on December 19, 2017 (the “2017 Credit Facility”) and all of the outstanding senior secured term loan. In connection with the termination of the 2017 Credit Facility and entrance into the Credit Facility, the Company performed an extinguishment versus modification assessment on a lender-by-lender basis resulting in the write-off of an insignificant amount of unamortized debt issuance costs. Additionally, $6,184 of capitalized fees paid to lenders and third parties associated with the Credit Facility were recorded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in the consolidated balance sheets, depending on the short- or long-term nature of such costs. Debt issuance costs are amortized to </w:t>
      </w:r>
      <w:r>
        <w:rPr>
          <w:rFonts w:ascii="Times New Roman;serif" w:hAnsi="Times New Roman;serif"/>
          <w:b w:val="false"/>
          <w:i/>
          <w:color w:val="000000"/>
          <w:sz w:val="20"/>
        </w:rPr>
        <w:t>Interest expense, net</w:t>
      </w:r>
      <w:r>
        <w:rPr>
          <w:rFonts w:ascii="Times New Roman;serif" w:hAnsi="Times New Roman;serif"/>
          <w:b w:val="false"/>
          <w:color w:val="000000"/>
          <w:sz w:val="20"/>
        </w:rPr>
        <w:t>, in the consolidated statements of operations through the maturity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Facility matures on October 18, 2029, subject to a “revolving maturity date” on the date that is 91 days prior to the maturity date of the Company’s outstanding convertible debt, unless on such date the Company meets certain liquidity requirements. Voluntary prepayments under the Credit Facility are permitted at any time without payment of any prepayment premiums.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Revolving loan borrowings under the Credit Facility bear interest, at the Company’s option, at the Alternative Base Rate or Term SOFR that reset every one, three, or six months. Under the Term SOFR elections, revolving loan borrowings bear an interest rate of the applicable Term SOFR rate plus a credit spread adjustment of 10 bps, plus a spread ranging from 125 bps to 225 bps as determined by the Company’s net leverage ratio. Under the non</w:t>
        <w:noBreakHyphen/>
        <w:t>Term SOFR elections, revolving loan borrowings bear a base interest rate of the highest of (i) the prime rate, (ii) the overnight bank funding effective rate plus 50 bps, or (iii) the daily simple SOFR rate plus 100 bps, plus a spread ranging from 25 bps to 125 bps as determined by the Company’s net leverage ratio.</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Swingline borrowings under the Credit Facility bear interest that resets daily. Interest on swingline borrowings bear an interest rate of the daily simple SOFR rate plus a credit spread adjustment of 10 bps, plus a spread ranging from 125 bps to 225 bps as determined by the Company’s net leverage ratio.</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 commitment fee for the unused revolving credit facility ranges from 20 bps to 30 bps per annum as determined by the Company’s net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Facility are guaranteed by the Company’s material first tier domestic subsidiaries and are secured by a first priority security interest in substantially all of the Company’s and the guarantors’ U.S. assets, including pledges of the stock of each of their directly owned domestic and foreign subsidiaries, with the latter limited to 65% of such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agreement governing the Credit Facility contains customary affirmative and negative covenants, including restrictions on the Company’s ability to pay dividends, repurchase the Company’s Class B common stock, and make other restricted payments, as well as events of default, including, without limitation, payment defaults, breaches of representations and warranties, covenants defaults, cross-defaults to certain other indebtedness in excess of $100,000, certain events of bankruptcy and insolvency, judgment defaults in excess of $10,000, failure of any security document supporting the Credit Facility to be in full force and effect, and a change of control. The Credit Facility also contains customary financial covenants, including net leverage ratio, net senior secured leverage ratio, and interest coverage ratio.</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$150 of letters of credit outstanding as of December 31, 2025 and 2024 under the Credit Facility. As of December 31, 2025 and 2024, the Company had $1,299,850 and $1,164,535, respectively, available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was in compliance with all covenants in its Credit Facility.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Convertible Senior Notes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2026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26, 2021, the Company completed a private offering of $690,000 of 0.125% convertible senior notes due 2026 (the “2026 Notes”). The 2026 Notes were issued pursuant to an indenture, dated as of January 26, 2021, between the Company and Wilmington Trust, National Association, as trustee (the “2026 Trustee”) (the “2026 Indenture”). Interest will accrue from January 26, 2021 and will be payable semi</w:t>
        <w:noBreakHyphen/>
        <w:t>annually in arrears in cash on January 15 and July 15 of each year, with the first payment due on July 15, 2021. The 2026 Notes will mature on January 15, 2026, unless earlier converted, redeemed, or repurchased.</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first quarter of 2025, the Company paid $9,797 in cash to repurchase $10,000 aggregate principal amount of its outstanding 2026 Notes through open market transactions resulting in an insignificant gain, which was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consolidated statements of operations for the year ended December 31, 2025. The 2026 Notes were repurchased under the Company’s Repurchase Program authorization (see Note 13).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October 15, 2025, the 2026 Notes were convertible at the option of the holder pursuant to the terms of the 2026 Indenture. On or after October 15, 2025 until 5:00 p.m., New York City time, on the second scheduled trading day immediately before the maturity date, the 2026 Notes are convertible at the option of the holder at any time.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14, 2025, in accordance with the 2026 Indenture, the Company gave notice to the 2026 Trustee, the Conversion Agent, and the Holders (each as defined in the 2026 Indenture) that the Company elected to change the “Default Settlement Method” (as defined in the 2026 Indenture) for conversions of the 2026 Notes to “Physical Settlement” (as defined in the 2026 Indenture). As a result, all conversions of the 2026 Notes occurring on or after October 15, 2025 will be settled by delivery of shares of the Company’s Class B common stock using Physical Settlement in accordance with the 2026 Indenture. The initial conversion rate is 15.5925 shares of the Company’s Class B common stock per one thousand dollar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noBreakHyphen/>
        <w:t>Whole Fundamental Change (as defined in the 2026 Indenture), the Company will, under certain circumstances, increase the applicable conversion rate for a holder that elects to convert its 2026 Notes in connection with such Make</w:t>
        <w:noBreakHyphen/>
        <w:t>Whole Fundamental Change. No adjustment to the conversion rate will be made if the stock price in such Make</w:t>
        <w:noBreakHyphen/>
        <w:t>Whole Fundamental Change is either less than $44.23 per share or greater than $210.00 per share. The Company will not increase the conversion rate to an amount that exceeds 22.6090 shares per one thousand dollar principal amount of 2026 Notes, subject to adjustment. The 2026 Indenture also contains a customary merger covenant.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2026 Indenture, the 2026 Notes may be accelerated upon the occurrence of certain customary events of default. If certain bankruptcy and insolvency</w:t>
        <w:noBreakHyphen/>
        <w:t>related events of default with respect to the Company occur, the principal of, and accrued and unpaid interest on, all of the then outstanding 2026 Notes shall automatically become due and payable. If any other event of default occurs and is continuing, the 2026 Trustee by notice to the Company, or the holders of the 2026 Notes of at least 25% in principal amount of the outstanding 2026 Notes by notice to the Company and the 2026 Trustee, may declare the principal of, and accrued and unpaid interest on, all of the then outstanding 2026 Notes to be due and payable. Notwithstanding the foregoing, the 2026 Indenture provides that, to the extent the Company elects, the sole remedy for an event of default relating to certain failures by the Company to comply with reporting covenant in the 2026 Indenture consists exclusively of the right to receive additional interest on the 2026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Notes were accounted for as debt, with no bifurcation of the embedded conversion feature. Transaction costs were recorded as a direct deduction from the related debt liability in the consolidated balance sheets and are amortized to interest expense over the term of the 2026 Notes. The effective interest rate for the 2026 Notes is 0.658%.</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none of the conditions of the 2026 Notes to early convert had been met and the Company was in compliance with all affirmative and negative covenants. As of December 31, 2025, the 2026 Notes were classified as long</w:t>
        <w:noBreakHyphen/>
        <w:t>term in the consolidated balance sheets as the Company had the ability and intent to refinance them on a long</w:t>
        <w:noBreakHyphen/>
        <w:t>term basis through available capacity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2026 Notes matured on January 15, 2026. Upon maturity, the Company repaid $678,254, which consisted of the remaining outstanding principal balance and accrued interest on the 2026 Notes using borrowings under the Credit Facility and available cash on hand.</w:t>
      </w:r>
    </w:p>
    <w:p>
      <w:pPr>
        <w:pStyle w:val="TextBody"/>
        <w:bidi w:val="0"/>
        <w:spacing w:lineRule="auto" w:line="288" w:before="0" w:after="200"/>
        <w:ind w:left="0" w:right="0" w:firstLine="360"/>
        <w:jc w:val="both"/>
        <w:rPr/>
      </w:pPr>
      <w:r>
        <w:rPr>
          <w:rFonts w:ascii="Times New Roman;serif" w:hAnsi="Times New Roman;serif"/>
          <w:b/>
          <w:i/>
          <w:color w:val="000000"/>
          <w:sz w:val="20"/>
        </w:rPr>
        <w:t>Capped Call Options</w:t>
      </w:r>
      <w:r>
        <w:rPr>
          <w:color w:val="000000"/>
        </w:rPr>
        <w:t xml:space="preserve"> — </w:t>
      </w:r>
      <w:r>
        <w:rPr>
          <w:rFonts w:ascii="Times New Roman;serif" w:hAnsi="Times New Roman;serif"/>
          <w:b w:val="false"/>
          <w:color w:val="000000"/>
          <w:sz w:val="20"/>
        </w:rPr>
        <w:t>In connection with the pricing of the 2026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Bentley Systems stockholders’ equity. As such, the premiums paid for the capped call options were included as a net reduction to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in the consolidated balance sheets as of December 31, 2021. These capped call options expired on January 15,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2027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28, 2021, the Company completed a private offering of $575,000 of 0.375% convertible senior notes due 2027. The 2027 Notes were issued pursuant to an indenture, dated as of June 28, 2021, between the Company and Wilmington Trust, National Association, as trustee (the “2027 Trustee”) (the “2027 Indenture”). Interest will accrue from June 28, 2021 and will be payable semi</w:t>
        <w:noBreakHyphen/>
        <w:t>annually in arrears in cash on January 1 and July 1 of each year, with the first payment due on January 1, 2022. The 2027 Notes will mature on July 1, 2027, unless earlier converted, redeemed, or repurchased.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one thousand dollar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one thousand dollar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the option to redeem the 2027 Notes in whole or in part at any time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noBreakHyphen/>
        <w:t>Whole Fundamental Change (as defined in the 2027 Indenture), the Company will, under certain circumstances, increase the applicable conversion rate for a holder that elects to convert its 2027 Notes in connection with such Make</w:t>
        <w:noBreakHyphen/>
        <w:t>Whole Fundamental Change. No adjustment to the conversion rate will be made if the stock price in such Make</w:t>
        <w:noBreakHyphen/>
        <w:t>Whole Fundamental Change is either less than $61.65 per share or greater than $325.00 per share. The Company will not increase the conversion rate to an amount that exceeds 16.2206 shares per one thousand dollar principal amount of 2027 Notes, subject to adjustment. The 2027 Indenture also contains a customary merger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2027 Indenture, the 2027 Notes may be accelerated upon the occurrence of certain customary events of default. If certain bankruptcy and insolvency</w:t>
        <w:noBreakHyphen/>
        <w:t>related events of default with respect to the Company occur, the principal of, and accrued and unpaid interest on, all of the then outstanding 2027 Notes shall automatically become due and payable. If any other event of default occurs and is continuing, the 2027 Trustee by notice to the Company, or the holders of the 2027 Notes of at least 25% in principal amount of the outstanding 2027 Notes by notice to the Company and the 2027 Trustee, may declare the principal of, and accrued and unpaid interest on, all of the then outstanding 2027 Notes to be due and payable. Notwithstanding the foregoing, the 2027 Indenture provides that, to the extent the Company elects, the sole remedy for an event of default relating to certain failures by the Company to comply with reporting covenant in the 2027 Indenture consists exclusively of the right to receive additional interest on the 2027 Notes.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2027 Notes were accounted for as debt, with no bifurcation of the embedded conversion feature. Transaction costs were recorded as a direct deduction from the related debt liability in the consolidated balance sheets and are amortized to interest expense over the term of the 2027 Notes. The effective interest rate for the 2027 Notes is 0.864%.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none of the conditions of the 2027 Notes to early convert had been met.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2027 Notes are the Company’s senior, unsecured obligations that rank senior in right of payment to the Company’s future indebtedness that is expressly subordinated to the 2027 Notes, rank equally in right of payment with the Company’s existing and future senior unsecured indebtedness that is not so subordinated (including the Company’s 2026 Notes), effectively subordinated to the Company’s existing and future secured indebtedness (including obligations under the Company’s senior secured Credit Facility),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2027 Notes contain both affirmative and negative covenants. As of December 31, 2025 and 2024, the Company was in compliance with all covenants in the 2027 Notes.</w:t>
      </w:r>
    </w:p>
    <w:p>
      <w:pPr>
        <w:pStyle w:val="TextBody"/>
        <w:bidi w:val="0"/>
        <w:spacing w:lineRule="auto" w:line="288" w:before="0" w:after="200"/>
        <w:ind w:left="0" w:right="0" w:firstLine="360"/>
        <w:jc w:val="both"/>
        <w:rPr/>
      </w:pPr>
      <w:r>
        <w:rPr>
          <w:rFonts w:ascii="Times New Roman;serif" w:hAnsi="Times New Roman;serif"/>
          <w:b/>
          <w:i/>
          <w:color w:val="000000"/>
          <w:sz w:val="20"/>
        </w:rPr>
        <w:t>Capped Call Options</w:t>
      </w:r>
      <w:r>
        <w:rPr>
          <w:color w:val="000000"/>
        </w:rPr>
        <w:t xml:space="preserve"> — </w:t>
      </w:r>
      <w:r>
        <w:rPr>
          <w:rFonts w:ascii="Times New Roman;serif" w:hAnsi="Times New Roman;serif"/>
          <w:b w:val="false"/>
          <w:color w:val="000000"/>
          <w:sz w:val="20"/>
        </w:rPr>
        <w:t>In connection with the pricing of the 2027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Bentley Systems stockholders’ equity. As such, the premiums paid for the capped call options were included as a net reduction to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in the consolidated balance sheets as of December 31, 2021.</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Derivative Arrangements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Company records derivative instruments as an asset or liability measured at fair 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serif" w:hAnsi="Times New Roman;serif"/>
          <w:b w:val="false"/>
          <w:i/>
          <w:color w:val="000000"/>
          <w:sz w:val="20"/>
        </w:rPr>
        <w:t>Other comprehensive income (loss), net of taxes</w:t>
      </w:r>
      <w:r>
        <w:rPr>
          <w:color w:val="000000"/>
        </w:rPr>
        <w:t xml:space="preserve"> </w:t>
      </w:r>
      <w:r>
        <w:rPr>
          <w:rFonts w:ascii="Times New Roman;serif" w:hAnsi="Times New Roman;serif"/>
          <w:b w:val="false"/>
          <w:color w:val="000000"/>
          <w:sz w:val="20"/>
        </w:rPr>
        <w:t>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Effective on April 2, 2020, the Company entered into an interest rate swap with a notional amount of $200,000 and a ten</w:t>
        <w:noBreakHyphen/>
        <w:t>year term to reduce the interest rate risk associated with a portion of the Company’s floating rate debt. Under the terms of the interest rate swap, the Company will pay a fixed interest rate of 72.9 bps, and will receive a floating interest rate equal to daily SOFR plus an ARRC spread adjustment of 11.448 bps. The interest rate swap is not designated as a hedging instrument for accounting purposes. The Company accounts for the interest rate swap as either an asset or a liability on the consolidated balance sheets and carries the derivative at fair value (see Note 17). Gain (loss) from the change in fair value and payments related to the interest rate swap are recognized in</w:t>
      </w:r>
      <w:r>
        <w:rPr>
          <w:color w:val="000000"/>
        </w:rPr>
        <w:t xml:space="preserve"> </w:t>
      </w: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in the consolidated statements of operations (see Note 20).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the following:</w:t>
      </w:r>
    </w:p>
    <w:tbl>
      <w:tblPr>
        <w:tblW w:w="7751" w:type="dxa"/>
        <w:jc w:val="center"/>
        <w:tblInd w:w="0" w:type="dxa"/>
        <w:tblLayout w:type="fixed"/>
        <w:tblCellMar>
          <w:top w:w="28" w:type="dxa"/>
          <w:left w:w="28" w:type="dxa"/>
          <w:bottom w:w="28" w:type="dxa"/>
          <w:right w:w="28" w:type="dxa"/>
        </w:tblCellMar>
      </w:tblPr>
      <w:tblGrid>
        <w:gridCol w:w="1340"/>
        <w:gridCol w:w="1178"/>
        <w:gridCol w:w="1186"/>
        <w:gridCol w:w="211"/>
        <w:gridCol w:w="796"/>
        <w:gridCol w:w="109"/>
        <w:gridCol w:w="109"/>
        <w:gridCol w:w="109"/>
        <w:gridCol w:w="109"/>
        <w:gridCol w:w="211"/>
        <w:gridCol w:w="796"/>
        <w:gridCol w:w="109"/>
        <w:gridCol w:w="109"/>
        <w:gridCol w:w="109"/>
        <w:gridCol w:w="109"/>
        <w:gridCol w:w="211"/>
        <w:gridCol w:w="79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credit facility borrowings were 6.17%, 7.22%, and 7.13%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Scheduled maturities of long</w:t>
        <w:noBreakHyphen/>
        <w:t>term debt for the years after December 31, 2025 are as follows:</w:t>
      </w:r>
    </w:p>
    <w:tbl>
      <w:tblPr>
        <w:tblW w:w="5075" w:type="dxa"/>
        <w:jc w:val="center"/>
        <w:tblInd w:w="0" w:type="dxa"/>
        <w:tblLayout w:type="fixed"/>
        <w:tblCellMar>
          <w:top w:w="28" w:type="dxa"/>
          <w:left w:w="28" w:type="dxa"/>
          <w:bottom w:w="28" w:type="dxa"/>
          <w:right w:w="28" w:type="dxa"/>
        </w:tblCellMar>
      </w:tblPr>
      <w:tblGrid>
        <w:gridCol w:w="1350"/>
        <w:gridCol w:w="1184"/>
        <w:gridCol w:w="1200"/>
        <w:gridCol w:w="211"/>
        <w:gridCol w:w="97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scheduled maturities of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11: Executive Incentive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Bonus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the Bonus Plan, which is a legacy plan from decades prior to the Company’s IPO and was established to compensate a limited set of executives with substantial holdings of the Company’s common stock. As of January 1, 2024, Gregory S. Bentley was the sole remaining participant in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Sustainability Committee of the Company’s Board of Directors (the “Committee”),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noBreakHyphen/>
        <w:t>plan participants and participant charitable contributions.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Gregory S. Bentley’s transition to the role of Executive Chair effective July 1, 2024, on June 26, 2024, the Committee approved Amendment No. 2 to the Bonus Plan pursuant to which (in addition to other conforming changes) Mr. Bentley’s fractional interest under the Bonus Pool Plan was reduced from 12/33 to 4/33 effective July 1, 2024.</w:t>
      </w:r>
    </w:p>
    <w:p>
      <w:pPr>
        <w:pStyle w:val="TextBody"/>
        <w:bidi w:val="0"/>
        <w:spacing w:lineRule="auto" w:line="288" w:before="0" w:after="200"/>
        <w:ind w:left="0" w:right="0" w:firstLine="360"/>
        <w:jc w:val="both"/>
        <w:rPr/>
      </w:pPr>
      <w:r>
        <w:rPr>
          <w:rFonts w:ascii="Times New Roman;serif" w:hAnsi="Times New Roman;serif"/>
          <w:b w:val="false"/>
          <w:color w:val="000000"/>
          <w:sz w:val="20"/>
        </w:rPr>
        <w:t>On November 2, 2022, the Committee approved an amendment to the Bonus Plan such that with respect to fiscal year 2022, one</w:t>
        <w:noBreakHyphen/>
        <w:t xml:space="preserve">third of the Company’s Chief Investment Officer’s allocated percentage interest will be multiplied by a coefficient derived from the performance of the Company’s </w:t>
      </w:r>
      <w:r>
        <w:rPr>
          <w:rFonts w:ascii="Times New Roman;serif" w:hAnsi="Times New Roman;serif"/>
          <w:b w:val="false"/>
          <w:i/>
          <w:color w:val="000000"/>
          <w:sz w:val="20"/>
        </w:rPr>
        <w:t>BSY Investments</w:t>
      </w:r>
      <w:r>
        <w:rPr>
          <w:color w:val="000000"/>
        </w:rPr>
        <w:t xml:space="preserve"> </w:t>
      </w:r>
      <w:r>
        <w:rPr>
          <w:rFonts w:ascii="Times New Roman;serif" w:hAnsi="Times New Roman;serif"/>
          <w:b w:val="false"/>
          <w:color w:val="000000"/>
          <w:sz w:val="20"/>
        </w:rPr>
        <w:t xml:space="preserve">group (the Company’s executive team focused on portfolio development, mergers and acquisitions, venture capital investing, digital integrator business activities, and various incubating and accelerating business activities). This coefficient is generally determined by calculating the annual increase (or decrease) in value of the </w:t>
      </w:r>
      <w:r>
        <w:rPr>
          <w:rFonts w:ascii="Times New Roman;serif" w:hAnsi="Times New Roman;serif"/>
          <w:b w:val="false"/>
          <w:i/>
          <w:color w:val="000000"/>
          <w:sz w:val="20"/>
        </w:rPr>
        <w:t>BSY Investments</w:t>
      </w:r>
      <w:r>
        <w:rPr>
          <w:color w:val="000000"/>
        </w:rPr>
        <w:t xml:space="preserve"> </w:t>
      </w:r>
      <w:r>
        <w:rPr>
          <w:rFonts w:ascii="Times New Roman;serif" w:hAnsi="Times New Roman;serif"/>
          <w:b w:val="false"/>
          <w:color w:val="000000"/>
          <w:sz w:val="20"/>
        </w:rPr>
        <w:t>portfolio, taking into account applicable fees and an annual hurdle rate, in all cases, as approved by the Company’s non</w:t>
        <w:noBreakHyphen/>
        <w:t>employee directors. The Company’s Chief Investment Officer retired effective March 31, 2023 and received one Bonus Plan payout during 2023 in respect to the 2022 fiscal year under the amended allocated percentage interest.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participant may defer any portion, or all, of such participant’s incentive bonus payable pursuant to the Bonus Plan into the DCP (see Note 12). The Bonus Plan provides, in part, that a participant may elect to receive any portion, or all, of such participant’s non</w:t>
        <w:noBreakHyphen/>
        <w:t>deferred incentive bonus in the form of shares of fully vested Class B common stock issued under the Bentley Systems, Incorporated 2020 Omnibus Incentive Plan (the “2020 Plan”), subject to the limitation described below. The Company records the election of non</w:t>
        <w:noBreakHyphen/>
        <w:t>deferred incentive bonus in the form of shares of fully vested Class B common stock as stock</w:t>
        <w:noBreakHyphen/>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noBreakHyphen/>
        <w:t>deferred incentive bonus payments, if, in any calendar quarter, the aggregate U.S. dollar value of shares of fully vested Class B common stock payable in respect of the non</w:t>
        <w:noBreakHyphen/>
        <w:t>deferred incentive bonuses exceeds $7,500, the portion of each participant’s non</w:t>
        <w:noBreakHyphen/>
        <w:t>deferred incentive bonus payable in shares of fully vested Class B common stock will be reduced pro rata such that the $7,500 limit is not exceeded, and, for each affected participant, the amount of such reduction will be payable in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incentive compensation, including cash payments, election to receive shares of fully vested Class B common stock, and deferred compensation to plan participants, recognized under this plan (net of all applicable holdbacks) was $9,019, $16,337, and $21,463,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Career Stock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the Committee established an equity-based incentive program to compensate a limited set of executives (the “Career Stock Program”) pursuant to which the Company may grant restricted stock units (“RSUs”) awards under the 2020 Plan. Under the Career Stock Program, the Committee may from time to time grant RSU awards to program participants, the amount of which is to be determined based upon the Company’s AOI less SBC growth in the year preceding the date of grant (the “Performance Year”) as a percentage of the difference between realized AOI less SBC growth during the Performance Year and an inflation-adjusted target growth level for such Performance Year. Any such awards, if made, would thereafter cliff vest five years following the end of the Performance Year and would otherwise be subject to the terms and conditions of the 2020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granted 28,913 RSUs with a fair value of $1,160 under the Career Stock Program based on the achievement of the performance goals for the year ended December 31, 2024. As of December 31, 2025, there was $964 of unrecognized compensation expense related to unvested RSUs under the Career Stock Program, which is expected to be recognized over a weighted average period of approximately 4.0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12: Retirement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Deferred Compensation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noBreakHyphen/>
        <w:t>based compensation expense in the consolidated statements of operations (see Note 15). The DCP has 50,000,000 shares of Class B common stock reserved for issuance. As of December 31, 2025, shares of Class B common stock available for future issuance under the DCP were 4,615,798.</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DCP elective participant deferrals were $0, $188, and $1,765, respectively. No discretionary contributions were made to the DCP during the years ended December 31, 2025, 2024, or 2023. As of December 31, 2025 and 2024, phantom shares of the Company’s Class B common stock issuable by the DCP were 10,805,223 and 12,728,808,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August 2021, the Company’s Board of Directors approved an amendment to the DCP, which offered to certain active executives in the DCP a one</w:t>
        <w:noBreakHyphen/>
        <w:t>time, short</w:t>
        <w:noBreakHyphen/>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Deferred compensation plan liabilities</w:t>
      </w:r>
      <w:r>
        <w:rPr>
          <w:color w:val="000000"/>
        </w:rPr>
        <w:t xml:space="preserve"> </w:t>
      </w:r>
      <w:r>
        <w:rPr>
          <w:rFonts w:ascii="Times New Roman;serif" w:hAnsi="Times New Roman;serif"/>
          <w:b w:val="false"/>
          <w:color w:val="000000"/>
          <w:sz w:val="20"/>
        </w:rPr>
        <w:t xml:space="preserve">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expense was $14,409, $12,382, and $13,580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liabilities related to the DCP are included in the consolidated balance sheets as follows:</w:t>
      </w:r>
    </w:p>
    <w:tbl>
      <w:tblPr>
        <w:tblW w:w="5888" w:type="dxa"/>
        <w:jc w:val="center"/>
        <w:tblInd w:w="0" w:type="dxa"/>
        <w:tblLayout w:type="fixed"/>
        <w:tblCellMar>
          <w:top w:w="28" w:type="dxa"/>
          <w:left w:w="28" w:type="dxa"/>
          <w:bottom w:w="28" w:type="dxa"/>
          <w:right w:w="28" w:type="dxa"/>
        </w:tblCellMar>
      </w:tblPr>
      <w:tblGrid>
        <w:gridCol w:w="1166"/>
        <w:gridCol w:w="1027"/>
        <w:gridCol w:w="1031"/>
        <w:gridCol w:w="211"/>
        <w:gridCol w:w="826"/>
        <w:gridCol w:w="109"/>
        <w:gridCol w:w="109"/>
        <w:gridCol w:w="109"/>
        <w:gridCol w:w="109"/>
        <w:gridCol w:w="211"/>
        <w:gridCol w:w="826"/>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DCP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 qualified 401(k) profit</w:t>
        <w:noBreakHyphen/>
        <w:t>sharing plan (the “401(k) Plan”) for the benefit of U.S.</w:t>
        <w:noBreakHyphen/>
        <w:t>based full</w:t>
        <w:noBreakHyphen/>
        <w:t>time colleagues. The Company matches 50%, up to a maximum of 6% of qualified cash compensation for each eligible participating colleague. The Company’s matching contributions to the 401(k) Plan were $6,022, $5,472, and $5,260,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maintains various retirement benefit plans (primarily defined contribution plans) for colleagues of its international subsidiaries. The Company’s contributions to these plans were $14,928, $13,531, and $13,208,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13: Preferred and Common Stock</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Preferred Stock Authorized and Selected Terms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the Company to issue up to 100,000,000 shares of preferred stock. Preferred stock has rights, preferences, and privileges which may be designated from time to time by the Company’s Board of Directors.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 Authorized and Selected Terms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authorizes the Company to issue up to 100,000,000 shares of Class A common stock and up to 1,800,000,000 shares of Class B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rights of the holders of Class A common stock and Class B common stock are identical, except with respect to voting and conversion rights. Each share of Class B common stock is entitled to one vote per share, while each share of Class A common stock is entitled to 29 votes per share and is convertible at any time into one share of Class B common stock. Class A common stock will automatically convert into Class B common stock upon certain transfers, and its votes per share will be reduced to 11 in the event none of the Bentleys (Barry J. Bentley, Gregory S. Bentley, Keith A. Bentley, Raymond B. Bentley, and Richard P. Bentley, collectively) serves as a Company director or executive officer. Class A common stock also will automatically convert into shares of Class B common stock upon the affirmative vote of at least 90% of the then outstanding shares of Class A common stock or such time that the Bentley family (the Bentleys, certain other family members and trusts and other entities controlled by or primarily for the benefit of the Bentleys and their families, collectively) directly or indirectly, own less than 20% of the issued and outstanding Class B common stock on a fully-diluted basis (assuming the conversion of all issued and outstanding Class A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64,130 shares of Class A common stock were converted to Class B common stock.</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2022, the Company announced that its Board of Directors approved the Repurchase Program authorizing the Company to repurchase up to $200,000 of the Company’s Class B common stock through June 30, 2024. In December 2022, the Company’s Board of Directors amended the Repurchase Program to allow the Company also to repurchase its outstanding convertible senior notes. This additional authorization did not increase the overall dollar limit of the Repurchase Program. The Company’s authorization under the Repurchase Program approved in May 2022 expired on June 30, 2024. In March 2024, the Company’s Board of Directors approved an extension to the Repurchase Program authorizing the Company to repurchase up to $200,000 of the Company’s Class B common stock and/or outstanding convertible senior notes from June 30, 2024 through June 30, 2026. In November 2025, the Company’s Board of Directors approved an extension to the Repurchase Program authorizing the Company to repurchase up to $500,000 of the Company’s Class B common stock and/or outstanding convertible senior notes from November 21, 2025 through December 31, 2028. This updated authorization supersedes the Company’s prior authorization, which was set to expire on June 30, 2026. As of December 31, 2025, $481,558 was available under the Company’s Board of Directors authorization for future repurchases of Class B common stock and/or outstanding convertible senior notes under the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shares and outstanding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outstanding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outstanding convertible senior notes to be repurchased by the Company is not guaranteed, and the Repurchase Program may be suspended, modified, or discontinued at any time without prior notice.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2,887,224 shares for $125,057, and $10,000 aggregate principal amount of the Company’s outstanding 2026 Notes for $9,797 (see Note 10) under the Repurchase Program. During the year ended December 31, 2024, the Company repurchased 1,292,733 shares for $64,359 under the Repurchase Program. The Company did not make repurchases under the Repurchase Program during the year ended December 31, 2023.</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 Issuances, Sales, and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issued 1,657,737 shares of Class B common stock to DCP participants in connection with distributions from the plan, net of 335,295 shares which were sold back to the Company in the same period to pay for applicable income tax withholdings of $14,396. During the year ended December 31, 2024, the Company issued 4,707,845 shares of Class B common stock to DCP participants in connection with distributions from the plan. There were no shares sold back to the Company as they were issued on a gross basis during the year ended December 31, 2024. During the year ended December 31, 2023, the Company issued 3,410,006 shares of Class B common stock to DCP participants in connection with distributions from the plan, net of 935,939 shares which were sold back to the Company in the same period to pay for applicable income tax withholdings of $38,456.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issued 83,791 shares of Class B common stock in connection with Bonus Plan incentive compensation, net of 47,405 shares which were sold back to the Company in the same period to pay for applicable income tax withholdings of $2,371. During the year ended December 31, 2024, the Company issued 282,340 shares of Class B common stock in connection with the Bonus Plan incentive compensation. There were no shares sold back to the Company as they were issued on a gross basis during the year ended December 31, 2024. During the year ended December 31, 2023, the Company issued 247,867 shares of Class B common stock in connection with the Bonus Plan incentive compensation, net of 135,314 shares which were sold back to the Company in the same period to pay for applicable income tax withholdings of $5,756.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 The total intrinsic value of stock options exercised for the year ended December 31, 2024 was $40,775.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issued 2,621,959 shares of Class B common stock to colleagues who exercised their stock options, net of 238,627 shares withheld at exercise to pay for the cost of the stock options, as well as for $6,581 of applicable income tax withholdings. The Company received $11,715 in cash proceeds from the exercise of stock options. The total intrinsic value of stock options exercised for the year ended December 31, 2023 was $112,025.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Class B Common Stock Purchase Agreement with a strategic investor (the “Common Stock Purchase Agreement”), pursuant to which the investor acquired the maximum purchase amount of $250,000 of the Company’s Class B common stock. The Common Stock Purchase Agreement grants to the strategic investor certain informational and protective rights, including, for so long as the Company remains party to a long-term strategic collaboration agreement with the investor the right to participate in any sale process the Company may undertake. The Common Stock Purchase Agreement expires in 2030.</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cash dividends during the periods presented as follows:</w:t>
      </w:r>
    </w:p>
    <w:tbl>
      <w:tblPr>
        <w:tblW w:w="3602" w:type="dxa"/>
        <w:jc w:val="center"/>
        <w:tblInd w:w="0" w:type="dxa"/>
        <w:tblLayout w:type="fixed"/>
        <w:tblCellMar>
          <w:top w:w="28" w:type="dxa"/>
          <w:left w:w="28" w:type="dxa"/>
          <w:bottom w:w="28" w:type="dxa"/>
          <w:right w:w="28" w:type="dxa"/>
        </w:tblCellMar>
      </w:tblPr>
      <w:tblGrid>
        <w:gridCol w:w="483"/>
        <w:gridCol w:w="423"/>
        <w:gridCol w:w="428"/>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the Board of Directors approved cash dividends of $0.07 per share payable on March 19, 2026 to all stockholders of record of Class A and Class B common stock as of the close of business on March 10, 2026.</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Global Employee Stock Purchase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Bentley Systems, Incorporated Global Employee Stock Purchase Plan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determined by the Board of Directors, the ESPP has been implemented by means of consecutive offering periods, which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offering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year ended December 31, 2025, colleagues who elected to participate in the ESPP purchased a total of 280,767 shares of Class B common stock, net of shares withheld, resulting in cash proceeds to the Company of $11,534. Of the total 291,251 shares purchased, 10,484 shares were sold back to the Company to pay for applicable income tax withholdings of $539. During the year ended December 31, 2024, colleagues who elected to participate in the ESPP purchased a total of 253,578 shares of Class B common stock, net of shares withheld, resulting in cash proceeds to the Company of $11,228. Of the total 260,437 shares purchased, 6,859 shares were sold back to the Company to pay for applicable income tax withholdings of $348. During the year ended December 31, 2023, colleagues who elected to participate in the ESPP purchased a total of 315,840 shares of Class B common stock, net of shares withheld, resulting in cash proceeds to the Company of $9,988. Of the total 333,324 shares purchased, 17,484 shares were sold back to the Company to pay for applicable income tax withholdings of $845. As of December 31, 2025 and 2024, $6,173 and $5,577 of ESPP withholdings via colleague payroll deduction were recorded in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in the consolidated balance sheets, respectively. As of December 31, 2025, shares of Class B common stock available for future issuance under the ESPP were 23,737,693.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14: Accumulated Other Comprehensive Loss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w:t>
      </w:r>
    </w:p>
    <w:tbl>
      <w:tblPr>
        <w:tblW w:w="10205" w:type="dxa"/>
        <w:jc w:val="center"/>
        <w:tblInd w:w="0" w:type="dxa"/>
        <w:tblLayout w:type="fixed"/>
        <w:tblCellMar>
          <w:top w:w="28" w:type="dxa"/>
          <w:left w:w="28" w:type="dxa"/>
          <w:bottom w:w="28" w:type="dxa"/>
          <w:right w:w="28" w:type="dxa"/>
        </w:tblCellMar>
      </w:tblPr>
      <w:tblGrid>
        <w:gridCol w:w="2203"/>
        <w:gridCol w:w="1884"/>
        <w:gridCol w:w="1892"/>
        <w:gridCol w:w="211"/>
        <w:gridCol w:w="789"/>
        <w:gridCol w:w="109"/>
        <w:gridCol w:w="109"/>
        <w:gridCol w:w="109"/>
        <w:gridCol w:w="109"/>
        <w:gridCol w:w="331"/>
        <w:gridCol w:w="811"/>
        <w:gridCol w:w="164"/>
        <w:gridCol w:w="109"/>
        <w:gridCol w:w="109"/>
        <w:gridCol w:w="109"/>
        <w:gridCol w:w="211"/>
        <w:gridCol w:w="789"/>
        <w:gridCol w:w="157"/>
      </w:tblGrid>
      <w:tr>
        <w:trPr/>
        <w:tc>
          <w:tcPr>
            <w:tcW w:w="220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(74,558)</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consists of the following:</w:t>
      </w:r>
    </w:p>
    <w:tbl>
      <w:tblPr>
        <w:tblW w:w="8712" w:type="dxa"/>
        <w:jc w:val="center"/>
        <w:tblInd w:w="0" w:type="dxa"/>
        <w:tblLayout w:type="fixed"/>
        <w:tblCellMar>
          <w:top w:w="28" w:type="dxa"/>
          <w:left w:w="28" w:type="dxa"/>
          <w:bottom w:w="28" w:type="dxa"/>
          <w:right w:w="28" w:type="dxa"/>
        </w:tblCellMar>
      </w:tblPr>
      <w:tblGrid>
        <w:gridCol w:w="1768"/>
        <w:gridCol w:w="1556"/>
        <w:gridCol w:w="1566"/>
        <w:gridCol w:w="211"/>
        <w:gridCol w:w="721"/>
        <w:gridCol w:w="109"/>
        <w:gridCol w:w="109"/>
        <w:gridCol w:w="109"/>
        <w:gridCol w:w="109"/>
        <w:gridCol w:w="211"/>
        <w:gridCol w:w="721"/>
        <w:gridCol w:w="109"/>
        <w:gridCol w:w="109"/>
        <w:gridCol w:w="109"/>
        <w:gridCol w:w="109"/>
        <w:gridCol w:w="211"/>
        <w:gridCol w:w="721"/>
        <w:gridCol w:w="154"/>
      </w:tblGrid>
      <w:tr>
        <w:trPr/>
        <w:tc>
          <w:tcPr>
            <w:tcW w:w="176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and 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grants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DCP elective participant deferrals expense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Note 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stock-based compensation expense </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(1)DCP elective participant deferrals expense excludes deferred incentive bonus payable pursuant to the Bonus Plan.</w:t>
      </w:r>
    </w:p>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(2)As of December 31, 2025 and 2024, $1,814 and $1,556 remained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is included in the consolidated statements of operations as follows:</w:t>
      </w:r>
    </w:p>
    <w:tbl>
      <w:tblPr>
        <w:tblW w:w="7272"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common stock during periods prior to the IPO was determined by the Board of Directors at each award grant date based upon a variety of factors, including the results obtained from independent third</w:t>
        <w:noBreakHyphen/>
        <w:t>party valuations, the Company’s financial condition, and historical financial performance.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Bentley Systems, Incorporated 2020 Omnibus Incentive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December 31, 2025, equity awards available for future grants under the 2020 Plan were 18,476,290.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Restricted Stock and RSUs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2020 Plan,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which include growth in ARR, as well as actual bookings for perpetual licenses and non</w:t>
        <w:noBreakHyphen/>
        <w:t>recurring services. Performance targets are generally set for annual performance periods. The fair value of restricted stock and RSUs is determined by the product of the number of shares granted and the Company’s Class B common stock price on the grant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of restricted stock have voting rights and, subject to the terms of the award agreements, the time</w:t>
        <w:noBreakHyphen/>
        <w:t>based restricted stock awards generally accrue declared dividends which are paid upon vesting. RSUs, which may be cash or share</w:t>
        <w:noBreakHyphen/>
        <w:t>settled depending on the award, do not have voting rights and, subject to the terms of the award agreements, the time</w:t>
        <w:noBreakHyphen/>
        <w:t>based RSUs have dividend equivalent rights and do not accrue cash dividends. Recipients of the Company’s outstanding performance</w:t>
        <w:noBreakHyphen/>
        <w:t>based restricted stock awards and RSUs are paid dividends prior to vesting.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unvested RSUs activity and related information:</w:t>
      </w:r>
    </w:p>
    <w:tbl>
      <w:tblPr>
        <w:tblW w:w="9672" w:type="dxa"/>
        <w:jc w:val="center"/>
        <w:tblInd w:w="0" w:type="dxa"/>
        <w:tblLayout w:type="fixed"/>
        <w:tblCellMar>
          <w:top w:w="28" w:type="dxa"/>
          <w:left w:w="28" w:type="dxa"/>
          <w:bottom w:w="28" w:type="dxa"/>
          <w:right w:w="28" w:type="dxa"/>
        </w:tblCellMar>
      </w:tblPr>
      <w:tblGrid>
        <w:gridCol w:w="923"/>
        <w:gridCol w:w="811"/>
        <w:gridCol w:w="816"/>
        <w:gridCol w:w="524"/>
        <w:gridCol w:w="526"/>
        <w:gridCol w:w="166"/>
        <w:gridCol w:w="109"/>
        <w:gridCol w:w="109"/>
        <w:gridCol w:w="109"/>
        <w:gridCol w:w="524"/>
        <w:gridCol w:w="526"/>
        <w:gridCol w:w="178"/>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3,417,009 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3,067,703 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1,560,631 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218,322 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(1,563,419)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(1,248,515)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(314,904)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3,408,609 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3,163,771 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244,838 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231F20"/>
          <w:sz w:val="18"/>
        </w:rPr>
        <w:t>(1)</w:t>
      </w:r>
      <w:r>
        <w:rPr>
          <w:rFonts w:ascii="Times New Roman;serif" w:hAnsi="Times New Roman;serif"/>
          <w:b w:val="false"/>
          <w:color w:val="000000"/>
          <w:sz w:val="18"/>
        </w:rPr>
        <w:t>Includes 175,928 time</w:t>
        <w:noBreakHyphen/>
        <w:t>based RSUs granted during the three months ended March 31, 2022 to certain officers and key employees, which cliff vested on January 31, 2025. Additionally, includes 300,964 time</w:t>
        <w:noBreakHyphen/>
        <w:t>based RSUs granted during the three months ended June 30, 2024 to certain officers, which vest 20% on each of December 15, 2025, 2026, 2027, 2028, and 2029.</w:t>
      </w:r>
    </w:p>
    <w:p>
      <w:pPr>
        <w:pStyle w:val="TextBody"/>
        <w:bidi w:val="0"/>
        <w:spacing w:lineRule="auto" w:line="288" w:before="0" w:after="60"/>
        <w:ind w:left="0" w:right="0" w:hanging="360"/>
        <w:jc w:val="both"/>
        <w:rPr/>
      </w:pPr>
      <w:r>
        <w:rPr>
          <w:rFonts w:ascii="Times New Roman;serif" w:hAnsi="Times New Roman;serif"/>
          <w:b w:val="false"/>
          <w:color w:val="231F20"/>
          <w:sz w:val="18"/>
        </w:rPr>
        <w:t>(2)</w:t>
      </w:r>
      <w:r>
        <w:rPr>
          <w:rFonts w:ascii="Times New Roman;serif" w:hAnsi="Times New Roman;serif"/>
          <w:b w:val="false"/>
          <w:color w:val="000000"/>
          <w:sz w:val="18"/>
        </w:rPr>
        <w:t>Primarily relates to the 2024 annual performance period. Includes 162,038 performance</w:t>
        <w:noBreakHyphen/>
        <w:t>based RSUs granted during the year ended December 31, 2022 with extraordinary terms, which are described below.</w:t>
      </w:r>
    </w:p>
    <w:p>
      <w:pPr>
        <w:pStyle w:val="TextBody"/>
        <w:bidi w:val="0"/>
        <w:spacing w:lineRule="auto" w:line="288" w:before="0" w:after="60"/>
        <w:ind w:left="0" w:right="0" w:hanging="360"/>
        <w:jc w:val="both"/>
        <w:rPr/>
      </w:pPr>
      <w:r>
        <w:rPr>
          <w:rFonts w:ascii="Times New Roman;serif" w:hAnsi="Times New Roman;serif"/>
          <w:b w:val="false"/>
          <w:color w:val="231F20"/>
          <w:sz w:val="18"/>
        </w:rPr>
        <w:t>(3)</w:t>
      </w:r>
      <w:r>
        <w:rPr>
          <w:rFonts w:ascii="Times New Roman;serif" w:hAnsi="Times New Roman;serif"/>
          <w:b w:val="false"/>
          <w:color w:val="000000"/>
          <w:sz w:val="18"/>
        </w:rPr>
        <w:t>Primarily relates to the 2025 annual performance period. Includes 10,493 additional shares earned based on the achievement of 2024 performance goals for performance-based RSUs granted during the year ended December 31, 2024.</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(4)Includes 36,124 RSUs which are expected to be settled in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were subject to a cliff, whereby no vesting of that portion would occur unless the Company’s applicable margin metrics (which, for 2022 was Adjusted EBITDA margin, and for 2023 and 2024 was AOI less SBC margin, excluding the impact of foreign currency exchange fluctuations) also equaled or exceeded the relevant target level for such year. Provided that the applicable margin targets were met, the total number of performance</w:t>
        <w:noBreakHyphen/>
        <w:t>based RSUs that vested were determined by the achievement of growth targets, which included growth in ARR, as well as actual bookings for perpetual licenses and non</w:t>
        <w:noBreakHyphen/>
        <w:t>recurring services. As of December 31, 2024, 162,038 of the aforementioned performance</w:t>
        <w:noBreakHyphen/>
        <w:t>based RSUs were outstanding. On January 31, 2025, 162,038 performance</w:t>
        <w:noBreakHyphen/>
        <w:t>based RSUs were determined to be vested based on the achievement of the performance goals during the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2016, the Company granted RSUs subject to performance</w:t>
        <w:noBreakHyphen/>
        <w:t>based vesting as determined by the achievement of certain business growth targets. Certain colleagues elected to defer delivery of such shares upon vesting. During the years ended December 31, 2025, 2024, and 2023, 1,577, 1,569, and 1,562 shares, respectively, were delivered to colleagues, and 32, 32, and 36 additional shares, respectively, were earned as a result of dividends. As of December 31, 2025, 2024, and 2023, 4,755, 6,300, and 7,837 shares, respectively, of these vested and deferred RSUs remained outstanding.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values of RSUs granted were $40.87, $50.36, and $42.29 for the years ended December 31, 2025, 2024, and 2023,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restricted stock and RSUs were issued net of 330,161, 197,328, and 161,841 shares, respectively, which were sold back to the Company to settle applicable income tax withholdings of $14,881, $9,966, and $7,299,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$97,229 of unrecognized compensation expense related to unvested time</w:t>
        <w:noBreakHyphen/>
        <w:t>based RSUs, which is expected to be recognized over a weighted average period of approximately 1.8 years. As of December 31, 2025, there was $747 of unrecognized compensation expense related to unvested performance</w:t>
        <w:noBreakHyphen/>
        <w:t>based RSUs, which is expected to be recognized over a weighted average period of approximately 1.0 year.</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Stock Grants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2020 Plan, the Company may grant unrestricted, fully vested shares of Class B common stock. The fair value of stock grants is determined by the product of the number of fully vested Class B common stock granted and the Company’s common stock price on the grant date. The total expense related to stock grants is recognized on the grant date as the issued awards are fully vested.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granted 12,591, 11,391, and 12,639 fully vested shares of Class B common stock, respectively, with a fair value of $600, $600, and $600,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ESPP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ESPP is considered a compensatory plan as it provides eligible colleagues an option to purchase shares of the Company’s Class B common stock for 85% of the lower of the price of the first day of the offering period or the last day of the offering period (i.e., the purchase date).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each purchase right under the ESPP was calculated as the sum of its components, which includes the discount, a six</w:t>
        <w:noBreakHyphen/>
        <w:t>month call option, and a six</w:t>
        <w:noBreakHyphen/>
        <w:t>month put option. The call and put options were valued using the Black</w:t>
        <w:noBreakHyphen/>
        <w:t>Scholes option pricing model. Stock</w:t>
        <w:noBreakHyphen/>
        <w:t>based compensation expense is recognized ratably over the respective offering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components of </w:t>
      </w:r>
      <w:r>
        <w:rPr>
          <w:rFonts w:ascii="Times New Roman;serif" w:hAnsi="Times New Roman;serif"/>
          <w:b w:val="false"/>
          <w:i/>
          <w:color w:val="000000"/>
          <w:sz w:val="20"/>
        </w:rPr>
        <w:t>Income before income taxes</w:t>
      </w:r>
      <w:r>
        <w:rPr>
          <w:color w:val="000000"/>
        </w:rPr>
        <w:t xml:space="preserve"> </w:t>
      </w:r>
      <w:r>
        <w:rPr>
          <w:rFonts w:ascii="Times New Roman;serif" w:hAnsi="Times New Roman;serif"/>
          <w:b w:val="false"/>
          <w:color w:val="000000"/>
          <w:sz w:val="20"/>
        </w:rPr>
        <w:t xml:space="preserve">consist of the following: </w:t>
      </w:r>
    </w:p>
    <w:tbl>
      <w:tblPr>
        <w:tblW w:w="6522" w:type="dxa"/>
        <w:jc w:val="center"/>
        <w:tblInd w:w="0" w:type="dxa"/>
        <w:tblLayout w:type="fixed"/>
        <w:tblCellMar>
          <w:top w:w="28" w:type="dxa"/>
          <w:left w:w="28" w:type="dxa"/>
          <w:bottom w:w="28" w:type="dxa"/>
          <w:right w:w="28" w:type="dxa"/>
        </w:tblCellMar>
      </w:tblPr>
      <w:tblGrid>
        <w:gridCol w:w="864"/>
        <w:gridCol w:w="759"/>
        <w:gridCol w:w="762"/>
        <w:gridCol w:w="211"/>
        <w:gridCol w:w="826"/>
        <w:gridCol w:w="109"/>
        <w:gridCol w:w="109"/>
        <w:gridCol w:w="109"/>
        <w:gridCol w:w="109"/>
        <w:gridCol w:w="211"/>
        <w:gridCol w:w="826"/>
        <w:gridCol w:w="109"/>
        <w:gridCol w:w="109"/>
        <w:gridCol w:w="109"/>
        <w:gridCol w:w="109"/>
        <w:gridCol w:w="211"/>
        <w:gridCol w:w="82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consists of the following:</w:t>
      </w:r>
    </w:p>
    <w:tbl>
      <w:tblPr>
        <w:tblW w:w="7092" w:type="dxa"/>
        <w:jc w:val="center"/>
        <w:tblInd w:w="0" w:type="dxa"/>
        <w:tblLayout w:type="fixed"/>
        <w:tblCellMar>
          <w:top w:w="28" w:type="dxa"/>
          <w:left w:w="28" w:type="dxa"/>
          <w:bottom w:w="28" w:type="dxa"/>
          <w:right w:w="28" w:type="dxa"/>
        </w:tblCellMar>
      </w:tblPr>
      <w:tblGrid>
        <w:gridCol w:w="1125"/>
        <w:gridCol w:w="936"/>
        <w:gridCol w:w="954"/>
        <w:gridCol w:w="211"/>
        <w:gridCol w:w="796"/>
        <w:gridCol w:w="109"/>
        <w:gridCol w:w="109"/>
        <w:gridCol w:w="109"/>
        <w:gridCol w:w="109"/>
        <w:gridCol w:w="211"/>
        <w:gridCol w:w="796"/>
        <w:gridCol w:w="109"/>
        <w:gridCol w:w="109"/>
        <w:gridCol w:w="109"/>
        <w:gridCol w:w="109"/>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income tax rate to the Company’s effective tax rate after the adoption of ASU 2023</w:t>
        <w:noBreakHyphen/>
        <w:t>09 (see Note 2) is as follows:</w:t>
      </w:r>
    </w:p>
    <w:tbl>
      <w:tblPr>
        <w:tblW w:w="8195" w:type="dxa"/>
        <w:jc w:val="left"/>
        <w:tblInd w:w="0" w:type="dxa"/>
        <w:tblLayout w:type="fixed"/>
        <w:tblCellMar>
          <w:top w:w="28" w:type="dxa"/>
          <w:left w:w="28" w:type="dxa"/>
          <w:bottom w:w="28" w:type="dxa"/>
          <w:right w:w="28" w:type="dxa"/>
        </w:tblCellMar>
      </w:tblPr>
      <w:tblGrid>
        <w:gridCol w:w="1968"/>
        <w:gridCol w:w="1735"/>
        <w:gridCol w:w="1742"/>
        <w:gridCol w:w="284"/>
        <w:gridCol w:w="972"/>
        <w:gridCol w:w="147"/>
        <w:gridCol w:w="147"/>
        <w:gridCol w:w="147"/>
        <w:gridCol w:w="147"/>
        <w:gridCol w:w="240"/>
        <w:gridCol w:w="240"/>
        <w:gridCol w:w="426"/>
      </w:tblGrid>
      <w:tr>
        <w:trPr/>
        <w:tc>
          <w:tcPr>
            <w:tcW w:w="196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 net of U.S. federal income tax effect </w:t>
            </w:r>
            <w:r>
              <w:rPr>
                <w:rFonts w:ascii="Times New Roman;serif" w:hAnsi="Times New Roman;serif"/>
                <w:b w:val="false"/>
                <w:color w:val="000000"/>
                <w:sz w:val="13"/>
              </w:rPr>
              <w:t>(1)</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(1)New York state and city, California, Oregon, and Pennsylvania represent the majority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income tax rate to the Company’s effective tax rate prior to the adoption of ASU 2023</w:t>
        <w:noBreakHyphen/>
        <w:t>09 (see Note 2) is as follows:</w:t>
      </w:r>
    </w:p>
    <w:tbl>
      <w:tblPr>
        <w:tblW w:w="8117" w:type="dxa"/>
        <w:jc w:val="center"/>
        <w:tblInd w:w="0" w:type="dxa"/>
        <w:tblLayout w:type="fixed"/>
        <w:tblCellMar>
          <w:top w:w="28" w:type="dxa"/>
          <w:left w:w="28" w:type="dxa"/>
          <w:bottom w:w="28" w:type="dxa"/>
          <w:right w:w="28" w:type="dxa"/>
        </w:tblCellMar>
      </w:tblPr>
      <w:tblGrid>
        <w:gridCol w:w="1892"/>
        <w:gridCol w:w="1668"/>
        <w:gridCol w:w="1675"/>
        <w:gridCol w:w="109"/>
        <w:gridCol w:w="109"/>
        <w:gridCol w:w="293"/>
        <w:gridCol w:w="293"/>
        <w:gridCol w:w="415"/>
        <w:gridCol w:w="167"/>
        <w:gridCol w:w="167"/>
        <w:gridCol w:w="167"/>
        <w:gridCol w:w="293"/>
        <w:gridCol w:w="293"/>
        <w:gridCol w:w="576"/>
      </w:tblGrid>
      <w:tr>
        <w:trPr/>
        <w:tc>
          <w:tcPr>
            <w:tcW w:w="189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 net of U.S. federal 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net tax on foreign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internal legal entity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effective tax rate was higher as compared to the year ended December 31, 2024 primarily due to the decrease in tax benefits related to stock</w:t>
        <w:noBreakHyphen/>
        <w:t>based compensation, net of the impact from officer compensation limitation provisions, recognized in the current year. For the year ended December 31, 2024, the effective tax rate was higher as compared to the year ended December 31, 2023 primarily due to the tax benefit recognized as a result of the internal legal entity restructuring during the fourth quarter of 2023 described below, as well as a decrease in tax benefits related to stock</w:t>
        <w:noBreakHyphen/>
        <w:t>based compensation, net of the impact from officer compensation limitation provisions, partially offset by the decrease in the adverse effective tax rate impact of the net tax on foreign earnings. The decrease in net tax on foreign earnings is primarily related to increased foreign creditable taxes available to reduce the net impact of the U.S. Global Intangible Low-Taxed Income (“GILTI”) inclusion.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OBBBA. The OBBBA includes the permanent extension of certain expiring provisions of the JOBS Act, modifications to the international tax framework, and the restoration of favorable tax treatment for certain business provisions. The legislation has multiple effective dates. The OBBBA had a favorable impact on the Company’s cash paid for income taxes in 2025, primarily attributable to the change in restoring immediate U.S. tax deductions for domestic research and development expenses. The OBBBA did not have a material impact on the effective tax rate for the year ended December 31,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2023, the Company recognized a net income tax benefit of $170,784 attributable to internal legal entity restructuring and related intra-entity transactions as part of its continuing efforts to align intellectual property ownership with the Company’s business operating model. These transactions resulted in the recognition of deferred tax benefits arising from the net increase in deferred tax assets related to intangibles and goodwill of $171,622. As of December 31, 2023, the deferred tax assets represented the undiscounted future anticipated cash tax impacts of basis differences, which were expected to be realized through tax amortization over the next 13 years, beginning in 2024. The benefit of the internal legal entity restructuring was partially offset by an increase in the effective tax rate impact of the GILTI inclusion due to the mandatory capitalization of research and development expenses for U.S. tax purposes and a decrease in tax benefits related to stock</w:t>
        <w:noBreakHyphen/>
        <w:t>based compensation, net of the impact from officer compensation limitation provisions, recognized during the year ended December 31, 2023.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“period cost method” and treats taxes due on future U.S. inclusions in taxable income related to Net Controlled Foreign Corporation Tested Income, formerly known as GILTI, as a current</w:t>
        <w:noBreakHyphen/>
        <w:t>period expense when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after the adoption of ASU 2023</w:t>
        <w:noBreakHyphen/>
        <w:t>09 (see Note 2) was as follows:</w:t>
      </w:r>
    </w:p>
    <w:tbl>
      <w:tblPr>
        <w:tblW w:w="5340" w:type="dxa"/>
        <w:jc w:val="left"/>
        <w:tblInd w:w="0" w:type="dxa"/>
        <w:tblLayout w:type="fixed"/>
        <w:tblCellMar>
          <w:top w:w="28" w:type="dxa"/>
          <w:left w:w="28" w:type="dxa"/>
          <w:bottom w:w="28" w:type="dxa"/>
          <w:right w:w="28" w:type="dxa"/>
        </w:tblCellMar>
      </w:tblPr>
      <w:tblGrid>
        <w:gridCol w:w="1347"/>
        <w:gridCol w:w="1184"/>
        <w:gridCol w:w="1188"/>
        <w:gridCol w:w="231"/>
        <w:gridCol w:w="790"/>
        <w:gridCol w:w="119"/>
        <w:gridCol w:w="109"/>
        <w:gridCol w:w="109"/>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foreign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paid for income taxes, net of refunds </w:t>
            </w:r>
            <w:r>
              <w:rPr>
                <w:rFonts w:ascii="Times New Roman;serif" w:hAnsi="Times New Roman;serif"/>
                <w:b w:val="false"/>
                <w:color w:val="000000"/>
                <w:sz w:val="13"/>
              </w:rPr>
              <w:t>(1)</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(1)Cash paid for income taxes, net of refunds, excludes $7,518 of third</w:t>
        <w:noBreakHyphen/>
        <w:t>party withholding taxes.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following is a summary of the significant components of the Company’s deferred tax assets and liabilities:</w:t>
      </w:r>
    </w:p>
    <w:tbl>
      <w:tblPr>
        <w:tblW w:w="5949" w:type="dxa"/>
        <w:jc w:val="center"/>
        <w:tblInd w:w="0" w:type="dxa"/>
        <w:tblLayout w:type="fixed"/>
        <w:tblCellMar>
          <w:top w:w="28" w:type="dxa"/>
          <w:left w:w="28" w:type="dxa"/>
          <w:bottom w:w="28" w:type="dxa"/>
          <w:right w:w="28" w:type="dxa"/>
        </w:tblCellMar>
      </w:tblPr>
      <w:tblGrid>
        <w:gridCol w:w="1192"/>
        <w:gridCol w:w="1045"/>
        <w:gridCol w:w="1048"/>
        <w:gridCol w:w="211"/>
        <w:gridCol w:w="826"/>
        <w:gridCol w:w="109"/>
        <w:gridCol w:w="109"/>
        <w:gridCol w:w="109"/>
        <w:gridCol w:w="109"/>
        <w:gridCol w:w="211"/>
        <w:gridCol w:w="826"/>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loss and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including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 not currently deductible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and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income tax assets and liabilities for the expected future tax consequences of NOL carryforwards, credit carryforwards, and temporary differences between financial statement carrying amounts of assets and liabilities and their respective tax bases, using enacted tax rates in effect for the year in which the items are expected to reverse.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deferred tax assets for tax credits and NOLs, net of unrecognized tax positions, primarily related to:</w:t>
      </w:r>
    </w:p>
    <w:tbl>
      <w:tblPr>
        <w:tblW w:w="7047" w:type="dxa"/>
        <w:jc w:val="center"/>
        <w:tblInd w:w="0" w:type="dxa"/>
        <w:tblLayout w:type="fixed"/>
        <w:tblCellMar>
          <w:top w:w="28" w:type="dxa"/>
          <w:left w:w="28" w:type="dxa"/>
          <w:bottom w:w="28" w:type="dxa"/>
          <w:right w:w="28" w:type="dxa"/>
        </w:tblCellMar>
      </w:tblPr>
      <w:tblGrid>
        <w:gridCol w:w="1389"/>
        <w:gridCol w:w="1223"/>
        <w:gridCol w:w="1228"/>
        <w:gridCol w:w="348"/>
        <w:gridCol w:w="1016"/>
        <w:gridCol w:w="181"/>
        <w:gridCol w:w="109"/>
        <w:gridCol w:w="109"/>
        <w:gridCol w:w="109"/>
        <w:gridCol w:w="390"/>
        <w:gridCol w:w="390"/>
        <w:gridCol w:w="555"/>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Begin to Expire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NOL</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2034</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research and development credits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2039</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foreign tax credits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NOL</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research and development credits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 NOL</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 research and development credits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research and development credit</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has a valuation allowance recorded against net deferred tax assets related to NOLs and tax attributes in certain jurisdictions of $6,411 and $4,474, respectively. During the year ended December 31, 2025, the Company increased the valuation allowance by $1,937, which was primarily related to taxable losses in various foreign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provided for any applicable income taxes associated with current year distributions, as well as any earnings that are expected to be distributed in the future, in the calculation of the income tax provision. No additional provision has been made for U.S. and non</w:t>
        <w:noBreakHyphen/>
        <w:t>U.S. income taxes on the undistributed earnings of subsidiaries that are expected to be indefinitely reinvested. A liability could arise if the Company’s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changes in gross unrecognized tax benefits:</w:t>
      </w:r>
    </w:p>
    <w:tbl>
      <w:tblPr>
        <w:tblW w:w="7797" w:type="dxa"/>
        <w:jc w:val="center"/>
        <w:tblInd w:w="0" w:type="dxa"/>
        <w:tblLayout w:type="fixed"/>
        <w:tblCellMar>
          <w:top w:w="28" w:type="dxa"/>
          <w:left w:w="28" w:type="dxa"/>
          <w:bottom w:w="28" w:type="dxa"/>
          <w:right w:w="28" w:type="dxa"/>
        </w:tblCellMar>
      </w:tblPr>
      <w:tblGrid>
        <w:gridCol w:w="1739"/>
        <w:gridCol w:w="1528"/>
        <w:gridCol w:w="1533"/>
        <w:gridCol w:w="211"/>
        <w:gridCol w:w="406"/>
        <w:gridCol w:w="109"/>
        <w:gridCol w:w="109"/>
        <w:gridCol w:w="109"/>
        <w:gridCol w:w="109"/>
        <w:gridCol w:w="211"/>
        <w:gridCol w:w="466"/>
        <w:gridCol w:w="109"/>
        <w:gridCol w:w="109"/>
        <w:gridCol w:w="109"/>
        <w:gridCol w:w="109"/>
        <w:gridCol w:w="211"/>
        <w:gridCol w:w="46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of prior years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for tax positions of prior years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related to the current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relating to settlements with taxing authorities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as a result of lapse of the statute of limitations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tax benefits,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December 31, 2025, 2024, and 2023, the Company had total unrecognized tax benefits including interest and penalties of $0, $0, and $557, respectively, of which $0, $0, and $554, respectively, would impact the Company’s effective tax rate if recognized. Interest expense and penalties related to unrecognized tax benefits included in the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were $0, $91, $194 for the years ended December 31, 2025, 2024, and 2023, respectively. The cumulative accrued interest and penalties related to unrecognized tax benefits were $0, $0, and $91 as of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is subject to income tax in the U.S. (federal and state) and numerous foreign jurisdictions. Significant judgment is required in evaluating the Company’s tax positions and determining the provision for income taxes. During the ordinary course of business, there are many transactions and calculations for which the ultimate tax determination is uncertain. The Company establishes reserves for tax</w:t>
        <w:noBreakHyphen/>
        <w:t xml:space="preserve">related uncertainties based on estimates of whether, and the extent to which, additional taxes will be due. These reserves are established when the Company believes that certain positions might be challenged despite its belief that the Company’s tax return positions are fully supportable. The tax benefit recognized is based on the largest amount that is greater than 50 percent likely of being realized upon ultimate settlement. The Company adjusts these reserves in light of changing facts and circumstances, such as the outcome of tax audits. The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 xml:space="preserve">in the consolidated statements of operations includes the impact of reserve provisions and changes to reserves that are considered appropriate. The Company records accrued interest and/or penalties, where applicable, related to unrecognized tax benefits as part of the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currently under audit in the U.K. for years 2018 through 2023, in Ireland for year 2023, and in Canada for years 2019 through 2024. In addition, the Company is under audit in various other foreign taxing jurisdictions that are not material to the consolidated financial statements. The Company’s U.S. consolidated federal income tax returns for years 2022 through 2025 may be subject to examination by the Internal Revenue Service. The Company also may be subject to examination by other significant jurisdictions, including the Inland Revenue Department for New Zealand Tax purposes for years 2020 through 2025.</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and 2025, while other aspects are expected to become effective in 2026 and beyond. Due to the uncertainty regarding which countries will enact Pillar 2 legislation and in what form the legislation will be adopted, as well as uncertainty regarding the timing of individual country legislative action and the underlying complexity of the rules, the Company is still assessing the impact, if any, of the Pillar 2 legislation. Pillar 2 legislation did not have a material impact on the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in the consolidated statements for the years ended December 31,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17: Fair Value of Financial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categorizes its assets and liabilities measured at fair value into a three</w:t>
        <w:noBreakHyphen/>
        <w:t>level hierarchy, based on the priority of 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hierarchy consists of the following three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3 inputs are unobservable inputs based on management’s own assumptions used to measure assets and liabilities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00"/>
        <w:ind w:left="0" w:right="0" w:firstLine="360"/>
        <w:jc w:val="both"/>
        <w:rPr/>
      </w:pPr>
      <w:r>
        <w:rPr>
          <w:rFonts w:ascii="Times New Roman;serif" w:hAnsi="Times New Roman;serif"/>
          <w:b/>
          <w:i/>
          <w:color w:val="000000"/>
          <w:sz w:val="20"/>
        </w:rPr>
        <w:t>Current Assets and Current Liabilities</w:t>
      </w:r>
      <w:r>
        <w:rPr>
          <w:color w:val="000000"/>
        </w:rPr>
        <w:t xml:space="preserve"> — </w:t>
      </w:r>
      <w:r>
        <w:rPr>
          <w:rFonts w:ascii="Times New Roman;serif" w:hAnsi="Times New Roman;serif"/>
          <w:b w:val="false"/>
          <w:color w:val="000000"/>
          <w:sz w:val="20"/>
        </w:rPr>
        <w:t>In general, the carrying amounts reported on the consolidated balance sheets for current assets and current liabilities approximate their fair values due to the short</w:t>
        <w:noBreakHyphen/>
        <w:t>term nature of those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measurements for Level 2 financial instruments as of December 31, 2025 and 2024:</w:t>
      </w:r>
    </w:p>
    <w:p>
      <w:pPr>
        <w:pStyle w:val="TextBody"/>
        <w:bidi w:val="0"/>
        <w:spacing w:lineRule="auto" w:line="288" w:before="0" w:after="200"/>
        <w:ind w:left="0" w:right="0" w:firstLine="360"/>
        <w:jc w:val="both"/>
        <w:rPr/>
      </w:pPr>
      <w:r>
        <w:rPr>
          <w:rFonts w:ascii="Times New Roman;serif" w:hAnsi="Times New Roman;serif"/>
          <w:b/>
          <w:i/>
          <w:color w:val="000000"/>
          <w:sz w:val="20"/>
        </w:rPr>
        <w:t>Interest Rate Swap</w:t>
      </w:r>
      <w:r>
        <w:rPr>
          <w:color w:val="000000"/>
        </w:rPr>
        <w:t xml:space="preserve"> — </w:t>
      </w:r>
      <w:r>
        <w:rPr>
          <w:rFonts w:ascii="Times New Roman;serif" w:hAnsi="Times New Roman;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TextBody"/>
        <w:bidi w:val="0"/>
        <w:spacing w:lineRule="auto" w:line="288" w:before="0" w:after="200"/>
        <w:ind w:left="0" w:right="0" w:firstLine="360"/>
        <w:jc w:val="both"/>
        <w:rPr/>
      </w:pPr>
      <w:r>
        <w:rPr>
          <w:rFonts w:ascii="Times New Roman;serif" w:hAnsi="Times New Roman;serif"/>
          <w:b/>
          <w:i/>
          <w:color w:val="000000"/>
          <w:sz w:val="20"/>
        </w:rPr>
        <w:t>Long-Term Debt</w:t>
      </w:r>
      <w:r>
        <w:rPr>
          <w:color w:val="000000"/>
        </w:rPr>
        <w:t xml:space="preserve"> — </w:t>
      </w:r>
      <w:r>
        <w:rPr>
          <w:rFonts w:ascii="Times New Roman;serif" w:hAnsi="Times New Roman;serif"/>
          <w:b w:val="false"/>
          <w:color w:val="000000"/>
          <w:sz w:val="20"/>
        </w:rPr>
        <w:t>The fair value of the Company’s borrowings under the Credit Facility approximated its carrying value based upon discounted cash flows at current market rates for instruments with similar remaining terms. The Company considers these valuation inputs to be Level 2 inputs in the fair value hierarchy. As of December 31, 2025, the estimated fair value of the 2026 Notes and 2027 Notes was $676,542 and $543,059, respectively. As of December 31, 2024, the estimated fair value of the 2026 Notes and 2027 Notes was $671,123 and $519,271,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erif" w:hAnsi="Times New Roman;serif"/>
          <w:b/>
          <w:i/>
          <w:color w:val="000000"/>
          <w:sz w:val="20"/>
        </w:rPr>
        <w:t>Deferred Compensation Plan Liabilities</w:t>
      </w:r>
      <w:r>
        <w:rPr>
          <w:color w:val="000000"/>
        </w:rPr>
        <w:t xml:space="preserve"> — </w:t>
      </w:r>
      <w:r>
        <w:rPr>
          <w:rFonts w:ascii="Times New Roman;serif" w:hAnsi="Times New Roman;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carried at fair value measured on a recurring basis consist of the following:</w:t>
      </w:r>
    </w:p>
    <w:tbl>
      <w:tblPr>
        <w:tblW w:w="7685" w:type="dxa"/>
        <w:jc w:val="center"/>
        <w:tblInd w:w="0" w:type="dxa"/>
        <w:tblLayout w:type="fixed"/>
        <w:tblCellMar>
          <w:top w:w="28" w:type="dxa"/>
          <w:left w:w="28" w:type="dxa"/>
          <w:bottom w:w="28" w:type="dxa"/>
          <w:right w:w="28" w:type="dxa"/>
        </w:tblCellMar>
      </w:tblPr>
      <w:tblGrid>
        <w:gridCol w:w="1245"/>
        <w:gridCol w:w="1092"/>
        <w:gridCol w:w="1098"/>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tbl>
      <w:tblPr>
        <w:tblW w:w="7685" w:type="dxa"/>
        <w:jc w:val="center"/>
        <w:tblInd w:w="0" w:type="dxa"/>
        <w:tblLayout w:type="fixed"/>
        <w:tblCellMar>
          <w:top w:w="28" w:type="dxa"/>
          <w:left w:w="28" w:type="dxa"/>
          <w:bottom w:w="28" w:type="dxa"/>
          <w:right w:w="28" w:type="dxa"/>
        </w:tblCellMar>
      </w:tblPr>
      <w:tblGrid>
        <w:gridCol w:w="1245"/>
        <w:gridCol w:w="1092"/>
        <w:gridCol w:w="1098"/>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Cash and cash equivalents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Other assets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(3)Included in </w:t>
      </w:r>
      <w:r>
        <w:rPr>
          <w:rFonts w:ascii="Times New Roman;serif" w:hAnsi="Times New Roman;serif"/>
          <w:b w:val="false"/>
          <w:i/>
          <w:color w:val="000000"/>
          <w:sz w:val="18"/>
        </w:rPr>
        <w:t>Deferred compensation plan liabilities</w:t>
      </w:r>
      <w:r>
        <w:rPr>
          <w:rFonts w:ascii="Times New Roman;serif" w:hAnsi="Times New Roman;serif"/>
          <w:b w:val="false"/>
          <w:color w:val="000000"/>
          <w:sz w:val="18"/>
        </w:rPr>
        <w:t xml:space="preserve">, except for current liabilities of $4,294 and $3,798 as of December 31, 2025 and 2024, respectively, which are 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(4)Included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18: Commitments and Contingencies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various purchase commitments for goods and services. During the years ended December 31, 2025 and 2024, the Company entered into approximately $7,900 and $45,500, respectively, of non</w:t>
        <w:noBreakHyphen/>
        <w:t>cancelable future cash purchase commitments for services related to cloud provisioning of the Company’s software and for internal</w:t>
        <w:noBreakHyphen/>
        <w:t>use software costs. As of December 31, 2025, total non</w:t>
        <w:noBreakHyphen/>
        <w:t>cancelable future cash purchase commitments were approximately $53,700, of which the Company expects approximately $17,600 to be paid over the next 12 months and approximately $36,100 to be paid through September 2029. The Company expects to fully consume its contractual commitments in the ordinary course of operations.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software license agreements typically provide for indemnification of customers for intellectual property infringement claims. The Company also warrants to customers, when requested, that its software products operate substantially in accordance with standard specifications for a 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w:t>
        <w:noBreakHyphen/>
        <w:t>related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19: Segment and Geographic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in a single reportable segment, the development and marketing of computer software and related services. The Company defines its CODM to be its Chief Executive Officer, who reviews financial information presented on a consolidated basis. The Company’s reported measures of profit or loss for segment reporting purposes are Net income and AOI less SBC. The CODM is regularly provided Net income and AOI less SBC to understand the Company’s financial and operating results across accounting periods and for comparison of the Company’s results to those of other companies. The CODM regularly reviews AOI less SBC for internal budgeting and forecasting purposes, to evaluate operating performance, and to make decisions on allocation of resources. The CODM does not use segment asset information to evaluate operating performance or allocate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presentation of Net income is included in the consolidated statements of operations. AOI less SBC is a non</w:t>
        <w:noBreakHyphen/>
        <w:t>GAAP financial measure and is defined as operating income adjusted for the following: amortization of purchased intangibles, expense (income) relating to deferred compensation plan liabilities, acquisition expenses (inclusive of cash</w:t>
        <w:noBreakHyphen/>
        <w:t>settled retention incentives provided to key employees of acquired companies),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SBC:</w:t>
      </w:r>
    </w:p>
    <w:tbl>
      <w:tblPr>
        <w:tblW w:w="8381" w:type="dxa"/>
        <w:jc w:val="center"/>
        <w:tblInd w:w="0" w:type="dxa"/>
        <w:tblLayout w:type="fixed"/>
        <w:tblCellMar>
          <w:top w:w="28" w:type="dxa"/>
          <w:left w:w="28" w:type="dxa"/>
          <w:bottom w:w="28" w:type="dxa"/>
          <w:right w:w="28" w:type="dxa"/>
        </w:tblCellMar>
      </w:tblPr>
      <w:tblGrid>
        <w:gridCol w:w="1536"/>
        <w:gridCol w:w="1350"/>
        <w:gridCol w:w="1358"/>
        <w:gridCol w:w="211"/>
        <w:gridCol w:w="826"/>
        <w:gridCol w:w="109"/>
        <w:gridCol w:w="109"/>
        <w:gridCol w:w="109"/>
        <w:gridCol w:w="109"/>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 (see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AOI less SBC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the Company’s adjustments in arriving at AOI less SBC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Acquisition expenses</w:t>
      </w:r>
      <w:r>
        <w:rPr>
          <w:rFonts w:ascii="Times New Roman;serif" w:hAnsi="Times New Roman;serif"/>
          <w:b w:val="false"/>
          <w:color w:val="000000"/>
          <w:sz w:val="18"/>
        </w:rPr>
        <w:t xml:space="preserve">. The Company incurs expenses for professional services rendered in connection with business combinations, which are recorded in </w:t>
      </w:r>
      <w:r>
        <w:rPr>
          <w:rFonts w:ascii="Times New Roman;serif" w:hAnsi="Times New Roman;serif"/>
          <w:b w:val="false"/>
          <w:i/>
          <w:color w:val="000000"/>
          <w:sz w:val="18"/>
        </w:rPr>
        <w:t>General and administrative</w:t>
      </w:r>
      <w:r>
        <w:rPr>
          <w:color w:val="000000"/>
        </w:rPr>
        <w:t xml:space="preserve"> </w:t>
      </w:r>
      <w:r>
        <w:rPr>
          <w:rFonts w:ascii="Times New Roman;serif" w:hAnsi="Times New Roman;serif"/>
          <w:b w:val="false"/>
          <w:color w:val="000000"/>
          <w:sz w:val="18"/>
        </w:rPr>
        <w:t>in the consolidated statements of operations. Also included in the Company’s acquisition expenses are cash</w:t>
        <w:noBreakHyphen/>
        <w:t>settled retention incentives provided to key employees of the acquired companies.</w:t>
      </w:r>
    </w:p>
    <w:p>
      <w:pPr>
        <w:pStyle w:val="TextBody"/>
        <w:bidi w:val="0"/>
        <w:spacing w:lineRule="auto" w:line="288" w:before="0" w:after="20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Realignment expenses</w:t>
      </w:r>
      <w:r>
        <w:rPr>
          <w:rFonts w:ascii="Times New Roman;serif" w:hAnsi="Times New Roman;serif"/>
          <w:b w:val="false"/>
          <w:color w:val="000000"/>
          <w:sz w:val="18"/>
        </w:rPr>
        <w:t>. During the fourth quarter of 2023, the Company approved the 2023 Program. For the years ended December 31, 2024 and 2023, the Company recognized realignment costs related to the aforementioned program of $847 and $12,579, respectively, which represent termination benefits for colleagues whose roles were impacted (see Note 21). For the year ended December 31, 2023, realignment expenses were partially offset by income associated with the continued wind down of the Company’s Russian entities following our exit from operations beginning in the second quarter of 2022.</w:t>
      </w:r>
    </w:p>
    <w:p>
      <w:pPr>
        <w:pStyle w:val="TextBody"/>
        <w:bidi w:val="0"/>
        <w:spacing w:lineRule="auto" w:line="288" w:before="0" w:after="200"/>
        <w:ind w:left="0" w:right="0" w:firstLine="360"/>
        <w:jc w:val="both"/>
        <w:rPr/>
      </w:pPr>
      <w:r>
        <w:rPr>
          <w:color w:val="000000"/>
        </w:rPr>
        <w:t>“</w:t>
      </w:r>
      <w:r>
        <w:rPr>
          <w:rFonts w:ascii="Times New Roman;serif" w:hAnsi="Times New Roman;serif"/>
          <w:b w:val="false"/>
          <w:color w:val="000000"/>
          <w:sz w:val="20"/>
        </w:rPr>
        <w:t>Headcount</w:t>
        <w:noBreakHyphen/>
        <w:t>related” costs are considered the Company’s significant expense category and primarily include salaries, benefits, bonuses, stock</w:t>
        <w:noBreakHyphen/>
        <w:t>based compensation expense, employment taxes, travel, training, and realignment and optimization of the Company’s colleagues, and third</w:t>
        <w:noBreakHyphen/>
        <w:t>party personnel expenses and related overhead. The CODM is regularly provided headcount</w:t>
        <w:noBreakHyphen/>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noBreakHyphen/>
        <w:t>term growth. Headcount</w:t>
        <w:noBreakHyphen/>
        <w:t xml:space="preserve">related costs of $851,674, $787,248, and $748,772 for the years ended December 31, 2025, 2024, and 2023, respectively, are included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Net income measure of profit or loss for segment reporting purposes, other segment items were $372,311, $331,414, and $152,854 for the years ended December 31, 2025, 2024, or 2023, respectively. These other segment items primarily include cloud</w:t>
        <w:noBreakHyphen/>
        <w:t xml:space="preserve">related costs incurred for servicing the Company’s accounts using cloud provisioned offerings and the Company’s license administration platform, channel partner compensation for providing sales coverage to users, marketing costs, acquisition costs, depreciation expense, and amortization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 xml:space="preserve">in the consolidated statements of operations. Additionally, other segment items include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 xml:space="preserve">expense (income), </w:t>
      </w:r>
      <w:r>
        <w:rPr>
          <w:rFonts w:ascii="Times New Roman;serif" w:hAnsi="Times New Roman;serif"/>
          <w:b w:val="false"/>
          <w:i/>
          <w:color w:val="000000"/>
          <w:sz w:val="20"/>
        </w:rPr>
        <w:t>Amortization of purchased intangibles</w:t>
      </w:r>
      <w:r>
        <w:rPr>
          <w:rFonts w:ascii="Times New Roman;serif" w:hAnsi="Times New Roman;serif"/>
          <w:b w:val="false"/>
          <w:color w:val="000000"/>
          <w:sz w:val="20"/>
        </w:rPr>
        <w:t>, and non</w:t>
        <w:noBreakHyphen/>
        <w:t>operating expense (income) amounts presented 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AOI less SBC measure of profit or loss for segment reporting purposes, other segment items were $226,234, $202,994, and $179,246 for the years ended December 31, 2025, 2024, and 2023, respectively. These other segment items primarily include cloud</w:t>
        <w:noBreakHyphen/>
        <w:t xml:space="preserve">related costs incurred for servicing the Company’s accounts using cloud provisioned offerings and the Company’s license administration platform, channel partner compensation for providing sales coverage to users, marketing costs, and depreciation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 Within the reconciliation of AOI less SBC, cash</w:t>
        <w:noBreakHyphen/>
        <w:t>settled retention incentives provided to key employees of acquired companies included as a component of acquisition expenses and costs associated with the 2023 Program included as a component of realignment expenses totaling $6,046, $9,369, and $24,282 for the years ended December 31, 2025, 2024, and 2023, respectively, are excluded from the calculation of headcount</w:t>
        <w:noBreakHyphen/>
        <w:t>related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4628" w:type="dxa"/>
        <w:jc w:val="center"/>
        <w:tblInd w:w="0" w:type="dxa"/>
        <w:tblLayout w:type="fixed"/>
        <w:tblCellMar>
          <w:top w:w="28" w:type="dxa"/>
          <w:left w:w="28" w:type="dxa"/>
          <w:bottom w:w="28" w:type="dxa"/>
          <w:right w:w="28" w:type="dxa"/>
        </w:tblCellMar>
      </w:tblPr>
      <w:tblGrid>
        <w:gridCol w:w="710"/>
        <w:gridCol w:w="624"/>
        <w:gridCol w:w="630"/>
        <w:gridCol w:w="211"/>
        <w:gridCol w:w="826"/>
        <w:gridCol w:w="109"/>
        <w:gridCol w:w="109"/>
        <w:gridCol w:w="109"/>
        <w:gridCol w:w="109"/>
        <w:gridCol w:w="211"/>
        <w:gridCol w:w="82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color w:val="000000"/>
              </w:rPr>
              <w:t xml:space="preserv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20: Other Income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the following:</w:t>
      </w:r>
    </w:p>
    <w:tbl>
      <w:tblPr>
        <w:tblW w:w="8396" w:type="dxa"/>
        <w:jc w:val="center"/>
        <w:tblInd w:w="0" w:type="dxa"/>
        <w:tblLayout w:type="fixed"/>
        <w:tblCellMar>
          <w:top w:w="28" w:type="dxa"/>
          <w:left w:w="28" w:type="dxa"/>
          <w:bottom w:w="28" w:type="dxa"/>
          <w:right w:w="28" w:type="dxa"/>
        </w:tblCellMar>
      </w:tblPr>
      <w:tblGrid>
        <w:gridCol w:w="1640"/>
        <w:gridCol w:w="1440"/>
        <w:gridCol w:w="1449"/>
        <w:gridCol w:w="211"/>
        <w:gridCol w:w="796"/>
        <w:gridCol w:w="109"/>
        <w:gridCol w:w="109"/>
        <w:gridCol w:w="109"/>
        <w:gridCol w:w="109"/>
        <w:gridCol w:w="211"/>
        <w:gridCol w:w="721"/>
        <w:gridCol w:w="109"/>
        <w:gridCol w:w="109"/>
        <w:gridCol w:w="109"/>
        <w:gridCol w:w="109"/>
        <w:gridCol w:w="211"/>
        <w:gridCol w:w="69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from:</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net </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gain is primarily attributable to foreign currency translation derived mainly from U.S. dollar denominated cash and cash equivalents, account receivables, customer deposits, and intercompany balances held by foreign subsidiaries.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income (expense), net for the year ended December 31, 2023 includes non-marketable equity investment impairment and other charges of $(16,988), partially offset by gains on non-marketable equity investments of $2,360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21: Realignment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2023, the Company approved a strategic realignment program to better serve the Company’s accounts and to better align resources with the strategy of the business, including reinvestment in go-to-market functions, as well as in AI in product development. For the years ended December 31, 2024 and 2023, the Company incurred realignment costs related to the aforementioned program of $847 and $12,579, respectively, which represent termination benefits for colleagues whose roles were impacted. The 2023 Program activities, including payments of termination benefits, were completed as of December 31,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Realignment costs (income) by expense classification were as follows:</w:t>
      </w:r>
    </w:p>
    <w:tbl>
      <w:tblPr>
        <w:tblW w:w="5213" w:type="dxa"/>
        <w:jc w:val="left"/>
        <w:tblInd w:w="0" w:type="dxa"/>
        <w:tblLayout w:type="fixed"/>
        <w:tblCellMar>
          <w:top w:w="28" w:type="dxa"/>
          <w:left w:w="28" w:type="dxa"/>
          <w:bottom w:w="28" w:type="dxa"/>
          <w:right w:w="28" w:type="dxa"/>
        </w:tblCellMar>
      </w:tblPr>
      <w:tblGrid>
        <w:gridCol w:w="1036"/>
        <w:gridCol w:w="912"/>
        <w:gridCol w:w="916"/>
        <w:gridCol w:w="211"/>
        <w:gridCol w:w="616"/>
        <w:gridCol w:w="109"/>
        <w:gridCol w:w="109"/>
        <w:gridCol w:w="109"/>
        <w:gridCol w:w="109"/>
        <w:gridCol w:w="211"/>
        <w:gridCol w:w="721"/>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realignment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pP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in the consolidated balance sheets included amounts related to the realignment activities as follows:</w:t>
      </w:r>
    </w:p>
    <w:tbl>
      <w:tblPr>
        <w:tblW w:w="3530" w:type="dxa"/>
        <w:jc w:val="center"/>
        <w:tblInd w:w="0" w:type="dxa"/>
        <w:tblLayout w:type="fixed"/>
        <w:tblCellMar>
          <w:top w:w="28" w:type="dxa"/>
          <w:left w:w="28" w:type="dxa"/>
          <w:bottom w:w="28" w:type="dxa"/>
          <w:right w:w="28" w:type="dxa"/>
        </w:tblCellMar>
      </w:tblPr>
      <w:tblGrid>
        <w:gridCol w:w="885"/>
        <w:gridCol w:w="778"/>
        <w:gridCol w:w="781"/>
        <w:gridCol w:w="211"/>
        <w:gridCol w:w="7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Realignment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Adjustments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(1)Adjustments include foreign currency translation and other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22: Net Income Per Share Attributable to Bentley Systems Stockholders</w:t>
      </w:r>
    </w:p>
    <w:p>
      <w:pPr>
        <w:pStyle w:val="TextBody"/>
        <w:bidi w:val="0"/>
        <w:spacing w:lineRule="auto" w:line="288" w:before="0" w:after="200"/>
        <w:ind w:left="0" w:right="0" w:firstLine="360"/>
        <w:jc w:val="both"/>
        <w:rPr/>
      </w:pPr>
      <w:r>
        <w:rPr>
          <w:rFonts w:ascii="Times New Roman;serif" w:hAnsi="Times New Roman;serif"/>
          <w:b w:val="false"/>
          <w:color w:val="212529"/>
          <w:sz w:val="20"/>
        </w:rPr>
        <w:t xml:space="preserve">To compute the numerator of basic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u</w:t>
      </w:r>
      <w:r>
        <w:rPr>
          <w:rFonts w:ascii="Times New Roman;serif" w:hAnsi="Times New Roman;serif"/>
          <w:b w:val="false"/>
          <w:color w:val="000000"/>
          <w:sz w:val="20"/>
        </w:rPr>
        <w:t>ndistributed net income attributable to Bentley Systems allocated to participating securities (described further below) using the required two</w:t>
        <w:noBreakHyphen/>
        <w:t>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December 31, 2025, 2024, and 2023, there were 207,829, 349,306, and 365,641 participating securities outstanding,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200"/>
        <w:jc w:val="both"/>
        <w:rPr/>
      </w:pPr>
      <w:hyperlink w:anchor="ic737041303a94a84bbc963d0e9d92cd4_7">
        <w:r>
          <w:rPr>
            <w:rStyle w:val="InternetLink"/>
            <w:rFonts w:ascii="Times New Roman;serif" w:hAnsi="Times New Roman;serif"/>
            <w:b w:val="false"/>
            <w:color w:val="000080"/>
            <w:sz w:val="20"/>
            <w:u w:val="single"/>
          </w:rPr>
          <w:t xml:space="preserve">Table </w:t>
        </w:r>
      </w:hyperlink>
      <w:hyperlink w:anchor="ic737041303a94a84bbc963d0e9d92cd4_7">
        <w:r>
          <w:rPr>
            <w:rStyle w:val="InternetLink"/>
            <w:rFonts w:ascii="Times New Roman;serif" w:hAnsi="Times New Roman;serif"/>
            <w:b w:val="false"/>
            <w:color w:val="000080"/>
            <w:sz w:val="20"/>
            <w:u w:val="single"/>
          </w:rPr>
          <w:t>of C</w:t>
        </w:r>
      </w:hyperlink>
      <w:hyperlink w:anchor="ic737041303a94a84bbc963d0e9d92cd4_7">
        <w:r>
          <w:rPr>
            <w:rStyle w:val="InternetLink"/>
            <w:rFonts w:ascii="Times New Roman;serif" w:hAnsi="Times New Roman;serif"/>
            <w:b w:val="false"/>
            <w:color w:val="000080"/>
            <w:sz w:val="20"/>
            <w:u w:val="single"/>
          </w:rPr>
          <w:t>ontents</w:t>
        </w:r>
      </w:hyperlink>
    </w:p>
    <w:p>
      <w:pPr>
        <w:pStyle w:val="TextBody"/>
        <w:bidi w:val="0"/>
        <w:spacing w:lineRule="auto" w:line="288" w:before="0" w:after="200"/>
        <w:ind w:left="0" w:right="0" w:firstLine="360"/>
        <w:jc w:val="both"/>
        <w:rPr/>
      </w:pPr>
      <w:r>
        <w:rPr>
          <w:rFonts w:ascii="Times New Roman;serif" w:hAnsi="Times New Roman;serif"/>
          <w:b w:val="false"/>
          <w:color w:val="212529"/>
          <w:sz w:val="20"/>
        </w:rPr>
        <w:t xml:space="preserve">To compute the numerator of 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interest expense, net of tax, attributable to the assumed conversion of the</w:t>
      </w:r>
      <w:r>
        <w:rPr>
          <w:color w:val="000000"/>
        </w:rPr>
        <w:t xml:space="preserve"> </w:t>
      </w:r>
      <w:r>
        <w:rPr>
          <w:rFonts w:ascii="Times New Roman;serif" w:hAnsi="Times New Roman;serif"/>
          <w:b w:val="false"/>
          <w:color w:val="000000"/>
          <w:sz w:val="20"/>
        </w:rPr>
        <w:t>convertible senior notes</w:t>
      </w:r>
      <w:r>
        <w:rPr>
          <w:color w:val="212529"/>
        </w:rPr>
        <w:t xml:space="preserve"> </w:t>
      </w:r>
      <w:r>
        <w:rPr>
          <w:rFonts w:ascii="Times New Roman;serif" w:hAnsi="Times New Roman;serif"/>
          <w:b w:val="false"/>
          <w:color w:val="000000"/>
          <w:sz w:val="20"/>
        </w:rPr>
        <w:t>using the if</w:t>
        <w:noBreakHyphen/>
        <w:t xml:space="preserve">converted method </w:t>
      </w:r>
      <w:r>
        <w:rPr>
          <w:rFonts w:ascii="Times New Roman;serif" w:hAnsi="Times New Roman;serif"/>
          <w:b w:val="false"/>
          <w:color w:val="212529"/>
          <w:sz w:val="20"/>
        </w:rPr>
        <w:t xml:space="preserve">is added back to basic net income </w:t>
      </w:r>
      <w:r>
        <w:rPr>
          <w:rFonts w:ascii="Times New Roman;serif" w:hAnsi="Times New Roman;serif"/>
          <w:b w:val="false"/>
          <w:color w:val="000000"/>
          <w:sz w:val="20"/>
        </w:rPr>
        <w:t>attributable to Bentley Systems</w:t>
      </w:r>
      <w:r>
        <w:rPr>
          <w:rFonts w:ascii="Times New Roman;serif" w:hAnsi="Times New Roman;serif"/>
          <w:b w:val="false"/>
          <w:color w:val="212529"/>
          <w:sz w:val="20"/>
        </w:rPr>
        <w:t xml:space="preserve">. To compute the denominator of 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xml:space="preserve">, the basic weighted average number of shares is adjusted for the effect of dilutive securities, including awards under the Company’s equity compensation plans and ESPP </w:t>
      </w:r>
      <w:r>
        <w:rPr>
          <w:rFonts w:ascii="Times New Roman;serif" w:hAnsi="Times New Roman;serif"/>
          <w:b w:val="false"/>
          <w:color w:val="000000"/>
          <w:sz w:val="20"/>
        </w:rPr>
        <w:t>using the treasury stock method</w:t>
      </w:r>
      <w:r>
        <w:rPr>
          <w:rFonts w:ascii="Times New Roman;serif" w:hAnsi="Times New Roman;serif"/>
          <w:b w:val="false"/>
          <w:color w:val="212529"/>
          <w:sz w:val="20"/>
        </w:rPr>
        <w:t xml:space="preserve">, and for the dilutive </w:t>
      </w:r>
      <w:r>
        <w:rPr>
          <w:rFonts w:ascii="Times New Roman;serif" w:hAnsi="Times New Roman;serif"/>
          <w:b w:val="false"/>
          <w:color w:val="000000"/>
          <w:sz w:val="20"/>
        </w:rPr>
        <w:t>effect of the assumed conversion of the convertible senior notes using the if</w:t>
        <w:noBreakHyphen/>
        <w:t>converted method.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noBreakHyphen/>
        <w:t>class method.</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details of basic and diluted net income per share attributable to Bentley Systems stockholders are as follows</w:t>
      </w:r>
      <w:r>
        <w:rPr>
          <w:rFonts w:ascii="Times New Roman;serif" w:hAnsi="Times New Roman;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941"/>
        <w:gridCol w:w="1669"/>
        <w:gridCol w:w="1683"/>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94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Bentley Systems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314,690,707 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312,358,823 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2,435,456 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333,089,213 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333,774,167 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332,503,633 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139,424 RSUs were excluded from the calculation of diluted net income per share attributable to Bentley Systems stockholders as including them would have an anti</w:t>
        <w:noBreakHyphen/>
        <w:t>dilutive effect. There were no anti</w:t>
        <w:noBreakHyphen/>
        <w:t>dilutive securities for the years ended December 31, 2024 or 2023.</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repaid the 2026 Notes at maturity on January 15, 2026, and no shares of the Company’s Class B common stock were issued upon settlement. Subsequent to repayment, the 2026 Notes no longer represent potential common shares and, as a result, approximately 10 million shares will be excluded from the calculation of diluted weighted average shares.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360"/>
        <w:jc w:val="right"/>
        <w:rPr>
          <w:rFonts w:ascii="Times New Roman;serif" w:hAnsi="Times New Roman;serif"/>
          <w:b/>
          <w:color w:val="000000"/>
          <w:sz w:val="24"/>
        </w:rPr>
      </w:pPr>
      <w:r>
        <w:rPr>
          <w:rFonts w:ascii="Times New Roman;serif" w:hAnsi="Times New Roman;serif"/>
          <w:b/>
          <w:color w:val="000000"/>
          <w:sz w:val="24"/>
        </w:rPr>
        <w:t>Exhibit 10.15</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Employment Agreement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as of the 13th day of January, 2025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between Bentley Systems, Incorporated,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James Lee (the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would like to engage the services of Executive on a full-time basis, and Executive would like to be so engaged;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and Executive have agreed on terms for such services and compensation therefor;</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NOW, THEREFORE, in consideration of the foregoing premises and the representations, warranties, covenants and mutual agreements hereinafter contained, and for other good and valuable consideration, the receipt and sufficiency of which are hereby acknowledged, the parties hereto, intending to be legally bound, hereby agree as follows:</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Term</w:t>
      </w:r>
      <w:r>
        <w:rPr>
          <w:rFonts w:ascii="Times New Roman;serif" w:hAnsi="Times New Roman;serif"/>
          <w:b w:val="false"/>
          <w:color w:val="000000"/>
          <w:sz w:val="24"/>
        </w:rPr>
        <w:t>. The Company hereby employs Executive, and the Executive hereby accepts such employment, on the terms set forth herein commencing on the Effective Date and continuing until terminated in accordance with the provisions of Section 3 (the “</w:t>
      </w:r>
      <w:r>
        <w:rPr>
          <w:rFonts w:ascii="Times New Roman;serif" w:hAnsi="Times New Roman;serif"/>
          <w:b/>
          <w:i/>
          <w:color w:val="000000"/>
          <w:sz w:val="24"/>
        </w:rPr>
        <w:t>Term</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xml:space="preserve">. During the Term, Executive shall serve as Chief Operating Officer and will report directly to the Company’s Chief Executive Officer. Executive shall devote Executive’s best efforts to Executive’s performance of Executive’s duties hereunder and shall not engage in any other business or employment that would prevent Executive from fully and satisfactorily performing the services required by the Company or that would result in a conflict of interest. Executive shall perform Executive’s duties, responsibilities and functions for the Company to the best of Executive’s abilities in a diligent, trustworthy, businesslike, and efficient manner. Executive’s duties will be determined by the Company and may include activities for the benefit of the Company’s subsidiaries or affiliates. Executive shall perform his duties applying Executive’s fiduciary duty to the Company in accordance with laws, the provisions of this Agreement, the Company’s organizational documents, and general directives and specific instructions given to Executive by the Company from time to time. Executive will also abide by all Company policies and procedures as may be in effect from time to time, including, without limitation, those set forth in the applicable employee handbook and Code of Conduct. The principal place of Executive’s employment shall be within fifty (50) miles of Seattle-Tacoma International Airport; provided, Executive may be required to travel on Company business. Executive agrees that (i) Executive’s title, position, salary, responsibilities, education, professional certifications, and background, as they relate to Executive’s employment by the Company under this Agreement, classify Executive as an “Exempt” employee and “Regular Full-Time” for purposes of all state and federal laws that relate to overtime pay and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other employment law and policy matters; (ii) Executive shall receive only the compensation and benefits described herein; and (iii) Executive shall not be eligible for or receive any extra overtime or other special payment or compensation under this Agreement, including, without limitation, for hours of work performed outside of regular business hours, on holidays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 and Related Matters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Term, Executive’s base salary shall be at the annualized rate of $400,000, prorated for 2025 based upon Executive’s start date. The base salary in effect at any given time is referred to herein as “</w:t>
      </w:r>
      <w:r>
        <w:rPr>
          <w:rFonts w:ascii="Times New Roman;serif" w:hAnsi="Times New Roman;serif"/>
          <w:b/>
          <w:i/>
          <w:color w:val="000000"/>
          <w:sz w:val="24"/>
        </w:rPr>
        <w:t>Base Salary</w:t>
      </w:r>
      <w:r>
        <w:rPr>
          <w:rFonts w:ascii="Times New Roman;serif" w:hAnsi="Times New Roman;serif"/>
          <w:b w:val="false"/>
          <w:color w:val="000000"/>
          <w:sz w:val="24"/>
        </w:rPr>
        <w:t xml:space="preserve">.” The Base Salary shall be payable in a manner that is consistent with the Company’s usual payroll practices. </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Cash Incentive Compensation</w:t>
      </w:r>
      <w:r>
        <w:rPr>
          <w:rFonts w:ascii="Times New Roman;serif" w:hAnsi="Times New Roman;serif"/>
          <w:b w:val="false"/>
          <w:color w:val="000000"/>
          <w:sz w:val="24"/>
        </w:rPr>
        <w:t>. During the Term, Executive will be eligible to receive discretionary cash incentive compensation, the initial annual target amount of which shall be $400,000 which will be prorated for 2025 based upon Executive’s start date (the “</w:t>
      </w:r>
      <w:r>
        <w:rPr>
          <w:rFonts w:ascii="Times New Roman;serif" w:hAnsi="Times New Roman;serif"/>
          <w:b w:val="false"/>
          <w:color w:val="000000"/>
          <w:sz w:val="24"/>
          <w:u w:val="single"/>
        </w:rPr>
        <w:t>Incentive Compensation</w:t>
      </w:r>
      <w:r>
        <w:rPr>
          <w:color w:val="000000"/>
        </w:rPr>
        <w:t>”</w:t>
      </w:r>
      <w:r>
        <w:rPr>
          <w:rFonts w:ascii="Times New Roman;serif" w:hAnsi="Times New Roman;serif"/>
          <w:b w:val="false"/>
          <w:color w:val="000000"/>
          <w:sz w:val="24"/>
        </w:rPr>
        <w:t>). This Incentive Compensation shall be paid to Executive in the Company’s sole discretion, based on a combination of Executive’s individual performance and business unit goals, as evaluated by management (other than Executive). To the extent earned (as determined in the discretion of the Company), Executive’s Incentive Compensation shall be paid to Executive on quarterly basis (but in no event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calendar year following the calendar year to which the Incentive Compensation relates), subject to Executive’s continued employment through the applicable payment 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Executive shall be entitled to receive prompt reimbursement for all reasonable expenses incurred by him during the Term in performing services hereunder, in accordance with the policies and procedures then in effect and established by the Company. Such expense reimbursement will include travel expenses and amenities related to Executive’s travel to and from the Company’s offices from any location at which Executive provides services and bases his operations, other than in respect of commutes to and from a Company office located within 40 miles of Executive’s residence. The Company shall be entitled to impute income to Executive in connection with any reimbursements or other benefits provided under this </w:t>
      </w:r>
      <w:r>
        <w:rPr>
          <w:rFonts w:ascii="Times New Roman;serif" w:hAnsi="Times New Roman;serif"/>
          <w:b w:val="false"/>
          <w:color w:val="000000"/>
          <w:sz w:val="24"/>
          <w:u w:val="single"/>
        </w:rPr>
        <w:t>Section 2(c)</w:t>
      </w:r>
      <w:r>
        <w:rPr>
          <w:color w:val="000000"/>
        </w:rPr>
        <w:t xml:space="preserve"> </w:t>
      </w:r>
      <w:r>
        <w:rPr>
          <w:rFonts w:ascii="Times New Roman;serif" w:hAnsi="Times New Roman;serif"/>
          <w:b w:val="false"/>
          <w:color w:val="000000"/>
          <w:sz w:val="24"/>
        </w:rPr>
        <w:t xml:space="preserve">and withhold from any and all amounts payable under this </w:t>
      </w:r>
      <w:r>
        <w:rPr>
          <w:rFonts w:ascii="Times New Roman;serif" w:hAnsi="Times New Roman;serif"/>
          <w:b w:val="false"/>
          <w:color w:val="000000"/>
          <w:sz w:val="24"/>
          <w:u w:val="single"/>
        </w:rPr>
        <w:t>Section 2(c)</w:t>
      </w:r>
      <w:r>
        <w:rPr>
          <w:color w:val="000000"/>
        </w:rPr>
        <w:t xml:space="preserve"> </w:t>
      </w:r>
      <w:r>
        <w:rPr>
          <w:rFonts w:ascii="Times New Roman;serif" w:hAnsi="Times New Roman;serif"/>
          <w:b w:val="false"/>
          <w:color w:val="000000"/>
          <w:sz w:val="24"/>
        </w:rPr>
        <w:t xml:space="preserve">as may be required to be withheld pursuant to any applicable law or regulation. </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Equity-Based Compensation</w:t>
      </w:r>
      <w:r>
        <w:rPr>
          <w:rFonts w:ascii="Times New Roman;serif" w:hAnsi="Times New Roman;serif"/>
          <w:b w:val="false"/>
          <w:color w:val="000000"/>
          <w:sz w:val="24"/>
        </w:rPr>
        <w:t>. Executive shall be entitled to the following equity-based compensation, all of which shall be subject to the terms of the Company’s 2020 Omnibus Incentive Plan (or any successor plan then in effect)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and one or more award agreements to be entered into between the Company and Executive. All such equity-based compensation) (and any future equity-based compensation that may be awarded to Executive) will be subject to the Company’s “change in control” vesting policy as in effect from time to time and described in the Company’s filings with the Securities and Exchange Commission (the “</w:t>
      </w:r>
      <w:r>
        <w:rPr>
          <w:rFonts w:ascii="Times New Roman;serif" w:hAnsi="Times New Roman;serif"/>
          <w:b/>
          <w:i/>
          <w:color w:val="000000"/>
          <w:sz w:val="24"/>
        </w:rPr>
        <w:t>Change in Control Policy</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(i)a one-time grant of time-based restricted stock units with respect to the Company’s Class B Common Stock (the “</w:t>
      </w:r>
      <w:r>
        <w:rPr>
          <w:rFonts w:ascii="Times New Roman;serif" w:hAnsi="Times New Roman;serif"/>
          <w:b/>
          <w:i/>
          <w:color w:val="000000"/>
          <w:sz w:val="24"/>
        </w:rPr>
        <w:t>Initial Time-Based RSUs</w:t>
      </w:r>
      <w:r>
        <w:rPr>
          <w:color w:val="000000"/>
        </w:rPr>
        <w:t>”</w:t>
      </w:r>
      <w:r>
        <w:rPr>
          <w:rFonts w:ascii="Times New Roman;serif" w:hAnsi="Times New Roman;serif"/>
          <w:b w:val="false"/>
          <w:color w:val="000000"/>
          <w:sz w:val="24"/>
        </w:rPr>
        <w:t xml:space="preserve">) having an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aggregate value of $7,500,000 (as determined based on the closing price of the Company’s Class B Common Stock on the Effective Date). The Initial Time-Based RSUs will vest as follows, subject to Executive’s continued employment with the Company on each such vesting date: 14% four months after start date in 2025; 14% December 15, 2025; and 18% each subsequent December 15 through 2029</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(ii)grants to be made in 2025 consisting of: (x) time-based restricted stock units with respect to the Company’s Class B Common Stock (the “</w:t>
      </w:r>
      <w:r>
        <w:rPr>
          <w:rFonts w:ascii="Times New Roman;serif" w:hAnsi="Times New Roman;serif"/>
          <w:b/>
          <w:i/>
          <w:color w:val="000000"/>
          <w:sz w:val="24"/>
        </w:rPr>
        <w:t>Executive Plan Time-Based RSUs</w:t>
      </w:r>
      <w:r>
        <w:rPr>
          <w:color w:val="000000"/>
        </w:rPr>
        <w:t>”</w:t>
      </w:r>
      <w:r>
        <w:rPr>
          <w:rFonts w:ascii="Times New Roman;serif" w:hAnsi="Times New Roman;serif"/>
          <w:b w:val="false"/>
          <w:color w:val="000000"/>
          <w:sz w:val="24"/>
        </w:rPr>
        <w:t>) having an aggregate value of $488,889, which shall vest in four substantially equal annual installments from the grant date, subject to Executive’s continued employment with the Company on each such vesting date; and (y) performance-based restricted stock units with respect to the Company’s Class B Common Stock (the “</w:t>
      </w:r>
      <w:r>
        <w:rPr>
          <w:rFonts w:ascii="Times New Roman;serif" w:hAnsi="Times New Roman;serif"/>
          <w:b/>
          <w:i/>
          <w:color w:val="000000"/>
          <w:sz w:val="24"/>
        </w:rPr>
        <w:t>Executive Plan Performance-Based RSUs</w:t>
      </w:r>
      <w:r>
        <w:rPr>
          <w:color w:val="000000"/>
        </w:rPr>
        <w:t>”</w:t>
      </w:r>
      <w:r>
        <w:rPr>
          <w:rFonts w:ascii="Times New Roman;serif" w:hAnsi="Times New Roman;serif"/>
          <w:b w:val="false"/>
          <w:color w:val="000000"/>
          <w:sz w:val="24"/>
        </w:rPr>
        <w:t>) having an aggregate value of $488,889, which shall vest in accordance with the performance criteria communicated to the Executive, with such vesting to be determined by the Company’s Board of Directors or a committee thereof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in early 2026, subject to Executive’s continued employment with the Company on each such vesting determination 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Other Benefits</w:t>
      </w:r>
      <w:r>
        <w:rPr>
          <w:rFonts w:ascii="Times New Roman;serif" w:hAnsi="Times New Roman;serif"/>
          <w:b w:val="false"/>
          <w:color w:val="000000"/>
          <w:sz w:val="24"/>
        </w:rPr>
        <w:t>. During the Term, Executive shall be eligible to participate in or receive benefits and perquisites</w:t>
      </w:r>
      <w:r>
        <w:rPr>
          <w:color w:val="000000"/>
        </w:rPr>
        <w:t xml:space="preserve"> </w:t>
      </w:r>
      <w:r>
        <w:rPr>
          <w:rFonts w:ascii="Times New Roman;serif" w:hAnsi="Times New Roman;serif"/>
          <w:b w:val="false"/>
          <w:color w:val="000000"/>
          <w:sz w:val="24"/>
        </w:rPr>
        <w:t>that are made available to other similarly-situated U.S. employees of the Company under the Company’s employee benefit and perquisites</w:t>
      </w:r>
      <w:r>
        <w:rPr>
          <w:color w:val="000000"/>
        </w:rPr>
        <w:t xml:space="preserve"> </w:t>
      </w:r>
      <w:r>
        <w:rPr>
          <w:rFonts w:ascii="Times New Roman;serif" w:hAnsi="Times New Roman;serif"/>
          <w:b w:val="false"/>
          <w:color w:val="000000"/>
          <w:sz w:val="24"/>
        </w:rPr>
        <w:t>plans in effect from time to time, subject to the terms of such plans, including the Company’s 401(k) plan. In addition to the equity compensation set forth above, Executive will be eligible to receive on an annual basis future equity award under the Plan and to participate in any future long-term incentive programs made generally available to the Company’s senior executives as determined by the Board. It is also expected that you will become: (i) a participant in the Company’s Career Stock Program at a participation percentage equal to one-half of the participation percentage applicable to the Company’s Chief Executive Officer as disclosed in the Company’s filings with the Securities and Exchange Commission; and (ii) a “Covered Executive” under the Bentley Systems, Incorporated Severance Policy for Key Executives as in effect from time to time (the “</w:t>
      </w:r>
      <w:r>
        <w:rPr>
          <w:rFonts w:ascii="Times New Roman;serif" w:hAnsi="Times New Roman;serif"/>
          <w:b/>
          <w:i/>
          <w:color w:val="000000"/>
          <w:sz w:val="24"/>
        </w:rPr>
        <w:t>Severance Policy</w:t>
      </w:r>
      <w:r>
        <w:rPr>
          <w:color w:val="000000"/>
        </w:rPr>
        <w:t>”</w:t>
      </w:r>
      <w:r>
        <w:rPr>
          <w:rFonts w:ascii="Times New Roman;serif" w:hAnsi="Times New Roman;serif"/>
          <w:b w:val="false"/>
          <w:color w:val="000000"/>
          <w:sz w:val="24"/>
        </w:rPr>
        <w:t>) (it being understood and agreed that for purposes of the Severance Policy, as of the Effective Date, Executive will be credited with one (1) year of employment with, and compensation paid by, the Company), in each case, subject to formal approval by the Company’s Board or a committee thereof.</w:t>
      </w:r>
    </w:p>
    <w:p>
      <w:pPr>
        <w:pStyle w:val="TextBody"/>
        <w:bidi w:val="0"/>
        <w:spacing w:lineRule="auto" w:line="288"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Vacation; Holidays</w:t>
      </w:r>
      <w:r>
        <w:rPr>
          <w:rFonts w:ascii="Times New Roman;serif" w:hAnsi="Times New Roman;serif"/>
          <w:b w:val="false"/>
          <w:color w:val="000000"/>
          <w:sz w:val="24"/>
        </w:rPr>
        <w:t>. Executive will earn and accrue vacation days in the same manner and amounts as is consistent with the policies and procedures currently in effect and established by the Company. Executive will accrue vacation at the ten-year accrual rate and earn twenty (20) days of vacation each year from first year of employment. Executive shall also be entitled to all paid holidays and sick leave given by the Company to its U.S. employees.</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w:t>
      </w:r>
      <w:r>
        <w:rPr>
          <w:rFonts w:ascii="Times New Roman;serif" w:hAnsi="Times New Roman;serif"/>
          <w:b w:val="false"/>
          <w:color w:val="000000"/>
          <w:sz w:val="24"/>
        </w:rPr>
        <w:t>. During the Term, Executive’s employment hereunder may be terminated without any breach of this Agreement under the following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Death</w:t>
      </w:r>
      <w:r>
        <w:rPr>
          <w:rFonts w:ascii="Times New Roman;serif" w:hAnsi="Times New Roman;serif"/>
          <w:b w:val="false"/>
          <w:color w:val="000000"/>
          <w:sz w:val="24"/>
        </w:rPr>
        <w:t>. Executive’s employment hereunder shall terminate upon his death.</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Disability</w:t>
      </w:r>
      <w:r>
        <w:rPr>
          <w:rFonts w:ascii="Times New Roman;serif" w:hAnsi="Times New Roman;serif"/>
          <w:b w:val="false"/>
          <w:color w:val="000000"/>
          <w:sz w:val="24"/>
        </w:rPr>
        <w:t>. The Company may terminate Executive’s employment if he is disabled and unable to perform the essential functions of Executive’s then existing position or positions under this Agreement with or without reasonable accommodation for a period of 180 days (which need not be consecutive) in any 12-month period (a “</w:t>
      </w:r>
      <w:r>
        <w:rPr>
          <w:rFonts w:ascii="Times New Roman;serif" w:hAnsi="Times New Roman;serif"/>
          <w:b/>
          <w:i/>
          <w:color w:val="000000"/>
          <w:sz w:val="24"/>
        </w:rPr>
        <w:t>Disability</w:t>
      </w:r>
      <w:r>
        <w:rPr>
          <w:color w:val="000000"/>
        </w:rPr>
        <w:t>”</w:t>
      </w:r>
      <w:r>
        <w:rPr>
          <w:rFonts w:ascii="Times New Roman;serif" w:hAnsi="Times New Roman;serif"/>
          <w:b w:val="false"/>
          <w:color w:val="000000"/>
          <w:sz w:val="24"/>
        </w:rPr>
        <w:t xml:space="preserve">). If any question shall arise as to whether during any period Executive is disabled so as to be unable to perform the essential functions of Executive’s then existing position or positions with or without reasonable accommodation, Executive may submit to the Company a certification in reasonable detail by Executive’s attending physician, or, if at the request of the Company, shall submit to the Company a certification in reasonable detail by two physicians, one physician being Executive’s attending physician and the other being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 Nothing in this Section 3(b) shall be construed to waive Executive’s rights, if any, under existing law including, without limitation, the Family and Medical Leave Act of 1993, 29 U.S.C. §2601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Americans with Disabilities Act, 42 U.S.C. §12101 </w:t>
      </w:r>
      <w:r>
        <w:rPr>
          <w:rFonts w:ascii="Times New Roman;serif" w:hAnsi="Times New Roman;serif"/>
          <w:b w:val="false"/>
          <w:i/>
          <w:color w:val="000000"/>
          <w:sz w:val="24"/>
        </w:rPr>
        <w:t xml:space="preserve">et seq., </w:t>
      </w:r>
      <w:r>
        <w:rPr>
          <w:rFonts w:ascii="Times New Roman;serif" w:hAnsi="Times New Roman;serif"/>
          <w:b w:val="false"/>
          <w:color w:val="000000"/>
          <w:sz w:val="24"/>
        </w:rPr>
        <w:t xml:space="preserve">and the Health Insurance Portability and Accountability Act of 1996, as amended. </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by Company for Cause</w:t>
      </w:r>
      <w:r>
        <w:rPr>
          <w:rFonts w:ascii="Times New Roman;serif" w:hAnsi="Times New Roman;serif"/>
          <w:b w:val="false"/>
          <w:color w:val="000000"/>
          <w:sz w:val="24"/>
        </w:rPr>
        <w:t>. The Company may terminate Executive’s employment hereunder for Cause. For purposes of this Agreement,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shall have the meaning ascribed to it in the Severance Policy.</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Sections 3(a) or 3(b) shall be deemed a termination without Cause.</w:t>
      </w:r>
    </w:p>
    <w:p>
      <w:pPr>
        <w:pStyle w:val="TextBody"/>
        <w:bidi w:val="0"/>
        <w:spacing w:lineRule="auto" w:line="288"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Termination by Executive</w:t>
      </w:r>
      <w:r>
        <w:rPr>
          <w:rFonts w:ascii="Times New Roman;serif" w:hAnsi="Times New Roman;serif"/>
          <w:b w:val="false"/>
          <w:color w:val="000000"/>
          <w:sz w:val="24"/>
        </w:rPr>
        <w:t>. Executive may terminate his employment hereunder at any time for any reason, including, but not limited to, Good Reason. For purposes of this Agreement, “</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shall have the meaning ascribed to it in the Severance Policy and shall mean that Executive has complied with the “Good Reason Process” set forth in the Severance Policy.</w:t>
      </w:r>
    </w:p>
    <w:p>
      <w:pPr>
        <w:pStyle w:val="TextBody"/>
        <w:bidi w:val="0"/>
        <w:spacing w:lineRule="auto" w:line="288"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Notice of Termination</w:t>
      </w:r>
      <w:r>
        <w:rPr>
          <w:rFonts w:ascii="Times New Roman;serif" w:hAnsi="Times New Roman;serif"/>
          <w:b w:val="false"/>
          <w:color w:val="000000"/>
          <w:sz w:val="24"/>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serif" w:hAnsi="Times New Roman;serif"/>
          <w:b/>
          <w:i/>
          <w:color w:val="000000"/>
          <w:sz w:val="24"/>
        </w:rPr>
        <w:t>Notice of Termination</w:t>
      </w:r>
      <w:r>
        <w:rPr>
          <w:color w:val="000000"/>
        </w:rPr>
        <w:t xml:space="preserve">” </w:t>
      </w:r>
      <w:r>
        <w:rPr>
          <w:rFonts w:ascii="Times New Roman;serif" w:hAnsi="Times New Roman;serif"/>
          <w:b w:val="false"/>
          <w:color w:val="000000"/>
          <w:sz w:val="24"/>
        </w:rPr>
        <w:t>shall mean a notice which shall indicate the specific termination provision in this Agreement relied upon.</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Date of Termination</w:t>
      </w:r>
      <w:r>
        <w:rPr>
          <w:rFonts w:ascii="Times New Roman;serif" w:hAnsi="Times New Roman;serif"/>
          <w:b w:val="false"/>
          <w:color w:val="000000"/>
          <w:sz w:val="24"/>
        </w:rPr>
        <w:t>. “</w:t>
      </w:r>
      <w:r>
        <w:rPr>
          <w:rFonts w:ascii="Times New Roman;serif" w:hAnsi="Times New Roman;serif"/>
          <w:b/>
          <w:i/>
          <w:color w:val="000000"/>
          <w:sz w:val="24"/>
        </w:rPr>
        <w:t>Date of Termination</w:t>
      </w:r>
      <w:r>
        <w:rPr>
          <w:color w:val="000000"/>
        </w:rPr>
        <w:t xml:space="preserve">” </w:t>
      </w:r>
      <w:r>
        <w:rPr>
          <w:rFonts w:ascii="Times New Roman;serif" w:hAnsi="Times New Roman;serif"/>
          <w:b w:val="false"/>
          <w:color w:val="000000"/>
          <w:sz w:val="24"/>
        </w:rPr>
        <w:t>shall mean: (i) if Executive’s employment is terminated by his death, the date of his death; (ii) if Executive’s employment is terminated on account of disability under Section 3(b) or by the Company for Cause under Section 3(c), the date on which Notice of Termination is given; (iii) if Executive’s employment is terminated by the Company under Section 3(d), the date on which a Notice of Termination is given or such other date as specified by the Company in the Notice of Termination; (iv) if Executive’s employment is terminated by Executive under Section 3(e) without Good Reason, 30 days after the date on which a Notice of Termination is given, and (v) if Executive’s employment is terminated by Executive under Section 3(e) with Good Reason, the date on which a Notice of Termination is given after the end of the Cure Period (as defined in the Severance Policy). Notwithstanding the foregoing, in the event that Executive gives a Notice of Termination to the Company, the Company may unilaterally accelerate the Date of Termination and such acceleration shall not result in a termination by the Company for purposes of this Agreement so long as the Company provides Executive with continued payment of Base Salary through the Date of Termination that was specified in such Notice of Termination.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Compensation Upon Termination</w:t>
      </w:r>
      <w:r>
        <w:rPr>
          <w:rFonts w:ascii="Times New Roman;serif" w:hAnsi="Times New Roman;serif"/>
          <w:b w:val="false"/>
          <w:color w:val="000000"/>
          <w:sz w:val="24"/>
        </w:rPr>
        <w:t>. Upon termination of Executive’s employment during the Term by the Company without Cause or by the Executive with Good Reason, Executive shall be entitled to the compensation and benefits set forth in the Severance Policy. In addition and without limiting the foregoing, if Executive undergoes a “Qualifying Termination” as defined in the Change in Control Policy, Executive shall be entitled to the compensation and benefits set forth in the Change in Control Policy.</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Section 280G</w:t>
      </w:r>
      <w:r>
        <w:rPr>
          <w:rFonts w:ascii="Times New Roman;serif" w:hAnsi="Times New Roman;serif"/>
          <w:b w:val="false"/>
          <w:color w:val="000000"/>
          <w:sz w:val="24"/>
        </w:rPr>
        <w:t>. Notwithstanding anything in this Agreement to the contrary, if the payments and benefits to be afforded to Executive under Section 4 hereof (including the Severance Policy and/or Change in Control Policy) (the “</w:t>
      </w:r>
      <w:r>
        <w:rPr>
          <w:rFonts w:ascii="Times New Roman;serif" w:hAnsi="Times New Roman;serif"/>
          <w:b/>
          <w:i/>
          <w:color w:val="000000"/>
          <w:sz w:val="24"/>
        </w:rPr>
        <w:t>Severance Benefits</w:t>
      </w:r>
      <w:r>
        <w:rPr>
          <w:color w:val="000000"/>
        </w:rPr>
        <w:t>”</w:t>
      </w:r>
      <w:r>
        <w:rPr>
          <w:rFonts w:ascii="Times New Roman;serif" w:hAnsi="Times New Roman;serif"/>
          <w:b w:val="false"/>
          <w:color w:val="000000"/>
          <w:sz w:val="24"/>
        </w:rPr>
        <w:t>) either alone or together with other payments and benefits which Executive has the right to receive from the Company (or any affiliate) would constitute a “parachute payment” under Section 280G of the Internal Revenue Code of 1986, as amended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and but for this Section 4(d), would be subject to the excise tax imposed by Section 4999 of the (the “</w:t>
      </w:r>
      <w:r>
        <w:rPr>
          <w:rFonts w:ascii="Times New Roman;serif" w:hAnsi="Times New Roman;serif"/>
          <w:b/>
          <w:i/>
          <w:color w:val="000000"/>
          <w:sz w:val="24"/>
        </w:rPr>
        <w:t>Excise Tax</w:t>
      </w:r>
      <w:r>
        <w:rPr>
          <w:color w:val="000000"/>
        </w:rPr>
        <w:t>”</w:t>
      </w:r>
      <w:r>
        <w:rPr>
          <w:rFonts w:ascii="Times New Roman;serif" w:hAnsi="Times New Roman;serif"/>
          <w:b w:val="false"/>
          <w:color w:val="000000"/>
          <w:sz w:val="24"/>
        </w:rPr>
        <w:t>), then the Severance Benefits shall be reduced by the minimum amount necessary to result in no portion of the Severance Benefits being subject to the Excise Tax.</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contained herein, if Executive commits a material breach of Section 7 of this Agreement or commits any breach of any of the provisions contained in the Standard Agreement (defined below) or any release agreement required pursuant to the Severance Policy, all payments set forth in this Section 4 shall immediately cease as of the date of such breach. </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Section 409A</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Anything in this Agreement to the contrary notwithstanding, if at the time of Executive’s separation from service within the meaning of Section 409A of Code, the Company determines that Executive is a “specified employee” within the meaning of Section 409A(a)(2)(B)(i) of the Code, then to the extent any payment or benefit that Executive becomes entitled to under this Agreement on account of Executive’s separation from service would be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considered deferred compensation otherwise subject to the 20 percent additional tax imposed pursuant to Section 409A(a) of the Code as a result of the application of Section 409A(a)(2)(B)(i) of the Code, such payment (including the settlement of any accelerated equity awards)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lineRule="auto" w:line="288"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Employee Confidentiality and Assignment Agreement</w:t>
      </w:r>
      <w:r>
        <w:rPr>
          <w:rFonts w:ascii="Times New Roman;serif" w:hAnsi="Times New Roman;serif"/>
          <w:b w:val="false"/>
          <w:color w:val="000000"/>
          <w:sz w:val="24"/>
        </w:rPr>
        <w:t xml:space="preserve">. During the Term, Executive will be exposed to, and provided with, valuable confidential and/or trade secret information concerning the Company and its present and future business plans and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Therefore, as a condition of Executive’s employment, Executive will be required to sign the Company’s standard form of employment agreement (the “</w:t>
      </w:r>
      <w:r>
        <w:rPr>
          <w:rFonts w:ascii="Times New Roman;serif" w:hAnsi="Times New Roman;serif"/>
          <w:b/>
          <w:i/>
          <w:color w:val="000000"/>
          <w:sz w:val="24"/>
        </w:rPr>
        <w:t>Standard Agreement</w:t>
      </w:r>
      <w:r>
        <w:rPr>
          <w:color w:val="000000"/>
        </w:rPr>
        <w:t>”</w:t>
      </w:r>
      <w:r>
        <w:rPr>
          <w:rFonts w:ascii="Times New Roman;serif" w:hAnsi="Times New Roman;serif"/>
          <w:b w:val="false"/>
          <w:color w:val="000000"/>
          <w:sz w:val="24"/>
        </w:rPr>
        <w:t xml:space="preserve">)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return it to the Company no later than the Commencement Date. In the event of a conflict between this Agreement and the Standard Agreement, the terms of this Agreement shall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Litigation and Regulatory Cooperation</w:t>
      </w:r>
      <w:r>
        <w:rPr>
          <w:rFonts w:ascii="Times New Roman;serif" w:hAnsi="Times New Roman;serif"/>
          <w:b w:val="false"/>
          <w:color w:val="000000"/>
          <w:sz w:val="24"/>
        </w:rPr>
        <w:t>. During and after Executive’s employment, Executive shall provide reasonable cooperation with the Company in the defense or prosecution of any claims or actions now in existence or which may be brought in the future against or on behalf of the Company which relate to events or occurrences that transpired while Executive was employed by the Company, provided, however, that such cooperation shall not apply to threatened or actual litigation between the Company and Executive. Executive’s reasonable cooperation in connection with such claims or actions shall include, but not be limited to, being available to meet with counsel to prepare for discovery or trial and to act as a witness on behalf of the Company at mutually convenient times. During and after Executive’s employment, Executive also shall cooperate reasonably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out-of-pocket expenses incurred in connection with Executive’s performance of obligations pursuant to this Section 7.</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Arbitration of Disputes</w:t>
      </w:r>
      <w:r>
        <w:rPr>
          <w:rFonts w:ascii="Times New Roman;serif" w:hAnsi="Times New Roman;serif"/>
          <w:b w:val="false"/>
          <w:color w:val="000000"/>
          <w:sz w:val="24"/>
        </w:rPr>
        <w:t xml:space="preserve">. Any controversy or claim arising out of or relating to this Agreement or the breach thereof or otherwise arising out of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Philadelphia, Pennsylvania in accordance with the Employment Dispute Resolution Rules of the AAA, including, but not limited to, the rules and procedures applicable to the selection of arbitrators. In the event that any person or entity other than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 The Company shall pay all AAA arbitration fees in excess of the administrative fees that Executive would be required to pay if the dispute were maintained in a court of law (including but not limited to any filing fees, case management fees, arbitrator fees, and forum fees). </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Consent to Jurisdiction</w:t>
      </w:r>
      <w:r>
        <w:rPr>
          <w:rFonts w:ascii="Times New Roman;serif" w:hAnsi="Times New Roman;serif"/>
          <w:b w:val="false"/>
          <w:color w:val="000000"/>
          <w:sz w:val="24"/>
        </w:rPr>
        <w:t>. To the extent that any court action is permitted consistent with or to enforce Section 8 of this Agreement, the parties hereby consent to the jurisdiction of the state and federal courts nearest to Philadelphia, Pennsylvania. Accordingly, with respect to any such court action, Executive (a) submits to the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together with the Standard Agreement, constitutes the entire agreement between the parties with respect to the subject matter hereof and supersedes all prior agreements between the parties concerning such subject matter other than the Transaction Agreement. Exhibit B attached hereto includes links to the publicly-filed policies and other plans referred to in this Agreement, in all cases as of the Effective 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made by the Company to Executive under this Agreement shall be net of any tax or other amounts required to be withheld by the Company under applicable law.</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Successor to Executive</w:t>
      </w:r>
      <w:r>
        <w:rPr>
          <w:rFonts w:ascii="Times New Roman;serif" w:hAnsi="Times New Roman;serif"/>
          <w:b w:val="false"/>
          <w:color w:val="000000"/>
          <w:sz w:val="24"/>
        </w:rPr>
        <w:t>. This Agreement shall inure to the benefit of and be enforceable by Executive’s personal representatives, executors, administrators, heirs, distributees, devisees and legatees and shall be enforceable against the Company’s successor and assigns. In the event of Executive’s death after his termination of employment but prior to the completion by the Company of all payments due to him under this Agreement, the Company shall continue such payments to Executive’s beneficiary designated in writing to the Company prior to his death (or to his estate, if Executive fails to make such designation).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Enforceability</w:t>
      </w:r>
      <w:r>
        <w:rPr>
          <w:rFonts w:ascii="Times New Roman;serif" w:hAnsi="Times New Roman;serif"/>
          <w:b w:val="false"/>
          <w:color w:val="000000"/>
          <w:sz w:val="24"/>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288"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Survival</w:t>
      </w:r>
      <w:r>
        <w:rPr>
          <w:rFonts w:ascii="Times New Roman;serif" w:hAnsi="Times New Roman;serif"/>
          <w:b w:val="false"/>
          <w:color w:val="000000"/>
          <w:sz w:val="24"/>
        </w:rPr>
        <w:t>. The provisions of this Agreement shall survive the termination of this Agreement and/or the termination of Executive’s employment to the extent necessary to effectuate the terms contained herein.</w:t>
      </w:r>
    </w:p>
    <w:p>
      <w:pPr>
        <w:pStyle w:val="TextBody"/>
        <w:bidi w:val="0"/>
        <w:spacing w:lineRule="auto" w:line="288"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Waiver</w:t>
      </w:r>
      <w:r>
        <w:rPr>
          <w:rFonts w:ascii="Times New Roman;serif" w:hAnsi="Times New Roman;serif"/>
          <w:b w:val="false"/>
          <w:color w:val="000000"/>
          <w:sz w:val="24"/>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lineRule="auto" w:line="288" w:before="0" w:after="240"/>
        <w:ind w:left="0" w:right="0" w:firstLine="144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notices, requests, demands and other communications provided for by this Agreement shall be sufficient if in writing and delivered in person or sent by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nationally recognized overnight courier service or by registered or certified mail, postage prepaid, return receipt requested, to Executive at the last address Executive has filed in writing with the Company or, in the case of the Company, at its main offices, attention of the Board.</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Amendment</w:t>
      </w:r>
      <w:r>
        <w:rPr>
          <w:rFonts w:ascii="Times New Roman;serif" w:hAnsi="Times New Roman;serif"/>
          <w:b w:val="false"/>
          <w:color w:val="000000"/>
          <w:sz w:val="24"/>
        </w:rPr>
        <w:t>. This Agreement may be amended or modified only by a written instrument signed by Executive and by a duly authorized representative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(j)</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is a Delaware contract and shall be construed under and be governed in all respects by the laws of the State of Delaware, without giving effect to the conflict of laws principles of such State.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(k)</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IN WITNESS WHEREOF, the parties have executed this Agreement effective on the date and year first above written.</w:t>
      </w:r>
    </w:p>
    <w:tbl>
      <w:tblPr>
        <w:tblW w:w="5757" w:type="dxa"/>
        <w:jc w:val="left"/>
        <w:tblInd w:w="0" w:type="dxa"/>
        <w:tblLayout w:type="fixed"/>
        <w:tblCellMar>
          <w:top w:w="28" w:type="dxa"/>
          <w:left w:w="28" w:type="dxa"/>
          <w:bottom w:w="28" w:type="dxa"/>
          <w:right w:w="28" w:type="dxa"/>
        </w:tblCellMar>
      </w:tblPr>
      <w:tblGrid>
        <w:gridCol w:w="124"/>
        <w:gridCol w:w="109"/>
        <w:gridCol w:w="109"/>
        <w:gridCol w:w="725"/>
        <w:gridCol w:w="725"/>
        <w:gridCol w:w="725"/>
        <w:gridCol w:w="944"/>
        <w:gridCol w:w="944"/>
        <w:gridCol w:w="13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BENTLEY SYSTEMS, INCORPORATED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Suzanne Little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32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Colleague Success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EXECUTIVE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James Lee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James Lee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2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12/24/2024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2"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color w:val="000000"/>
                                <w:sz w:val="20"/>
                              </w:rPr>
                              <w:t>Signature Page to Employment Agreement</w:t>
                            </w:r>
                            <w:r>
                              <w:rPr>
                                <w:color w:val="000000"/>
                              </w:rPr>
                              <w:t xml:space="preserv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color w:val="000000"/>
                          <w:sz w:val="20"/>
                        </w:rPr>
                        <w:t>Signature Page to Employment Agreement</w:t>
                      </w: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A TO EMPLOYMENT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[attached]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9" w:after="60"/>
        <w:jc w:val="center"/>
        <w:rPr/>
      </w:pPr>
      <w:r>
        <w:rPr/>
        <w:drawing>
          <wp:inline distT="0" distB="0" distL="0" distR="0">
            <wp:extent cx="1457325" cy="352425"/>
            <wp:effectExtent l="0" t="0" r="0" b="0"/>
            <wp:docPr id="1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 descr=""/>
                    <pic:cNvPicPr>
                      <a:picLocks noChangeAspect="1" noChangeArrowheads="1"/>
                    </pic:cNvPicPr>
                  </pic:nvPicPr>
                  <pic:blipFill>
                    <a:blip r:embed="rId28"/>
                    <a:stretch>
                      <a:fillRect/>
                    </a:stretch>
                  </pic:blipFill>
                  <pic:spPr bwMode="auto">
                    <a:xfrm>
                      <a:off x="0" y="0"/>
                      <a:ext cx="1457325" cy="352425"/>
                    </a:xfrm>
                    <a:prstGeom prst="rect">
                      <a:avLst/>
                    </a:prstGeom>
                  </pic:spPr>
                </pic:pic>
              </a:graphicData>
            </a:graphic>
          </wp:inline>
        </w:drawing>
      </w:r>
    </w:p>
    <w:p>
      <w:pPr>
        <w:pStyle w:val="TextBody"/>
        <w:bidi w:val="0"/>
        <w:spacing w:lineRule="auto" w:line="240" w:before="0" w:after="60"/>
        <w:jc w:val="center"/>
        <w:rPr>
          <w:rFonts w:ascii="Times New Roman;serif" w:hAnsi="Times New Roman;serif"/>
          <w:b w:val="false"/>
          <w:color w:val="000000"/>
          <w:sz w:val="22"/>
        </w:rPr>
      </w:pPr>
      <w:r>
        <w:rPr>
          <w:rFonts w:ascii="Times New Roman;serif" w:hAnsi="Times New Roman;serif"/>
          <w:b w:val="false"/>
          <w:color w:val="000000"/>
          <w:sz w:val="22"/>
        </w:rPr>
        <w:t>Bentley Systems, Incorporated Employment Agreement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8" w:after="120"/>
        <w:jc w:val="left"/>
        <w:rPr/>
      </w:pPr>
      <w:r>
        <w:rPr>
          <w:rFonts w:ascii="Times New Roman;serif" w:hAnsi="Times New Roman;serif"/>
          <w:b w:val="false"/>
          <w:color w:val="231F20"/>
          <w:sz w:val="22"/>
        </w:rPr>
        <w:t xml:space="preserve">NAME: </w:t>
      </w:r>
      <w:r>
        <w:rPr>
          <w:rFonts w:ascii="Times New Roman;serif" w:hAnsi="Times New Roman;serif"/>
          <w:b w:val="false"/>
          <w:color w:val="231F20"/>
          <w:sz w:val="22"/>
          <w:u w:val="single"/>
        </w:rPr>
        <w:t>James Lee    </w:t>
      </w:r>
    </w:p>
    <w:p>
      <w:pPr>
        <w:pStyle w:val="TextBody"/>
        <w:bidi w:val="0"/>
        <w:spacing w:lineRule="auto" w:line="249" w:before="96" w:after="180"/>
        <w:jc w:val="both"/>
        <w:rPr>
          <w:rFonts w:ascii="Times New Roman;serif" w:hAnsi="Times New Roman;serif"/>
          <w:b w:val="false"/>
          <w:color w:val="231F20"/>
          <w:sz w:val="22"/>
        </w:rPr>
      </w:pPr>
      <w:r>
        <w:rPr>
          <w:rFonts w:ascii="Times New Roman;serif" w:hAnsi="Times New Roman;serif"/>
          <w:b w:val="false"/>
          <w:color w:val="231F20"/>
          <w:sz w:val="22"/>
        </w:rPr>
        <w:t>PLEASE READ THIS EMPLOYMENT AGREEMENT (“AGREEMENT”) CAREFULLY. THIS AGREEMENT DESCRIBES THE BASIC LEGAL AND ETHICAL RESPONSIBILITIES THAT YOU ARE REQUIRED TO OBSERVE AS AN EMPLOYEE OF BENTLEY SYSTEMS, INCORPORATED (“Bentley”) WHO IS EXPOSED TO HIGHLY SENSITIVE TECHNOLOGY AND STRATEGIC INFORMATION IN PERFORMING RESEARCH AND DEVELOPMENT. THIS AGREEMENT IS INTENDED TO PROTECT BOTH YOU AND BENTLEY, STRIKING A FAIR BALANCE BETWEEN BENTLEY’S INTERESTS AND YOUR NEEDS AND EXPECTATIONS.</w:t>
      </w:r>
    </w:p>
    <w:p>
      <w:pPr>
        <w:pStyle w:val="TextBody"/>
        <w:bidi w:val="0"/>
        <w:spacing w:lineRule="auto" w:line="261" w:before="0" w:after="0"/>
        <w:jc w:val="left"/>
        <w:rPr>
          <w:rFonts w:ascii="Times New Roman;serif" w:hAnsi="Times New Roman;serif"/>
          <w:b w:val="false"/>
          <w:color w:val="231F20"/>
          <w:sz w:val="22"/>
        </w:rPr>
      </w:pPr>
      <w:r>
        <w:rPr>
          <w:rFonts w:ascii="Times New Roman;serif" w:hAnsi="Times New Roman;serif"/>
          <w:b w:val="false"/>
          <w:color w:val="231F20"/>
          <w:sz w:val="22"/>
        </w:rPr>
        <w:t>THIS AGREEMENT, effective as of the date shown below, is by and between Bentley and you, as an employee. All references herein to “Bentley Company” include Bentley Systems, Incorporated and all of its direct and indirect subsidiaries and affiliates. As a condition of your employment with Bentley and in consideration for your employment with Bentley and other good and valuable consideration, including your receipt of Confidential Information (defined below), you and Bentley, intending to be legally bound, hereby agree as follows: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0" w:after="44"/>
        <w:jc w:val="left"/>
        <w:rPr>
          <w:rFonts w:ascii="Times New Roman;serif" w:hAnsi="Times New Roman;serif"/>
          <w:b w:val="false"/>
          <w:color w:val="231F20"/>
          <w:sz w:val="21"/>
        </w:rPr>
      </w:pPr>
      <w:r>
        <w:rPr>
          <w:rFonts w:ascii="Times New Roman;serif" w:hAnsi="Times New Roman;serif"/>
          <w:b w:val="false"/>
          <w:color w:val="231F20"/>
          <w:sz w:val="21"/>
        </w:rPr>
        <w:t>SECTION 1 – SCOPE OF DUTIES</w:t>
      </w:r>
    </w:p>
    <w:p>
      <w:pPr>
        <w:pStyle w:val="TextBody"/>
        <w:bidi w:val="0"/>
        <w:spacing w:lineRule="auto" w:line="345" w:before="44" w:after="283"/>
        <w:ind w:left="0" w:right="0" w:hanging="343"/>
        <w:jc w:val="left"/>
        <w:rPr/>
      </w:pPr>
      <w:r>
        <w:rPr>
          <w:rFonts w:ascii="Garamond;serif" w:hAnsi="Garamond;serif"/>
          <w:b/>
          <w:color w:val="231F20"/>
          <w:sz w:val="21"/>
        </w:rPr>
        <w:t>1.1</w:t>
      </w:r>
      <w:r>
        <w:rPr>
          <w:rFonts w:ascii="Times New Roman;serif" w:hAnsi="Times New Roman;serif"/>
          <w:b/>
          <w:color w:val="231F20"/>
          <w:sz w:val="21"/>
        </w:rPr>
        <w:t xml:space="preserve">Employment by Bentley as Sole Occupation. </w:t>
      </w:r>
      <w:r>
        <w:rPr>
          <w:rFonts w:ascii="Times New Roman;serif" w:hAnsi="Times New Roman;serif"/>
          <w:b w:val="false"/>
          <w:color w:val="231F20"/>
          <w:sz w:val="21"/>
        </w:rPr>
        <w:t xml:space="preserve">You agree to devote your best efforts to the interests of Bentley. Except as permitted by applicable law, you may not engage in any business activities or render any services of business, commercial, or professional nature, whether or not for compensation, for the benefit of anyone other than Bentley which is competitive to Bentley’s business or which interferes with your obligations to Bentley, unless Bentley has given its consent in writing in advance. Nothing in this Agreement prevents you from being employed with or providing your personal services to another business for personal gain so long as the additional work does not interfere with or create a conflict of interest with your obligations to Bentley. </w:t>
      </w:r>
    </w:p>
    <w:p>
      <w:pPr>
        <w:pStyle w:val="TextBody"/>
        <w:bidi w:val="0"/>
        <w:spacing w:lineRule="auto" w:line="345" w:before="160" w:after="283"/>
        <w:ind w:left="0" w:right="0" w:hanging="343"/>
        <w:jc w:val="left"/>
        <w:rPr/>
      </w:pPr>
      <w:r>
        <w:rPr>
          <w:rFonts w:ascii="Garamond;serif" w:hAnsi="Garamond;serif"/>
          <w:b/>
          <w:color w:val="231F20"/>
          <w:sz w:val="21"/>
        </w:rPr>
        <w:t>1.2</w:t>
      </w:r>
      <w:r>
        <w:rPr>
          <w:rFonts w:ascii="Times New Roman;serif" w:hAnsi="Times New Roman;serif"/>
          <w:b/>
          <w:color w:val="231F20"/>
          <w:sz w:val="21"/>
        </w:rPr>
        <w:t xml:space="preserve">Noninterference With Third-Party Rights. </w:t>
      </w:r>
      <w:r>
        <w:rPr>
          <w:rFonts w:ascii="Times New Roman;serif" w:hAnsi="Times New Roman;serif"/>
          <w:b w:val="false"/>
          <w:color w:val="231F20"/>
          <w:sz w:val="21"/>
        </w:rPr>
        <w:t xml:space="preserve">Bentley is employing you with the understanding that: (1) you are free to enter into employment with Bentley; and (2) only Bentley is entitled to the benefit of your work. Bentley has no interest in using any other person’s patents, copyrights, trademarks, trade secrets, confidential information or other intellectual property rights in an unlawful manner. You should not misapply proprietary information that Bentley has no right to use. You should not utilize or disclose any confidential or proprietary information of a prior employer or third-party, absent express permission to do so. You represent that you do not currently have access to, and will not attempt to gain access to, any third party’s source code or other proprietary information, </w:t>
      </w:r>
    </w:p>
    <w:p>
      <w:pPr>
        <w:pStyle w:val="TextBody"/>
        <w:bidi w:val="0"/>
        <w:spacing w:lineRule="auto" w:line="345" w:before="160" w:after="283"/>
        <w:jc w:val="left"/>
        <w:rPr>
          <w:rFonts w:ascii="Times New Roman;serif" w:hAnsi="Times New Roman;serif"/>
          <w:b w:val="false"/>
          <w:color w:val="231F20"/>
          <w:sz w:val="21"/>
        </w:rPr>
      </w:pPr>
      <w:r>
        <w:rPr>
          <w:rFonts w:ascii="Times New Roman;serif" w:hAnsi="Times New Roman;serif"/>
          <w:b w:val="false"/>
          <w:color w:val="231F20"/>
          <w:sz w:val="21"/>
        </w:rPr>
        <w:t>unless legally authorized. If such proprietary information should become known to you by chance, or if you can recall specific proprietary information from memory, you agree not to use or disclose that information during your employment at Bentley. Finally, you also agree to develop all Work Product (as defined in Section 2.2d.) in a manner that avoids even the appearance of infringement of any third party’s intellectual property rights.</w:t>
      </w:r>
    </w:p>
    <w:p>
      <w:pPr>
        <w:pStyle w:val="TextBody"/>
        <w:bidi w:val="0"/>
        <w:spacing w:before="0" w:after="0"/>
        <w:ind w:left="0" w:right="0" w:firstLine="17"/>
        <w:jc w:val="left"/>
        <w:rPr/>
      </w:pPr>
      <w:r>
        <w:rPr/>
      </w:r>
    </w:p>
    <w:p>
      <w:pPr>
        <w:pStyle w:val="TextBody"/>
        <w:bidi w:val="0"/>
        <w:spacing w:lineRule="auto" w:line="288" w:before="0" w:after="0"/>
        <w:ind w:left="0" w:right="0" w:hanging="343"/>
        <w:jc w:val="left"/>
        <w:rPr>
          <w:rFonts w:ascii="Times New Roman;serif" w:hAnsi="Times New Roman;serif"/>
          <w:b/>
          <w:color w:val="231F20"/>
          <w:sz w:val="21"/>
        </w:rPr>
      </w:pPr>
      <w:r>
        <w:rPr>
          <w:rFonts w:ascii="Times New Roman;serif" w:hAnsi="Times New Roman;serif"/>
          <w:b/>
          <w:color w:val="231F20"/>
          <w:sz w:val="21"/>
        </w:rPr>
        <w:t>SECTION 2 – OWNERSHIP OF EMPLOYEE</w:t>
      </w:r>
    </w:p>
    <w:p>
      <w:pPr>
        <w:pStyle w:val="TextBody"/>
        <w:bidi w:val="0"/>
        <w:spacing w:lineRule="auto" w:line="288" w:before="0" w:after="0"/>
        <w:ind w:left="0" w:right="0" w:firstLine="180"/>
        <w:jc w:val="left"/>
        <w:rPr>
          <w:rFonts w:ascii="Times New Roman;serif" w:hAnsi="Times New Roman;serif"/>
          <w:b/>
          <w:color w:val="231F20"/>
          <w:sz w:val="21"/>
        </w:rPr>
      </w:pPr>
      <w:r>
        <w:rPr>
          <w:rFonts w:ascii="Times New Roman;serif" w:hAnsi="Times New Roman;serif"/>
          <w:b/>
          <w:color w:val="231F20"/>
          <w:sz w:val="21"/>
        </w:rPr>
        <w:t>DEVELOPMENTS</w:t>
      </w:r>
    </w:p>
    <w:p>
      <w:pPr>
        <w:pStyle w:val="TextBody"/>
        <w:bidi w:val="0"/>
        <w:spacing w:lineRule="auto" w:line="345" w:before="44" w:after="160"/>
        <w:ind w:left="0" w:right="0" w:hanging="343"/>
        <w:jc w:val="left"/>
        <w:rPr/>
      </w:pPr>
      <w:r>
        <w:rPr>
          <w:rFonts w:ascii="Times New Roman;serif" w:hAnsi="Times New Roman;serif"/>
          <w:b/>
          <w:color w:val="231F20"/>
          <w:sz w:val="21"/>
        </w:rPr>
        <w:t xml:space="preserve">2.1 Existing Proprietary Rights. </w:t>
      </w:r>
      <w:r>
        <w:rPr>
          <w:rFonts w:ascii="Times New Roman;serif" w:hAnsi="Times New Roman;serif"/>
          <w:b w:val="false"/>
          <w:color w:val="231F20"/>
          <w:sz w:val="21"/>
        </w:rPr>
        <w:t>To preclude any possible uncertainty with respect to ownership of any developments or intellectual property, you have set forth the following: patents, patent applications, copyrights, trade secrets, and trademarks are the only intangible interests and properties that you own, or have any claim in, prior to your employment with Bentley (collectively, “Prior Work Product”):</w:t>
      </w:r>
    </w:p>
    <w:p>
      <w:pPr>
        <w:pStyle w:val="TextBody"/>
        <w:bidi w:val="0"/>
        <w:spacing w:lineRule="auto" w:line="345"/>
        <w:jc w:val="left"/>
        <w:rPr>
          <w:rFonts w:ascii="Times New Roman;serif" w:hAnsi="Times New Roman;serif"/>
          <w:b w:val="false"/>
          <w:color w:val="231F20"/>
          <w:sz w:val="21"/>
        </w:rPr>
      </w:pPr>
      <w:r>
        <w:rPr>
          <w:rFonts w:ascii="Times New Roman;serif" w:hAnsi="Times New Roman;serif"/>
          <w:b w:val="false"/>
          <w:color w:val="231F20"/>
          <w:sz w:val="21"/>
        </w:rPr>
        <w:t xml:space="preserve">If you do not claim an interest to Prior Work Product, then simply write “NONE” above or leave the space blank. If necessary, please attach an additional page. If disclosure of any such Prior Work Product would cause you to violate any prior confidentiality agreement, you understand that you are not to list such Prior Work Product, but are only to disclose a cursory name for each such Prior Work Product and the fact that full disclosure as to such Prior Work Product has not been made for that reason. If nothing is written here or attached to this Agreement, then you represent there is no Prior Work Product.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8"/>
        <w:jc w:val="left"/>
        <w:rPr/>
      </w:pPr>
      <w:r>
        <w:rPr/>
      </w:r>
    </w:p>
    <w:p>
      <w:pPr>
        <w:pStyle w:val="TextBody"/>
        <w:bidi w:val="0"/>
        <w:spacing w:lineRule="auto" w:line="345" w:before="0" w:after="160"/>
        <w:jc w:val="left"/>
        <w:rPr/>
      </w:pPr>
      <w:r>
        <w:rPr>
          <w:rFonts w:ascii="Times New Roman;serif" w:hAnsi="Times New Roman;serif"/>
          <w:b w:val="false"/>
          <w:color w:val="231F20"/>
          <w:sz w:val="21"/>
        </w:rPr>
        <w:t xml:space="preserve">If, in the course of your employment with Bentley, you incorporate a Prior Work Product into </w:t>
      </w:r>
      <w:r>
        <w:rPr>
          <w:rFonts w:ascii="Times New Roman;serif" w:hAnsi="Times New Roman;serif"/>
          <w:b w:val="false"/>
          <w:color w:val="000000"/>
          <w:sz w:val="21"/>
        </w:rPr>
        <w:t>a Bentley product, process or machine or other Bentley Work Product, you hereby grant to Bentley a nonexclusive, royalty-free, paid-up, irrevocable, worldwide license (with the full right to sublicense) to make, have made, modify, use, sell, offer for sale and import such Prior Work Product. Notwithstanding the foregoing, you will not incorporate, or permit to be incorporated, Prior Work Product in any Bentley Work Product without Bentley’s prior written consent.</w:t>
      </w:r>
    </w:p>
    <w:p>
      <w:pPr>
        <w:pStyle w:val="TextBody"/>
        <w:bidi w:val="0"/>
        <w:spacing w:lineRule="auto" w:line="288" w:before="156" w:after="283"/>
        <w:ind w:left="0" w:right="0" w:hanging="343"/>
        <w:jc w:val="left"/>
        <w:rPr/>
      </w:pPr>
      <w:r>
        <w:rPr>
          <w:rFonts w:ascii="Times New Roman;serif" w:hAnsi="Times New Roman;serif"/>
          <w:b/>
          <w:color w:val="231F20"/>
          <w:sz w:val="21"/>
        </w:rPr>
        <w:t>2.2</w:t>
      </w:r>
      <w:r>
        <w:rPr>
          <w:color w:val="231F20"/>
        </w:rPr>
        <w:t xml:space="preserve"> </w:t>
      </w:r>
      <w:r>
        <w:rPr>
          <w:rFonts w:ascii="Times New Roman;serif" w:hAnsi="Times New Roman;serif"/>
          <w:b/>
          <w:color w:val="231F20"/>
          <w:sz w:val="21"/>
        </w:rPr>
        <w:t>Ownership of Work Product.</w:t>
      </w:r>
    </w:p>
    <w:p>
      <w:pPr>
        <w:pStyle w:val="TextBody"/>
        <w:bidi w:val="0"/>
        <w:spacing w:lineRule="auto" w:line="345" w:before="55" w:after="160"/>
        <w:jc w:val="left"/>
        <w:rPr/>
      </w:pPr>
      <w:r>
        <w:rPr>
          <w:rFonts w:ascii="Garamond;serif" w:hAnsi="Garamond;serif"/>
          <w:b/>
          <w:color w:val="231F20"/>
          <w:sz w:val="21"/>
        </w:rPr>
        <w:t>a.</w:t>
      </w:r>
      <w:r>
        <w:rPr>
          <w:rFonts w:ascii="Times New Roman;serif" w:hAnsi="Times New Roman;serif"/>
          <w:b w:val="false"/>
          <w:color w:val="231F20"/>
          <w:sz w:val="21"/>
        </w:rPr>
        <w:t>Bentley shall own all Bentley Work Product (as defined in Section 2.2d.). All Bentley Work Product shall be considered work made for hire by you and owned by Bentley.</w:t>
      </w:r>
    </w:p>
    <w:p>
      <w:pPr>
        <w:pStyle w:val="TextBody"/>
        <w:bidi w:val="0"/>
        <w:spacing w:lineRule="auto" w:line="345" w:before="0" w:after="160"/>
        <w:jc w:val="left"/>
        <w:rPr/>
      </w:pPr>
      <w:r>
        <w:rPr>
          <w:rFonts w:ascii="Garamond;serif" w:hAnsi="Garamond;serif"/>
          <w:b/>
          <w:color w:val="231F20"/>
          <w:sz w:val="21"/>
        </w:rPr>
        <w:t>b.</w:t>
      </w:r>
      <w:r>
        <w:rPr>
          <w:rFonts w:ascii="Times New Roman;serif" w:hAnsi="Times New Roman;serif"/>
          <w:b w:val="false"/>
          <w:color w:val="231F20"/>
          <w:sz w:val="21"/>
        </w:rPr>
        <w:t xml:space="preserve">If any of the Bentley Work Product may not, by operation of law, be considered work made for hire by you for Bentley, or if ownership of all right, title, and interest of the intellectual property rights therein shall not otherwise vest exclusively in Bentley, subject to the state-specific modifications applicable to you in </w:t>
      </w:r>
      <w:r>
        <w:rPr>
          <w:rFonts w:ascii="Times New Roman;serif" w:hAnsi="Times New Roman;serif"/>
          <w:b w:val="false"/>
          <w:color w:val="231F20"/>
          <w:sz w:val="21"/>
          <w:u w:val="single"/>
        </w:rPr>
        <w:t>Exhibit A</w:t>
      </w:r>
      <w:r>
        <w:rPr>
          <w:rFonts w:ascii="Times New Roman;serif" w:hAnsi="Times New Roman;serif"/>
          <w:b w:val="false"/>
          <w:color w:val="231F20"/>
          <w:sz w:val="21"/>
        </w:rPr>
        <w:t>, if any, you agree to assign and hereby do assign, without further consideration, the ownership of all trade secrets, U.S. and international copyrights, patentable inventions, and other intellectual property rights, however characterized, therein to Bentley, its successors, and assigns, or its designee. Bentley, its successors, and assigns, or its designee, shall have the right to obtain and hold in its or their own name copyrights, registrations, and any other protection available in the Bentley Work Product.</w:t>
      </w:r>
    </w:p>
    <w:p>
      <w:pPr>
        <w:pStyle w:val="TextBody"/>
        <w:bidi w:val="0"/>
        <w:spacing w:lineRule="auto" w:line="345" w:before="0" w:after="160"/>
        <w:jc w:val="left"/>
        <w:rPr/>
      </w:pPr>
      <w:r>
        <w:rPr>
          <w:rFonts w:ascii="Garamond;serif" w:hAnsi="Garamond;serif"/>
          <w:b/>
          <w:color w:val="231F20"/>
          <w:sz w:val="21"/>
        </w:rPr>
        <w:t>c.</w:t>
      </w:r>
      <w:r>
        <w:rPr>
          <w:rFonts w:ascii="Times New Roman;serif" w:hAnsi="Times New Roman;serif"/>
          <w:b w:val="false"/>
          <w:color w:val="231F20"/>
          <w:sz w:val="21"/>
        </w:rPr>
        <w:t>You agree to perform, upon the reasonable request of Bentley, during or after your employment, such further acts as may be necessary or desirable to transfer, perfect, and defend Bentley’s ownership of the Bentley Work Product. When requested, you will:</w:t>
      </w:r>
    </w:p>
    <w:p>
      <w:pPr>
        <w:pStyle w:val="TextBody"/>
        <w:bidi w:val="0"/>
        <w:spacing w:lineRule="auto" w:line="345" w:before="1" w:after="120"/>
        <w:ind w:left="0" w:right="0" w:hanging="270"/>
        <w:jc w:val="left"/>
        <w:rPr/>
      </w:pPr>
      <w:r>
        <w:rPr>
          <w:rFonts w:ascii="Times New Roman;serif" w:hAnsi="Times New Roman;serif"/>
          <w:b/>
          <w:color w:val="231F20"/>
          <w:sz w:val="21"/>
        </w:rPr>
        <w:t>1.</w:t>
      </w:r>
      <w:r>
        <w:rPr>
          <w:rFonts w:ascii="Times New Roman;serif" w:hAnsi="Times New Roman;serif"/>
          <w:b w:val="false"/>
          <w:color w:val="231F20"/>
          <w:sz w:val="21"/>
        </w:rPr>
        <w:t>Execute, acknowledge, and deliver any requested affidavits and documents of assignment and conveyance;</w:t>
      </w:r>
    </w:p>
    <w:p>
      <w:pPr>
        <w:pStyle w:val="TextBody"/>
        <w:bidi w:val="0"/>
        <w:spacing w:lineRule="auto" w:line="345" w:before="0" w:after="120"/>
        <w:ind w:left="0" w:right="0" w:hanging="270"/>
        <w:jc w:val="left"/>
        <w:rPr/>
      </w:pPr>
      <w:r>
        <w:rPr>
          <w:rFonts w:ascii="Times New Roman;serif" w:hAnsi="Times New Roman;serif"/>
          <w:b/>
          <w:color w:val="231F20"/>
          <w:sz w:val="21"/>
        </w:rPr>
        <w:t>2.</w:t>
      </w:r>
      <w:r>
        <w:rPr>
          <w:color w:val="231F20"/>
        </w:rPr>
        <w:t xml:space="preserve"> </w:t>
      </w:r>
      <w:r>
        <w:rPr>
          <w:rFonts w:ascii="Times New Roman;serif" w:hAnsi="Times New Roman;serif"/>
          <w:b w:val="false"/>
          <w:color w:val="231F20"/>
          <w:sz w:val="21"/>
        </w:rPr>
        <w:t>Obtain and aid in the enforcement of copyrights and, if applicable, patents with respect to the Bentley Work Product in any countries;</w:t>
      </w:r>
    </w:p>
    <w:p>
      <w:pPr>
        <w:pStyle w:val="TextBody"/>
        <w:bidi w:val="0"/>
        <w:spacing w:lineRule="auto" w:line="345" w:before="0" w:after="120"/>
        <w:ind w:left="0" w:right="0" w:hanging="270"/>
        <w:jc w:val="left"/>
        <w:rPr/>
      </w:pPr>
      <w:r>
        <w:rPr>
          <w:rFonts w:ascii="Times New Roman;serif" w:hAnsi="Times New Roman;serif"/>
          <w:b/>
          <w:color w:val="231F20"/>
          <w:sz w:val="21"/>
        </w:rPr>
        <w:t>3.</w:t>
      </w:r>
      <w:r>
        <w:rPr>
          <w:color w:val="231F20"/>
        </w:rPr>
        <w:t xml:space="preserve"> </w:t>
      </w:r>
      <w:r>
        <w:rPr>
          <w:rFonts w:ascii="Times New Roman;serif" w:hAnsi="Times New Roman;serif"/>
          <w:b w:val="false"/>
          <w:color w:val="231F20"/>
          <w:sz w:val="21"/>
        </w:rPr>
        <w:t>Provide testimony in connection with any proceeding affecting the right, title, or interest of Bentley or its designee in any Bentley Work Product; and</w:t>
      </w:r>
    </w:p>
    <w:p>
      <w:pPr>
        <w:pStyle w:val="TextBody"/>
        <w:bidi w:val="0"/>
        <w:spacing w:lineRule="auto" w:line="345" w:before="0" w:after="180"/>
        <w:ind w:left="0" w:right="0" w:hanging="270"/>
        <w:jc w:val="left"/>
        <w:rPr/>
      </w:pPr>
      <w:r>
        <w:rPr>
          <w:rFonts w:ascii="Times New Roman;serif" w:hAnsi="Times New Roman;serif"/>
          <w:b/>
          <w:color w:val="231F20"/>
          <w:sz w:val="21"/>
        </w:rPr>
        <w:t>4.</w:t>
      </w:r>
      <w:r>
        <w:rPr>
          <w:color w:val="231F20"/>
        </w:rPr>
        <w:t xml:space="preserve"> </w:t>
      </w:r>
      <w:r>
        <w:rPr>
          <w:rFonts w:ascii="Times New Roman;serif" w:hAnsi="Times New Roman;serif"/>
          <w:b w:val="false"/>
          <w:color w:val="231F20"/>
          <w:sz w:val="21"/>
        </w:rPr>
        <w:t>Perform any other acts deemed necessary or desirable to carry out the purposes of this Agreement.</w:t>
      </w:r>
    </w:p>
    <w:p>
      <w:pPr>
        <w:pStyle w:val="TextBody"/>
        <w:bidi w:val="0"/>
        <w:spacing w:lineRule="auto" w:line="345" w:before="1" w:after="160"/>
        <w:jc w:val="left"/>
        <w:rPr>
          <w:rFonts w:ascii="Times New Roman;serif" w:hAnsi="Times New Roman;serif"/>
          <w:b w:val="false"/>
          <w:color w:val="231F20"/>
          <w:sz w:val="21"/>
        </w:rPr>
      </w:pPr>
      <w:r>
        <w:rPr>
          <w:rFonts w:ascii="Times New Roman;serif" w:hAnsi="Times New Roman;serif"/>
          <w:b w:val="false"/>
          <w:color w:val="231F20"/>
          <w:sz w:val="21"/>
        </w:rPr>
        <w:t xml:space="preserve">Bentley shall reimburse all reasonable out-of-pocket expenses incurred by you at Bentley’s request in connection with the foregoing, including (unless you are otherwise being compensated at the time) a reasonable per diem or hourly fee for services rendered following termination of your employment. </w:t>
      </w:r>
    </w:p>
    <w:p>
      <w:pPr>
        <w:pStyle w:val="TextBody"/>
        <w:bidi w:val="0"/>
        <w:spacing w:lineRule="auto" w:line="345" w:before="0" w:after="0"/>
        <w:jc w:val="left"/>
        <w:rPr>
          <w:rFonts w:ascii="Times New Roman;serif" w:hAnsi="Times New Roman;serif"/>
          <w:b w:val="false"/>
          <w:color w:val="000000"/>
          <w:sz w:val="21"/>
        </w:rPr>
      </w:pPr>
      <w:r>
        <w:rPr>
          <w:rFonts w:ascii="Times New Roman;serif" w:hAnsi="Times New Roman;serif"/>
          <w:b w:val="false"/>
          <w:color w:val="000000"/>
          <w:sz w:val="21"/>
        </w:rPr>
        <w:t xml:space="preserve">If Bentley is unable for any reason, after reasonable effort, to secure your signature on any document needed in connection with the actions specified in this Section, you hereby irrevocably designate and appoint Bentley and their duly authorized officers and agents as your agent and attorney in fact, which appointment is coupled with an interest to act for and on my behalf to execute, verify, and file any such documents, and to do all other lawfully permitted acts to further the purposes of this Section with the same legal force and effect as if executed by you. </w:t>
      </w:r>
    </w:p>
    <w:p>
      <w:pPr>
        <w:pStyle w:val="TextBody"/>
        <w:bidi w:val="0"/>
        <w:spacing w:lineRule="auto" w:line="345" w:before="160" w:after="283"/>
        <w:jc w:val="left"/>
        <w:rPr/>
      </w:pPr>
      <w:r>
        <w:rPr>
          <w:rFonts w:ascii="Garamond;serif" w:hAnsi="Garamond;serif"/>
          <w:b/>
          <w:color w:val="231F20"/>
          <w:sz w:val="21"/>
        </w:rPr>
        <w:t>d.</w:t>
      </w:r>
      <w:r>
        <w:rPr>
          <w:rFonts w:ascii="Times New Roman;serif" w:hAnsi="Times New Roman;serif"/>
          <w:b w:val="false"/>
          <w:color w:val="231F20"/>
          <w:sz w:val="21"/>
        </w:rPr>
        <w:t xml:space="preserve">For purposes hereof, “Bentley Work Product” shall mean all intellectual property rights, including all trade secrets, U.S. and international copyrights, patentable inventions, discoveries and improvements, and other intellectual property rights, in any programming, documentation, technology, invention, or other work product that you conceive, develop, create, or deliver to Bentley at any time during the term of your employment, alone or jointly with others, and (1) for which you used Bentley’s property, equipment, or Confidential Information or (2) which you created during work time or on Bentley’s premises. Bentley Work Product shall also include all intellectual property rights in any programming, documentation, technology, invention, or other work product that is now contained in any of the products or systems, including development and support systems, of Bentley to the extent you conceived, developed, or delivered such Bentley Work Product to Bentley prior to the date of this Agreement. Work Product will further include any and all rights in any pre-existing programming, documentation, technology, invention, or other work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45" w:before="160" w:after="283"/>
        <w:jc w:val="left"/>
        <w:rPr/>
      </w:pPr>
      <w:r>
        <w:rPr>
          <w:rFonts w:ascii="Times New Roman;serif" w:hAnsi="Times New Roman;serif"/>
          <w:b w:val="false"/>
          <w:color w:val="231F20"/>
          <w:sz w:val="21"/>
        </w:rPr>
        <w:t xml:space="preserve">product provided to Bentley during the course of your employment unless you have specifically disclosed such pre-existing works to Bentley under Section 2.1 above, and regardless of whether or not it arises specifically out of your work for Bentley. You hereby irrevocably relinquish for the benefit of Bentley and its assigns any "Moral Rights” in Bentley Work Product recognized by applicable law, even after the Termination Date (defined below). </w:t>
      </w:r>
      <w:r>
        <w:rPr>
          <w:color w:val="000000"/>
        </w:rPr>
        <w:t>“</w:t>
      </w:r>
      <w:r>
        <w:rPr>
          <w:rFonts w:ascii="Times New Roman;serif" w:hAnsi="Times New Roman;serif"/>
          <w:b w:val="false"/>
          <w:color w:val="000000"/>
          <w:sz w:val="21"/>
        </w:rPr>
        <w:t>Moral Rights” means any rights to claim authorship of a work, to object to or prevent the modification or destruction of a work, to withdraw from circulation or control the publication or distribution of a work, and any similar right, regardless of whether or not such right is denominated or generally referred to as a “moral right.”</w:t>
      </w:r>
    </w:p>
    <w:p>
      <w:pPr>
        <w:pStyle w:val="TextBody"/>
        <w:bidi w:val="0"/>
        <w:spacing w:lineRule="auto" w:line="345" w:before="240" w:after="283"/>
        <w:ind w:left="0" w:right="0" w:firstLine="38"/>
        <w:jc w:val="left"/>
        <w:rPr>
          <w:rFonts w:ascii="Times New Roman;serif" w:hAnsi="Times New Roman;serif"/>
          <w:b/>
          <w:color w:val="231F20"/>
          <w:sz w:val="21"/>
        </w:rPr>
      </w:pPr>
      <w:r>
        <w:rPr>
          <w:rFonts w:ascii="Times New Roman;serif" w:hAnsi="Times New Roman;serif"/>
          <w:b/>
          <w:color w:val="231F20"/>
          <w:sz w:val="21"/>
        </w:rPr>
        <w:t>Section 3–CONFIDENTIALITY</w:t>
      </w:r>
    </w:p>
    <w:p>
      <w:pPr>
        <w:pStyle w:val="TextBody"/>
        <w:bidi w:val="0"/>
        <w:spacing w:lineRule="auto" w:line="345" w:before="0" w:after="160"/>
        <w:ind w:left="0" w:right="0" w:hanging="343"/>
        <w:jc w:val="left"/>
        <w:rPr/>
      </w:pPr>
      <w:r>
        <w:rPr>
          <w:rFonts w:ascii="Times New Roman;serif" w:hAnsi="Times New Roman;serif"/>
          <w:b/>
          <w:color w:val="231F20"/>
          <w:sz w:val="21"/>
        </w:rPr>
        <w:t xml:space="preserve">3.1 Consequences of Entrustment With Sensitive Information. </w:t>
      </w:r>
      <w:r>
        <w:rPr>
          <w:rFonts w:ascii="Times New Roman;serif" w:hAnsi="Times New Roman;serif"/>
          <w:b w:val="false"/>
          <w:color w:val="231F20"/>
          <w:sz w:val="21"/>
        </w:rPr>
        <w:t>You should recognize that your position with Bentley requires considerable responsibility and trust. Relying on your ethical responsibility and undivided loyalty, Bentley expects to entrust you with highly sensitive, confidential, restricted, and proprietary information involving trade secrets. You are legally and ethically responsible for protecting and preserving Bentley Company’s proprietary rights for use only for Bentley Company’s benefit, and these responsibilities may impose unavoidable limitations on your ability to pursue some kinds of business opportunities that might interest you during or after your employment.</w:t>
      </w:r>
    </w:p>
    <w:p>
      <w:pPr>
        <w:pStyle w:val="TextBody"/>
        <w:bidi w:val="0"/>
        <w:spacing w:lineRule="auto" w:line="345" w:before="0" w:after="160"/>
        <w:ind w:left="0" w:right="0" w:hanging="343"/>
        <w:jc w:val="left"/>
        <w:rPr/>
      </w:pPr>
      <w:r>
        <w:rPr>
          <w:rFonts w:ascii="Times New Roman;serif" w:hAnsi="Times New Roman;serif"/>
          <w:b/>
          <w:color w:val="231F20"/>
          <w:sz w:val="21"/>
        </w:rPr>
        <w:t xml:space="preserve">3.2 Confidential Information Defined. </w:t>
      </w:r>
      <w:r>
        <w:rPr>
          <w:rFonts w:ascii="Times New Roman;serif" w:hAnsi="Times New Roman;serif"/>
          <w:b w:val="false"/>
          <w:color w:val="000000"/>
          <w:sz w:val="21"/>
        </w:rPr>
        <w:t xml:space="preserve">The term “Confidential Information” as used herein shall mean an item of information, or a compilation of information, in any form, related to Bentley Company’s business or the business or personal affairs of Bentley Company’s clients, that has not been made public or of which it has not authorized public disclosure and that is not already generally known to the public or to other persons who might obtain value or competitive advantage from its disclosure or use. Confidential Information will not lose its protected status under this Agreement if it becomes known to others through improper means such as the unauthorized use or disclosure of the information by Employee or another person. Confidential Information includes, but is not limited to, confidential and/or proprietary information concerning Bentley Company, including without limitation, (i) Bentley Company’s </w:t>
      </w:r>
    </w:p>
    <w:p>
      <w:pPr>
        <w:pStyle w:val="TextBody"/>
        <w:bidi w:val="0"/>
        <w:spacing w:lineRule="auto" w:line="345" w:before="0" w:after="160"/>
        <w:jc w:val="left"/>
        <w:rPr>
          <w:rFonts w:ascii="Times New Roman;serif" w:hAnsi="Times New Roman;serif"/>
          <w:b w:val="false"/>
          <w:color w:val="000000"/>
          <w:sz w:val="21"/>
        </w:rPr>
      </w:pPr>
      <w:r>
        <w:rPr>
          <w:rFonts w:ascii="Times New Roman;serif" w:hAnsi="Times New Roman;serif"/>
          <w:b w:val="false"/>
          <w:color w:val="000000"/>
          <w:sz w:val="21"/>
        </w:rPr>
        <w:t xml:space="preserve">technical data, trade secrets or know how, (ii) information regarding Bentley Company’s business operations and non-public financial affairs, systems and procedures, (iii) research relating to past, present, and potential suppliers, customers, clients, and strategic opportunities of Bentley Company, (iv) contractual terms with, and lists of, Bentley Company’s clients, customers, vendors, suppliers, and contractors, (v) Bentley Company’s marketing and business strategies and techniques, (vi) information relating to Bentley Company’s recommendations to suppliers, clients, customers, or potential clients, suppliers, and customers, (vii) compensation and performance information about any of Bentley Company’s employees, other than Employee, (viii) applications, operating systems, tools, and communication and other computer software developed or used by Bentley Company, (ix) Bentley Company’s source and object codes, flowcharts, algorithms, coding sheets, compilers, assemblers, design concepts, routines and subroutines, and documents and manuals for the software described in subsection (viii), (x) Bentley Company’s production processes, purchasing information, price lists, pricing policies, and quoting procedures, (xi) Bentley Company’s discoveries, concepts and ideas, whether or not patentable or protectable by copyright, including without limitation the nature and results of research and development activities, technical information on product or program performance and reliability, processes, formulas, techniques, “know-how”, designs, drawings and specifications; and (xii) any other Bentley Company information Employee has reason to know that Bentley treats as confidential for any purpose. Private disclosure of otherwise Confidential Information to parties Bentley Company is doing business with shall not cause the information to lose its protected status under this Agreement. </w:t>
      </w:r>
    </w:p>
    <w:p>
      <w:pPr>
        <w:pStyle w:val="TextBody"/>
        <w:bidi w:val="0"/>
        <w:spacing w:lineRule="auto" w:line="345" w:before="0" w:after="160"/>
        <w:ind w:left="0" w:right="0" w:hanging="343"/>
        <w:jc w:val="left"/>
        <w:rPr/>
      </w:pPr>
      <w:r>
        <w:rPr>
          <w:rFonts w:ascii="Times New Roman;serif" w:hAnsi="Times New Roman;serif"/>
          <w:b/>
          <w:color w:val="231F20"/>
          <w:sz w:val="21"/>
        </w:rPr>
        <w:t xml:space="preserve">3.3 Confidential Information of Third Parties. </w:t>
      </w:r>
      <w:r>
        <w:rPr>
          <w:rFonts w:ascii="Times New Roman;serif" w:hAnsi="Times New Roman;serif"/>
          <w:b w:val="false"/>
          <w:color w:val="231F20"/>
          <w:sz w:val="21"/>
        </w:rPr>
        <w:t xml:space="preserve">Bentley Company is bound by written agreements and other obligations with customers, suppliers, licensors and other third parties restricting Bentley Company’s use and disclosure of the third party’s confidential and proprietary information (collectively, “Third-Party Information”). If an employee receives Third-Party Information, they must inquire as to what restrictions apply to the use and further disclosure of that information. If a third party presents Bentley Company with an unsolicited submission of an invention, technology, or other suggestions or ideas proposed for use in Bentley Company’s business, you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45" w:before="0" w:after="160"/>
        <w:jc w:val="left"/>
        <w:rPr>
          <w:rFonts w:ascii="Times New Roman;serif" w:hAnsi="Times New Roman;serif"/>
          <w:b w:val="false"/>
          <w:color w:val="231F20"/>
          <w:sz w:val="21"/>
        </w:rPr>
      </w:pPr>
      <w:r>
        <w:rPr>
          <w:rFonts w:ascii="Times New Roman;serif" w:hAnsi="Times New Roman;serif"/>
          <w:b w:val="false"/>
          <w:color w:val="231F20"/>
          <w:sz w:val="21"/>
        </w:rPr>
        <w:t>should not review the submission, and should immediately forward it to Bentley’s Legal Department for handling in accordance with Bentley’s procedures.</w:t>
      </w:r>
    </w:p>
    <w:p>
      <w:pPr>
        <w:pStyle w:val="TextBody"/>
        <w:bidi w:val="0"/>
        <w:spacing w:lineRule="auto" w:line="345" w:before="0" w:after="160"/>
        <w:ind w:left="0" w:right="0" w:hanging="343"/>
        <w:jc w:val="left"/>
        <w:rPr/>
      </w:pPr>
      <w:r>
        <w:rPr>
          <w:rFonts w:ascii="Times New Roman;serif" w:hAnsi="Times New Roman;serif"/>
          <w:b/>
          <w:color w:val="231F20"/>
          <w:sz w:val="21"/>
        </w:rPr>
        <w:t xml:space="preserve">3.4 Restrictions on Use and Disclosure of Confidential Information. </w:t>
      </w:r>
      <w:r>
        <w:rPr>
          <w:rFonts w:ascii="Times New Roman;serif" w:hAnsi="Times New Roman;serif"/>
          <w:b w:val="false"/>
          <w:color w:val="231F20"/>
          <w:sz w:val="21"/>
        </w:rPr>
        <w:t xml:space="preserve">You agree not to use or disclose Confidential Information or Third-Party Information during your employment and for so long afterwards as the pertinent information or data remain confidential, regardless of whether the Confidential Information is in written or tangible form, except as required to perform any duties for Bentley. </w:t>
      </w:r>
      <w:r>
        <w:rPr>
          <w:rFonts w:ascii="Times New Roman;serif" w:hAnsi="Times New Roman;serif"/>
          <w:b w:val="false"/>
          <w:color w:val="000000"/>
          <w:sz w:val="21"/>
        </w:rPr>
        <w:t>However, if time limitation is required on the post-employment restrictions applicable to Confidential Information that does not qualify as a trade secret or Third-Party Information, then such restrictions shall be limited to a period of two (2) years following the last day on which you actively provide services to Bentley, regardless of the reason for your separation including all voluntary and involuntary reasons (the “Termination Date”). Trade secret information will remain protected for as long as it qualifies as a trade secret under applicable law. Third-Party Information will remain protected for as long as allowed under the laws and/or separate agreements that make them confidential. Nothing in the foregoing shall be construed to permit you to recreate records of Confidential Information from memory or retain copies of Confidential Information in any form after the Termination Date. You understand that you should have no records of this kind in your possession or control with which to refresh your memory after the Termination Date.</w:t>
      </w:r>
    </w:p>
    <w:p>
      <w:pPr>
        <w:pStyle w:val="TextBody"/>
        <w:bidi w:val="0"/>
        <w:spacing w:lineRule="auto" w:line="345" w:before="0" w:after="0"/>
        <w:jc w:val="left"/>
        <w:rPr>
          <w:rFonts w:ascii="Times New Roman;serif" w:hAnsi="Times New Roman;serif"/>
          <w:b w:val="false"/>
          <w:color w:val="000000"/>
          <w:sz w:val="21"/>
        </w:rPr>
      </w:pPr>
      <w:r>
        <w:rPr>
          <w:rFonts w:ascii="Times New Roman;serif" w:hAnsi="Times New Roman;serif"/>
          <w:b w:val="false"/>
          <w:color w:val="000000"/>
          <w:sz w:val="21"/>
        </w:rPr>
        <w:t>You understand that if you are not a people manager or member of Bentley’s management, this Agreement does not prohibit you from using information acquired through lawful means regarding the wages, benefits, or other terms and conditions of employment of individuals employed by Bentley Company for any purposes of protected concerted activity under the National Labor Relations Act (NLRA) (as described more below) unless the information is entrusted to you in confidence by Bentley as part of your job duties.   </w:t>
      </w:r>
    </w:p>
    <w:p>
      <w:pPr>
        <w:pStyle w:val="TextBody"/>
        <w:bidi w:val="0"/>
        <w:spacing w:before="0" w:after="0"/>
        <w:ind w:left="0" w:right="0" w:firstLine="1080"/>
        <w:jc w:val="left"/>
        <w:rPr/>
      </w:pPr>
      <w:r>
        <w:rPr/>
      </w:r>
    </w:p>
    <w:p>
      <w:pPr>
        <w:pStyle w:val="TextBody"/>
        <w:bidi w:val="0"/>
        <w:spacing w:lineRule="auto" w:line="345" w:before="0" w:after="160"/>
        <w:ind w:left="0" w:right="0" w:hanging="450"/>
        <w:jc w:val="left"/>
        <w:rPr/>
      </w:pPr>
      <w:r>
        <w:rPr>
          <w:rFonts w:ascii="Garamond;serif" w:hAnsi="Garamond;serif"/>
          <w:b/>
          <w:color w:val="231F20"/>
          <w:sz w:val="21"/>
        </w:rPr>
        <w:t>3.5</w:t>
      </w:r>
      <w:r>
        <w:rPr>
          <w:rFonts w:ascii="Times New Roman;serif" w:hAnsi="Times New Roman;serif"/>
          <w:b/>
          <w:color w:val="231F20"/>
          <w:sz w:val="21"/>
        </w:rPr>
        <w:t xml:space="preserve">Screening of Public Releases of Information. </w:t>
      </w:r>
      <w:r>
        <w:rPr>
          <w:rFonts w:ascii="Times New Roman;serif" w:hAnsi="Times New Roman;serif"/>
          <w:b w:val="false"/>
          <w:color w:val="231F20"/>
          <w:sz w:val="21"/>
        </w:rPr>
        <w:t xml:space="preserve">In addition, and without any intention of limiting your other obligations under this Agreement in any way, you should not, during your employment, reveal any </w:t>
      </w:r>
    </w:p>
    <w:p>
      <w:pPr>
        <w:pStyle w:val="TextBody"/>
        <w:bidi w:val="0"/>
        <w:spacing w:lineRule="auto" w:line="345" w:before="0" w:after="160"/>
        <w:jc w:val="left"/>
        <w:rPr>
          <w:rFonts w:ascii="Times New Roman;serif" w:hAnsi="Times New Roman;serif"/>
          <w:b w:val="false"/>
          <w:color w:val="231F20"/>
          <w:sz w:val="21"/>
        </w:rPr>
      </w:pPr>
      <w:r>
        <w:rPr>
          <w:rFonts w:ascii="Times New Roman;serif" w:hAnsi="Times New Roman;serif"/>
          <w:b w:val="false"/>
          <w:color w:val="231F20"/>
          <w:sz w:val="21"/>
        </w:rPr>
        <w:t>nonpublic information concerning the technology pertaining to the proprietary products and manufacturing processes of Bentley Company (particularly technology under current development or improvement), unless you have obtained approval from your department head in advance. In that connection, you should submit to your department head for review any proposed scientific and technical articles and the text of any public speeches relating to work done for Bentley before they are released or delivered.</w:t>
      </w:r>
    </w:p>
    <w:p>
      <w:pPr>
        <w:pStyle w:val="TextBody"/>
        <w:bidi w:val="0"/>
        <w:spacing w:lineRule="auto" w:line="345" w:before="0" w:after="0"/>
        <w:ind w:left="0" w:right="0" w:hanging="450"/>
        <w:jc w:val="left"/>
        <w:rPr/>
      </w:pPr>
      <w:r>
        <w:rPr>
          <w:rFonts w:ascii="Garamond;serif" w:hAnsi="Garamond;serif"/>
          <w:b/>
          <w:color w:val="231F20"/>
          <w:sz w:val="21"/>
        </w:rPr>
        <w:t>3.6</w:t>
      </w:r>
      <w:r>
        <w:rPr>
          <w:rFonts w:ascii="Times New Roman;serif" w:hAnsi="Times New Roman;serif"/>
          <w:b/>
          <w:color w:val="231F20"/>
          <w:sz w:val="21"/>
        </w:rPr>
        <w:t xml:space="preserve">Disclosure Obligations. </w:t>
      </w:r>
      <w:r>
        <w:rPr>
          <w:rFonts w:ascii="Times New Roman;serif" w:hAnsi="Times New Roman;serif"/>
          <w:b w:val="false"/>
          <w:color w:val="231F20"/>
          <w:sz w:val="21"/>
        </w:rPr>
        <w:t xml:space="preserve">All employees who have contractual restrictions or other obligations to a former employer with respect to the former employer’s confidential or proprietary information have an obligation to fully disclose those restrictions to Bentley prior to beginning work and to fully abide by them. </w:t>
      </w:r>
    </w:p>
    <w:p>
      <w:pPr>
        <w:pStyle w:val="TextBody"/>
        <w:bidi w:val="0"/>
        <w:spacing w:lineRule="auto" w:line="345" w:before="160" w:after="283"/>
        <w:ind w:left="0" w:right="0" w:hanging="450"/>
        <w:jc w:val="left"/>
        <w:rPr/>
      </w:pPr>
      <w:r>
        <w:rPr>
          <w:rFonts w:ascii="Garamond;serif" w:hAnsi="Garamond;serif"/>
          <w:b/>
          <w:color w:val="231F20"/>
          <w:sz w:val="21"/>
        </w:rPr>
        <w:t>3.7</w:t>
      </w:r>
      <w:r>
        <w:rPr>
          <w:rFonts w:ascii="Times New Roman;serif" w:hAnsi="Times New Roman;serif"/>
          <w:b/>
          <w:color w:val="231F20"/>
          <w:sz w:val="21"/>
        </w:rPr>
        <w:t>Continuance of Employment</w:t>
      </w:r>
      <w:r>
        <w:rPr>
          <w:rFonts w:ascii="Times New Roman;serif" w:hAnsi="Times New Roman;serif"/>
          <w:b w:val="false"/>
          <w:color w:val="231F20"/>
          <w:sz w:val="21"/>
        </w:rPr>
        <w:t>. Your compliance with this Agreement, and shall remain, a condition of your employment. Your employment is terminable at will by either you or Bentley at any time. Bentley reserves the absolute right to make any changes in assignment, personnel, or employee benefits at any time as permitted by applicable law.</w:t>
      </w:r>
    </w:p>
    <w:p>
      <w:pPr>
        <w:pStyle w:val="TextBody"/>
        <w:bidi w:val="0"/>
        <w:spacing w:lineRule="auto" w:line="345" w:before="160" w:after="283"/>
        <w:ind w:left="0" w:right="0" w:hanging="450"/>
        <w:jc w:val="left"/>
        <w:rPr/>
      </w:pPr>
      <w:r>
        <w:rPr>
          <w:rFonts w:ascii="Garamond;serif" w:hAnsi="Garamond;serif"/>
          <w:b/>
          <w:color w:val="231F20"/>
          <w:sz w:val="21"/>
        </w:rPr>
        <w:t>3.8</w:t>
      </w:r>
      <w:r>
        <w:rPr>
          <w:rFonts w:ascii="Times New Roman;serif" w:hAnsi="Times New Roman;serif"/>
          <w:b/>
          <w:color w:val="231F20"/>
          <w:sz w:val="21"/>
        </w:rPr>
        <w:t xml:space="preserve">Termination of Employment. </w:t>
      </w:r>
      <w:r>
        <w:rPr>
          <w:rFonts w:ascii="Times New Roman;serif" w:hAnsi="Times New Roman;serif"/>
          <w:b w:val="false"/>
          <w:color w:val="231F20"/>
          <w:sz w:val="21"/>
        </w:rPr>
        <w:t>Should your employment with Bentley end for any reason, you may be required to attend an exit interview with a member of Bentley’s Human Resources Department. At the time of this exit interview you may be asked to re-confirm your understanding of your continuing obligations as set forth in this Agreement, as well as sign a form indicating that you have returned all Bentley Company property in your possession. If requested by Bentley, compliance with this process is a pre-condition to obtaining any severance pay or unpaid wages, if any, to the extent permitted by applicable law. Furthermore, you agree that Bentley may contact any of your future employers or entities to whom you intend to provide services to inform them of your continuing obligations under this Agreement.</w:t>
      </w:r>
    </w:p>
    <w:p>
      <w:pPr>
        <w:pStyle w:val="TextBody"/>
        <w:bidi w:val="0"/>
        <w:spacing w:lineRule="auto" w:line="345" w:before="160" w:after="120"/>
        <w:ind w:left="0" w:right="0" w:hanging="450"/>
        <w:jc w:val="left"/>
        <w:rPr/>
      </w:pPr>
      <w:r>
        <w:rPr>
          <w:rFonts w:ascii="Garamond;serif" w:hAnsi="Garamond;serif"/>
          <w:b/>
          <w:color w:val="231F20"/>
          <w:sz w:val="21"/>
        </w:rPr>
        <w:t>3.9</w:t>
      </w:r>
      <w:r>
        <w:rPr>
          <w:rFonts w:ascii="Times New Roman;serif" w:hAnsi="Times New Roman;serif"/>
          <w:b/>
          <w:color w:val="231F20"/>
          <w:sz w:val="21"/>
        </w:rPr>
        <w:t xml:space="preserve">Protected Conduct. </w:t>
      </w:r>
      <w:r>
        <w:rPr>
          <w:rFonts w:ascii="Times New Roman;serif" w:hAnsi="Times New Roman;serif"/>
          <w:b w:val="false"/>
          <w:color w:val="231F20"/>
          <w:sz w:val="21"/>
        </w:rPr>
        <w:t>You understand</w:t>
      </w:r>
      <w:r>
        <w:rPr>
          <w:color w:val="231F20"/>
        </w:rPr>
        <w:t xml:space="preserve"> </w:t>
      </w:r>
      <w:r>
        <w:rPr>
          <w:rFonts w:ascii="Times New Roman;serif" w:hAnsi="Times New Roman;serif"/>
          <w:b w:val="false"/>
          <w:color w:val="231F20"/>
          <w:sz w:val="21"/>
        </w:rPr>
        <w:t>that nothing in this Agreement</w:t>
      </w:r>
      <w:r>
        <w:rPr>
          <w:color w:val="231F20"/>
        </w:rPr>
        <w:t xml:space="preserve"> </w:t>
      </w:r>
      <w:r>
        <w:rPr>
          <w:rFonts w:ascii="Times New Roman;serif" w:hAnsi="Times New Roman;serif"/>
          <w:b w:val="false"/>
          <w:color w:val="000000"/>
          <w:sz w:val="21"/>
        </w:rPr>
        <w:t xml:space="preserve">limits or prohibits you from filing a charge or complaint with, or otherwise communicating or cooperating with or participating in any investigation or proceeding that may be conducted by, any federal, state or local government agency or commission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45" w:before="160" w:after="120"/>
        <w:jc w:val="left"/>
        <w:rPr>
          <w:rFonts w:ascii="Times New Roman;serif" w:hAnsi="Times New Roman;serif"/>
          <w:b w:val="false"/>
          <w:color w:val="000000"/>
          <w:sz w:val="21"/>
        </w:rPr>
      </w:pPr>
      <w:r>
        <w:rPr>
          <w:rFonts w:ascii="Times New Roman;serif" w:hAnsi="Times New Roman;serif"/>
          <w:b w:val="false"/>
          <w:color w:val="000000"/>
          <w:sz w:val="21"/>
        </w:rPr>
        <w:t>(collectively, “Government Agencies”), including disclosing documents or other information as permitted by law, without giving notice to, or receiving authorization from, Bentley or from disclosing or discussing sexual harassment or sexual assault. You also understand that nothing in this Agreement limits or prohibits you from providing truthful testimony in a proceeding when you have been required or requested to attend the proceeding pursuant to a court order, subpoena, or written request from an administrative agency or the legislature, or initiating communications with, reporting to, responding to an inquiry from, or providing testimony before any Government Agencies.</w:t>
      </w:r>
    </w:p>
    <w:p>
      <w:pPr>
        <w:pStyle w:val="TextBody"/>
        <w:bidi w:val="0"/>
        <w:spacing w:lineRule="auto" w:line="345" w:before="0" w:after="120"/>
        <w:jc w:val="left"/>
        <w:rPr>
          <w:rFonts w:ascii="Times New Roman;serif" w:hAnsi="Times New Roman;serif"/>
          <w:b w:val="false"/>
          <w:color w:val="000000"/>
          <w:sz w:val="21"/>
        </w:rPr>
      </w:pPr>
      <w:r>
        <w:rPr>
          <w:rFonts w:ascii="Times New Roman;serif" w:hAnsi="Times New Roman;serif"/>
          <w:b w:val="false"/>
          <w:color w:val="000000"/>
          <w:sz w:val="21"/>
        </w:rPr>
        <w:t>If you are not a supervisor or member of Bentley’s management, nothing in this Agreement prohibits you from engaging in conduct that is protected concerted conduct under Section 7 of the NLRA (such as the right of employees to self-organization, to form, join, or assist labor organizations, to strike, picket, or otherwise engage in other concerted activities for their mutual aid or protection), which includes using information acquired through lawful means regarding the wages, benefits, or other terms and conditions of employment of individuals employed by Bentley Company for any purpose protected under the NLRA, unless the information is entrusted to you in confidence by Bentley as part of your job duties (such as, without limitation, benefits or payroll administration duties).</w:t>
      </w:r>
    </w:p>
    <w:p>
      <w:pPr>
        <w:pStyle w:val="TextBody"/>
        <w:bidi w:val="0"/>
        <w:spacing w:lineRule="auto" w:line="345" w:before="0" w:after="120"/>
        <w:jc w:val="left"/>
        <w:rPr>
          <w:rFonts w:ascii="Times New Roman;serif" w:hAnsi="Times New Roman;serif"/>
          <w:b w:val="false"/>
          <w:color w:val="000000"/>
          <w:sz w:val="21"/>
        </w:rPr>
      </w:pPr>
      <w:r>
        <w:rPr>
          <w:rFonts w:ascii="Times New Roman;serif" w:hAnsi="Times New Roman;serif"/>
          <w:b w:val="false"/>
          <w:color w:val="000000"/>
          <w:sz w:val="21"/>
        </w:rPr>
        <w:t>You are hereby provided notice that under the 2016 Defend Trade Secrets Act (DTSA),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lineRule="auto" w:line="288" w:before="0" w:after="80"/>
        <w:ind w:left="0" w:right="0" w:firstLine="90"/>
        <w:jc w:val="left"/>
        <w:rPr>
          <w:rFonts w:ascii="Times New Roman;serif" w:hAnsi="Times New Roman;serif"/>
          <w:b/>
          <w:color w:val="231F20"/>
          <w:sz w:val="21"/>
        </w:rPr>
      </w:pPr>
      <w:r>
        <w:rPr>
          <w:rFonts w:ascii="Times New Roman;serif" w:hAnsi="Times New Roman;serif"/>
          <w:b/>
          <w:color w:val="231F20"/>
          <w:sz w:val="21"/>
        </w:rPr>
        <w:t>Section 4–RETURN OF MATERIALS</w:t>
      </w:r>
    </w:p>
    <w:p>
      <w:pPr>
        <w:pStyle w:val="TextBody"/>
        <w:bidi w:val="0"/>
        <w:spacing w:lineRule="auto" w:line="345" w:before="0" w:after="160"/>
        <w:jc w:val="left"/>
        <w:rPr>
          <w:rFonts w:ascii="Times New Roman;serif" w:hAnsi="Times New Roman;serif"/>
          <w:b w:val="false"/>
          <w:color w:val="231F20"/>
          <w:sz w:val="21"/>
        </w:rPr>
      </w:pPr>
      <w:r>
        <w:rPr>
          <w:rFonts w:ascii="Times New Roman;serif" w:hAnsi="Times New Roman;serif"/>
          <w:b w:val="false"/>
          <w:color w:val="231F20"/>
          <w:sz w:val="21"/>
        </w:rPr>
        <w:t>On the Termination Date, or at Bentley’s earlier request, you must return to Bentley and leave at its disposal all memoranda, notes, records, drawings, manuals, computer programs, documentation, diskettes, computer tapes, and other documents or media pertaining to the business of Bentley Company or your specific duties for Bentley, including all copies of such materials, that you obtained as a result of your employment at Bentley, other than your own compensation and benefits records, which you may maintain. You must also return to Bentley and leave at its disposal all materials involving any Confidential Information and Third-Party Information. This Section 4 is intended to apply to all materials made or compiled by you, as well as to all materials furnished to you by anyone else in connection with your employment by Bentley.</w:t>
      </w:r>
    </w:p>
    <w:p>
      <w:pPr>
        <w:pStyle w:val="TextBody"/>
        <w:bidi w:val="0"/>
        <w:spacing w:lineRule="auto" w:line="288" w:before="0" w:after="80"/>
        <w:ind w:left="0" w:right="0" w:hanging="270"/>
        <w:jc w:val="left"/>
        <w:rPr>
          <w:rFonts w:ascii="Times New Roman;serif" w:hAnsi="Times New Roman;serif"/>
          <w:b/>
          <w:color w:val="231F20"/>
          <w:sz w:val="21"/>
        </w:rPr>
      </w:pPr>
      <w:r>
        <w:rPr>
          <w:rFonts w:ascii="Times New Roman;serif" w:hAnsi="Times New Roman;serif"/>
          <w:b/>
          <w:color w:val="231F20"/>
          <w:sz w:val="21"/>
        </w:rPr>
        <w:t>Section 5–CLEARANCE PROCEDURE FOR PROPRIETARY RIGHTS NOT CLAIMED BY BENTLEY</w:t>
      </w:r>
    </w:p>
    <w:p>
      <w:pPr>
        <w:pStyle w:val="TextBody"/>
        <w:bidi w:val="0"/>
        <w:spacing w:lineRule="auto" w:line="345" w:before="0" w:after="140"/>
        <w:jc w:val="left"/>
        <w:rPr>
          <w:rFonts w:ascii="Times New Roman;serif" w:hAnsi="Times New Roman;serif"/>
          <w:b w:val="false"/>
          <w:color w:val="231F20"/>
          <w:sz w:val="21"/>
        </w:rPr>
      </w:pPr>
      <w:r>
        <w:rPr>
          <w:rFonts w:ascii="Times New Roman;serif" w:hAnsi="Times New Roman;serif"/>
          <w:b w:val="false"/>
          <w:color w:val="231F20"/>
          <w:sz w:val="21"/>
        </w:rPr>
        <w:t>If you ever wish to create or develop, on your own time and with our own resources, anything that may be considered Bentley Work Product (but to which you believe you should be entitled to the personal benefit of, you are required to follow the clearance procedure set forth below in order to ensure that Bentley has no claim to the proprietary rights that may arise.</w:t>
      </w:r>
    </w:p>
    <w:p>
      <w:pPr>
        <w:pStyle w:val="TextBody"/>
        <w:bidi w:val="0"/>
        <w:spacing w:lineRule="auto" w:line="345" w:before="0" w:after="120"/>
        <w:jc w:val="left"/>
        <w:rPr>
          <w:rFonts w:ascii="Times New Roman;serif" w:hAnsi="Times New Roman;serif"/>
          <w:b w:val="false"/>
          <w:color w:val="231F20"/>
          <w:sz w:val="21"/>
        </w:rPr>
      </w:pPr>
      <w:r>
        <w:rPr>
          <w:rFonts w:ascii="Times New Roman;serif" w:hAnsi="Times New Roman;serif"/>
          <w:b w:val="false"/>
          <w:color w:val="231F20"/>
          <w:sz w:val="21"/>
        </w:rPr>
        <w:t>Before you begin any development work on your own time, you must give Bentley advance notice of your plans and supply a description of the development under consideration. Unless otherwise agreed in a writing signed by Bentley prior to receipt, Bentley shall have no obligation of confidence with respect to such description. Bentley will determine, in good faith, within thirty (30) days after you have fully disclosed your plans to Bentley, whether the development is claimed by Bentley. If Bentley determines that it does not claim such development, you will be notified in writing and may retain ownership of the development to the extent of what has been disclosed to Bentley. You should submit for further clearance any significant improvement, modification, or adaptation so that it can be determined whether the improvement, modification, or adaptation relates to the business or interests of Bentley.</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45" w:before="0" w:after="160"/>
        <w:jc w:val="left"/>
        <w:rPr/>
      </w:pPr>
      <w:r>
        <w:rPr>
          <w:rFonts w:ascii="Times New Roman;serif" w:hAnsi="Times New Roman;serif"/>
          <w:b w:val="false"/>
          <w:color w:val="231F20"/>
          <w:sz w:val="21"/>
        </w:rPr>
        <w:t>Clearance under this procedure does not relieve you of the need to obtain the written consent of Bentley before engaging in business activities or rendering business, commercial, or professional services for the benefit of anyone other than Bentley, as required by Section</w:t>
      </w:r>
      <w:r>
        <w:rPr>
          <w:color w:val="000000"/>
        </w:rPr>
        <w:t xml:space="preserve"> </w:t>
      </w:r>
      <w:r>
        <w:rPr>
          <w:rFonts w:ascii="Times New Roman;serif" w:hAnsi="Times New Roman;serif"/>
          <w:b w:val="false"/>
          <w:color w:val="231F20"/>
          <w:sz w:val="21"/>
        </w:rPr>
        <w:t>1.1 of this Agreement.</w:t>
      </w:r>
    </w:p>
    <w:p>
      <w:pPr>
        <w:pStyle w:val="TextBody"/>
        <w:bidi w:val="0"/>
        <w:spacing w:lineRule="auto" w:line="288" w:before="0" w:after="80"/>
        <w:ind w:left="0" w:right="0" w:firstLine="180"/>
        <w:jc w:val="left"/>
        <w:rPr>
          <w:rFonts w:ascii="Times New Roman;serif" w:hAnsi="Times New Roman;serif"/>
          <w:b/>
          <w:color w:val="231F20"/>
          <w:sz w:val="21"/>
        </w:rPr>
      </w:pPr>
      <w:r>
        <w:rPr>
          <w:rFonts w:ascii="Times New Roman;serif" w:hAnsi="Times New Roman;serif"/>
          <w:b/>
          <w:color w:val="231F20"/>
          <w:sz w:val="21"/>
        </w:rPr>
        <w:t>Section 6–IMPLEMENTATION</w:t>
      </w:r>
    </w:p>
    <w:p>
      <w:pPr>
        <w:pStyle w:val="TextBody"/>
        <w:bidi w:val="0"/>
        <w:spacing w:lineRule="auto" w:line="345" w:before="0" w:after="140"/>
        <w:ind w:left="0" w:right="0" w:hanging="360"/>
        <w:jc w:val="left"/>
        <w:rPr/>
      </w:pPr>
      <w:r>
        <w:rPr>
          <w:rFonts w:ascii="Garamond;serif" w:hAnsi="Garamond;serif"/>
          <w:b/>
          <w:color w:val="231F20"/>
          <w:sz w:val="21"/>
        </w:rPr>
        <w:t>6.1</w:t>
      </w:r>
      <w:r>
        <w:rPr>
          <w:rFonts w:ascii="Times New Roman;serif" w:hAnsi="Times New Roman;serif"/>
          <w:b/>
          <w:color w:val="231F20"/>
          <w:sz w:val="21"/>
        </w:rPr>
        <w:t xml:space="preserve">Severability. </w:t>
      </w:r>
      <w:r>
        <w:rPr>
          <w:rFonts w:ascii="Times New Roman;serif" w:hAnsi="Times New Roman;serif"/>
          <w:b w:val="false"/>
          <w:color w:val="231F20"/>
          <w:sz w:val="21"/>
        </w:rPr>
        <w:t xml:space="preserve">The covenants in this Agreement shall be construed as covenants independent of one another and as obligations distinct from any other contract between you and Bentley. </w:t>
      </w:r>
      <w:r>
        <w:rPr>
          <w:rFonts w:ascii="Times New Roman;serif" w:hAnsi="Times New Roman;serif"/>
          <w:b w:val="false"/>
          <w:color w:val="000000"/>
          <w:sz w:val="21"/>
        </w:rPr>
        <w:t xml:space="preserve">If any provision, subsection, or section of this Agreement is found by any court to be void or unenforceable in whole or in part, this determination shall not affect the validity of the remainder of the Agreement, including any other provision, subsection, or section. </w:t>
      </w:r>
      <w:r>
        <w:rPr>
          <w:rFonts w:ascii="Times New Roman;serif" w:hAnsi="Times New Roman;serif"/>
          <w:b w:val="false"/>
          <w:color w:val="231F20"/>
          <w:sz w:val="21"/>
        </w:rPr>
        <w:t>Any claim that you may have against Bentley shall not constitute a defense to enforcement by Bentley of this Agreement.</w:t>
      </w:r>
    </w:p>
    <w:p>
      <w:pPr>
        <w:pStyle w:val="TextBody"/>
        <w:bidi w:val="0"/>
        <w:spacing w:lineRule="auto" w:line="345" w:before="0" w:after="140"/>
        <w:ind w:left="0" w:right="0" w:hanging="360"/>
        <w:jc w:val="left"/>
        <w:rPr/>
      </w:pPr>
      <w:r>
        <w:rPr>
          <w:rFonts w:ascii="Garamond;serif" w:hAnsi="Garamond;serif"/>
          <w:b/>
          <w:color w:val="231F20"/>
          <w:sz w:val="21"/>
        </w:rPr>
        <w:t>6.2</w:t>
      </w:r>
      <w:r>
        <w:rPr>
          <w:rFonts w:ascii="Times New Roman;serif" w:hAnsi="Times New Roman;serif"/>
          <w:b/>
          <w:color w:val="231F20"/>
          <w:sz w:val="21"/>
        </w:rPr>
        <w:t xml:space="preserve">Survival of Obligations. </w:t>
      </w:r>
      <w:r>
        <w:rPr>
          <w:rFonts w:ascii="Times New Roman;serif" w:hAnsi="Times New Roman;serif"/>
          <w:b w:val="false"/>
          <w:color w:val="231F20"/>
          <w:sz w:val="21"/>
        </w:rPr>
        <w:t>The covenants, representation and warranties made by you in this Agreement, other than the at-will employment provisions, including any documents incorporated therein by reference, shall survive termination of your employment with Bentley, regardless of who causes the termination and under what circumstances. This Agreement shall be unaffected by any change in position, duties, compensation, or other terms and conditions of your employment.</w:t>
      </w:r>
    </w:p>
    <w:p>
      <w:pPr>
        <w:pStyle w:val="TextBody"/>
        <w:bidi w:val="0"/>
        <w:spacing w:lineRule="auto" w:line="345" w:before="0" w:after="0"/>
        <w:ind w:left="0" w:right="0" w:hanging="360"/>
        <w:jc w:val="left"/>
        <w:rPr/>
      </w:pPr>
      <w:r>
        <w:rPr>
          <w:rFonts w:ascii="Garamond;serif" w:hAnsi="Garamond;serif"/>
          <w:b/>
          <w:color w:val="231F20"/>
          <w:sz w:val="21"/>
        </w:rPr>
        <w:t>6.3</w:t>
      </w:r>
      <w:r>
        <w:rPr>
          <w:rFonts w:ascii="Times New Roman;serif" w:hAnsi="Times New Roman;serif"/>
          <w:b/>
          <w:color w:val="231F20"/>
          <w:sz w:val="21"/>
        </w:rPr>
        <w:t xml:space="preserve">Specific Performance and Consent to Injunctive Relief. </w:t>
      </w:r>
      <w:r>
        <w:rPr>
          <w:rFonts w:ascii="Times New Roman;serif" w:hAnsi="Times New Roman;serif"/>
          <w:b w:val="false"/>
          <w:color w:val="231F20"/>
          <w:sz w:val="21"/>
        </w:rPr>
        <w:t xml:space="preserve">You acknowledge that Bentley may experience irreparable harm as a result of any threatened or actual breach of this Agreement by you and may be entitled to seek injunctive relief in addition to any relief to which it may be entitled under any other law. The faithful observance of all covenants in this Agreement is an essential condition to your employment, and Bentley is depending upon absolute compliance. </w:t>
      </w:r>
    </w:p>
    <w:p>
      <w:pPr>
        <w:pStyle w:val="TextBody"/>
        <w:bidi w:val="0"/>
        <w:spacing w:lineRule="auto" w:line="345" w:before="140" w:after="140"/>
        <w:jc w:val="left"/>
        <w:rPr>
          <w:rFonts w:ascii="Times New Roman;serif" w:hAnsi="Times New Roman;serif"/>
          <w:b w:val="false"/>
          <w:color w:val="231F20"/>
          <w:sz w:val="21"/>
        </w:rPr>
      </w:pPr>
      <w:r>
        <w:rPr>
          <w:rFonts w:ascii="Times New Roman;serif" w:hAnsi="Times New Roman;serif"/>
          <w:b w:val="false"/>
          <w:color w:val="231F20"/>
          <w:sz w:val="21"/>
        </w:rPr>
        <w:t xml:space="preserve">This Agreement is intended to protect the proprietary rights of Bentley in many important ways. </w:t>
      </w:r>
    </w:p>
    <w:p>
      <w:pPr>
        <w:pStyle w:val="TextBody"/>
        <w:bidi w:val="0"/>
        <w:spacing w:lineRule="auto" w:line="345" w:before="0" w:after="140"/>
        <w:ind w:left="0" w:right="0" w:hanging="317"/>
        <w:jc w:val="left"/>
        <w:rPr/>
      </w:pPr>
      <w:r>
        <w:rPr>
          <w:rFonts w:ascii="Garamond;serif" w:hAnsi="Garamond;serif"/>
          <w:b/>
          <w:color w:val="231F20"/>
          <w:sz w:val="21"/>
        </w:rPr>
        <w:t>6.4</w:t>
      </w:r>
      <w:r>
        <w:rPr>
          <w:rFonts w:ascii="Times New Roman;serif" w:hAnsi="Times New Roman;serif"/>
          <w:b/>
          <w:color w:val="231F20"/>
          <w:sz w:val="21"/>
        </w:rPr>
        <w:t xml:space="preserve">Notices. </w:t>
      </w:r>
      <w:r>
        <w:rPr>
          <w:rFonts w:ascii="Times New Roman;serif" w:hAnsi="Times New Roman;serif"/>
          <w:b w:val="false"/>
          <w:color w:val="231F20"/>
          <w:sz w:val="21"/>
        </w:rPr>
        <w:t xml:space="preserve">All notices required under this Agreement shall be made in writing and shall be deemed given when: (1) delivered in person; (2) deposited in the U.S. mail, first class, with proper postage prepaid and properly addressed; or (3) sent through Bentley’s interoffice </w:t>
      </w:r>
    </w:p>
    <w:p>
      <w:pPr>
        <w:pStyle w:val="TextBody"/>
        <w:bidi w:val="0"/>
        <w:spacing w:lineRule="auto" w:line="345" w:before="0" w:after="140"/>
        <w:jc w:val="left"/>
        <w:rPr>
          <w:rFonts w:ascii="Times New Roman;serif" w:hAnsi="Times New Roman;serif"/>
          <w:b w:val="false"/>
          <w:color w:val="231F20"/>
          <w:sz w:val="21"/>
        </w:rPr>
      </w:pPr>
      <w:r>
        <w:rPr>
          <w:rFonts w:ascii="Times New Roman;serif" w:hAnsi="Times New Roman;serif"/>
          <w:b w:val="false"/>
          <w:color w:val="231F20"/>
          <w:sz w:val="21"/>
        </w:rPr>
        <w:t>delivery service or Bentley’s electronic mail system, if you are still employed by Bentley at the time.</w:t>
      </w:r>
    </w:p>
    <w:p>
      <w:pPr>
        <w:pStyle w:val="TextBody"/>
        <w:bidi w:val="0"/>
        <w:spacing w:lineRule="auto" w:line="345" w:before="0" w:after="140"/>
        <w:ind w:left="0" w:right="0" w:hanging="310"/>
        <w:jc w:val="left"/>
        <w:rPr/>
      </w:pPr>
      <w:r>
        <w:rPr>
          <w:rFonts w:ascii="Garamond;serif" w:hAnsi="Garamond;serif"/>
          <w:b/>
          <w:color w:val="231F20"/>
          <w:sz w:val="21"/>
        </w:rPr>
        <w:t>6.5</w:t>
      </w:r>
      <w:r>
        <w:rPr>
          <w:rFonts w:ascii="Times New Roman;serif" w:hAnsi="Times New Roman;serif"/>
          <w:b/>
          <w:color w:val="231F20"/>
          <w:sz w:val="21"/>
        </w:rPr>
        <w:t xml:space="preserve">Related Parties. </w:t>
      </w:r>
      <w:r>
        <w:rPr>
          <w:rFonts w:ascii="Times New Roman;serif" w:hAnsi="Times New Roman;serif"/>
          <w:b w:val="false"/>
          <w:color w:val="231F20"/>
          <w:sz w:val="21"/>
        </w:rPr>
        <w:t>This Agreement shall inure to the benefit of, and be binding upon, Bentley and Bentley Company and its and their subsidiaries and affiliates, together with its successors and assigns, and you, together with your executor, administrator, personal representative, heirs, and legatees. Bentley may assign this Agreement at its sole discretion without your prior approval. You may not assign this Agreement or any provision herein.</w:t>
      </w:r>
    </w:p>
    <w:p>
      <w:pPr>
        <w:pStyle w:val="TextBody"/>
        <w:bidi w:val="0"/>
        <w:spacing w:lineRule="auto" w:line="345" w:before="0" w:after="0"/>
        <w:ind w:left="0" w:right="0" w:hanging="310"/>
        <w:jc w:val="left"/>
        <w:rPr/>
      </w:pPr>
      <w:r>
        <w:rPr>
          <w:rFonts w:ascii="Garamond;serif" w:hAnsi="Garamond;serif"/>
          <w:b/>
          <w:color w:val="231F20"/>
          <w:sz w:val="21"/>
        </w:rPr>
        <w:t>6.6</w:t>
      </w:r>
      <w:r>
        <w:rPr>
          <w:rFonts w:ascii="Times New Roman;serif" w:hAnsi="Times New Roman;serif"/>
          <w:b/>
          <w:color w:val="231F20"/>
          <w:sz w:val="21"/>
        </w:rPr>
        <w:t xml:space="preserve">Merger. </w:t>
      </w:r>
      <w:r>
        <w:rPr>
          <w:rFonts w:ascii="Times New Roman;serif" w:hAnsi="Times New Roman;serif"/>
          <w:b w:val="false"/>
          <w:color w:val="231F20"/>
          <w:sz w:val="21"/>
        </w:rPr>
        <w:t xml:space="preserve">This Agreement merges and supersedes all prior and contemporaneous agreements, undertakings, covenants, or conditions, whether oral or written, express or implied, to the extent that they contradict or conflict with the terms and conditions hereof. This Agreement is not intended to modify or impair the effectiveness of the general rules and policies which Bentley may announce from time to time. This Agreement may not be changed or modified, except by a writing signed by you and Bentley (or as otherwise permitted herein). </w:t>
      </w:r>
    </w:p>
    <w:p>
      <w:pPr>
        <w:pStyle w:val="TextBody"/>
        <w:bidi w:val="0"/>
        <w:spacing w:lineRule="auto" w:line="345" w:before="140" w:after="140"/>
        <w:ind w:left="0" w:right="0" w:hanging="310"/>
        <w:jc w:val="left"/>
        <w:rPr/>
      </w:pPr>
      <w:r>
        <w:rPr>
          <w:rFonts w:ascii="Garamond;serif" w:hAnsi="Garamond;serif"/>
          <w:b/>
          <w:color w:val="231F20"/>
          <w:sz w:val="21"/>
        </w:rPr>
        <w:t>6.7</w:t>
      </w:r>
      <w:r>
        <w:rPr>
          <w:rFonts w:ascii="Times New Roman;serif" w:hAnsi="Times New Roman;serif"/>
          <w:b/>
          <w:color w:val="231F20"/>
          <w:sz w:val="21"/>
        </w:rPr>
        <w:t xml:space="preserve">Choice of Law. </w:t>
      </w:r>
      <w:r>
        <w:rPr>
          <w:rFonts w:ascii="Times New Roman;serif" w:hAnsi="Times New Roman;serif"/>
          <w:b w:val="false"/>
          <w:color w:val="231F20"/>
          <w:sz w:val="21"/>
        </w:rPr>
        <w:t>This Agreement shall be governed by and enforced under the laws of the last state in which you primarily resided when you last worked for Bentley, and whose courts, state and federal, shall have exclusive jurisdiction to hear all disputes surrounding this Agreement.</w:t>
      </w:r>
    </w:p>
    <w:p>
      <w:pPr>
        <w:pStyle w:val="TextBody"/>
        <w:bidi w:val="0"/>
        <w:spacing w:lineRule="auto" w:line="345" w:before="0" w:after="140"/>
        <w:ind w:left="0" w:right="0" w:hanging="310"/>
        <w:jc w:val="left"/>
        <w:rPr/>
      </w:pPr>
      <w:r>
        <w:rPr>
          <w:rFonts w:ascii="Garamond;serif" w:hAnsi="Garamond;serif"/>
          <w:b/>
          <w:color w:val="231F20"/>
          <w:sz w:val="21"/>
        </w:rPr>
        <w:t>6.8</w:t>
      </w:r>
      <w:r>
        <w:rPr>
          <w:rFonts w:ascii="Times New Roman;serif" w:hAnsi="Times New Roman;serif"/>
          <w:b/>
          <w:color w:val="231F20"/>
          <w:sz w:val="21"/>
        </w:rPr>
        <w:t xml:space="preserve">Code of Conduct. </w:t>
      </w:r>
      <w:r>
        <w:rPr>
          <w:rFonts w:ascii="Times New Roman;serif" w:hAnsi="Times New Roman;serif"/>
          <w:b w:val="false"/>
          <w:color w:val="231F20"/>
          <w:sz w:val="21"/>
        </w:rPr>
        <w:t>By signing this Agreement, you hereby acknowledge that you have been provided access to the Bentley Code of Conduct and agree to be bound by the terms and conditions of the Bentley Code of Conduct as updated from time to time in the sole discretion of Bentley. You are also required to acknowledge your acceptance of the Code of Conduct on the dedicated web page.</w:t>
      </w:r>
    </w:p>
    <w:p>
      <w:pPr>
        <w:pStyle w:val="TextBody"/>
        <w:bidi w:val="0"/>
        <w:spacing w:lineRule="auto" w:line="345" w:before="0" w:after="0"/>
        <w:ind w:left="0" w:right="0" w:hanging="310"/>
        <w:jc w:val="left"/>
        <w:rPr/>
      </w:pPr>
      <w:r>
        <w:rPr>
          <w:rFonts w:ascii="Garamond;serif" w:hAnsi="Garamond;serif"/>
          <w:b/>
          <w:color w:val="231F20"/>
          <w:sz w:val="21"/>
        </w:rPr>
        <w:t>6.9</w:t>
      </w:r>
      <w:r>
        <w:rPr>
          <w:rFonts w:ascii="Times New Roman;serif" w:hAnsi="Times New Roman;serif"/>
          <w:b/>
          <w:color w:val="231F20"/>
          <w:sz w:val="21"/>
        </w:rPr>
        <w:t>Electronic Signatures.</w:t>
      </w:r>
      <w:r>
        <w:rPr>
          <w:color w:val="231F20"/>
        </w:rPr>
        <w:t xml:space="preserve"> </w:t>
      </w:r>
      <w:r>
        <w:rPr>
          <w:rFonts w:ascii="Times New Roman;serif" w:hAnsi="Times New Roman;serif"/>
          <w:b w:val="false"/>
          <w:color w:val="000000"/>
          <w:sz w:val="21"/>
        </w:rPr>
        <w:t>The parties agree that your electronic signature included in this Agreement is intended to authenticate this writing and to have the same force and effect as an original signature by hand in ink. You may decline the use of an electronic signature and instead elect to sign a paper copy of this Agreement by hand in ink. Bentley assents to and accepts this Agreement upon you providing your signature either electronically or by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276"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rFonts w:ascii="Times New Roman;serif" w:hAnsi="Times New Roman;serif"/>
          <w:b w:val="false"/>
          <w:color w:val="231F20"/>
          <w:sz w:val="22"/>
        </w:rPr>
        <w:t xml:space="preserve">IN WITNESS WHEREOF, you, as an employee of Bentley, have entered and executed this Agreement, and Bentley has accepted your undertaking. You are directed to </w:t>
      </w:r>
      <w:r>
        <w:rPr>
          <w:rFonts w:ascii="Times New Roman;serif" w:hAnsi="Times New Roman;serif"/>
          <w:b w:val="false"/>
          <w:color w:val="231F20"/>
          <w:sz w:val="22"/>
          <w:u w:val="single"/>
        </w:rPr>
        <w:t>Exhibit A</w:t>
      </w:r>
      <w:r>
        <w:rPr>
          <w:rFonts w:ascii="Times New Roman;serif" w:hAnsi="Times New Roman;serif"/>
          <w:b w:val="false"/>
          <w:color w:val="231F20"/>
          <w:sz w:val="22"/>
        </w:rPr>
        <w:t xml:space="preserve">, which is incorporated herein by reference, for state-specific modifications that may relate to you. </w:t>
      </w:r>
    </w:p>
    <w:p>
      <w:pPr>
        <w:pStyle w:val="TextBody"/>
        <w:bidi w:val="0"/>
        <w:spacing w:before="9" w:after="283"/>
        <w:jc w:val="left"/>
        <w:rPr/>
      </w:pPr>
      <w:r>
        <w:rPr/>
      </w:r>
    </w:p>
    <w:tbl>
      <w:tblPr>
        <w:tblW w:w="5409" w:type="dxa"/>
        <w:jc w:val="left"/>
        <w:tblInd w:w="0" w:type="dxa"/>
        <w:tblLayout w:type="fixed"/>
        <w:tblCellMar>
          <w:top w:w="28" w:type="dxa"/>
          <w:left w:w="28" w:type="dxa"/>
          <w:bottom w:w="28" w:type="dxa"/>
          <w:right w:w="28" w:type="dxa"/>
        </w:tblCellMar>
      </w:tblPr>
      <w:tblGrid>
        <w:gridCol w:w="640"/>
        <w:gridCol w:w="563"/>
        <w:gridCol w:w="566"/>
        <w:gridCol w:w="454"/>
        <w:gridCol w:w="454"/>
        <w:gridCol w:w="457"/>
        <w:gridCol w:w="109"/>
        <w:gridCol w:w="109"/>
        <w:gridCol w:w="109"/>
        <w:gridCol w:w="314"/>
        <w:gridCol w:w="314"/>
        <w:gridCol w:w="316"/>
        <w:gridCol w:w="293"/>
        <w:gridCol w:w="293"/>
        <w:gridCol w:w="418"/>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James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Employee Name:</w:t>
            </w:r>
          </w:p>
        </w:tc>
        <w:tc>
          <w:tcPr>
            <w:tcW w:w="1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James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[omitted]</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36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12/24/2024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88"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State-Specific Modifications</w:t>
      </w:r>
    </w:p>
    <w:p>
      <w:pPr>
        <w:pStyle w:val="TextBody"/>
        <w:bidi w:val="0"/>
        <w:spacing w:lineRule="auto" w:line="288" w:before="0" w:after="240"/>
        <w:ind w:left="0" w:right="0" w:firstLine="600"/>
        <w:jc w:val="left"/>
        <w:rPr>
          <w:rFonts w:ascii="Times New Roman;serif" w:hAnsi="Times New Roman;serif"/>
          <w:b w:val="false"/>
          <w:color w:val="000000"/>
          <w:sz w:val="22"/>
        </w:rPr>
      </w:pPr>
      <w:r>
        <w:rPr>
          <w:rFonts w:ascii="Times New Roman;serif" w:hAnsi="Times New Roman;serif"/>
          <w:b w:val="false"/>
          <w:color w:val="000000"/>
          <w:sz w:val="22"/>
        </w:rPr>
        <w:t>The following shall apply to modify provisions of this Agreement, where applicable, based upon the controlling law pursuant to Section 6.7 or as expressly described below:</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California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California law applies to this Agreement, then the following applies to you: (a) nothing in the Agreement shall be construed to prohibit you from disclosing information about unlawful acts in the workplace, such as harassment or discrimination or any other conduct that you have reason to believe is unlawful; and (b) the invention assignment obligations in this Agreement shall be limited so as to comply with Cal. Lab. Code, § 2870, which provides that: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This notice shall satisfy Cal. Lab. Code §§ 2870-2872. </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Colorado</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If Colorado law applies to this Agreement, then the following applies to you: (a) nothing in this Agreement prohibits you from disclosing information about workplace health and safety practices or hazards or requires you to abide by a workplace policy that would limit or prevent such disclosures; (b) further, nothing in this Agreement prohibits an employee or prospective employee from disclosing or discussing, either orally or in writing, any alleged discriminatory or unfair employment practice; and (c) the Confidential Information restrictions in this Agreement do not prohibit disclosure of information that arises from the worker’s general training, knowledge, skill, or experience, whether gained on the job or otherwise, information that is readily ascertainable to the public, or information that a worker otherwise has a right to disclose as legally protected conduct.</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Delaware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Delaware law applies to this Agreement, then the following applies to you: The invention assignment obligations in the Agreement “shall not apply to an invention that the employee developed entirely on the employee’s own time without using the employer’s equipment, supplies, facility or trade secret information, except for those inventions that: (1) relate to the employer’s business or actual or demonstrably anticipated research or development; or (2) result from any work performed by the employee for the employer. To the extent a provision in an employment agreement purports to apply to the type of invention described, it is against the public policy of this State and is unenforceable. An employer may not require a provision of an employment agreement made unenforceable under this section as a condition of employment or continued employment.” 64 Del. Laws, c. 257, § 1; 70 Del. Laws, c. 186, § 1.</w:t>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 xml:space="preserve">District of Columbia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you spend 50% or more of your work time for Bentley in the District of Columbia or if you are based in the District of Columbia and you spend a substantial amount of your work time for Bentley in the District of Columbia (and not more than 50% of your work time for Bentley in another jurisdiction), then the following applies to you: Nothing in this Agreement or any Bentley policy restricts you from having additional employment or contract work in addition to your work with Bentley so long as the employment or work does not violate your duty of loyalty or create a conflict of interest. You shall notify Bentley’s Human Resources Department prior to accepting any such additional employment or contract work so Bentley may determine whether such employment or work violates or would likely violate this paragraph.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2"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2"/>
        </w:rPr>
      </w:pPr>
      <w:r>
        <w:rPr>
          <w:rFonts w:ascii="Times New Roman;serif" w:hAnsi="Times New Roman;serif"/>
          <w:b/>
          <w:color w:val="000000"/>
          <w:sz w:val="22"/>
        </w:rPr>
        <w:t>Georgia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If Georgia law applies to this Agreement, then the following applies to you: The definition of “Confidential Information” shall not mean data or information (a) which has been voluntarily disclosed to the public by Bentley, except where such public disclosure has been made by you without authorization from Bentley, (b) which has been independently developed and disclosed by others, or (c) which has otherwise entered the public domain through lawful means.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Illinois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Illinois law applies to this Agreement, then the following applies to you: The invention assignment obligations in this Agreement shall be modified so as to comply with Illinois Statutes Chapter 765, Property § 1060/2 (the “Illinois Inventions Act”), and will not require the assignment of your rights in an invention for which no equipment, supplies, facilities, or trade secret information of Bentley was used and which was developed entirely on your own time, unless (a) the invention relates (i) to the business of Bentley, or (ii) to Bentley’s actual or demonstrably anticipated research or development, or (b) the invention results from any work performed by you for Bentley. This notice satisfies 765 ILCS 1060/1-3 of the Illinois Inventions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Kansas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Kansas law applies to this Agreement, then the following applies to you: The invention assignment obligations in this Agreement will not require the assignment of your rights in an invention for which no equipment, supplies, facility or trade secret information of Bentley was used and which was developed entirely on your own time, unless: (1) the invention relates directly to the business of Bentley or to Bentley’s actual or demonstrably anticipated research or development; or (2) the invention results from any work performed by you for Bentley. This notice satisfies §(2)(c) of Kansas Statutes Chapter 44, Labor and Industries § 44-130 (the “Kansas Inventions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Minnesota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Minnesota law applies to this Agreement, then the following applies to you: The invention assignment obligations in this Agreement will not require the assignment of your rights in an invention for which no equipment, supplies, facility or trade secret information of Bentley was used and which was developed entirely on your own time, and (1) which does not relate (a) directly to the business of Bentley or (b) to Bentley’s actual or demonstrably anticipated research or development, or (2) which does not result from any work performed by you for Bentley. This notice satisfies Subd. 3 of Minn. Stat. 13A §181.78 (the “Minnesota Inventions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Montana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Montana law applies to this Agreement, then the following applies to you: The provisions of this Agreement regarding at-will employment shall not apply to the extent they conflict with Montana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New Jersey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If New Jersey law applies to this Agreement, then the following applies to you: The invention assignment obligations in the Agreement shall be modified so as to comply with New Jersey Statutes Title 34. Labor and Workmen’s Compensation 34 § 1B-265 (NJ Rev Stat § 34:1B-265 (2017)) and will not require the assignment of your rights in an invention for which no equipment, supplies, facility or trade secret information of Bentley was used and which was developed entirely on your own time, and (1) which does not relate (a) directly to the business of Bentley or (b) to Bentley’s actual or demonstrably anticipated research or development, or (2) which does not result from any work performed by you for Bentley.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New York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New York law applies to this Agreement, then the following applies to you: The invention assignment obligations in this Agreement shall be revised to comply with New York Labor Law Section 203-f and shall exclude any invention that you develop entirely on your own time without using Bentley’s equipment, facilities or trade secrets, except for those inventions that relate at the time of conception or reduction to practice of the invention to Bentley’s business or result from any work performed by you for Bentley.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North Carolina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North Carolina law applies to this Agreement, then the following applies to you: The invention assignment obligations in the Agreement “shall not apply to an invention that the employee developed entirely on [their] own time without using the employer's equipment, supplies, facility or trade secret information except for those inventions that (i) relate to the employer's business or actual or demonstrably anticipated research or development, or (ii) result from any work performed by the employee for the employer. To the extent a provision in an employment agreement purports to apply to the type of invention described, it is against the public policy of this State and is unenforceable. The employee shall bear the burden of proof in establishing that his invention qualifies under this section.” (1981, c. 488, s.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Utah</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If Utah law applies to this Agreement, then the following applies to you: The invention assignment obligations in this Agreement shall not require an assignment that would be contrary to Utah Code §34-39-3 which provides that: </w:t>
      </w:r>
    </w:p>
    <w:p>
      <w:pPr>
        <w:pStyle w:val="TextBody"/>
        <w:bidi w:val="0"/>
        <w:spacing w:lineRule="auto" w:line="288" w:before="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    An employment agreement between an employee and their employer is not enforceable against the employee to the extent that the agreement requires the employee to assign or license, or to offer to assign or license, to the employer any right or intellectual property in or to an invention that is: (a) created by the employee entirely on their own time; and (b) not an employment invention.</w:t>
      </w:r>
    </w:p>
    <w:p>
      <w:pPr>
        <w:pStyle w:val="TextBody"/>
        <w:bidi w:val="0"/>
        <w:spacing w:lineRule="auto" w:line="288" w:before="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    An agreement between an employee and their employer may require the employee to assign or license, or to offer to assign or license, to their employer any or all of their rights and intellectual property in or to an employment invention.</w:t>
      </w:r>
    </w:p>
    <w:p>
      <w:pPr>
        <w:pStyle w:val="TextBody"/>
        <w:bidi w:val="0"/>
        <w:spacing w:lineRule="auto" w:line="288" w:before="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    Subsection (1) does not apply to: (a) any right, intellectual property or invention that is required by law or by contract between the employer and the United States government or a state or local government to be assigned or licensed to the United States; or (b) an agreement between an employee and their employer which is not an employment agreement.</w:t>
      </w:r>
    </w:p>
    <w:p>
      <w:pPr>
        <w:pStyle w:val="TextBody"/>
        <w:bidi w:val="0"/>
        <w:spacing w:lineRule="auto" w:line="288" w:before="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    Notwithstanding Subsection (1), an agreement is enforceable under Subsection (1) if the employee’s employment or continuation of employment is not conditioned on the employee’s acceptance of such agreement and the employee receives a consideration under such agreement which is not compensation for employment.</w:t>
      </w:r>
    </w:p>
    <w:p>
      <w:pPr>
        <w:pStyle w:val="TextBody"/>
        <w:bidi w:val="0"/>
        <w:spacing w:lineRule="auto" w:line="288" w:before="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    Employment of the employee or the continuation of their employment is sufficient consideration to support the enforceability of an agreement under Subsection (2) whether or not the agreement recites such consideration.</w:t>
      </w:r>
    </w:p>
    <w:p>
      <w:pPr>
        <w:pStyle w:val="TextBody"/>
        <w:bidi w:val="0"/>
        <w:spacing w:lineRule="auto" w:line="288" w:before="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    An employer may require their employees to agree to an agreement within the scope of Subsection (2) as a condition of employment or the continuation of employment.</w:t>
      </w:r>
    </w:p>
    <w:p>
      <w:pPr>
        <w:pStyle w:val="TextBody"/>
        <w:bidi w:val="0"/>
        <w:spacing w:lineRule="auto" w:line="288" w:before="0" w:after="1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    An employer may not require their employees to agree to anything unenforceable under Subsection (1) as a condition of employment or the continuation of employment.</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(8)    Nothing in this chapter invalidates or renders unenforceable any employment agreement or provisions of an employment agreement unrelated to employment inventions.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Washington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If Washington law applies to this Agreement, then the following applies to you: (a) nothing in this Agreement prohibits you from disclosing or discussing conduct you reasonably believe to be illegal discrimination, illegal harassment, illegal retaliation, a wage and hour violation, or sexual assault, or that is recognized as against a clear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mandate of public policy, or the existence of a settlement involving any such event or conduct; and (b) the invention assignment obligations in this Agreement shall be modified so as to comply with Wash. Rev. Code, Title 49 RCW: Labor Regs, Chptr 49.44.140 (the “Washington Inventions Act”) and will not require the assignment of your rights in an invention for which no equipment, supplies, facility, or trade secret information of Bentley were used and which was developed entirely on your own time, unless (a) the invention relates (i) directly to the business of Bentley, or (ii) to Bentley’s actual or demonstrably anticipated research or development, or (b) the invention results from any work performed by you for Bentley. This notice satisfies § (3) of the Washington Inventions Act.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Bentley Systems, Incorporated 2020 Omnibus Incentive Plan (as amended):</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https://www.sec.gov/Archives/edgar/data/1031308/000110465920108913/tm2031809d1_ex10-1.htm</w:t>
      </w:r>
    </w:p>
    <w:p>
      <w:pPr>
        <w:pStyle w:val="TextBody"/>
        <w:bidi w:val="0"/>
        <w:spacing w:lineRule="auto" w:line="288" w:before="0" w:after="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https://www.sec.gov/Archives/edgar/data/1031308/000162828022004474/exhibit1010-amendmentno120.htm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Change in Control Policy: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FF"/>
          <w:sz w:val="24"/>
          <w:u w:val="single"/>
        </w:rPr>
        <w:t>https://www.sec.gov/ix?doc=/Archives/edgar/data/0001031308/000162828023005568/bsy-20221231.htm</w:t>
      </w:r>
      <w:r>
        <w:rPr>
          <w:color w:val="000000"/>
        </w:rPr>
        <w:t xml:space="preserve"> </w:t>
      </w:r>
      <w:r>
        <w:rPr>
          <w:rFonts w:ascii="Times New Roman;serif" w:hAnsi="Times New Roman;serif"/>
          <w:b w:val="false"/>
          <w:color w:val="000000"/>
          <w:sz w:val="24"/>
        </w:rPr>
        <w:t xml:space="preserve">(within Item 9B)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Career Stock Program: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FF"/>
          <w:sz w:val="24"/>
          <w:u w:val="single"/>
        </w:rPr>
        <w:t>https://www.sec.gov/ix?doc=/Archives/edgar/data/0001031308/000110465924076289/tm2418463d1_8ka.htm</w:t>
      </w:r>
      <w:r>
        <w:rPr>
          <w:color w:val="000000"/>
        </w:rPr>
        <w:t xml:space="preserve"> </w:t>
      </w:r>
      <w:r>
        <w:rPr>
          <w:rFonts w:ascii="Times New Roman;serif" w:hAnsi="Times New Roman;serif"/>
          <w:b w:val="false"/>
          <w:color w:val="000000"/>
          <w:sz w:val="24"/>
        </w:rPr>
        <w:t xml:space="preserve">(within Item 5.02)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Bentley Systems, Incorporated Severance Policy for Key Executives:</w:t>
      </w:r>
      <w:r>
        <w:rPr>
          <w:color w:val="000000"/>
        </w:rPr>
        <w:t xml:space="preserve">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FF"/>
          <w:sz w:val="24"/>
          <w:u w:val="single"/>
        </w:rPr>
        <w:t>https://www.sec.gov/ix?doc=/Archives/edgar/data/0001031308/000110465924076289/tm2418463d1_8ka.htm</w:t>
      </w:r>
      <w:r>
        <w:rPr>
          <w:color w:val="000000"/>
        </w:rPr>
        <w:t xml:space="preserve"> </w:t>
      </w:r>
      <w:r>
        <w:rPr>
          <w:rFonts w:ascii="Times New Roman;serif" w:hAnsi="Times New Roman;serif"/>
          <w:b w:val="false"/>
          <w:color w:val="000000"/>
          <w:sz w:val="24"/>
        </w:rPr>
        <w:t>(Included as Exhibit 10.1)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21</w:t>
      </w:r>
    </w:p>
    <w:p>
      <w:pPr>
        <w:pStyle w:val="TextBody"/>
        <w:bidi w:val="0"/>
        <w:spacing w:before="0" w:after="0"/>
        <w:jc w:val="center"/>
        <w:rPr/>
      </w:pPr>
      <w:r>
        <w:rPr/>
      </w:r>
    </w:p>
    <w:p>
      <w:pPr>
        <w:pStyle w:val="TextBody"/>
        <w:bidi w:val="0"/>
        <w:spacing w:lineRule="auto" w:line="288" w:before="1" w:after="120"/>
        <w:jc w:val="center"/>
        <w:rPr>
          <w:rFonts w:ascii="Times New Roman;serif" w:hAnsi="Times New Roman;serif"/>
          <w:b/>
          <w:color w:val="000000"/>
          <w:sz w:val="20"/>
        </w:rPr>
      </w:pPr>
      <w:r>
        <w:rPr>
          <w:rFonts w:ascii="Times New Roman;serif" w:hAnsi="Times New Roman;serif"/>
          <w:b/>
          <w:color w:val="000000"/>
          <w:sz w:val="20"/>
        </w:rPr>
        <w:t>SUBSIDIARIES OF BENTLEY SYSTEMS, INCORPORATED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 Delaware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before="0" w:after="0"/>
        <w:jc w:val="center"/>
        <w:rPr/>
      </w:pPr>
      <w:r>
        <w:rPr/>
      </w:r>
    </w:p>
    <w:tbl>
      <w:tblPr>
        <w:tblW w:w="9446" w:type="dxa"/>
        <w:jc w:val="center"/>
        <w:tblInd w:w="0" w:type="dxa"/>
        <w:tblLayout w:type="fixed"/>
        <w:tblCellMar>
          <w:top w:w="28" w:type="dxa"/>
          <w:left w:w="28" w:type="dxa"/>
          <w:bottom w:w="28" w:type="dxa"/>
          <w:right w:w="28" w:type="dxa"/>
        </w:tblCellMar>
      </w:tblPr>
      <w:tblGrid>
        <w:gridCol w:w="2352"/>
        <w:gridCol w:w="2068"/>
        <w:gridCol w:w="2075"/>
        <w:gridCol w:w="109"/>
        <w:gridCol w:w="109"/>
        <w:gridCol w:w="109"/>
        <w:gridCol w:w="767"/>
        <w:gridCol w:w="767"/>
        <w:gridCol w:w="1090"/>
      </w:tblGrid>
      <w:tr>
        <w:trPr/>
        <w:tc>
          <w:tcPr>
            <w:tcW w:w="235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6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 Organization</w:t>
            </w:r>
          </w:p>
        </w:tc>
      </w:tr>
      <w:tr>
        <w:trPr/>
        <w:tc>
          <w:tcPr>
            <w:tcW w:w="6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AarhusGeosoftware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ARGOS.IO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Engineering Software Systems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Engineering Software Systems (Shanghai) Co. Ltd. - Dalian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Bentley Engineering Software Systems (Shanghai) Co., Limited - Xi’an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Engineering Software Systems (Shanghai) Co., Ltd. - Beijing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Software International,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Software Solutions Philippines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Software,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(Beijing)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(Beijing) Co., Ltd - Guangzhou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(New Zealand)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Aviation,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Capital,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Coop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CR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de Mexico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Europe B.V. Filialas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Lithuania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Europe B.V. - Dubai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Dubai</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Hong Kong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Iberica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Iceland ehf.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Iceland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International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International Limited - Portuguese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Portugal</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International Limited - Slovakia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Slovakia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703"/>
        <w:gridCol w:w="2361"/>
        <w:gridCol w:w="2369"/>
        <w:gridCol w:w="109"/>
        <w:gridCol w:w="109"/>
        <w:gridCol w:w="109"/>
        <w:gridCol w:w="714"/>
        <w:gridCol w:w="714"/>
        <w:gridCol w:w="1017"/>
      </w:tblGrid>
      <w:tr>
        <w:trPr/>
        <w:tc>
          <w:tcPr>
            <w:tcW w:w="270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7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 Organization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International Limited - Saudi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Kazakhstan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Kazakhstan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Korea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Pakistan (Pvt.)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Pakistan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Polska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Romania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Romania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Russia (OOO)*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Russia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Scandinavia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Scandinavia NUF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Software Solutions LLC Turkey (Bentley Systems Yazılım Çözümleri Limited Şirketi)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South Africa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Incorporated, 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Blyncsy,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BSI Holding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BSI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BSI Holdings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BSI International Holdings Coöperatief 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Cadventure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Cadventure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Cesium 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Africa Holdings Proprietary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Netherlands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Polska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Sonata Proprietary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Botswana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South Africa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South Africa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UK Group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Ukraine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Ukraine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16" w:type="dxa"/>
        <w:jc w:val="center"/>
        <w:tblInd w:w="0" w:type="dxa"/>
        <w:tblLayout w:type="fixed"/>
        <w:tblCellMar>
          <w:top w:w="28" w:type="dxa"/>
          <w:left w:w="28" w:type="dxa"/>
          <w:bottom w:w="28" w:type="dxa"/>
          <w:right w:w="28" w:type="dxa"/>
        </w:tblCellMar>
      </w:tblPr>
      <w:tblGrid>
        <w:gridCol w:w="1254"/>
        <w:gridCol w:w="1104"/>
        <w:gridCol w:w="1107"/>
        <w:gridCol w:w="109"/>
        <w:gridCol w:w="109"/>
        <w:gridCol w:w="109"/>
        <w:gridCol w:w="767"/>
        <w:gridCol w:w="767"/>
        <w:gridCol w:w="1090"/>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3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 Organization</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Cohesive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E7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Ennova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E-ON Software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Geosoft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Geosoft USA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Geosoft USA Research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NXTEC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Oxplus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Plaxinvest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Plaxis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Netherlands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Line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PT Cohesive Indonesia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QG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Chile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Holdings New Zealand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Holdings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Peru S.A.C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South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Seequent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Talon Aerolytics (Holding),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Talon Aerolytics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Talon Data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Inactive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(No. 333-249004) on Form S</w:t>
        <w:noBreakHyphen/>
        <w:t>8 of our report dated February 26, 2026, with respect to the consolidated financial statements of Bentley Systems, Incorporated and the effectiveness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Nicholas H. Cumins,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w:t>
        <w:noBreakHyphen/>
        <w:t>K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Werner Andre,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w:t>
        <w:noBreakHyphen/>
        <w:t>K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Bentley Systems, Incorporated (the “Company”) on Form 10</w:t>
        <w:noBreakHyphen/>
        <w:t>K for the year ended December 31, 2025,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031308/000103130825000002/bsy-20241231.htm" TargetMode="External"/><Relationship Id="rId5" Type="http://schemas.openxmlformats.org/officeDocument/2006/relationships/hyperlink" Target="https://www.sec.gov/Archives/edgar/data/1031308/000110465920108913/tm2031809d1_ex3-1.htm" TargetMode="External"/><Relationship Id="rId6" Type="http://schemas.openxmlformats.org/officeDocument/2006/relationships/hyperlink" Target="https://www.sec.gov/Archives/edgar/data/1031308/000110465920108913/tm2031809d1_ex3-2.htm" TargetMode="External"/><Relationship Id="rId7" Type="http://schemas.openxmlformats.org/officeDocument/2006/relationships/hyperlink" Target="https://www.sec.gov/Archives/edgar/data/1031308/000110465920106251/tm1922834d8_ex4-1.htm" TargetMode="External"/><Relationship Id="rId8" Type="http://schemas.openxmlformats.org/officeDocument/2006/relationships/hyperlink" Target="https://www.sec.gov/Archives/edgar/data/1031308/000110465921086363/tm2120726d1_ex4-1.htm" TargetMode="External"/><Relationship Id="rId9" Type="http://schemas.openxmlformats.org/officeDocument/2006/relationships/hyperlink" Target="https://www.sec.gov/Archives/edgar/data/1031308/000110465921086363/tm2120726d1_ex4-1.htm" TargetMode="External"/><Relationship Id="rId10" Type="http://schemas.openxmlformats.org/officeDocument/2006/relationships/hyperlink" Target="https://www.sec.gov/Archives/edgar/data/0001031308/000162828021003727/exhibit44.htm" TargetMode="External"/><Relationship Id="rId11" Type="http://schemas.openxmlformats.org/officeDocument/2006/relationships/hyperlink" Target="https://www.sec.gov/Archives/edgar/data/1031308/000110465921086363/tm2120726d1_ex10-1.htm" TargetMode="External"/><Relationship Id="rId12" Type="http://schemas.openxmlformats.org/officeDocument/2006/relationships/hyperlink" Target="https://www.sec.gov/Archives/edgar/data/1031308/000110465924110564/tm2426498d1_ex10-1.htm" TargetMode="External"/><Relationship Id="rId13" Type="http://schemas.openxmlformats.org/officeDocument/2006/relationships/hyperlink" Target="https://www.sec.gov/Archives/edgar/data/1031308/000110465920108913/tm2031809d1_ex10-1.htm" TargetMode="External"/><Relationship Id="rId14" Type="http://schemas.openxmlformats.org/officeDocument/2006/relationships/hyperlink" Target="https://www.sec.gov/Archives/edgar/data/1031308/000162828022004474/exhibit1010-amendmentno120.htm" TargetMode="External"/><Relationship Id="rId15" Type="http://schemas.openxmlformats.org/officeDocument/2006/relationships/hyperlink" Target="https://www.sec.gov/Archives/edgar/data/1031308/000162828023005568/exhibit1012.htm" TargetMode="External"/><Relationship Id="rId16" Type="http://schemas.openxmlformats.org/officeDocument/2006/relationships/hyperlink" Target="https://www.sec.gov/Archives/edgar/data/1031308/000110465920108913/tm2031809d1_ex10-2.htm" TargetMode="External"/><Relationship Id="rId17" Type="http://schemas.openxmlformats.org/officeDocument/2006/relationships/hyperlink" Target="https://www.sec.gov/Archives/edgar/data/1031308/000110465920108913/tm2031809d1_ex10-3.htm" TargetMode="External"/><Relationship Id="rId18" Type="http://schemas.openxmlformats.org/officeDocument/2006/relationships/hyperlink" Target="https://www.sec.gov/Archives/edgar/data/0001031308/000162828021022518/exhibit101-2021q3.htm" TargetMode="External"/><Relationship Id="rId19" Type="http://schemas.openxmlformats.org/officeDocument/2006/relationships/hyperlink" Target="https://www.sec.gov/Archives/edgar/data/1031308/000155837020011058/bsy-20200908xex10d7.htm" TargetMode="External"/><Relationship Id="rId20" Type="http://schemas.openxmlformats.org/officeDocument/2006/relationships/hyperlink" Target="https://www.sec.gov/Archives/edgar/data/1031308/000110465920108913/tm2031809d1_ex10-4.htm" TargetMode="External"/><Relationship Id="rId21" Type="http://schemas.openxmlformats.org/officeDocument/2006/relationships/hyperlink" Target="https://www.sec.gov/Archives/edgar/data/1031308/000162828022028900/exhibit101.htm" TargetMode="External"/><Relationship Id="rId22" Type="http://schemas.openxmlformats.org/officeDocument/2006/relationships/hyperlink" Target="https://www.sec.gov/Archives/edgar/data/1031308/000110465924076289/tm2418463d1_ex10-3.htm" TargetMode="External"/><Relationship Id="rId23" Type="http://schemas.openxmlformats.org/officeDocument/2006/relationships/hyperlink" Target="https://www.sec.gov/Archives/edgar/data/1031308/000110465924076289/tm2418463d1_ex10-1.htm" TargetMode="External"/><Relationship Id="rId24" Type="http://schemas.openxmlformats.org/officeDocument/2006/relationships/hyperlink" Target="https://www.sec.gov/Archives/edgar/data/1031308/000110465924076289/tm2418463d1_ex10-2.htm" TargetMode="External"/><Relationship Id="rId25" Type="http://schemas.openxmlformats.org/officeDocument/2006/relationships/hyperlink" Target="https://www.sec.gov/Archives/edgar/data/1031308/000155837020010811/bsy-20200821xex10d2.htm" TargetMode="External"/><Relationship Id="rId26" Type="http://schemas.openxmlformats.org/officeDocument/2006/relationships/hyperlink" Target="https://www.sec.gov/Archives/edgar/data/1031308/000103130825000002/a24q4exhibit19.htm" TargetMode="External"/><Relationship Id="rId27" Type="http://schemas.openxmlformats.org/officeDocument/2006/relationships/hyperlink" Target="https://www.sec.gov/Archives/edgar/data/1031308/000103130824000002/exhibit97.htm" TargetMode="External"/><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69555</Words>
  <Characters>393306</Characters>
  <CharactersWithSpaces>459152</CharactersWithSpaces>
  <Paragraphs>5533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