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0"/>
        </w:trPr>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60" w:type="dxa"/>
            <w:vAlign w:val="bottom"/>
            <w:gridSpan w:val="4"/>
          </w:tcPr>
          <w:p>
            <w:pPr>
              <w:jc w:val="center"/>
              <w:ind w:right="3330"/>
              <w:spacing w:after="0"/>
              <w:rPr>
                <w:sz w:val="20"/>
                <w:szCs w:val="20"/>
                <w:color w:val="auto"/>
              </w:rPr>
            </w:pPr>
            <w:r>
              <w:rPr>
                <w:rFonts w:ascii="Arial" w:cs="Arial" w:eastAsia="Arial" w:hAnsi="Arial"/>
                <w:sz w:val="25"/>
                <w:szCs w:val="25"/>
                <w:color w:val="auto"/>
                <w:w w:val="94"/>
              </w:rPr>
              <w:t>Simpson Thacher &amp; Bartlett LLP</w:t>
            </w:r>
          </w:p>
        </w:tc>
      </w:tr>
      <w:tr>
        <w:trPr>
          <w:trHeight w:val="216"/>
        </w:trPr>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20" w:type="dxa"/>
            <w:vAlign w:val="bottom"/>
            <w:gridSpan w:val="3"/>
          </w:tcPr>
          <w:p>
            <w:pPr>
              <w:jc w:val="center"/>
              <w:ind w:right="4130"/>
              <w:spacing w:after="0"/>
              <w:rPr>
                <w:sz w:val="20"/>
                <w:szCs w:val="20"/>
                <w:color w:val="auto"/>
              </w:rPr>
            </w:pPr>
            <w:r>
              <w:rPr>
                <w:rFonts w:ascii="Arial" w:cs="Arial" w:eastAsia="Arial" w:hAnsi="Arial"/>
                <w:sz w:val="18"/>
                <w:szCs w:val="18"/>
                <w:color w:val="auto"/>
                <w:w w:val="97"/>
              </w:rPr>
              <w:t>425 LEXINGTON AVENUE</w:t>
            </w:r>
          </w:p>
        </w:tc>
      </w:tr>
      <w:tr>
        <w:trPr>
          <w:trHeight w:val="230"/>
        </w:trPr>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20" w:type="dxa"/>
            <w:vAlign w:val="bottom"/>
            <w:gridSpan w:val="3"/>
          </w:tcPr>
          <w:p>
            <w:pPr>
              <w:jc w:val="center"/>
              <w:ind w:right="4130"/>
              <w:spacing w:after="0"/>
              <w:rPr>
                <w:sz w:val="20"/>
                <w:szCs w:val="20"/>
                <w:color w:val="auto"/>
              </w:rPr>
            </w:pPr>
            <w:r>
              <w:rPr>
                <w:rFonts w:ascii="Arial" w:cs="Arial" w:eastAsia="Arial" w:hAnsi="Arial"/>
                <w:sz w:val="18"/>
                <w:szCs w:val="18"/>
                <w:color w:val="auto"/>
                <w:w w:val="95"/>
              </w:rPr>
              <w:t>NEW YORK, NY 10017-3954</w:t>
            </w:r>
          </w:p>
        </w:tc>
      </w:tr>
      <w:tr>
        <w:trPr>
          <w:trHeight w:val="270"/>
        </w:trPr>
        <w:tc>
          <w:tcPr>
            <w:tcW w:w="10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3580" w:type="dxa"/>
            <w:vAlign w:val="bottom"/>
          </w:tcPr>
          <w:p>
            <w:pPr>
              <w:spacing w:after="0"/>
              <w:rPr>
                <w:sz w:val="23"/>
                <w:szCs w:val="23"/>
                <w:color w:val="auto"/>
              </w:rPr>
            </w:pPr>
          </w:p>
        </w:tc>
      </w:tr>
      <w:tr>
        <w:trPr>
          <w:trHeight w:val="479"/>
        </w:trPr>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20" w:type="dxa"/>
            <w:vAlign w:val="bottom"/>
            <w:gridSpan w:val="3"/>
          </w:tcPr>
          <w:p>
            <w:pPr>
              <w:jc w:val="center"/>
              <w:ind w:right="4130"/>
              <w:spacing w:after="0"/>
              <w:rPr>
                <w:sz w:val="20"/>
                <w:szCs w:val="20"/>
                <w:color w:val="auto"/>
              </w:rPr>
            </w:pPr>
            <w:r>
              <w:rPr>
                <w:rFonts w:ascii="Arial" w:cs="Arial" w:eastAsia="Arial" w:hAnsi="Arial"/>
                <w:sz w:val="18"/>
                <w:szCs w:val="18"/>
                <w:color w:val="auto"/>
                <w:w w:val="93"/>
              </w:rPr>
              <w:t>TELEPHONE: +1-212-455-2000</w:t>
            </w:r>
          </w:p>
        </w:tc>
      </w:tr>
      <w:tr>
        <w:trPr>
          <w:trHeight w:val="230"/>
        </w:trPr>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20" w:type="dxa"/>
            <w:vAlign w:val="bottom"/>
            <w:gridSpan w:val="3"/>
          </w:tcPr>
          <w:p>
            <w:pPr>
              <w:jc w:val="center"/>
              <w:ind w:right="4130"/>
              <w:spacing w:after="0"/>
              <w:rPr>
                <w:sz w:val="20"/>
                <w:szCs w:val="20"/>
                <w:color w:val="auto"/>
              </w:rPr>
            </w:pPr>
            <w:r>
              <w:rPr>
                <w:rFonts w:ascii="Arial" w:cs="Arial" w:eastAsia="Arial" w:hAnsi="Arial"/>
                <w:sz w:val="18"/>
                <w:szCs w:val="18"/>
                <w:color w:val="auto"/>
                <w:w w:val="93"/>
              </w:rPr>
              <w:t>TELEPHONE: +1-212-455-2000</w:t>
            </w:r>
          </w:p>
        </w:tc>
      </w:tr>
      <w:tr>
        <w:trPr>
          <w:trHeight w:val="418"/>
        </w:trPr>
        <w:tc>
          <w:tcPr>
            <w:tcW w:w="2860" w:type="dxa"/>
            <w:vAlign w:val="bottom"/>
            <w:gridSpan w:val="2"/>
          </w:tcPr>
          <w:p>
            <w:pPr>
              <w:spacing w:after="0"/>
              <w:rPr>
                <w:sz w:val="20"/>
                <w:szCs w:val="20"/>
                <w:color w:val="auto"/>
              </w:rPr>
            </w:pPr>
            <w:r>
              <w:rPr>
                <w:rFonts w:ascii="Arial" w:cs="Arial" w:eastAsia="Arial" w:hAnsi="Arial"/>
                <w:sz w:val="18"/>
                <w:szCs w:val="18"/>
                <w:color w:val="auto"/>
              </w:rPr>
              <w:t>Direct Dial Number</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E-mail Address</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+1-212-455-2812</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rfenyes@stblaw.com</w:t>
            </w:r>
          </w:p>
        </w:tc>
      </w:tr>
      <w:tr>
        <w:trPr>
          <w:trHeight w:val="392"/>
        </w:trPr>
        <w:tc>
          <w:tcPr>
            <w:tcW w:w="2860" w:type="dxa"/>
            <w:vAlign w:val="bottom"/>
            <w:gridSpan w:val="2"/>
          </w:tcPr>
          <w:p>
            <w:pPr>
              <w:spacing w:after="0"/>
              <w:rPr>
                <w:sz w:val="20"/>
                <w:szCs w:val="20"/>
                <w:color w:val="auto"/>
              </w:rPr>
            </w:pPr>
            <w:r>
              <w:rPr>
                <w:rFonts w:ascii="Arial" w:cs="Arial" w:eastAsia="Arial" w:hAnsi="Arial"/>
                <w:sz w:val="18"/>
                <w:szCs w:val="18"/>
                <w:color w:val="auto"/>
              </w:rPr>
              <w:t>VIA EDGAR</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20" w:type="dxa"/>
            <w:vAlign w:val="bottom"/>
            <w:gridSpan w:val="3"/>
          </w:tcPr>
          <w:p>
            <w:pPr>
              <w:jc w:val="right"/>
              <w:ind w:right="4870"/>
              <w:spacing w:after="0"/>
              <w:rPr>
                <w:sz w:val="20"/>
                <w:szCs w:val="20"/>
                <w:color w:val="auto"/>
              </w:rPr>
            </w:pPr>
            <w:r>
              <w:rPr>
                <w:rFonts w:ascii="Arial" w:cs="Arial" w:eastAsia="Arial" w:hAnsi="Arial"/>
                <w:sz w:val="18"/>
                <w:szCs w:val="18"/>
                <w:color w:val="auto"/>
              </w:rPr>
              <w:t>September 18, 2020</w:t>
            </w:r>
          </w:p>
        </w:tc>
      </w:tr>
      <w:tr>
        <w:trPr>
          <w:trHeight w:val="438"/>
        </w:trPr>
        <w:tc>
          <w:tcPr>
            <w:tcW w:w="10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8380" w:type="dxa"/>
            <w:vAlign w:val="bottom"/>
            <w:gridSpan w:val="5"/>
          </w:tcPr>
          <w:p>
            <w:pPr>
              <w:jc w:val="right"/>
              <w:ind w:right="3710"/>
              <w:spacing w:after="0"/>
              <w:rPr>
                <w:sz w:val="20"/>
                <w:szCs w:val="20"/>
                <w:color w:val="auto"/>
              </w:rPr>
            </w:pPr>
            <w:r>
              <w:rPr>
                <w:rFonts w:ascii="Arial" w:cs="Arial" w:eastAsia="Arial" w:hAnsi="Arial"/>
                <w:sz w:val="18"/>
                <w:szCs w:val="18"/>
                <w:color w:val="auto"/>
                <w:w w:val="93"/>
              </w:rPr>
              <w:t>Re:  Acceleration Request for Bentley Systems, Incorporated</w:t>
            </w:r>
          </w:p>
        </w:tc>
      </w:tr>
      <w:tr>
        <w:trPr>
          <w:trHeight w:val="190"/>
        </w:trPr>
        <w:tc>
          <w:tcPr>
            <w:tcW w:w="1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60" w:type="dxa"/>
            <w:vAlign w:val="bottom"/>
            <w:gridSpan w:val="4"/>
          </w:tcPr>
          <w:p>
            <w:pPr>
              <w:jc w:val="right"/>
              <w:ind w:right="3490"/>
              <w:spacing w:after="0" w:line="190" w:lineRule="exact"/>
              <w:rPr>
                <w:sz w:val="20"/>
                <w:szCs w:val="20"/>
                <w:color w:val="auto"/>
              </w:rPr>
            </w:pPr>
            <w:r>
              <w:rPr>
                <w:rFonts w:ascii="Arial" w:cs="Arial" w:eastAsia="Arial" w:hAnsi="Arial"/>
                <w:sz w:val="18"/>
                <w:szCs w:val="18"/>
                <w:color w:val="auto"/>
                <w:w w:val="90"/>
              </w:rPr>
              <w:t>Registration Statement on Form S-1 (File No. 333-248246)</w:t>
            </w:r>
          </w:p>
        </w:tc>
      </w:tr>
      <w:tr>
        <w:trPr>
          <w:trHeight w:val="654"/>
        </w:trPr>
        <w:tc>
          <w:tcPr>
            <w:tcW w:w="2860" w:type="dxa"/>
            <w:vAlign w:val="bottom"/>
            <w:gridSpan w:val="2"/>
          </w:tcPr>
          <w:p>
            <w:pPr>
              <w:spacing w:after="0"/>
              <w:rPr>
                <w:sz w:val="20"/>
                <w:szCs w:val="20"/>
                <w:color w:val="auto"/>
              </w:rPr>
            </w:pPr>
            <w:r>
              <w:rPr>
                <w:rFonts w:ascii="Arial" w:cs="Arial" w:eastAsia="Arial" w:hAnsi="Arial"/>
                <w:sz w:val="18"/>
                <w:szCs w:val="18"/>
                <w:color w:val="auto"/>
              </w:rPr>
              <w:t>Division of Corporation Finance</w:t>
            </w:r>
          </w:p>
        </w:tc>
        <w:tc>
          <w:tcPr>
            <w:tcW w:w="5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Office of Technology</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w w:val="93"/>
              </w:rPr>
              <w:t>Securities and Exchange Commission</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Washington, D.C. 20549</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c/o Jeffrey Kauten</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32"/>
        </w:trPr>
        <w:tc>
          <w:tcPr>
            <w:tcW w:w="2860" w:type="dxa"/>
            <w:vAlign w:val="bottom"/>
            <w:gridSpan w:val="2"/>
          </w:tcPr>
          <w:p>
            <w:pPr>
              <w:spacing w:after="0"/>
              <w:rPr>
                <w:sz w:val="20"/>
                <w:szCs w:val="20"/>
                <w:color w:val="auto"/>
              </w:rPr>
            </w:pPr>
            <w:r>
              <w:rPr>
                <w:rFonts w:ascii="Arial" w:cs="Arial" w:eastAsia="Arial" w:hAnsi="Arial"/>
                <w:sz w:val="18"/>
                <w:szCs w:val="18"/>
                <w:color w:val="auto"/>
              </w:rPr>
              <w:t>Ladies and Gentlemen:</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202"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Pursuant to Rule 461 under the Securities Act of 1933, as amended, we attach the requests of our client, Bentley Systems, Incorporated, and of the underwriters that effectiveness of the above-referenced Registration Statement be accelerated to 4:00 p.m., New York, NY time, on September 22, 2020, or as soon as practicable thereafter. </w:t>
      </w:r>
      <w:r>
        <w:rPr>
          <w:rFonts w:ascii="Arial" w:cs="Arial" w:eastAsia="Arial" w:hAnsi="Arial"/>
          <w:sz w:val="18"/>
          <w:szCs w:val="18"/>
          <w:b w:val="1"/>
          <w:bCs w:val="1"/>
          <w:color w:val="auto"/>
        </w:rPr>
        <w:t>We ask, however, that the Securities and Exchange Commission staff not accelerate such effectiveness until we</w:t>
      </w:r>
      <w:r>
        <w:rPr>
          <w:rFonts w:ascii="Arial" w:cs="Arial" w:eastAsia="Arial" w:hAnsi="Arial"/>
          <w:sz w:val="18"/>
          <w:szCs w:val="18"/>
          <w:color w:val="auto"/>
        </w:rPr>
        <w:t xml:space="preserve"> </w:t>
      </w:r>
      <w:r>
        <w:rPr>
          <w:rFonts w:ascii="Arial" w:cs="Arial" w:eastAsia="Arial" w:hAnsi="Arial"/>
          <w:sz w:val="18"/>
          <w:szCs w:val="18"/>
          <w:b w:val="1"/>
          <w:bCs w:val="1"/>
          <w:color w:val="auto"/>
        </w:rPr>
        <w:t>speak with you on that date.</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Please call me at (212) 455-2812 with any questions.</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 Richard A. Fenyes</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Richard A. Fenyes</w:t>
      </w:r>
    </w:p>
    <w:p>
      <w:pPr>
        <w:spacing w:after="0" w:line="225" w:lineRule="exact"/>
        <w:rPr>
          <w:sz w:val="24"/>
          <w:szCs w:val="24"/>
          <w:color w:val="auto"/>
        </w:rPr>
      </w:pPr>
    </w:p>
    <w:p>
      <w:pPr>
        <w:ind w:left="1120" w:right="8560" w:hanging="1112"/>
        <w:spacing w:after="0" w:line="301" w:lineRule="auto"/>
        <w:tabs>
          <w:tab w:leader="none" w:pos="472" w:val="left"/>
        </w:tabs>
        <w:numPr>
          <w:ilvl w:val="0"/>
          <w:numId w:val="1"/>
        </w:numPr>
        <w:rPr>
          <w:rFonts w:ascii="Arial" w:cs="Arial" w:eastAsia="Arial" w:hAnsi="Arial"/>
          <w:sz w:val="16"/>
          <w:szCs w:val="16"/>
          <w:color w:val="auto"/>
        </w:rPr>
      </w:pPr>
      <w:r>
        <w:rPr>
          <w:rFonts w:ascii="Arial" w:cs="Arial" w:eastAsia="Arial" w:hAnsi="Arial"/>
          <w:sz w:val="16"/>
          <w:szCs w:val="16"/>
          <w:color w:val="auto"/>
        </w:rPr>
        <w:t>Bentley Systems, Incorporated Gregory S. Bentley David J. Hollister David R. Shaman</w:t>
      </w:r>
    </w:p>
    <w:p>
      <w:pPr>
        <w:spacing w:after="0" w:line="15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Jonathan R. Ozner</w:t>
      </w:r>
    </w:p>
    <w:p>
      <w:pPr>
        <w:spacing w:after="0" w:line="21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Goodwin Procter LLP</w:t>
      </w:r>
    </w:p>
    <w:p>
      <w:pPr>
        <w:spacing w:after="0" w:line="2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Richard A. Kline</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Sarah B. Axtell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2021-08-15T19:49:19Z</dcterms:created>
  <dcterms:modified xsi:type="dcterms:W3CDTF">2021-08-15T19:49:19Z</dcterms:modified>
</cp:coreProperties>
</file>