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8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7"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66" w:right="339" w:bottom="1440" w:gutter="0" w:footer="0" w:header="0"/>
        </w:sectPr>
      </w:pPr>
    </w:p>
    <w:p>
      <w:pPr>
        <w:spacing w:after="0" w:line="6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66" w:right="339" w:bottom="1440" w:gutter="0" w:footer="0" w:header="0"/>
          <w:type w:val="continuous"/>
        </w:sectPr>
      </w:pP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001-39548</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BENTLEY SYSTEMS, INCORPORATED</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366" w:right="339" w:bottom="1440" w:gutter="0" w:footer="0" w:header="0"/>
          <w:type w:val="continuous"/>
        </w:sectPr>
      </w:pPr>
    </w:p>
    <w:p>
      <w:pPr>
        <w:spacing w:after="0" w:line="27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2">
            <w:col w:w="7600" w:space="720"/>
            <w:col w:w="2920"/>
          </w:cols>
          <w:pgMar w:left="320" w:top="1366"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3" w:lineRule="exact"/>
        <w:rPr>
          <w:sz w:val="24"/>
          <w:szCs w:val="24"/>
          <w:color w:val="auto"/>
        </w:rPr>
      </w:pPr>
    </w:p>
    <w:p>
      <w:pPr>
        <w:sectPr>
          <w:pgSz w:w="11900" w:h="16838" w:orient="portrait"/>
          <w:cols w:equalWidth="0" w:num="2">
            <w:col w:w="6940" w:space="720"/>
            <w:col w:w="3580"/>
          </w:cols>
          <w:pgMar w:left="320" w:top="1366"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7780" w:space="720"/>
            <w:col w:w="2740"/>
          </w:cols>
          <w:pgMar w:left="320" w:top="1366"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40" w:lineRule="exact"/>
        <w:rPr>
          <w:sz w:val="24"/>
          <w:szCs w:val="24"/>
          <w:color w:val="auto"/>
        </w:rPr>
      </w:pPr>
    </w:p>
    <w:p>
      <w:pPr>
        <w:sectPr>
          <w:pgSz w:w="11900" w:h="16838" w:orient="portrait"/>
          <w:cols w:equalWidth="0" w:num="2">
            <w:col w:w="7660" w:space="720"/>
            <w:col w:w="2860"/>
          </w:cols>
          <w:pgMar w:left="320" w:top="136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6"/>
          <w:szCs w:val="16"/>
          <w:b w:val="1"/>
          <w:bCs w:val="1"/>
          <w:color w:val="auto"/>
        </w:rPr>
        <w:t>(610) 458-5000</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459"/>
        </w:trPr>
        <w:tc>
          <w:tcPr>
            <w:tcW w:w="96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Title of each class</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9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6"/>
        </w:trPr>
        <w:tc>
          <w:tcPr>
            <w:tcW w:w="960" w:type="dxa"/>
            <w:vAlign w:val="bottom"/>
          </w:tcPr>
          <w:p>
            <w:pPr>
              <w:spacing w:after="0"/>
              <w:rPr>
                <w:sz w:val="16"/>
                <w:szCs w:val="16"/>
                <w:color w:val="auto"/>
              </w:rPr>
            </w:pPr>
          </w:p>
        </w:tc>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 Common Stock, par value $0.01 per share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BSY</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25" w:lineRule="exact"/>
        <w:rPr>
          <w:sz w:val="24"/>
          <w:szCs w:val="24"/>
          <w:color w:val="auto"/>
        </w:rPr>
      </w:pPr>
    </w:p>
    <w:p>
      <w:pPr>
        <w:ind w:right="20"/>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pacing w:after="0" w:line="5" w:lineRule="exact"/>
        <w:rPr>
          <w:sz w:val="24"/>
          <w:szCs w:val="24"/>
          <w:color w:val="auto"/>
        </w:rPr>
      </w:pPr>
    </w:p>
    <w:p>
      <w:pPr>
        <w:ind w:left="1100"/>
        <w:spacing w:after="0" w:line="161" w:lineRule="exact"/>
        <w:tabs>
          <w:tab w:leader="none" w:pos="80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4" w:lineRule="exact"/>
        <w:rPr>
          <w:sz w:val="24"/>
          <w:szCs w:val="24"/>
          <w:color w:val="auto"/>
        </w:rPr>
      </w:pPr>
    </w:p>
    <w:p>
      <w:pPr>
        <w:ind w:left="1100"/>
        <w:spacing w:after="0" w:line="161" w:lineRule="exact"/>
        <w:tabs>
          <w:tab w:leader="none" w:pos="800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ind w:left="8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1, 2022, the registrant had 11,601,757 shares of Class A and 276,790,956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Unaudited Consolidated Financial Statements</w:t>
            </w:r>
          </w:p>
        </w:tc>
        <w:tc>
          <w:tcPr>
            <w:tcW w:w="648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4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2022 and December 31, 2021</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1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2022 and 2021</w:t>
            </w: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60" w:type="dxa"/>
            <w:vAlign w:val="bottom"/>
            <w:tcBorders>
              <w:bottom w:val="single" w:sz="8" w:color="0000FF"/>
            </w:tcBorders>
            <w:gridSpan w:val="17"/>
            <w:vMerge w:val="continue"/>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80" w:type="dxa"/>
            <w:vAlign w:val="bottom"/>
            <w:gridSpan w:val="19"/>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and nine months ended September 30, 2022 and 2021</w:t>
            </w: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80" w:type="dxa"/>
            <w:vAlign w:val="bottom"/>
            <w:tcBorders>
              <w:bottom w:val="single" w:sz="8" w:color="0000FF"/>
            </w:tcBorders>
            <w:gridSpan w:val="19"/>
            <w:vMerge w:val="continue"/>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three and nine months ended September 30, 2022 and 2021</w:t>
            </w: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tcBorders>
              <w:bottom w:val="single" w:sz="8" w:color="0000FF"/>
            </w:tcBorders>
            <w:gridSpan w:val="18"/>
            <w:vMerge w:val="continue"/>
          </w:tcPr>
          <w:p>
            <w:pPr>
              <w:spacing w:after="0"/>
              <w:rPr>
                <w:sz w:val="18"/>
                <w:szCs w:val="18"/>
                <w:color w:val="auto"/>
              </w:rPr>
            </w:pPr>
          </w:p>
        </w:tc>
        <w:tc>
          <w:tcPr>
            <w:tcW w:w="1800" w:type="dxa"/>
            <w:vAlign w:val="bottom"/>
            <w:gridSpan w:val="2"/>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16"/>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2022 and 2021</w:t>
            </w:r>
          </w:p>
        </w:tc>
        <w:tc>
          <w:tcPr>
            <w:tcW w:w="31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tcBorders>
              <w:bottom w:val="single" w:sz="8" w:color="0000FF"/>
            </w:tcBorders>
            <w:gridSpan w:val="16"/>
            <w:vMerge w:val="continue"/>
          </w:tcPr>
          <w:p>
            <w:pPr>
              <w:spacing w:after="0"/>
              <w:rPr>
                <w:sz w:val="18"/>
                <w:szCs w:val="18"/>
                <w:color w:val="auto"/>
              </w:rPr>
            </w:pPr>
          </w:p>
        </w:tc>
        <w:tc>
          <w:tcPr>
            <w:tcW w:w="3180" w:type="dxa"/>
            <w:vAlign w:val="bottom"/>
            <w:gridSpan w:val="4"/>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10"/>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3320" w:type="dxa"/>
            <w:vAlign w:val="bottom"/>
            <w:gridSpan w:val="5"/>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6"/>
            <w:vMerge w:val="continue"/>
          </w:tcPr>
          <w:p>
            <w:pPr>
              <w:spacing w:after="0"/>
              <w:rPr>
                <w:sz w:val="18"/>
                <w:szCs w:val="18"/>
                <w:color w:val="auto"/>
              </w:rPr>
            </w:pPr>
          </w:p>
        </w:tc>
        <w:tc>
          <w:tcPr>
            <w:tcW w:w="3320" w:type="dxa"/>
            <w:vAlign w:val="bottom"/>
            <w:gridSpan w:val="5"/>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4"/>
            <w:vMerge w:val="continue"/>
          </w:tcPr>
          <w:p>
            <w:pPr>
              <w:spacing w:after="0"/>
              <w:rPr>
                <w:sz w:val="18"/>
                <w:szCs w:val="18"/>
                <w:color w:val="auto"/>
              </w:rPr>
            </w:pPr>
          </w:p>
        </w:tc>
        <w:tc>
          <w:tcPr>
            <w:tcW w:w="5420" w:type="dxa"/>
            <w:vAlign w:val="bottom"/>
            <w:gridSpan w:val="7"/>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340" w:type="dxa"/>
            <w:vAlign w:val="bottom"/>
            <w:tcBorders>
              <w:bottom w:val="single" w:sz="8" w:color="0000FF"/>
            </w:tcBorders>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73</w:t>
            </w:r>
          </w:p>
        </w:tc>
        <w:tc>
          <w:tcPr>
            <w:tcW w:w="0" w:type="dxa"/>
            <w:vAlign w:val="bottom"/>
          </w:tcPr>
          <w:p>
            <w:pPr>
              <w:spacing w:after="0"/>
              <w:rPr>
                <w:sz w:val="1"/>
                <w:szCs w:val="1"/>
                <w:color w:val="auto"/>
              </w:rPr>
            </w:pPr>
          </w:p>
        </w:tc>
      </w:tr>
      <w:tr>
        <w:trPr>
          <w:trHeight w:val="20"/>
        </w:trPr>
        <w:tc>
          <w:tcPr>
            <w:tcW w:w="25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920" w:type="dxa"/>
            <w:vAlign w:val="bottom"/>
            <w:gridSpan w:val="1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10"/>
            <w:vMerge w:val="continue"/>
          </w:tcPr>
          <w:p>
            <w:pPr>
              <w:spacing w:after="0"/>
              <w:rPr>
                <w:sz w:val="24"/>
                <w:szCs w:val="24"/>
                <w:color w:val="auto"/>
              </w:rPr>
            </w:pPr>
          </w:p>
        </w:tc>
        <w:tc>
          <w:tcPr>
            <w:tcW w:w="792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3000" w:type="dxa"/>
            <w:vAlign w:val="bottom"/>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7"/>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2.</w:t>
            </w:r>
          </w:p>
        </w:tc>
        <w:tc>
          <w:tcPr>
            <w:tcW w:w="4360" w:type="dxa"/>
            <w:vAlign w:val="bottom"/>
            <w:gridSpan w:val="11"/>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1"/>
            <w:vMerge w:val="continue"/>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4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340" w:type="dxa"/>
            <w:vAlign w:val="bottom"/>
            <w:tcBorders>
              <w:bottom w:val="single" w:sz="8" w:color="0000FF"/>
            </w:tcBorders>
            <w:gridSpan w:val="4"/>
            <w:vMerge w:val="continue"/>
          </w:tcPr>
          <w:p>
            <w:pPr>
              <w:spacing w:after="0"/>
              <w:rPr>
                <w:sz w:val="18"/>
                <w:szCs w:val="18"/>
                <w:color w:val="auto"/>
              </w:rPr>
            </w:pPr>
          </w:p>
        </w:tc>
        <w:tc>
          <w:tcPr>
            <w:tcW w:w="8460" w:type="dxa"/>
            <w:vAlign w:val="bottom"/>
            <w:gridSpan w:val="15"/>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918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9180" w:type="dxa"/>
            <w:vAlign w:val="bottom"/>
            <w:gridSpan w:val="17"/>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9500" w:type="dxa"/>
            <w:vAlign w:val="bottom"/>
            <w:gridSpan w:val="1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75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329,337</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214,459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241,807</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16,880</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32,224</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34,348</w:t>
            </w:r>
          </w:p>
        </w:tc>
      </w:tr>
      <w:tr>
        <w:trPr>
          <w:trHeight w:val="213"/>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615,831</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31,823</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50,818</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301,173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245,834</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2,193,053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1,588,477</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71,376</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74,367</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48,646</w:t>
            </w:r>
          </w:p>
        </w:tc>
      </w:tr>
      <w:tr>
        <w:trPr>
          <w:trHeight w:val="207"/>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3,041,437</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2,659,243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5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16,483</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323,603</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224,610</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17,482</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r>
      <w:tr>
        <w:trPr>
          <w:trHeight w:val="237"/>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569,143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593,874</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1,776,610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1,430,992</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94,890</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35,274</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65,014</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7,725</w:t>
            </w:r>
          </w:p>
        </w:tc>
      </w:tr>
      <w:tr>
        <w:trPr>
          <w:trHeight w:val="23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7,734</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14,269</w:t>
            </w:r>
          </w:p>
        </w:tc>
      </w:tr>
      <w:tr>
        <w:trPr>
          <w:trHeight w:val="23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2,521,238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2,250,021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02"/>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100,000,000 shares; none issued or outstanding as of</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2022 and December 31, 2021</w:t>
            </w:r>
          </w:p>
        </w:tc>
        <w:tc>
          <w:tcPr>
            <w:tcW w:w="18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authorized 100,000,000 shares; issued and outstanding</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3"/>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11,601,757 shares as of September 30, 2022 and December 31, 2021, and Class B Common Stock,</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8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$0.01 par value, authorized 1,800,000,000 shares; issued and outstanding 276,816,008 and</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43"/>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270,924,962 shares as of September 30, 2022 and December 31, 2021, respectively</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1,005,075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937,805</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(91,774)</w:t>
            </w:r>
          </w:p>
        </w:tc>
      </w:tr>
      <w:tr>
        <w:trPr>
          <w:trHeight w:val="236"/>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(385,831)</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(439,634)</w:t>
            </w: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520,199</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409,222</w:t>
            </w:r>
          </w:p>
        </w:tc>
      </w:tr>
      <w:tr>
        <w:trPr>
          <w:trHeight w:val="207"/>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3,041,437</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2,659,243</w:t>
            </w:r>
          </w:p>
        </w:tc>
      </w:tr>
      <w:tr>
        <w:trPr>
          <w:trHeight w:val="23"/>
        </w:trPr>
        <w:tc>
          <w:tcPr>
            <w:tcW w:w="7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920" w:type="dxa"/>
            <w:vAlign w:val="bottom"/>
            <w:gridSpan w:val="4"/>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235,307</w:t>
            </w:r>
          </w:p>
        </w:tc>
        <w:tc>
          <w:tcPr>
            <w:tcW w:w="24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215,135</w:t>
            </w:r>
          </w:p>
        </w:tc>
        <w:tc>
          <w:tcPr>
            <w:tcW w:w="2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708,731</w:t>
            </w:r>
          </w:p>
        </w:tc>
        <w:tc>
          <w:tcPr>
            <w:tcW w:w="24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244,767</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739,944</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623,075</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72,190</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268,332</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251,388</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812,134</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697,314</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107,904</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66,758</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67,090</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59,183</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174,662</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156,972</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209,149</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197,156</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637,472</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540,342</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63,827</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57,334</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189,966</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141,676</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114,846</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35,329</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128,981</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153,605</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234,696</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469,619</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489,022</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method, net of tax</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participating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Class A and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Class B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149,027</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310,116,104</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308,195,379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308,959,801</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305,119,985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325,170,383</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308,195,379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332,077,834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314,658,136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43"/>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(55,709)</w:t>
            </w:r>
          </w:p>
        </w:tc>
      </w:tr>
      <w:tr>
        <w:trPr>
          <w:trHeight w:val="225"/>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on retirement plan, net of tax effect of $(5), $(8), $(15),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1"/>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$(25), respectively</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(55,647)</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24,199</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(75,016)</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138,903</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288,154,159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981,203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496,993</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36,997</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(8,592)</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employee stock</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Class B Common Stock under approved</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program</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288,417,765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1,005,075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520,199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282,526,719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937,805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409,222</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149,058</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employee stock</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10,062</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2,272,603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option exercises,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stock grants,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28,687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28,687</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Class B Common Stock under approved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program</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288,417,765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1,005,075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520,199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281,189,127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910,951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(54,886)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472,531</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(48,022)</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(26,994)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(26,994)</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(8,485)</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88,920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compensation plan modification</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employee stock</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plan</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612,277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2021</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282,038,564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921,410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(81,880)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272,154,504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741,113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(26,233)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341,599</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54,611</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(55,647)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(55,647)</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related to acquisition</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3,141,342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182,390</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capped call options, net of tax of $12,584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(39,021)</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2,290,999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(65,684)</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compensation plan modification</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employee stock</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plan</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4,269,335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(29,949)</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stock grants</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282,038,564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921,410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(81,880)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(460,529)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381,821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 w:name="page8"/>
    <w:bookmarkEnd w:id="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BENTLEY SYSTEMS, INCORPORATED AND SUBSIDIARIES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21590</wp:posOffset>
            </wp:positionV>
            <wp:extent cx="1808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ectPr>
          <w:pgSz w:w="11900" w:h="16838" w:orient="portrait"/>
          <w:cols w:equalWidth="0" w:num="1">
            <w:col w:w="11240"/>
          </w:cols>
          <w:pgMar w:left="320" w:top="1440" w:right="339" w:bottom="659"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Bad debt allowance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remeasurement loss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non-cash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assets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revenues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taxes payable, net of 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sale of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convertible senior notes, net of discounts and commissions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capped call options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acquisition debt and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63" w:lineRule="exact"/>
        <w:rPr>
          <w:sz w:val="20"/>
          <w:szCs w:val="20"/>
          <w:color w:val="auto"/>
        </w:rPr>
      </w:pPr>
    </w:p>
    <w:p>
      <w:pPr>
        <w:ind w:left="180" w:right="2600"/>
        <w:spacing w:after="0" w:line="313" w:lineRule="auto"/>
        <w:rPr>
          <w:sz w:val="20"/>
          <w:szCs w:val="20"/>
          <w:color w:val="auto"/>
        </w:rPr>
      </w:pPr>
      <w:r>
        <w:rPr>
          <w:rFonts w:ascii="Times New Roman" w:cs="Times New Roman" w:eastAsia="Times New Roman" w:hAnsi="Times New Roman"/>
          <w:sz w:val="18"/>
          <w:szCs w:val="18"/>
          <w:color w:val="auto"/>
        </w:rPr>
        <w:t>Proceeds from stock purchases under employee stock purchase plan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right="2820"/>
        <w:spacing w:after="0" w:line="319" w:lineRule="auto"/>
        <w:rPr>
          <w:sz w:val="20"/>
          <w:szCs w:val="20"/>
          <w:color w:val="auto"/>
        </w:rPr>
      </w:pPr>
      <w:r>
        <w:rPr>
          <w:rFonts w:ascii="Times New Roman" w:cs="Times New Roman" w:eastAsia="Times New Roman" w:hAnsi="Times New Roman"/>
          <w:sz w:val="18"/>
          <w:szCs w:val="18"/>
          <w:color w:val="auto"/>
        </w:rPr>
        <w:t>Payments for shares acquired including shares withheld for taxes Repurchase of Class B Common Stock under approved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w:t>
            </w:r>
          </w:p>
        </w:tc>
      </w:tr>
      <w:tr>
        <w:trPr>
          <w:trHeight w:val="540"/>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540"/>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(40,496)</w:t>
            </w:r>
          </w:p>
        </w:tc>
      </w:tr>
      <w:tr>
        <w:trPr>
          <w:trHeight w:val="270"/>
        </w:trPr>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w:t>
            </w:r>
          </w:p>
        </w:tc>
      </w:tr>
      <w:tr>
        <w:trPr>
          <w:trHeight w:val="243"/>
        </w:trPr>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238,198</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207,417</w:t>
            </w:r>
          </w:p>
        </w:tc>
      </w:tr>
      <w:tr>
        <w:trPr>
          <w:trHeight w:val="486"/>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(719,539)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(1,033,695)</w:t>
            </w:r>
          </w:p>
        </w:tc>
      </w:tr>
      <w:tr>
        <w:trPr>
          <w:trHeight w:val="270"/>
        </w:trPr>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4"/>
        </w:trPr>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(740,445)</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(1,047,847)</w:t>
            </w:r>
          </w:p>
        </w:tc>
      </w:tr>
      <w:tr>
        <w:trPr>
          <w:trHeight w:val="486"/>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753,376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682,083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(408,714)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(860,228)</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1,233,377</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 w:lineRule="exact"/>
        <w:rPr>
          <w:sz w:val="20"/>
          <w:szCs w:val="20"/>
          <w:color w:val="auto"/>
        </w:rPr>
      </w:pPr>
    </w:p>
    <w:p>
      <w:pPr>
        <w:sectPr>
          <w:pgSz w:w="11900" w:h="16838" w:orient="portrait"/>
          <w:cols w:equalWidth="0" w:num="2">
            <w:col w:w="7680" w:space="720"/>
            <w:col w:w="2840"/>
          </w:cols>
          <w:pgMar w:left="320" w:top="1440" w:right="339" w:bottom="659"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254,692</w:t>
            </w:r>
          </w:p>
        </w:tc>
        <w:tc>
          <w:tcPr>
            <w:tcW w:w="2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869,649</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5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33,749</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329,337</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122,006</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72,856</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155,755</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659"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59" w:gutter="0" w:footer="0" w:header="0"/>
          <w:type w:val="continuous"/>
        </w:sectPr>
      </w:pPr>
    </w:p>
    <w:bookmarkStart w:id="8" w:name="page9"/>
    <w:bookmarkEnd w:id="8"/>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BENTLEY SYSTEMS, INCORPORATED AND SUBSIDIARIES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2"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21590</wp:posOffset>
            </wp:positionV>
            <wp:extent cx="1602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tax refunds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method investment, non-cash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 issued related to acquisition</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Contingent acquisition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non-contingent consideration, net</w:t>
      </w:r>
    </w:p>
    <w:p>
      <w:pPr>
        <w:spacing w:after="0" w:line="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 xml:space="preserve">Convertible senior notes expenses included in </w:t>
      </w:r>
      <w:r>
        <w:rPr>
          <w:rFonts w:ascii="Times New Roman" w:cs="Times New Roman" w:eastAsia="Times New Roman" w:hAnsi="Times New Roman"/>
          <w:sz w:val="17"/>
          <w:szCs w:val="17"/>
          <w:i w:val="1"/>
          <w:iCs w:val="1"/>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Capped call options expenses included in </w:t>
      </w:r>
      <w:r>
        <w:rPr>
          <w:rFonts w:ascii="Times New Roman" w:cs="Times New Roman" w:eastAsia="Times New Roman" w:hAnsi="Times New Roman"/>
          <w:sz w:val="18"/>
          <w:szCs w:val="18"/>
          <w:i w:val="1"/>
          <w:iCs w:val="1"/>
          <w:color w:val="auto"/>
        </w:rPr>
        <w:t>Accounts payable</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Share-settled Executive Bonus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compensation plan elective participant deferrals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8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2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32,359</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499"/>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182,390</w:t>
            </w: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16,015</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200" w:lineRule="exact"/>
        <w:rPr>
          <w:sz w:val="20"/>
          <w:szCs w:val="20"/>
          <w:color w:val="auto"/>
        </w:rPr>
      </w:pPr>
    </w:p>
    <w:p>
      <w:pPr>
        <w:sectPr>
          <w:pgSz w:w="11900" w:h="16838" w:orient="portrait"/>
          <w:cols w:equalWidth="0" w:num="2">
            <w:col w:w="7980" w:space="720"/>
            <w:col w:w="2520"/>
          </w:cols>
          <w:pgMar w:left="340" w:top="1440"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9" w:name="page10"/>
    <w:bookmarkEnd w:id="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consolidated financial statements include the accounts of Bentley Systems, Incorporated (“Bentley”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“Company”) and its wholly-owned subsidiaries, and have been prepared in accordance with accounting principles generally accepted in the United States of America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Part II, Item 8 of the Company’s 2021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K on file with the SEC.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at the dates and for the periods indicated. The preparation of financial statements in conformity with U.S. GAAP requires management to make estimates and assumptions that affect reported amounts in the financial statements and accompanying notes. Actual results could differ materially from those estimates. The December 31, 2021 consolidated balance sheet included herein is derived from the Company’s audited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of prior period amounts have been made to conform to the current period presentation.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 On January 31, 2022, the Company completed the acquisition of Power Line Systems, a leader in software for the design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overhead electric power transmission lines and their structures, for $695,968 in cash, net of cash acquired. On June 17, 2021, the Company completed the acquisition of Seequent Holdings Limited (“Seequent”), a leader in software for geological and geophysical modeling, geotechnical stability, and cloud services for geodata management and collaboration, for $883,336 in cash, net of cash acquired, plus 3,141,342 shares of the Company’s Class B Common Stock (see Note 4).</w:t>
      </w:r>
    </w:p>
    <w:p>
      <w:pPr>
        <w:spacing w:after="0" w:line="179"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 Under the Company’s unfunded amended and restated Bentley Systems, Incorporated Nonqualified Deferred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w:t>
      </w:r>
    </w:p>
    <w:p>
      <w:pPr>
        <w:spacing w:after="0" w:line="15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reclassified cumulative compensation cost of $4,739 from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Deferred compensation plan liabilities</w:t>
      </w:r>
      <w:r>
        <w:rPr>
          <w:rFonts w:ascii="Times New Roman" w:cs="Times New Roman" w:eastAsia="Times New Roman" w:hAnsi="Times New Roman"/>
          <w:sz w:val="18"/>
          <w:szCs w:val="18"/>
          <w:color w:val="auto"/>
        </w:rPr>
        <w:t xml:space="preserve"> in the consolidated balance sheet and recognized a compensation charge of $90,721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expenses in the consolidated statements of operations to record the reallocated deferred compensation plan liabilities at their fair value of $95,460. Subsequent to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time reallocation, these diversified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in the consolidated statements of operations (see Note 12).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200"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No.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which provides optional expedients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for applying U.S. GAAP to contracts, hedging relationships, and other transactions affected by reference rate reform if certain criteria are met.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during the nine months ended September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0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In October 2021, the FASB issued ASU No. 2021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which improves the comparability of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The new guidance is meant to reduce diversity in practice and inconsistencies related to recognition of an acquired contract liability and revenue contract payment terms and their effect on subsequent revenue recognized by the acquirer. During the fourth quarter of 2021, the Company early adopted the ASU effective January 1, 2021 using the modified retrospective method of adoption and retrospectively recasted interim prior period amounts presented in the accompanying unaudited consolidated financial statements for acquisitions subsequent to January 1, 2021. The adoption of this ASU did not have a material impact on the accompanying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 The Company provides prepaid annual recurring subscriptions that accounts (which are based on distinct contractual and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 The Company provides enterprise subscription offerings, which provide its enterprise accounts with complete and unlimited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access to the Company’s comprehensive portfolio of solutions. Enterprise 365 (“E365”) subscriptions are charged to accounts based upon daily usage. The daily usage fee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The term of E365 subscriptions aligns with calendar quarters and revenue is recognized based on actual usage. Alternatively, Enterprise License Subscriptions (“ELS”) provide access for a prepaid fee, which is based on the account’s usage of software in the preceding year, to effectively create a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 The Company provides annual, quarterly, and monthly term licenses for its software products. Term license subscriptions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For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users to access specific project or enterprise information and entitles users to certain functionality of the Company’s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The Company’s standard offerings are usage based with monetization through the Company’s CSS program as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Certain of the Company’s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arrangements, including its Success Services offerings, are structured as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Channel partners are authorized to promote the sale of an authorized set of Bentley products and subscriptions within an authorized geography under a Channel Partner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00"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September 30, 2022 and December 31, 2021, the Company has deferred $16,874 and $18,020, respectively, related to portfolio balancing exchange rights which is included in </w:t>
      </w: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in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232,593</w:t>
            </w:r>
          </w:p>
        </w:tc>
      </w:tr>
    </w:tbl>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2022 and December 31, 2021,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Contract assets were not impaired as of September 30, 2022 and December 31,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$174,194 of revenues that were included in the December 31, 2021 deferred revenues balance were recognized. There were additional deferrals of $158,125, which were primarily related to new billings and acquisitions (see Note 4). For the nine months ended September 30, 2021, $164,539 of revenues that were included in the December 31, 2020 deferred revenues balance were recognized. There were additional deferrals of $161,578, which were primarily related to new billings and acquisitions (see Note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September 30, 2022, amounts allocated to these remaining performance obligations are $201,610, of which the Company expects to recognize approximately 92%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63,609</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66,648</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196,786</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199,722</w:t>
            </w: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Enterprise subscriptions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252,461</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214,058</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82,657</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259,484</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175,922</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235,307</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708,731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589,702</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33,373</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244,767</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227,001</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739,944</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623,075</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57,996</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72,190</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74,239</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812,134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697,314</w:t>
            </w:r>
          </w:p>
        </w:tc>
      </w:tr>
      <w:tr>
        <w:trPr>
          <w:trHeight w:val="20"/>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subscriptions includes revenue attributable to E365 subscriptions of $80,298 and $60,102 for the three months ended September 30, 2022 and 2021, respectively, and $221,801 and $162,120 for the nine months ended September 30, 2022 and 2021, respectively.</w:t>
      </w:r>
    </w:p>
    <w:p>
      <w:pPr>
        <w:spacing w:after="0" w:line="16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three months ended September 30, 2022 and 2021, the Company recognized $125,140 and $109,000 of license related revenues, respectively, of which $115,680 and $97,134, respectively, were attributable to the term license component of the Company’s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 For the nine months ended September 30, 2022 and 2021, the Company recognized $380,237 and $293,277 of license related revenues, respectively, of which $349,024 and $259,904, respectively, were attributable to the term license component of the Company’s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derived 7% of its total revenues through channel partners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349,752</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219,507</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144,220</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128,055</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812,134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697,314</w:t>
            </w:r>
          </w:p>
        </w:tc>
      </w:tr>
      <w:tr>
        <w:trPr>
          <w:trHeight w:val="21"/>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17" w:lineRule="exact"/>
        <w:rPr>
          <w:sz w:val="20"/>
          <w:szCs w:val="20"/>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(“U.S.”), Canada, and Latin America (including the Caribbean). Revenue attributable to the U.S. totaled $122,372 and $105,089 for the three months ended September 30, 2022 and 2021, respectively, and $346,961 and $289,718 for the nine months ended September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and the year ended December 31, 2021, the Company completed a number of acquisitions, for an aggregate purchase price of $738,814 and $1,269,844, respectively. On January 31, 2022, the Company completed the acquisition of Power Line Systems, a leader in software for the design of overhead electric power transmission lines and their structures, for $695,968 in cash, net of cash acquired. On June 17, 2021, the Company completed the acquisition of Seequent, a leader in software for geological and geophysical modeling, geotechnical stability, and cloud services for geodata management and collaboration, for $883,336 in cash, net of cash acquired, plus 3,141,342 shares of the Company’s Class B Common Stock. The operating results of the acquired businesses, except for Seequent, were not material, individually or in the aggregate, to the Company’s consolidated statements of operations.</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details of the Company’s acquisition activity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acquisitions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Cash paid at closing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acquired</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Acquisitions Completed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6"/>
        </w:trPr>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18"/>
                <w:szCs w:val="18"/>
                <w:color w:val="auto"/>
              </w:rPr>
            </w:pP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31"/>
        </w:trPr>
        <w:tc>
          <w:tcPr>
            <w:tcW w:w="2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738,810</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1,072,820</w:t>
            </w:r>
          </w:p>
        </w:tc>
      </w:tr>
      <w:tr>
        <w:trPr>
          <w:trHeight w:val="270"/>
        </w:trPr>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719,539</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1,034,983</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160" w:lineRule="exact"/>
        <w:rPr>
          <w:sz w:val="20"/>
          <w:szCs w:val="20"/>
          <w:color w:val="auto"/>
        </w:rPr>
      </w:pPr>
    </w:p>
    <w:p>
      <w:pPr>
        <w:ind w:left="340" w:hanging="332"/>
        <w:spacing w:after="0" w:line="282"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cash paid at closing for the nine months ended September 30, 2022 and year ended December 31, 2021, $3,000 and $8,701, respectively, was deposited into an escrow account to secure any potential indemnification and other obligations of the seller.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consideration from acquisitions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non-contingent consideration from acquisitions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finalizing the purchase accounting for four acquisitions completed during the nine months ended September 30, 2022.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Acquisition costs are expensed as incurred and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consolidated statements of operations. For the three months ended September 30, 2022 and 2021, the Company’s acquisition expenses were insignificant, and for the nine months ended September 30, 2022 and 2021 were $10,824 and $18,037, respectively, which include costs related to legal, accounting, valuation, insurance, general administrative, and other consulting fees. For the three and nine months ended September 30, 2022, $350 and $10,149, respectively, of the Company’s acquisition expenses related to the acquisition of Power Line Systems. For the three and nine months ended September 30, 2021, $389 and $16,285, respectively, of the Company’s acquisition expenses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4"/>
          </w:tcPr>
          <w:p>
            <w:pPr>
              <w:jc w:val="right"/>
              <w:ind w:right="1231"/>
              <w:spacing w:after="0"/>
              <w:rPr>
                <w:sz w:val="20"/>
                <w:szCs w:val="20"/>
                <w:color w:val="auto"/>
              </w:rPr>
            </w:pPr>
            <w:r>
              <w:rPr>
                <w:rFonts w:ascii="Times New Roman" w:cs="Times New Roman" w:eastAsia="Times New Roman" w:hAnsi="Times New Roman"/>
                <w:sz w:val="16"/>
                <w:szCs w:val="16"/>
                <w:b w:val="1"/>
                <w:bCs w:val="1"/>
                <w:color w:val="auto"/>
              </w:rPr>
              <w:t>Acquisitions Completed in</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8"/>
                <w:szCs w:val="18"/>
                <w:color w:val="auto"/>
              </w:rPr>
            </w:pPr>
          </w:p>
        </w:tc>
        <w:tc>
          <w:tcPr>
            <w:tcW w:w="186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738,810</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1,072,820</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Shares issued at closing </w:t>
            </w:r>
            <w:r>
              <w:rPr>
                <w:rFonts w:ascii="Times New Roman" w:cs="Times New Roman" w:eastAsia="Times New Roman" w:hAnsi="Times New Roman"/>
                <w:sz w:val="23"/>
                <w:szCs w:val="23"/>
                <w:color w:val="auto"/>
                <w:vertAlign w:val="superscript"/>
              </w:rPr>
              <w:t>(1)(2)</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182,390</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23"/>
                <w:szCs w:val="23"/>
                <w:color w:val="auto"/>
              </w:rPr>
            </w:pPr>
          </w:p>
        </w:tc>
        <w:tc>
          <w:tcPr>
            <w:tcW w:w="2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non-contingent consideration, net</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1,269,844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5 years)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(weighted average useful life of 10 and 9 years, respectively)</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80,328</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9 and 10 years, respectively)</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2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119,888</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323,434</w:t>
            </w:r>
          </w:p>
        </w:tc>
        <w:tc>
          <w:tcPr>
            <w:tcW w:w="0" w:type="dxa"/>
            <w:vAlign w:val="bottom"/>
          </w:tcPr>
          <w:p>
            <w:pPr>
              <w:spacing w:after="0"/>
              <w:rPr>
                <w:sz w:val="1"/>
                <w:szCs w:val="1"/>
                <w:color w:val="auto"/>
              </w:rPr>
            </w:pPr>
          </w:p>
        </w:tc>
      </w:tr>
      <w:tr>
        <w:trPr>
          <w:trHeight w:val="25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(53,342)</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203,494</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639,509</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1,066,350</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1,269,844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right="20" w:hanging="332"/>
        <w:spacing w:after="0" w:line="250" w:lineRule="exact"/>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3,141,342 shares issued at closing, 83,627 shares are subject to forfeiture if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employment service conditions are not met and accordingly are being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over the related forfeiture period of two years (see Note 15).</w:t>
      </w:r>
    </w:p>
    <w:p>
      <w:pPr>
        <w:spacing w:after="0" w:line="7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value adjustment of $16,943 was applied to the stock consideration due to restrictions on the transfer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determined in accordance with the Company’s revenue recognition policies (see Note 3).</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The Company expects $524,360 of the goodwill recorded relating to the 2022 acquisitions will be deductible for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Had the acquisition of Seequent been made at the beginning of 2020, unaudited pro forma total revenues for the nine months ended September 30, 2021 would have been $749,923. Net (loss) income, net (loss) income per share, basic, and net (loss) income per share, diluted for the nine months ended September 30, 2021 would not have been materially different than the amounts reported primarily due to the pro forma adjustments to reflect the amortization of purchased intangibles and the cost to finance the transaction, net of the related tax effects.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is for informational purposes only and is not indicative of the results of operations that would have been achieved if the acquisition had taken place at the beginning of 2021.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35,188</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(73,929)</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$2,613 and $3,028 for the three months ended September 30, 2022 and 2021, respectively, and $8,025 and $8,142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Equipment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 for the nine months ended September 30, 2022. Subsequent to the transaction, ongoing operating and fixed costs of the aircraft are shared on a proportional use basis subject to a cost-sharing agreement. Such costs were not material during the nine months ended September 30, 2022. Pursuant to FASB Accounting Standards Codification (“ASC”) Topic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determined this transaction was with a related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1,588,477</w:t>
            </w:r>
          </w:p>
        </w:tc>
        <w:tc>
          <w:tcPr>
            <w:tcW w:w="0" w:type="dxa"/>
            <w:vAlign w:val="bottom"/>
          </w:tcPr>
          <w:p>
            <w:pPr>
              <w:spacing w:after="0"/>
              <w:rPr>
                <w:sz w:val="1"/>
                <w:szCs w:val="1"/>
                <w:color w:val="auto"/>
              </w:rPr>
            </w:pPr>
          </w:p>
        </w:tc>
      </w:tr>
      <w:tr>
        <w:trPr>
          <w:trHeight w:val="270"/>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639,509</w:t>
            </w:r>
          </w:p>
        </w:tc>
        <w:tc>
          <w:tcPr>
            <w:tcW w:w="0" w:type="dxa"/>
            <w:vAlign w:val="bottom"/>
          </w:tcPr>
          <w:p>
            <w:pPr>
              <w:spacing w:after="0"/>
              <w:rPr>
                <w:sz w:val="1"/>
                <w:szCs w:val="1"/>
                <w:color w:val="auto"/>
              </w:rPr>
            </w:pPr>
          </w:p>
        </w:tc>
      </w:tr>
      <w:tr>
        <w:trPr>
          <w:trHeight w:val="270"/>
        </w:trPr>
        <w:tc>
          <w:tcPr>
            <w:tcW w:w="3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70"/>
        </w:trPr>
        <w:tc>
          <w:tcPr>
            <w:tcW w:w="2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2,193,053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Details of intangible assets other than goodwill are as follows:</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8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3-5 years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39,854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101,588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(63,225)</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38,363</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214,434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245,325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161,526</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42,187</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297,570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410,343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(168,056)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242,287</w:t>
            </w: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not subject to</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development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0" w:type="dxa"/>
            <w:vAlign w:val="bottom"/>
          </w:tcPr>
          <w:p>
            <w:pPr>
              <w:spacing w:after="0"/>
              <w:rPr>
                <w:sz w:val="1"/>
                <w:szCs w:val="1"/>
                <w:color w:val="auto"/>
              </w:rPr>
            </w:pPr>
          </w:p>
        </w:tc>
      </w:tr>
      <w:tr>
        <w:trPr>
          <w:trHeight w:val="23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301,173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413,890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(168,056)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245,834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was reflected in the Company’s consolidated statements of operations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Company’s investments consist of cost method investments of $21,690 and $6,438,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the Company’s equity method investment was zero as of September 30, 2022 and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Method Investments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iTwin Ventures</w:t>
      </w:r>
      <w:r>
        <w:rPr>
          <w:rFonts w:ascii="Times New Roman" w:cs="Times New Roman" w:eastAsia="Times New Roman" w:hAnsi="Times New Roman"/>
          <w:sz w:val="18"/>
          <w:szCs w:val="18"/>
          <w:color w:val="auto"/>
        </w:rPr>
        <w:t xml:space="preserve">, the Company invests in technology development companies, generally in the form of equity interests or convertible notes. In July 2022, the Company acquired an equity interest in Teralytics Holdings AG, a global platform company for human mobility analysis, via contribution of its Streetlytics mobility data business (“Streetlytics”) and cash. The transaction resulted in an insignificant gain from the divestiture of Streetlytics,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for the three and nine months ended September 30, 2022. As of September 30, 2022, the investment in Teralytics was $11,130. Including the contribution of Streetlytics, for the nine months ended September 30, 2022, the Company invested a total of $14,921.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w:t>
      </w:r>
    </w:p>
    <w:p>
      <w:pPr>
        <w:spacing w:after="0" w:line="200"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Digital Construction Works, Inc. (“DCW”), a 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joint venture with Topcon Positioning Systems, Inc., operates as a digital integrator of software and cloud services for the construction industry. DCW’s focus is to transform the construction industry from its legacy document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centric paradigm by simplifying and enabling digital automated workflows and processes, technology integration, and digital twinning services for infrastructure. For the nine months ended September 30, 2022, the Company invested $1,700 in DCW. Pursuant to FASB ASC Topic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nine months ended September 30, 2022, transactions between the Company and DCW were not material to the Company’s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automobiles, and the Company’s finance lease consists of computer equipment. The finance lease is not material for the periods presented and it expired during the second quarter of 2022. As of September 30, 2022, the Company’s leases have remaining terms of less than one year to eight years, some of which include one or more options to renew, with renewal terms from one year to ten years and some of which include options to terminate the leases from less than one year to five years.</w:t>
      </w:r>
    </w:p>
    <w:p>
      <w:pPr>
        <w:spacing w:after="0" w:line="151"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For contracts with lease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or lease liability for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(leases with a term of twelve months or less).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are recognized in the consolidated statements of operations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statements of operations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7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w:t>
            </w:r>
          </w:p>
        </w:tc>
      </w:tr>
      <w:tr>
        <w:trPr>
          <w:trHeight w:val="21"/>
        </w:trPr>
        <w:tc>
          <w:tcPr>
            <w:tcW w:w="3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17" w:lineRule="exact"/>
        <w:rPr>
          <w:sz w:val="20"/>
          <w:szCs w:val="20"/>
          <w:color w:val="auto"/>
        </w:rPr>
      </w:pPr>
    </w:p>
    <w:p>
      <w:pPr>
        <w:ind w:left="340" w:right="2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rent cost related to operating leases for office facilities of $4,553 and $4,619 for the three months ended September 30, 2022 and 2021, respectively, and $15,120 and $13,588 for the nine months ended September 30,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information related to leases </w:t>
      </w:r>
      <w:r>
        <w:rPr>
          <w:rFonts w:ascii="Times New Roman" w:cs="Times New Roman" w:eastAsia="Times New Roman" w:hAnsi="Times New Roman"/>
          <w:sz w:val="18"/>
          <w:szCs w:val="18"/>
          <w:color w:val="212529"/>
        </w:rPr>
        <w:t>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6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Right-of-use assets obtained in exchange for new operating lease liabilities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11" w:lineRule="exact"/>
        <w:rPr>
          <w:sz w:val="20"/>
          <w:szCs w:val="20"/>
          <w:color w:val="auto"/>
        </w:rPr>
      </w:pPr>
    </w:p>
    <w:p>
      <w:pPr>
        <w:ind w:left="340" w:hanging="332"/>
        <w:spacing w:after="0" w:line="239" w:lineRule="exact"/>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obtained in exchange for new operating lease liabilities does not include the impact from acquisitions of $1,237 and $12,074 for the nine months ended September 30, 2022 and 2021, respectively.</w:t>
      </w:r>
    </w:p>
    <w:p>
      <w:pPr>
        <w:spacing w:after="0" w:line="1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was 3.9 years and 4.1 years as of September 30, 2022 and December 31, 2021, respectively. The weighted average discount rate was 3.2% and 2.5% as of September 30, 2022 and December 31,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2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46,857</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43,854</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additional operating lease minimum lease payments of $3,878 for executed leases that have not yet commenced, primarily for office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financing lease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financing lease liabilities included in </w:t>
            </w:r>
            <w:r>
              <w:rPr>
                <w:rFonts w:ascii="Times New Roman" w:cs="Times New Roman" w:eastAsia="Times New Roman" w:hAnsi="Times New Roman"/>
                <w:sz w:val="18"/>
                <w:szCs w:val="18"/>
                <w:i w:val="1"/>
                <w:iCs w:val="1"/>
                <w:color w:val="auto"/>
              </w:rPr>
              <w:t>Accruals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CSS deposits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202,152</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Accrued benefits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Due to customers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stay bonus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Accrued cloud provisioning costs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Accrued indirect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6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Note 10: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Debt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credit facility:</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Revolving loan facility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344,661</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7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7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50"/>
        </w:trPr>
        <w:tc>
          <w:tcPr>
            <w:tcW w:w="7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Term loan net carrying value</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195,819</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199,466</w:t>
            </w:r>
          </w:p>
        </w:tc>
      </w:tr>
      <w:tr>
        <w:trPr>
          <w:trHeight w:val="25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credit facility net carrying value</w:t>
            </w: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540,480</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(14,677)</w:t>
            </w:r>
          </w:p>
        </w:tc>
      </w:tr>
      <w:tr>
        <w:trPr>
          <w:trHeight w:val="25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 Notes net carrying value</w:t>
            </w: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678,047</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675,323</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w:t>
            </w:r>
          </w:p>
        </w:tc>
      </w:tr>
      <w:tr>
        <w:trPr>
          <w:trHeight w:val="25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 Notes net carrying value</w:t>
            </w: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563,083</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561,203</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carrying value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1,435,992</w:t>
            </w: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1,776,610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1,430,992</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Credit Facility</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an amended and restated Credit Agreement, which provides for an $850,000 senior secured revolving loan facility with a maturity date of November 15, 2025 and a $200,000 senior secured term loan as described further below (the “Credit Facility”).</w:t>
      </w:r>
    </w:p>
    <w:p>
      <w:pPr>
        <w:spacing w:after="0" w:line="16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The Company’s $200,000 senior secured term loan has a maturity of November 15, 2025 (the “2021 Term Loan”). The 2021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 The Company incurred $540 of debt issuance costs related to the 2021 Term Loan. The Company used borrowings under the 2021 Term Loan to pay down borrowings under the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revolving loan facility under the Credit Facility.</w:t>
      </w:r>
    </w:p>
    <w:p>
      <w:pPr>
        <w:spacing w:after="0" w:line="17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the senior secured revolving loan facility, the Credit Facility also provides up to $50,000 of letters of credit and other borrowings subject to availability, including a $85,000 U.S. Dollar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a $200,000 incremental “accordion”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The Company had $150 of letters of credit and surety bonds outstanding as of September 30, 2022 and December 31, 2021. As of September 30, 2022 and December 31, 2021, the Company had $505,189 and $849,850, respectively, available under the Credit Facility.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net leverage ratios. As of September 30, 2022 and December 31, 2021, the Company was in compliance with all covenants in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 January 26, 2021, the Company completed a private offering of $690,000 of 0.125% convertible senior notes due 2026 (the “2026 Notes”). The 2026 Notes were issued pursuant to an indenture, dated as of January 26, 2021, between the Company and Wilmington Trust, National Association, as trustee (the “2026 Indenture”). Interest will accrue from January 26,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the payment of initial purchasers’ discounts and commissions, professional fees, and other expenses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Notes were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none of the conditions of the 2026 Notes to early convert has been met.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2026 Notes contain both affirmative and negative covenants. As of September 30, 2022, the Company was in compliance with all covenants in the 2026 Notes.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Capped Call Options </w:t>
      </w:r>
      <w:r>
        <w:rPr>
          <w:rFonts w:ascii="Times New Roman" w:cs="Times New Roman" w:eastAsia="Times New Roman" w:hAnsi="Times New Roman"/>
          <w:sz w:val="18"/>
          <w:szCs w:val="18"/>
          <w:color w:val="auto"/>
        </w:rPr>
        <w:t>— In connection with the pricing of the 2026 Notes, the Company entered into capped call options with certain of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June 28, 2021, the Company completed a private offering of $575,000 of 0.375% convertible senior notes due 2027 (the “2027 Notes”). The 2027 Notes were issued pursuant to an indenture, dated as of June 28, 2021, between the Company and Wilmington Trust, National Association, as trustee (the “2027 Indenture”). Interest will accrue from June 28,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18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were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none of the conditions of the 2027 Notes to early convert has been met.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2027 Notes contain both affirmative and negative covenants. As of September 30, 2022, the Company was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Capped Call Options </w:t>
      </w:r>
      <w:r>
        <w:rPr>
          <w:rFonts w:ascii="Times New Roman" w:cs="Times New Roman" w:eastAsia="Times New Roman" w:hAnsi="Times New Roman"/>
          <w:sz w:val="18"/>
          <w:szCs w:val="18"/>
          <w:color w:val="auto"/>
        </w:rPr>
        <w:t>— In connection with the pricing of the 2027 Notes, the Company entered into capped call options with certain of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or their respective affiliates and certain other financial institutions. The Company incurred $50 of expenses in connection with the capped call options.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credit facility:</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Revolving loan facility </w:t>
            </w:r>
            <w:r>
              <w:rPr>
                <w:rFonts w:ascii="Times New Roman" w:cs="Times New Roman" w:eastAsia="Times New Roman" w:hAnsi="Times New Roman"/>
                <w:sz w:val="23"/>
                <w:szCs w:val="23"/>
                <w:color w:val="auto"/>
                <w:vertAlign w:val="superscript"/>
              </w:rPr>
              <w:t>(1)</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4,441</w:t>
            </w:r>
          </w:p>
        </w:tc>
        <w:tc>
          <w:tcPr>
            <w:tcW w:w="260" w:type="dxa"/>
            <w:vAlign w:val="bottom"/>
          </w:tcPr>
          <w:p>
            <w:pPr>
              <w:spacing w:after="0"/>
              <w:rPr>
                <w:sz w:val="23"/>
                <w:szCs w:val="23"/>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Term loan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2,119</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8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8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3"/>
        </w:trPr>
        <w:tc>
          <w:tcPr>
            <w:tcW w:w="30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6,096</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1,489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0.125% Coupon interest</w:t>
            </w:r>
          </w:p>
        </w:tc>
        <w:tc>
          <w:tcPr>
            <w:tcW w:w="8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30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1,124</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1,130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w:t>
            </w:r>
          </w:p>
        </w:tc>
      </w:tr>
      <w:tr>
        <w:trPr>
          <w:trHeight w:val="20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0.375% Coupon interest</w:t>
            </w:r>
          </w:p>
        </w:tc>
        <w:tc>
          <w:tcPr>
            <w:tcW w:w="8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30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1,195</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1,178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8,491</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3,861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r>
      <w:tr>
        <w:trPr>
          <w:trHeight w:val="20"/>
        </w:trPr>
        <w:tc>
          <w:tcPr>
            <w:tcW w:w="3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loan facility and term loan weighted average interest rate was 4.34% and 2.33% for the three months ended September 30, 2022 and 2021, respectively, and 3.20% and 2.02%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has a termination date of April 2, 2030. Under the terms of the interest rate swap, the Company fixed its LIBOR borrowing rate at 0.73% on a notional amount of $200,000. The interest rate swap is not designated as a hedging instrument for accounting purposes. The Company accounts for the interest rate swap as either an asset or a liability in the consolidated balance sheets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As of September 30, 2022 and December 31, 2021, the Company recorded a swap related asset at fair value of $39,435 and $10,117, respectively,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22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Certain of the Company’s key employees, including its named executive officers, participate in the amended and restated Bentley Systems, Incorporated Bonus Pool Plan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participants and participant charitable contributions.</w:t>
      </w:r>
    </w:p>
    <w:p>
      <w:pPr>
        <w:spacing w:after="0" w:line="183"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DCP (see Note 12). A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is payable in cash, however, the Bonus Plan provides, in part, that a participant may elect to receive any portion, or all, of such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issued under the Bentley Systems, Incorporated 2020 Omnibus Incentive Plan, subject to the limitation described below. The Company records the election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bonuses exceeds $7,500, the portion of each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and 2021, the incentive compensation, including cash payments, election to receive shares of fully vested Class B Common Stock, and deferred compensation to plan participants, recognized under this plan (net of all applicable holdbacks) was $8,454 and $8,128, respectively, and $24,984 and $24,686 for the nine months ended September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2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Under the Company’s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26" w:lineRule="exact"/>
        <w:rPr>
          <w:sz w:val="20"/>
          <w:szCs w:val="20"/>
          <w:color w:val="auto"/>
        </w:rPr>
      </w:pPr>
      <w:r>
        <w:rPr>
          <w:rFonts w:ascii="Times New Roman" w:cs="Times New Roman" w:eastAsia="Times New Roman" w:hAnsi="Times New Roman"/>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reclassified cumulative compensation cost of $4,739 from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Deferred compensation plan liabilities</w:t>
      </w:r>
      <w:r>
        <w:rPr>
          <w:rFonts w:ascii="Times New Roman" w:cs="Times New Roman" w:eastAsia="Times New Roman" w:hAnsi="Times New Roman"/>
          <w:sz w:val="18"/>
          <w:szCs w:val="18"/>
          <w:color w:val="auto"/>
        </w:rPr>
        <w:t xml:space="preserve"> in the consolidated balance sheet and recognized a compensation charge of $90,721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expenses in the consolidated statements of operations to record the reallocated deferred compensation plan liabilities at their fair value of $95,460.</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DCP participants’ holdings in phantom investment funds are classified as liabilities in either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plan liabilities </w:t>
      </w:r>
      <w:r>
        <w:rPr>
          <w:rFonts w:ascii="Times New Roman" w:cs="Times New Roman" w:eastAsia="Times New Roman" w:hAnsi="Times New Roman"/>
          <w:sz w:val="18"/>
          <w:szCs w:val="18"/>
          <w:color w:val="auto"/>
        </w:rPr>
        <w:t>in the consolidated balance sheets as they will be settled in cash upon eventual distribution. The deferred compensation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plan </w:t>
      </w:r>
      <w:r>
        <w:rPr>
          <w:rFonts w:ascii="Times New Roman" w:cs="Times New Roman" w:eastAsia="Times New Roman" w:hAnsi="Times New Roman"/>
          <w:sz w:val="18"/>
          <w:szCs w:val="18"/>
          <w:color w:val="auto"/>
        </w:rPr>
        <w:t>in the consolidated statements of operations.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income was $4,576 and $21,873 for the three and nine months ended September 30, 2022, respectively.</w:t>
      </w:r>
      <w:r>
        <w:rPr>
          <w:rFonts w:ascii="Times New Roman" w:cs="Times New Roman" w:eastAsia="Times New Roman" w:hAnsi="Times New Roman"/>
          <w:sz w:val="18"/>
          <w:szCs w:val="18"/>
          <w:i w:val="1"/>
          <w:iCs w:val="1"/>
          <w:color w:val="auto"/>
        </w:rPr>
        <w:t xml:space="preserve"> Deferred compensation plan </w:t>
      </w:r>
      <w:r>
        <w:rPr>
          <w:rFonts w:ascii="Times New Roman" w:cs="Times New Roman" w:eastAsia="Times New Roman" w:hAnsi="Times New Roman"/>
          <w:sz w:val="18"/>
          <w:szCs w:val="18"/>
          <w:color w:val="auto"/>
        </w:rPr>
        <w:t>expense was $88,965 and $89,327 for the three and nine months ended September 30, 2021, respectively.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DCP elective participant deferrals were $1,586 and $527, respectively, and $4,694 and $2,020 for the nine months ended September 30, 2022 and 2021, respectively. No discretionary contributions were made to the DCP during the three and nine months ended September 30, 2022 and 2021. As of September 30, 2022 and December 31, 2021, phantom shares of the Company’s Class B Common Stock issuable by the DCP were 21,535,748 and 25,384,449,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liabilities related to the DCP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94,890</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DCP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BSY Stock Repurchase Program</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 May 11, 2022, the Company announced that its board of directors approved the BSY Stock Repurchase Program (the “Repurchase Program”) authorizing the Company to repurchase up to $200,000 of the Company’s Class B Common Stock through June 30, 2024. The Repurchase Program is used to offset dilution from the issuance of the Company’s Class B Common Stock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plans to enhance stockholder value. The shares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repurchased under the Repurchase Program, will be determined by the Company at its discretion and will depend on a variety of factors, including management’s assessment of the intrinsic value of the Company’s shares, the market price of the Company’s Class B Common Stock, general market and economic conditions, available liquidity, compliance with the Company’s debt and other agreements, and applicable legal requirements. The exact number of shares to be repurchased by the Company is not guaranteed, and the Repurchase Program may be suspended, modified, or discontinued at any time without prior notice. For the nine months ended September 30, 2022, the Company repurchased 896,126 shares for $28,250.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Issuances, Sales, and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2021, the Company issued 3,141,342 shares of the Company’s Class B Common Stock pursuant to the acquisition of Seequent (see Note 4).</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2022, the Company issued 2,272,603 shares of Class B Common Stock to colleagues who exercised their stock options, net of 362,826 shares withheld at exercise to pay for the cost of the stock options, as well as for $8,459 of applicable income tax withholdings. The Company received $6,855 in proceeds from the exercise of stock options. For the nine months ended September 30, 2021, the Company issued 4,269,335 shares of Class B Common Stock to colleagues who exercised their stock options, net of 993,302 shares withheld at exercise to pay for the cost of the stock options, as well as for $34,988 of applicable income tax withholdings. The Company received $5,039 in proceeds from the exercise of stock options.</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Company issued 185,178 shares of Class B Common Stock related to the exercise of acquisition options (see Note 15), net of 714,822 shares withheld at exercise to pay for the cost of the options. The Company did not receive any proceeds from the exercise of these options.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issued 284,992 and 190,619 shares of Class B Common Stock, respectively, in connection with Bonus Plan incentive compensation, net of shares withheld. Of the total 409,108 shares awarded for the nine months ended September 30, 2022, 124,116 shares were sold back to the Company in the same period to pay for applicable income tax withholdings of $5,197. Of the total 322,160 shares awarded for the nine months ended September 30, 2021, 131,541 shares were sold back to the Company in the same period to pay for applicable income tax withholdings of $6,586.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issued 3,523,386 and 2,290,999 shares of Class B Common Stock, respectively, to DCP participants in connection with distributions from the plan. The distribution in shares for the nine months ended September 30, 2022 totaled 4,023,718 shares of which 500,332 shares were sold back to the Company in the same period to pay for applicable income tax withholdings of $24,246. The distribution in shares for the nine months ended September 30, 2021 totaled 3,674,787 shares of which 1,383,788 shares were sold back to the Company in the same period to pay for applicable income tax withholdings of $65,684.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declared cash dividends during the periods presented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20" w:type="dxa"/>
            <w:vAlign w:val="bottom"/>
          </w:tcPr>
          <w:p>
            <w:pPr>
              <w:spacing w:after="0"/>
              <w:rPr>
                <w:sz w:val="19"/>
                <w:szCs w:val="19"/>
                <w:color w:val="auto"/>
              </w:rPr>
            </w:pPr>
          </w:p>
        </w:tc>
        <w:tc>
          <w:tcPr>
            <w:tcW w:w="1220" w:type="dxa"/>
            <w:vAlign w:val="bottom"/>
          </w:tcPr>
          <w:p>
            <w:pPr>
              <w:jc w:val="right"/>
              <w:ind w:right="271"/>
              <w:spacing w:after="0" w:line="222" w:lineRule="exact"/>
              <w:rPr>
                <w:sz w:val="20"/>
                <w:szCs w:val="20"/>
                <w:color w:val="auto"/>
              </w:rPr>
            </w:pPr>
            <w:r>
              <w:rPr>
                <w:rFonts w:ascii="Times New Roman" w:cs="Times New Roman" w:eastAsia="Times New Roman" w:hAnsi="Times New Roman"/>
                <w:sz w:val="16"/>
                <w:szCs w:val="16"/>
                <w:b w:val="1"/>
                <w:bCs w:val="1"/>
                <w:color w:val="auto"/>
              </w:rPr>
              <w:t xml:space="preserve">Amount </w:t>
            </w:r>
            <w:r>
              <w:rPr>
                <w:rFonts w:ascii="Times New Roman" w:cs="Times New Roman" w:eastAsia="Times New Roman" w:hAnsi="Times New Roman"/>
                <w:sz w:val="21"/>
                <w:szCs w:val="21"/>
                <w:b w:val="1"/>
                <w:bCs w:val="1"/>
                <w:color w:val="auto"/>
                <w:vertAlign w:val="superscript"/>
              </w:rPr>
              <w:t>(1)</w:t>
            </w:r>
          </w:p>
        </w:tc>
      </w:tr>
      <w:tr>
        <w:trPr>
          <w:trHeight w:val="20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declared dividends for certain restricted stock awards and restricted stock units, and are net of forfeitures.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Employee Stock Purchase Plan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Bentley Systems, Incorporated Global Employee Stock Purchase Plan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During the nine months ended September 30, 2022, colleagues who elected to participate in the ESPP purchased a total of 307,406 shares of Class B Common Stock, net of shares withheld, resulting in cash proceeds to the Company of $10,335. Of the total 314,471 shares purchased, 7,065 shares were sold back to the Company to pay for applicable income tax withholdings of $273. During the nine months ended September 30, 2021, colleagues who elected to participate in the ESPP purchased a total of 104,716 shares of Class B Common Stock, net of shares withheld, resulting in cash proceeds to the Company of $3,845. Of the total 111,486 shares purchased, 6,770 shares were sold back to the Company to pay for applicable income tax withholdings of $438. As of September 30, 2022 and December 31, 2021, $2,693 and $4,818 of ESPP withholdings via colleague payroll deduction were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three months ended September 30,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(89,131)</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(54,886)</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nine months ended September 30,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(55,622)</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consists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2"/>
        </w:trPr>
        <w:tc>
          <w:tcPr>
            <w:tcW w:w="5200" w:type="dxa"/>
            <w:vAlign w:val="bottom"/>
            <w:gridSpan w:val="2"/>
            <w:shd w:val="clear" w:color="auto" w:fill="CCEEFF"/>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Restricted stock and restricted stock units (“RSUs”) expense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Bonus Plan expense (see Note 11)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expense (see Note 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expense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DCP elective participant deferrals expense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(see Note 12)</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52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51,359</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88" w:lineRule="exact"/>
        <w:rPr>
          <w:sz w:val="20"/>
          <w:szCs w:val="20"/>
          <w:color w:val="auto"/>
        </w:rPr>
      </w:pPr>
    </w:p>
    <w:p>
      <w:pPr>
        <w:ind w:left="320" w:hanging="312"/>
        <w:spacing w:after="0" w:line="207" w:lineRule="exact"/>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shares (see Note 4).</w:t>
      </w:r>
    </w:p>
    <w:p>
      <w:pPr>
        <w:spacing w:after="0" w:line="14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DCP elective participant deferrals expense excludes deferred incentive bonus payable pursuant to the Bonus Plan.</w:t>
      </w:r>
    </w:p>
    <w:p>
      <w:pPr>
        <w:spacing w:after="0" w:line="115" w:lineRule="exact"/>
        <w:rPr>
          <w:rFonts w:ascii="Times New Roman" w:cs="Times New Roman" w:eastAsia="Times New Roman" w:hAnsi="Times New Roman"/>
          <w:sz w:val="18"/>
          <w:szCs w:val="18"/>
          <w:color w:val="auto"/>
        </w:rPr>
      </w:pPr>
    </w:p>
    <w:p>
      <w:pPr>
        <w:ind w:left="340" w:hanging="332"/>
        <w:spacing w:after="0" w:line="284"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September 30, 2022 and December 31, 2021, $7,382 and $6,749 remained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w:t>
      </w:r>
    </w:p>
    <w:p>
      <w:pPr>
        <w:spacing w:after="0" w:line="1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operations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32,853</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and related information under the Company’s applicable equity incentive plans: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6,917,925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(2,635,429)</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(105,500)</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4,176,996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104,542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September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3,225,496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received cash proceeds of $6,855 and $5,039, respectively, related to the exercise of stock options. The total intrinsic value of stock options exercised for the nine months ended September 30, 2022 and 2021 was $89,532 and $250,795,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$749 of unrecognized compensation expense related to unvested stock options, which is expected to be recognized over a weighted average period of approximately 0.5 years.</w:t>
      </w:r>
    </w:p>
    <w:p>
      <w:pPr>
        <w:spacing w:after="0" w:line="16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Acquisition Options </w:t>
      </w:r>
      <w:r>
        <w:rPr>
          <w:rFonts w:ascii="Times New Roman" w:cs="Times New Roman" w:eastAsia="Times New Roman" w:hAnsi="Times New Roman"/>
          <w:sz w:val="18"/>
          <w:szCs w:val="18"/>
          <w:color w:val="auto"/>
        </w:rPr>
        <w:t>— In addition to stock options granted under the Company’s equity incentive plans, in connection with an acquisition completed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the Company issued to certain selling shareholder entities options to acquire an aggregate of up to 900,000 shares of Class B Common Stock. The options had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were exercisable on March 27, 2022, and had an initial exercise price of $6.805 per share. The exercise price of the options was subject to a cap and collar adjustment mechanism that automatically reduces (but not to less than $0.01) or increases the exercise price based on the difference between the exercise price and the fair market value of the Company’s Class B Common Stock on the exercise date. During the nine months ended September 30, 2022, 900,000 shares were exercised. No acquisition options remain outstanding as of September 30,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RSUs</w:t>
      </w:r>
    </w:p>
    <w:p>
      <w:pPr>
        <w:spacing w:after="0" w:line="20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Under the equity incentive plans, the Company may grant both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vesting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and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performance targets. Performance targets are generally set for performance periods of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is a summary of unvested restricted stock and RSU activity and related information under the Company’s applicable equity incentive plans: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Based</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7"/>
                <w:szCs w:val="17"/>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3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1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1,708,545</w:t>
            </w:r>
          </w:p>
        </w:tc>
        <w:tc>
          <w:tcPr>
            <w:tcW w:w="4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1,611,862</w:t>
            </w:r>
          </w:p>
        </w:tc>
        <w:tc>
          <w:tcPr>
            <w:tcW w:w="4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500" w:type="dxa"/>
            <w:vAlign w:val="bottom"/>
            <w:tcBorders>
              <w:top w:val="single" w:sz="8" w:color="CCEEFF"/>
            </w:tcBorders>
            <w:shd w:val="clear" w:color="auto" w:fill="CCEEFF"/>
          </w:tcPr>
          <w:p>
            <w:pPr>
              <w:jc w:val="right"/>
              <w:ind w:right="302"/>
              <w:spacing w:after="0" w:line="136" w:lineRule="exact"/>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32.81</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r>
      <w:tr>
        <w:trPr>
          <w:trHeight w:val="27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1,598,661</w:t>
            </w: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85"/>
              </w:rPr>
              <w:t>(1)</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1,235,888</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362,773</w:t>
            </w:r>
          </w:p>
        </w:tc>
        <w:tc>
          <w:tcPr>
            <w:tcW w:w="50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auto"/>
                <w:w w:val="85"/>
              </w:rPr>
              <w:t>(5)</w:t>
            </w:r>
          </w:p>
        </w:tc>
        <w:tc>
          <w:tcPr>
            <w:tcW w:w="16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38.82</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38.21</w:t>
            </w:r>
          </w:p>
        </w:tc>
      </w:tr>
      <w:tr>
        <w:trPr>
          <w:trHeight w:val="270"/>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(477,283)</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(386,113)</w:t>
            </w:r>
          </w:p>
        </w:tc>
        <w:tc>
          <w:tcPr>
            <w:tcW w:w="44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 xml:space="preserve">(91,170)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26.40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r>
      <w:tr>
        <w:trPr>
          <w:trHeight w:val="270"/>
        </w:trPr>
        <w:tc>
          <w:tcPr>
            <w:tcW w:w="3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(147,816)</w:t>
            </w:r>
          </w:p>
        </w:tc>
        <w:tc>
          <w:tcPr>
            <w:tcW w:w="4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(142,303)</w:t>
            </w:r>
          </w:p>
        </w:tc>
        <w:tc>
          <w:tcPr>
            <w:tcW w:w="44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5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33.64</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2022</w:t>
            </w:r>
          </w:p>
        </w:tc>
        <w:tc>
          <w:tcPr>
            <w:tcW w:w="11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2,682,107</w:t>
            </w:r>
          </w:p>
        </w:tc>
        <w:tc>
          <w:tcPr>
            <w:tcW w:w="42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(2)</w:t>
            </w:r>
          </w:p>
        </w:tc>
        <w:tc>
          <w:tcPr>
            <w:tcW w:w="11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2,319,334</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362,773</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37.02</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38.21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2022, the Company only granted RSUs.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50,917 RSUs which are expected to be settled in cash.</w:t>
      </w:r>
    </w:p>
    <w:p>
      <w:pPr>
        <w:spacing w:after="0" w:line="88" w:lineRule="exact"/>
        <w:rPr>
          <w:rFonts w:ascii="Times New Roman" w:cs="Times New Roman" w:eastAsia="Times New Roman" w:hAnsi="Times New Roman"/>
          <w:sz w:val="18"/>
          <w:szCs w:val="18"/>
          <w:color w:val="auto"/>
        </w:rPr>
      </w:pPr>
    </w:p>
    <w:p>
      <w:pPr>
        <w:ind w:left="340" w:hanging="332"/>
        <w:spacing w:after="0" w:line="239" w:lineRule="exact"/>
        <w:tabs>
          <w:tab w:leader="none" w:pos="334"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Includes 199,076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during the three months ended March 31, 2022 to certain officers and key employees, which cliff vest on January 31, 2025.</w:t>
      </w:r>
    </w:p>
    <w:p>
      <w:pPr>
        <w:spacing w:after="0" w:line="62" w:lineRule="exact"/>
        <w:rPr>
          <w:rFonts w:ascii="Times New Roman" w:cs="Times New Roman" w:eastAsia="Times New Roman" w:hAnsi="Times New Roman"/>
          <w:sz w:val="18"/>
          <w:szCs w:val="18"/>
          <w:color w:val="231F20"/>
        </w:rPr>
      </w:pPr>
    </w:p>
    <w:p>
      <w:pPr>
        <w:ind w:left="340" w:hanging="332"/>
        <w:spacing w:after="0" w:line="239" w:lineRule="exact"/>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2021 annual performance period. 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associated with these awards was fully recognized as of December 31, 2021.</w:t>
      </w:r>
    </w:p>
    <w:p>
      <w:pPr>
        <w:spacing w:after="0" w:line="62" w:lineRule="exact"/>
        <w:rPr>
          <w:rFonts w:ascii="Times New Roman" w:cs="Times New Roman" w:eastAsia="Times New Roman" w:hAnsi="Times New Roman"/>
          <w:sz w:val="18"/>
          <w:szCs w:val="18"/>
          <w:color w:val="auto"/>
        </w:rPr>
      </w:pPr>
    </w:p>
    <w:p>
      <w:pPr>
        <w:ind w:left="340" w:hanging="332"/>
        <w:spacing w:after="0" w:line="239" w:lineRule="exact"/>
        <w:tabs>
          <w:tab w:leader="none" w:pos="334"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Primarily relates to the 2022 annual performance period, except for 185,186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during the three months ended March 31, 2022 with extraordinary terms, which are described below.</w:t>
      </w:r>
    </w:p>
    <w:p>
      <w:pPr>
        <w:spacing w:after="0" w:line="17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During the three months ended March 31, 2022, the Company granted 185,186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of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will be subject to a cliff, whereby no vesting of that portion will occur unless the Company’s Adjusted EBITDA margin also equals or exceeds the relevant target level for such year. Provided Adjusted EBITDA margin targets are met, the total number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that will vest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Final actual vesting will be determined on January 31, 2025.</w:t>
      </w:r>
    </w:p>
    <w:p>
      <w:pPr>
        <w:spacing w:after="0" w:line="17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During the three months ended March 31, 2022, the Company granted 120,599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to certain officers and key employees, which vest subject to the achievement of certain performance goals related to the 2022 annual performance period. Provided Adjusted EBITDA margin targets are met, the total number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that will vest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To the extent performance exceeds the applicable targets for 2022, these grantees could realize a maximum of 1.25x the number of annual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or 150,749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w:t>
      </w:r>
    </w:p>
    <w:p>
      <w:pPr>
        <w:spacing w:after="0" w:line="151"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2016, the Company granted RSUs subject to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as determined by the achievement of certain business growth targets. Certain colleagues elected to defer delivery of such shares upon vesting. During the nine months ended September 30, 2022 and 2021, 10,888 and 10,864 shares, respectively, were delivered to colleagues, and 23 and 33 additional shares, respectively, were earned as a result of dividends. As of September 30, 2022 and December 31, 2021, 9,356 and 20,221 shares, respectively, of these vested and deferred RSUs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RSUs granted were $38.68 and $51.03, for the nine months ended September 30, 2022 and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and 2021, restricted stock and RSUs were issued net of 81,301 and 103,573 shares, respectively, which were sold back to the Company to settle applicable income tax withholdings of $3,208 and $6,352, respectively.</w:t>
      </w:r>
    </w:p>
    <w:p>
      <w:pPr>
        <w:spacing w:after="0" w:line="13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As of September 30, 2022, there was $70,919 of unrecognized compensation expense related to unvested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and RSUs, which is expected to be recognized over a weighted average period of approximately 1.9 years. There was no remaining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As of September 30, 2022, there was $8,604 of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is expected to be recognized over a weighted average period of approximately 1.9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granted 13,632 and 7,824 fully vested shares of Class B Common Stock, respectively, with a fair value of $450.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Subsequent to September 30, 2022</w:t>
      </w:r>
    </w:p>
    <w:p>
      <w:pPr>
        <w:spacing w:after="0" w:line="20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 October 2022, the Company granted 336,809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vest ratably on each of the first four anniversaries of the grant date. The unrecognized compensation expense related to these RSUs is approximately $11,800, which is expected to be recognized over a weighted average period of approximately 4.0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w:t>
      </w:r>
      <w:r>
        <w:rPr>
          <w:rFonts w:ascii="Times New Roman" w:cs="Times New Roman" w:eastAsia="Times New Roman" w:hAnsi="Times New Roman"/>
          <w:sz w:val="18"/>
          <w:szCs w:val="18"/>
          <w:i w:val="1"/>
          <w:iCs w:val="1"/>
          <w:color w:val="auto"/>
        </w:rPr>
        <w:t>Income (loss) before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and effective tax rate for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Income (loss)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47,342</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(42,333)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159,125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52,460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9,664</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8,221</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(5,090)</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9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For the three months ended September 30, 2022, the effective tax rate was higher as compared to the three months ended September 30, 2021 primarily due to the 2021 tax effect, net of officer compensation limitation provisions, related to the 2021 compensation charge of $90,721 to </w:t>
      </w: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expenses to record reallocated deferred compensation plan liabilities at fair value (see Note 12). For the three months ended September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Company also recorded discrete tax benefits of $4,280 and $6,920,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 xml:space="preserve">For the nine months ended September 30, 2022, the effective tax rate was higher as compared to the nine months ended September 30, 2021 primarily due to the 2021 tax effect, net of officer compensation limitation provisions, related to the 2021 compensation charge of $90,721 to </w:t>
      </w: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expenses to record reallocated deferred compensation plan liabilities at fair value (see Note 12). For the nine months ended September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Company also recorded discrete tax benefits of $36,032 and $42,825,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2022, the Company repatriated $150,000 of undistributed previously taxed earnings generated by its foreign subsidiaries to the U.S. The repatriations were used to fund the acquisition of Power Line Systems (see Note 4). The cash repatriations did not have a material impact on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for the nine months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interest rate swap with a notional amount of $200,000 and a termination date of April 2, 2030 to reduce the interest rate risk associated with the Company’s Credit Facility. The interest rate swap is not designated as a hedging instrument for accounting purposes. The Company accounts for the interest rate swap as either an asset or a liability in the consolidated balance sheets and carries the derivative at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interest rate swap activity: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9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Consolidated</w:t>
            </w:r>
          </w:p>
        </w:tc>
      </w:tr>
      <w:tr>
        <w:trPr>
          <w:trHeight w:val="214"/>
        </w:trPr>
        <w:tc>
          <w:tcPr>
            <w:tcW w:w="3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r>
      <w:tr>
        <w:trPr>
          <w:trHeight w:val="232"/>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r>
      <w:tr>
        <w:trPr>
          <w:trHeight w:val="270"/>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from change in fair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29,318</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260" w:type="dxa"/>
            <w:vAlign w:val="bottom"/>
          </w:tcPr>
          <w:p>
            <w:pPr>
              <w:spacing w:after="0"/>
              <w:rPr>
                <w:sz w:val="23"/>
                <w:szCs w:val="23"/>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r>
      <w:tr>
        <w:trPr>
          <w:trHeight w:val="27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(Refunds) payments</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shd w:val="clear" w:color="auto" w:fill="CCEEFF"/>
          </w:tcPr>
          <w:p>
            <w:pPr>
              <w:spacing w:after="0"/>
              <w:rPr>
                <w:sz w:val="23"/>
                <w:szCs w:val="23"/>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 net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7"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 xml:space="preserve">The Company applies the provisions of FASB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items that are recognized or disclosed at fair value in the consolidated financial statements.</w:t>
      </w:r>
    </w:p>
    <w:p>
      <w:pPr>
        <w:spacing w:after="0" w:line="17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 as of September 30, 2022 and December 31, 2021:</w:t>
      </w:r>
    </w:p>
    <w:p>
      <w:pPr>
        <w:spacing w:after="0" w:line="160"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Current assets and current liabilities </w:t>
      </w:r>
      <w:r>
        <w:rPr>
          <w:rFonts w:ascii="Times New Roman" w:cs="Times New Roman" w:eastAsia="Times New Roman" w:hAnsi="Times New Roman"/>
          <w:sz w:val="18"/>
          <w:szCs w:val="18"/>
          <w:color w:val="auto"/>
        </w:rPr>
        <w:t>— In general, the carrying amounts reported on the Company’s consolidated balance sheets for current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liabilities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those instruments.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contingent consideration </w:t>
      </w:r>
      <w:r>
        <w:rPr>
          <w:rFonts w:ascii="Times New Roman" w:cs="Times New Roman" w:eastAsia="Times New Roman" w:hAnsi="Times New Roman"/>
          <w:sz w:val="18"/>
          <w:szCs w:val="18"/>
          <w:color w:val="auto"/>
        </w:rPr>
        <w:t>— The fair value of these liabilities is based on significant inputs not observable in the market, which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3 measurement within the fair value hierarchy. The valuation of contingent consideration uses assumptions the Company believes would be made by a market participant.</w:t>
      </w:r>
    </w:p>
    <w:p>
      <w:pPr>
        <w:spacing w:after="0" w:line="14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i w:val="1"/>
          <w:iCs w:val="1"/>
          <w:color w:val="auto"/>
        </w:rPr>
        <w:t xml:space="preserve">Interest rate swap </w:t>
      </w:r>
      <w:r>
        <w:rPr>
          <w:rFonts w:ascii="Times New Roman" w:cs="Times New Roman" w:eastAsia="Times New Roman" w:hAnsi="Times New Roman"/>
          <w:sz w:val="18"/>
          <w:szCs w:val="18"/>
          <w:color w:val="auto"/>
        </w:rPr>
        <w:t>— The fair value of the Company’s interest rate swap is measured based on the implied forward rates from the U.S. Dollar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yield curve and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The fair value of the Company’s borrowings under its Credit Facility approximated its carrying value based upon discounted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current market rates for instruments with similar remaining terms. The Company considers these valuation inputs to be Level 2 inputs in the fair value hierarchy. As of September 30, 2022, the estimated fair value of the 2026 Notes and 2027 Notes was $582,595 and $439,680, respectively. As of December 31, 2021, the estimated fair value of the 2026 Notes and 2027 Notes was $720,284 and $531,915,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liabilities </w:t>
      </w:r>
      <w:r>
        <w:rPr>
          <w:rFonts w:ascii="Times New Roman" w:cs="Times New Roman" w:eastAsia="Times New Roman" w:hAnsi="Times New Roman"/>
          <w:sz w:val="18"/>
          <w:szCs w:val="18"/>
          <w:color w:val="auto"/>
        </w:rPr>
        <w:t>— The fair value of deferred compensation plan liabilities, including the liability classified phantom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DCP, are marked to market at the end of each reporting period.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carried at fair value measured on a recurring basis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2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w:t>
            </w:r>
          </w:p>
        </w:tc>
      </w:tr>
      <w:tr>
        <w:trPr>
          <w:trHeight w:val="223"/>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39,453</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Acquisition contingent consideration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7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w:t>
            </w: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8"/>
        </w:trPr>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r>
      <w:tr>
        <w:trPr>
          <w:trHeight w:val="223"/>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Acquisition contingent consideration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7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102,199</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102,199</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(5)</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292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2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consolidated balance sheets.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$1,244 and $5,382 as of September 30, 2022 and December 31, 2021,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71" w:lineRule="exact"/>
        <w:rPr>
          <w:rFonts w:ascii="Times New Roman" w:cs="Times New Roman" w:eastAsia="Times New Roman" w:hAnsi="Times New Roman"/>
          <w:sz w:val="18"/>
          <w:szCs w:val="18"/>
          <w:color w:val="auto"/>
        </w:rPr>
      </w:pPr>
    </w:p>
    <w:p>
      <w:pPr>
        <w:ind w:left="340" w:hanging="332"/>
        <w:spacing w:after="0" w:line="284"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Deferred compensation plan liabilities</w:t>
      </w:r>
      <w:r>
        <w:rPr>
          <w:rFonts w:ascii="Times New Roman" w:cs="Times New Roman" w:eastAsia="Times New Roman" w:hAnsi="Times New Roman"/>
          <w:sz w:val="18"/>
          <w:szCs w:val="18"/>
          <w:color w:val="auto"/>
        </w:rPr>
        <w:t xml:space="preserve">, except for current liabilities of $1,977 and $7,309 as of September 30, 2022 and December 31, 2021,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changes in fair value of the Company’s financial liabilities which have been classified as Level 3 in the fair value hierarchy: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19"/>
                <w:szCs w:val="19"/>
                <w:color w:val="auto"/>
              </w:rPr>
            </w:pPr>
          </w:p>
        </w:tc>
        <w:tc>
          <w:tcPr>
            <w:tcW w:w="1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7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r>
      <w:tr>
        <w:trPr>
          <w:trHeight w:val="27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1"/>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w:t>
      </w:r>
      <w:r>
        <w:rPr>
          <w:rFonts w:ascii="Times New Roman" w:cs="Times New Roman" w:eastAsia="Times New Roman" w:hAnsi="Times New Roman"/>
          <w:sz w:val="18"/>
          <w:szCs w:val="18"/>
          <w:color w:val="auto"/>
        </w:rPr>
        <w:t>— In the normal course of business, the Company enters into various purchase commitments for goods and services.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2022,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 for services related to the cloud provisioning of the Company’s software solutions was $23,998 through May 2023. The Company expects to fully consume its contractual commitment in the ordinary course of operations.</w:t>
      </w:r>
    </w:p>
    <w:p>
      <w:pPr>
        <w:spacing w:after="0" w:line="194"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w:t>
      </w:r>
      <w:r>
        <w:rPr>
          <w:rFonts w:ascii="Times New Roman" w:cs="Times New Roman" w:eastAsia="Times New Roman" w:hAnsi="Times New Roman"/>
          <w:sz w:val="18"/>
          <w:szCs w:val="18"/>
          <w:color w:val="auto"/>
        </w:rPr>
        <w:t>— The Company leases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automobiles under operating leases having initial or remaining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terms in excess of one year (see Note 8).</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 From time to time, the Company is involved in certain legal actions arising in the ordinary course of business. In management’s opinion,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upon the advice of counsel, the outcome of such actions is not expected to have a material adverse effect on the Company’s future financial position,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20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Revenues by geographic region are presented in Note 3.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net of depreciation and amortization by geographic region (see Notes 5, 6, and 8)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gridSpan w:val="2"/>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170,712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99,500</w:t>
            </w: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44,730</w:t>
            </w: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172,365</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184,245</w:t>
            </w:r>
          </w:p>
        </w:tc>
      </w:tr>
      <w:tr>
        <w:trPr>
          <w:trHeight w:val="22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373,425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328,475</w:t>
            </w:r>
          </w:p>
        </w:tc>
      </w:tr>
      <w:tr>
        <w:trPr>
          <w:trHeight w:val="20"/>
        </w:trPr>
        <w:tc>
          <w:tcPr>
            <w:tcW w:w="3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13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U.S., Canada, and Latin America (including the Caribbean).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Note 20: Interest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7"/>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(see Note 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21: Other Income (Expense),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7"/>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2600" w:type="dxa"/>
            <w:vAlign w:val="bottom"/>
            <w:gridSpan w:val="4"/>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 (see Note 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0" w:type="dxa"/>
            <w:vAlign w:val="bottom"/>
          </w:tcPr>
          <w:p>
            <w:pPr>
              <w:spacing w:after="0"/>
              <w:rPr>
                <w:sz w:val="1"/>
                <w:szCs w:val="1"/>
                <w:color w:val="auto"/>
              </w:rPr>
            </w:pP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 (see Note 5)</w:t>
            </w:r>
          </w:p>
        </w:tc>
        <w:tc>
          <w:tcPr>
            <w:tcW w:w="300" w:type="dxa"/>
            <w:vAlign w:val="bottom"/>
          </w:tcPr>
          <w:p>
            <w:pPr>
              <w:spacing w:after="0"/>
              <w:rPr>
                <w:sz w:val="23"/>
                <w:szCs w:val="23"/>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derived mainly from U.S. Dollar denominated cash and cash equivalents, account receivables, customer deposits, and intercompany balances held by foreign subsidiaries. Intercompany finance transactions denominated in U.S. Dollars resulted in unrealized foreign exchange losses of $5,730 and $2,741 for the three months ended September 30, 2022 and 2021, respectively, and $12,293 and $1,298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Note 22: Net Income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September 30, 2022 and 2021, there were 362,773 and 99,683 participating securities outstanding,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Undistributed net income (loss) allocated to participating securities are subtracted from net income (loss) in determining basic net income (loss) attributable to common stockholders. Basic net income (loss) per share is computed by dividing basic net income (loss) attributable to common stockholders by the weighted average number of shares, inclusive of undistributed shares held in the DCP as phantom shares of the Company’s Class B Common Stock.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For the Company’s diluted </w:t>
      </w:r>
      <w:r>
        <w:rPr>
          <w:rFonts w:ascii="Times New Roman" w:cs="Times New Roman" w:eastAsia="Times New Roman" w:hAnsi="Times New Roman"/>
          <w:sz w:val="18"/>
          <w:szCs w:val="18"/>
          <w:color w:val="000000"/>
        </w:rPr>
        <w:t>net income (loss) per share</w:t>
      </w:r>
      <w:r>
        <w:rPr>
          <w:rFonts w:ascii="Times New Roman" w:cs="Times New Roman" w:eastAsia="Times New Roman" w:hAnsi="Times New Roman"/>
          <w:sz w:val="18"/>
          <w:szCs w:val="18"/>
          <w:color w:val="212529"/>
        </w:rPr>
        <w:t xml:space="preserve"> numerator, interest expense, net of tax, attributable to the conversion of the </w:t>
      </w:r>
      <w:r>
        <w:rPr>
          <w:rFonts w:ascii="Times New Roman" w:cs="Times New Roman" w:eastAsia="Times New Roman" w:hAnsi="Times New Roman"/>
          <w:sz w:val="18"/>
          <w:szCs w:val="18"/>
          <w:color w:val="000000"/>
        </w:rPr>
        <w:t>convertible senior notes</w:t>
      </w:r>
      <w:r>
        <w:rPr>
          <w:rFonts w:ascii="Times New Roman" w:cs="Times New Roman" w:eastAsia="Times New Roman" w:hAnsi="Times New Roman"/>
          <w:sz w:val="18"/>
          <w:szCs w:val="18"/>
          <w:color w:val="212529"/>
        </w:rPr>
        <w:t xml:space="preserve"> is added back to basic net income (loss) attributable to common stockholders. For the Company’s diluted </w:t>
      </w:r>
      <w:r>
        <w:rPr>
          <w:rFonts w:ascii="Times New Roman" w:cs="Times New Roman" w:eastAsia="Times New Roman" w:hAnsi="Times New Roman"/>
          <w:sz w:val="18"/>
          <w:szCs w:val="18"/>
          <w:color w:val="000000"/>
        </w:rPr>
        <w:t>net income (loss) per share</w:t>
      </w:r>
      <w:r>
        <w:rPr>
          <w:rFonts w:ascii="Times New Roman" w:cs="Times New Roman" w:eastAsia="Times New Roman" w:hAnsi="Times New Roman"/>
          <w:sz w:val="18"/>
          <w:szCs w:val="18"/>
          <w:color w:val="212529"/>
        </w:rPr>
        <w:t xml:space="preserve"> denominator, the basic weighted average number of shares is adjusted by the effect of dilutive securities, including awards under the Company’s equity compensation plans and ESPP, and by the dilutive </w:t>
      </w:r>
      <w:r>
        <w:rPr>
          <w:rFonts w:ascii="Times New Roman" w:cs="Times New Roman" w:eastAsia="Times New Roman" w:hAnsi="Times New Roman"/>
          <w:sz w:val="18"/>
          <w:szCs w:val="18"/>
          <w:color w:val="000000"/>
        </w:rPr>
        <w:t>effect of the assumed conversion of the convertible senior notes.</w:t>
      </w:r>
      <w:r>
        <w:rPr>
          <w:rFonts w:ascii="Times New Roman" w:cs="Times New Roman" w:eastAsia="Times New Roman" w:hAnsi="Times New Roman"/>
          <w:sz w:val="18"/>
          <w:szCs w:val="18"/>
          <w:color w:val="212529"/>
        </w:rPr>
        <w:t xml:space="preserve"> Diluted </w:t>
      </w:r>
      <w:r>
        <w:rPr>
          <w:rFonts w:ascii="Times New Roman" w:cs="Times New Roman" w:eastAsia="Times New Roman" w:hAnsi="Times New Roman"/>
          <w:sz w:val="18"/>
          <w:szCs w:val="18"/>
          <w:color w:val="000000"/>
        </w:rPr>
        <w:t>net income (loss) per share</w:t>
      </w:r>
      <w:r>
        <w:rPr>
          <w:rFonts w:ascii="Times New Roman" w:cs="Times New Roman" w:eastAsia="Times New Roman" w:hAnsi="Times New Roman"/>
          <w:sz w:val="18"/>
          <w:szCs w:val="18"/>
          <w:color w:val="212529"/>
        </w:rPr>
        <w:t xml:space="preserve"> attributable to common stockholders is computed by dividing diluted net </w:t>
      </w:r>
      <w:r>
        <w:rPr>
          <w:rFonts w:ascii="Times New Roman" w:cs="Times New Roman" w:eastAsia="Times New Roman" w:hAnsi="Times New Roman"/>
          <w:sz w:val="18"/>
          <w:szCs w:val="18"/>
          <w:color w:val="000000"/>
        </w:rPr>
        <w:t>income (loss)</w:t>
      </w:r>
      <w:r>
        <w:rPr>
          <w:rFonts w:ascii="Times New Roman" w:cs="Times New Roman" w:eastAsia="Times New Roman" w:hAnsi="Times New Roman"/>
          <w:sz w:val="18"/>
          <w:szCs w:val="18"/>
          <w:color w:val="212529"/>
        </w:rPr>
        <w:t xml:space="preserve"> attributable to common stockholders by the weighted average number of fully diluted common shares.</w:t>
      </w:r>
    </w:p>
    <w:p>
      <w:pPr>
        <w:spacing w:after="0" w:line="187"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(loss) per share would not differ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details of basic and diluted net income (loss) per share are as follows</w:t>
      </w:r>
      <w:r>
        <w:rPr>
          <w:rFonts w:ascii="Times New Roman" w:cs="Times New Roman" w:eastAsia="Times New Roman" w:hAnsi="Times New Roman"/>
          <w:sz w:val="18"/>
          <w:szCs w:val="18"/>
          <w:color w:val="212529"/>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5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2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w:t>
            </w:r>
          </w:p>
        </w:tc>
      </w:tr>
      <w:tr>
        <w:trPr>
          <w:trHeight w:val="225"/>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5"/>
        </w:trPr>
        <w:tc>
          <w:tcPr>
            <w:tcW w:w="4060" w:type="dxa"/>
            <w:vAlign w:val="bottom"/>
            <w:gridSpan w:val="2"/>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Class A and</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1"/>
        </w:trPr>
        <w:tc>
          <w:tcPr>
            <w:tcW w:w="4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Class B common stockholders, basic</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149,027</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54,605</w:t>
            </w:r>
          </w:p>
        </w:tc>
      </w:tr>
      <w:tr>
        <w:trPr>
          <w:trHeight w:val="225"/>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 of tax, attributable to</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conversion of convertible senior notes</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840"/>
              <w:spacing w:after="0" w:line="261"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1"/>
                <w:szCs w:val="11"/>
                <w:color w:val="auto"/>
              </w:rPr>
              <w:t xml:space="preserve"> (1)</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060" w:type="dxa"/>
            <w:vAlign w:val="bottom"/>
            <w:gridSpan w:val="2"/>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Class A and</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34"/>
        </w:trPr>
        <w:tc>
          <w:tcPr>
            <w:tcW w:w="4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Class B common stockholders,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37,818</w:t>
            </w:r>
          </w:p>
        </w:tc>
        <w:tc>
          <w:tcPr>
            <w:tcW w:w="22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5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154,143</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54,605</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310,116,104</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308,195,379</w:t>
            </w: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308,959,801</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305,119,985</w:t>
            </w:r>
          </w:p>
        </w:tc>
      </w:tr>
      <w:tr>
        <w:trPr>
          <w:trHeight w:val="225"/>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restricted stock,</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1"/>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RSUs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4,126,936</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5,278,839</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9,430,643</w:t>
            </w:r>
          </w:p>
        </w:tc>
      </w:tr>
      <w:tr>
        <w:trPr>
          <w:trHeight w:val="270"/>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ESPP</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168,518</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171,571</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107,508</w:t>
            </w:r>
          </w:p>
        </w:tc>
      </w:tr>
      <w:tr>
        <w:trPr>
          <w:trHeight w:val="225"/>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assumed conversion of</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1"/>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10,758,825</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17,667,623</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325,170,383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308,195,379</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332,077,834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314,658,136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5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r>
      <w:tr>
        <w:trPr>
          <w:trHeight w:val="21"/>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expense, net of tax, attributable to assumed conversion of convertible senior notes for the three months ended September 30, 2021 has been excluded from the calculation of diluted net loss per share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line="235" w:lineRule="exact"/>
        <w:rPr>
          <w:sz w:val="20"/>
          <w:szCs w:val="20"/>
          <w:color w:val="auto"/>
        </w:rPr>
      </w:pPr>
      <w:r>
        <w:rPr>
          <w:rFonts w:ascii="Times New Roman" w:cs="Times New Roman" w:eastAsia="Times New Roman" w:hAnsi="Times New Roman"/>
          <w:sz w:val="18"/>
          <w:szCs w:val="18"/>
          <w:color w:val="auto"/>
        </w:rPr>
        <w:t>The following potential common shares were excluded from the calculation of diluted net income (loss) per share attributable to common stockholders because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2380" w:type="dxa"/>
            <w:vAlign w:val="bottom"/>
            <w:gridSpan w:val="3"/>
          </w:tcPr>
          <w:p>
            <w:pPr>
              <w:jc w:val="center"/>
              <w:ind w:left="87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80" w:type="dxa"/>
            <w:vAlign w:val="bottom"/>
            <w:tcBorders>
              <w:bottom w:val="single" w:sz="8" w:color="auto"/>
            </w:tcBorders>
            <w:gridSpan w:val="3"/>
          </w:tcPr>
          <w:p>
            <w:pPr>
              <w:jc w:val="center"/>
              <w:ind w:left="9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Borders>
              <w:bottom w:val="single" w:sz="8" w:color="auto"/>
            </w:tcBorders>
            <w:gridSpan w:val="3"/>
          </w:tcPr>
          <w:p>
            <w:pPr>
              <w:jc w:val="center"/>
              <w:ind w:left="8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297,789</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8,174,124</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279,789</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90,400</w:t>
            </w: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2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500" w:type="dxa"/>
            <w:vAlign w:val="bottom"/>
          </w:tcPr>
          <w:p>
            <w:pPr>
              <w:spacing w:after="0"/>
              <w:rPr>
                <w:sz w:val="19"/>
                <w:szCs w:val="19"/>
                <w:color w:val="auto"/>
              </w:rPr>
            </w:pPr>
          </w:p>
        </w:tc>
        <w:tc>
          <w:tcPr>
            <w:tcW w:w="23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6,908,798</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17,667,623</w:t>
            </w:r>
          </w:p>
        </w:tc>
        <w:tc>
          <w:tcPr>
            <w:tcW w:w="50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12,076,899</w:t>
            </w:r>
          </w:p>
        </w:tc>
      </w:tr>
      <w:tr>
        <w:trPr>
          <w:trHeight w:val="22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7,206,587</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25,939,551</w:t>
            </w:r>
          </w:p>
        </w:tc>
        <w:tc>
          <w:tcPr>
            <w:tcW w:w="50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w w:val="99"/>
              </w:rPr>
              <w:t>(1)</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279,789</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12,167,299</w:t>
            </w:r>
          </w:p>
        </w:tc>
      </w:tr>
      <w:tr>
        <w:trPr>
          <w:trHeight w:val="21"/>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17" w:lineRule="exact"/>
        <w:rPr>
          <w:sz w:val="20"/>
          <w:szCs w:val="20"/>
          <w:color w:val="auto"/>
        </w:rPr>
      </w:pPr>
    </w:p>
    <w:p>
      <w:pPr>
        <w:jc w:val="both"/>
        <w:ind w:left="340" w:hanging="332"/>
        <w:spacing w:after="0" w:line="229" w:lineRule="exact"/>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dilutive securities for the three months ended September 30, 2021 have been excluded from the calculation of diluted net loss per share as those potential common shares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due to the net loss for the period, except for 90,400 RSUs that were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calculation of diluted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with our audited consolidated financial statements and notes thereto included in Part II, Item 8 of our 2021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on file with the United States Securities and Exchange Commission (“SEC”). In addition to historical information,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II, Item 1A. Risk Factors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geoprofessional, and plant engineering practitioners, their project delivery enterprises,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of infrastructure assets.</w:t>
      </w:r>
    </w:p>
    <w:p>
      <w:pPr>
        <w:spacing w:after="0" w:line="17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servers,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cloud, and hybrid environments. Our users engineer, construct, and operate projects and assets across the following infrastructure sectors:</w:t>
      </w:r>
    </w:p>
    <w:p>
      <w:pPr>
        <w:spacing w:after="0" w:line="199" w:lineRule="exact"/>
        <w:rPr>
          <w:sz w:val="20"/>
          <w:szCs w:val="20"/>
          <w:color w:val="auto"/>
        </w:rPr>
      </w:pPr>
    </w:p>
    <w:p>
      <w:pPr>
        <w:jc w:val="both"/>
        <w:ind w:left="820" w:hanging="245"/>
        <w:spacing w:after="0" w:line="26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bridges, tunnels, airports, ports, and federal, state, and municipal agencies)/</w:t>
      </w:r>
      <w:r>
        <w:rPr>
          <w:rFonts w:ascii="Times New Roman" w:cs="Times New Roman" w:eastAsia="Times New Roman" w:hAnsi="Times New Roman"/>
          <w:sz w:val="18"/>
          <w:szCs w:val="18"/>
          <w:i w:val="1"/>
          <w:iCs w:val="1"/>
          <w:color w:val="auto"/>
        </w:rPr>
        <w:t xml:space="preserve">utilities </w:t>
      </w:r>
      <w:r>
        <w:rPr>
          <w:rFonts w:ascii="Times New Roman" w:cs="Times New Roman" w:eastAsia="Times New Roman" w:hAnsi="Times New Roman"/>
          <w:sz w:val="18"/>
          <w:szCs w:val="18"/>
          <w:color w:val="auto"/>
        </w:rPr>
        <w:t>(including networks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electricity, gas, communications, and water, wastewater, and drainage). We estimate that this sector represents 49% of the net infrastructure asset value of the global top 500 infrastructure owners based on the 2021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179" w:lineRule="exact"/>
        <w:rPr>
          <w:rFonts w:ascii="Times New Roman" w:cs="Times New Roman" w:eastAsia="Times New Roman" w:hAnsi="Times New Roman"/>
          <w:sz w:val="18"/>
          <w:szCs w:val="18"/>
          <w:color w:val="auto"/>
        </w:rPr>
      </w:pPr>
    </w:p>
    <w:p>
      <w:pPr>
        <w:ind w:left="820" w:hanging="245"/>
        <w:spacing w:after="0" w:line="284"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oil and gas “downstream,” and power generation). We estimate that this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18% of the global top 500 infrastructure owners’ net infrastructure asset value;</w:t>
      </w:r>
    </w:p>
    <w:p>
      <w:pPr>
        <w:spacing w:after="0" w:line="158" w:lineRule="exact"/>
        <w:rPr>
          <w:rFonts w:ascii="Times New Roman" w:cs="Times New Roman" w:eastAsia="Times New Roman" w:hAnsi="Times New Roman"/>
          <w:sz w:val="18"/>
          <w:szCs w:val="18"/>
          <w:color w:val="auto"/>
        </w:rPr>
      </w:pPr>
    </w:p>
    <w:p>
      <w:pPr>
        <w:ind w:left="820" w:hanging="245"/>
        <w:spacing w:after="0" w:line="284"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(including mining, oil and gas “upstream,” offshore, pipelines, environmental management, and renewable energy). We estimate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sector represents 22% of the global top 500 infrastructure owners’ net infrastructure asset value; and</w:t>
      </w:r>
    </w:p>
    <w:p>
      <w:pPr>
        <w:spacing w:after="0" w:line="158" w:lineRule="exact"/>
        <w:rPr>
          <w:rFonts w:ascii="Times New Roman" w:cs="Times New Roman" w:eastAsia="Times New Roman" w:hAnsi="Times New Roman"/>
          <w:sz w:val="18"/>
          <w:szCs w:val="18"/>
          <w:color w:val="auto"/>
        </w:rPr>
      </w:pPr>
    </w:p>
    <w:p>
      <w:pPr>
        <w:ind w:left="820" w:hanging="245"/>
        <w:spacing w:after="0" w:line="284"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retail facilities, hospitals, and campuses). We estimate that this sector represents 11%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top 500 infrastructure owners’ net infrastructure asset value.</w:t>
      </w:r>
    </w:p>
    <w:p>
      <w:pPr>
        <w:spacing w:after="0" w:line="16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26" w:lineRule="exact"/>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priorities, input from product managers, and user and sales force feedback.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2021 total revenues.</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Our sources of revenue growth, excluding the impact from acquisitions, come from additional subscriptions revenues from existing accounts using the same products and represent the majority of our revenue growth, additional subscriptions revenues from existing accounts using new products, and subscriptions revenues from new accounts. For the year ended December 31, 2021, subscriptions represented 84% of our total revenues, and together with certain services revenues that are recurring in nature and represented 2% of our total revenues, brought the proportion of our recurring revenues to 86% of our total revenues. The remaining 14% of our revenues were generated from the sale of perpetual licenses and the delivery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We have a highly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diversified account base, with our largest account representing no more than 2.5% of our total revenues in 2021. Our 2021 total revenues were also diversified by account type, size, and geography. Additionally, we believe that we have a loyal account base, with over 70% of our 2021 total revenues from organizations that have been our accounts for over ten years. Between 2001 and 2021, our total revenues had an approximately 8% compound annual growth 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Offerings: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subscriptions versus longer term annual subscriptions, and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arrangements versus variable or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table below,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140335</wp:posOffset>
            </wp:positionV>
            <wp:extent cx="5349240" cy="2434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Our SELECT subscription is a prepaid annual recurring subscription that accompanies a new or previously purchased perpetual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We believe that the SELECT benefits summarized below support our favorable rates of account retention and growth:</w:t>
      </w:r>
    </w:p>
    <w:p>
      <w:pPr>
        <w:spacing w:after="0" w:line="160" w:lineRule="exact"/>
        <w:rPr>
          <w:sz w:val="20"/>
          <w:szCs w:val="20"/>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upgrades;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technical support;</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pooling providing accounts with efficiency advantages;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balancing providing accounts the opportunity to exchange unused or under used licenses with other of our license offerings;</w:t>
      </w:r>
    </w:p>
    <w:p>
      <w:pPr>
        <w:spacing w:after="0" w:line="196" w:lineRule="exact"/>
        <w:rPr>
          <w:rFonts w:ascii="Times New Roman" w:cs="Times New Roman" w:eastAsia="Times New Roman" w:hAnsi="Times New Roman"/>
          <w:sz w:val="18"/>
          <w:szCs w:val="18"/>
          <w:color w:val="auto"/>
        </w:rPr>
      </w:pPr>
    </w:p>
    <w:p>
      <w:pPr>
        <w:ind w:left="820" w:hanging="245"/>
        <w:spacing w:after="0" w:line="207" w:lineRule="exact"/>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benefits,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and mobility advantages; and</w:t>
      </w:r>
    </w:p>
    <w:p>
      <w:pPr>
        <w:spacing w:after="0" w:line="253" w:lineRule="exact"/>
        <w:rPr>
          <w:rFonts w:ascii="Times New Roman" w:cs="Times New Roman" w:eastAsia="Times New Roman" w:hAnsi="Times New Roman"/>
          <w:sz w:val="18"/>
          <w:szCs w:val="18"/>
          <w:color w:val="auto"/>
        </w:rPr>
      </w:pPr>
    </w:p>
    <w:p>
      <w:pPr>
        <w:ind w:left="820" w:hanging="245"/>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entire application portfolio with usage of licenses not previously purchased monetized quarterly in arrears based on consumption. See the section 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Term License Subscriptions” below.</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Our enterprise subscription offerings provide our enterprise accounts with complete and unlimited global access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portfolio of solutions.</w:t>
      </w:r>
    </w:p>
    <w:p>
      <w:pPr>
        <w:spacing w:after="0" w:line="158" w:lineRule="exact"/>
        <w:rPr>
          <w:sz w:val="20"/>
          <w:szCs w:val="20"/>
          <w:color w:val="auto"/>
        </w:rPr>
      </w:pPr>
    </w:p>
    <w:p>
      <w:pPr>
        <w:jc w:val="both"/>
        <w:ind w:left="820" w:hanging="245"/>
        <w:spacing w:after="0" w:line="267"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365 (“E365”) Subscriptions. </w:t>
      </w:r>
      <w:r>
        <w:rPr>
          <w:rFonts w:ascii="Times New Roman" w:cs="Times New Roman" w:eastAsia="Times New Roman" w:hAnsi="Times New Roman"/>
          <w:sz w:val="18"/>
          <w:szCs w:val="18"/>
          <w:color w:val="auto"/>
        </w:rPr>
        <w:t>Under our E365 subscription, accounts are charged based upon daily usage. E365 subscriptions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quarterly usage floors or collars. The daily usage fee includes a term license component, SELECT maintenance and support, hosting, and Success Blueprints, which are designed to achieve business outcomes through more efficient and effective use of our software.</w:t>
      </w:r>
    </w:p>
    <w:p>
      <w:pPr>
        <w:spacing w:after="0" w:line="173" w:lineRule="exact"/>
        <w:rPr>
          <w:rFonts w:ascii="Times New Roman" w:cs="Times New Roman" w:eastAsia="Times New Roman" w:hAnsi="Times New Roman"/>
          <w:sz w:val="18"/>
          <w:szCs w:val="18"/>
          <w:color w:val="auto"/>
        </w:rPr>
      </w:pPr>
    </w:p>
    <w:p>
      <w:pPr>
        <w:jc w:val="both"/>
        <w:ind w:left="820" w:hanging="245"/>
        <w:spacing w:after="0" w:line="220" w:lineRule="exact"/>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License Subscriptions (“ELS”). </w:t>
      </w:r>
      <w:r>
        <w:rPr>
          <w:rFonts w:ascii="Times New Roman" w:cs="Times New Roman" w:eastAsia="Times New Roman" w:hAnsi="Times New Roman"/>
          <w:sz w:val="18"/>
          <w:szCs w:val="18"/>
          <w:color w:val="auto"/>
        </w:rPr>
        <w:t>Under our ELS offering, accounts are charged based upon a fixed annual fee. Subsequent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renewals are based on the account’s usage of software in the preceding year, effectively resulting in a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annual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 We are completing efforts to transition ELS subscribers to E365 subscriptions, primarily to simplify pricing, more closely align consumption to monetization, and to establish Success Blueprints as recurring to ensure better business outcomes for our users. In transitioning subscribers to E365, we recognize a greater proportion of our revenues on a quarterly basis rather than substantially upfront.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Term Licenses (“ATL”) Subscription. </w:t>
      </w:r>
      <w:r>
        <w:rPr>
          <w:rFonts w:ascii="Times New Roman" w:cs="Times New Roman" w:eastAsia="Times New Roman" w:hAnsi="Times New Roman"/>
          <w:sz w:val="18"/>
          <w:szCs w:val="18"/>
          <w:color w:val="auto"/>
        </w:rPr>
        <w:t>Annual term licenses are generally prepaid annually for named user access to specific products and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Virtuoso subscriptions sold via our Virtuosity eStore for practitioner licenses. Virtuoso subscriptions are bundles with customizable training and expert consultation administered through “keys” or credits. ATL are also used to monetize site or enterprise wide access for certain of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solutions within given usage bands.</w:t>
      </w:r>
    </w:p>
    <w:p>
      <w:pPr>
        <w:spacing w:after="0" w:line="180" w:lineRule="exact"/>
        <w:rPr>
          <w:sz w:val="20"/>
          <w:szCs w:val="20"/>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Quarterly Term License (“QTL”) Subscription. </w:t>
      </w:r>
      <w:r>
        <w:rPr>
          <w:rFonts w:ascii="Times New Roman" w:cs="Times New Roman" w:eastAsia="Times New Roman" w:hAnsi="Times New Roman"/>
          <w:sz w:val="18"/>
          <w:szCs w:val="18"/>
          <w:color w:val="auto"/>
        </w:rPr>
        <w:t>Through quarterly term licenses, accounts pay quarterly in arrears for licenses they have used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accounts to match usage to ongoing project requirements.</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Monthly Term License (“MTL”) Subscription. </w:t>
      </w:r>
      <w:r>
        <w:rPr>
          <w:rFonts w:ascii="Times New Roman" w:cs="Times New Roman" w:eastAsia="Times New Roman" w:hAnsi="Times New Roman"/>
          <w:sz w:val="18"/>
          <w:szCs w:val="18"/>
          <w:color w:val="auto"/>
        </w:rPr>
        <w:t>Monthly term licenses are identical to QTL subscriptions, except for the term of the license, and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they are monetized. MTL subscriptions require a Cloud Services Subscription, which is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Visas and Passports. </w:t>
      </w: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entitles our users to certain functionality of our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certain legacy arrangements are supported, our standard offering requires Visas and Passports to be fulfilled and contracted via a CSS, which is discussed below.</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Cloud Services Subscription (“CSS”)</w:t>
      </w:r>
      <w:r>
        <w:rPr>
          <w:rFonts w:ascii="Times New Roman" w:cs="Times New Roman" w:eastAsia="Times New Roman" w:hAnsi="Times New Roman"/>
          <w:sz w:val="18"/>
          <w:szCs w:val="18"/>
          <w:color w:val="auto"/>
        </w:rPr>
        <w:t>. CSS is designed to streamline the procurement, administration, and payment process for us and our accounts. A CSS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upfront annual estimation of MTL, Visa and Passport consumption, and any Success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arrangements, including our Success Services offerings, are structured as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Annualized recurring revenues (“ARR”)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Twelve-months ended constant currency: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ARR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retention 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Recurring revenues dollar-based net retention rate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983,656</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903,845</w:t>
            </w:r>
          </w:p>
        </w:tc>
      </w:tr>
      <w:tr>
        <w:trPr>
          <w:trHeight w:val="23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950,367</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789,972</w:t>
            </w:r>
          </w:p>
        </w:tc>
      </w:tr>
      <w:tr>
        <w:trPr>
          <w:trHeight w:val="500"/>
        </w:trPr>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0"/>
        </w:trPr>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0"/>
        </w:trPr>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200" w:lineRule="exact"/>
        <w:rPr>
          <w:sz w:val="20"/>
          <w:szCs w:val="20"/>
          <w:color w:val="auto"/>
        </w:rPr>
      </w:pPr>
    </w:p>
    <w:p>
      <w:pPr>
        <w:sectPr>
          <w:pgSz w:w="11900" w:h="16838" w:orient="portrait"/>
          <w:cols w:equalWidth="0" w:num="2">
            <w:col w:w="7000" w:space="720"/>
            <w:col w:w="3520"/>
          </w:cols>
          <w:pgMar w:left="320" w:top="14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49" w:name="page50"/>
    <w:bookmarkEnd w:id="49"/>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ARR. </w:t>
      </w:r>
      <w:r>
        <w:rPr>
          <w:rFonts w:ascii="Times New Roman" w:cs="Times New Roman" w:eastAsia="Times New Roman" w:hAnsi="Times New Roman"/>
          <w:sz w:val="18"/>
          <w:szCs w:val="18"/>
          <w:color w:val="auto"/>
        </w:rPr>
        <w:t>Our ARR is defined as the sum of the annualized value of our portfolio of contracts that produce recurring revenues as of the last day of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subscriptions with consumption measurement durations of less than one year, calculated using the spot foreign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41% and 37% as of September 30, 2022 and 2021, respectively. Within our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ARR, the continuous uptake of our E365 subscription offering has increased daily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ARR, representing 33% of total ARR as of September 30, 2022. We believe that ARR is an important metric indicating the scale and growth of our business. Furthermore, we believe ARR, considered in connection with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leading indicator of revenue growth.</w:t>
      </w:r>
    </w:p>
    <w:p>
      <w:pPr>
        <w:spacing w:after="0" w:line="176"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In March 2022, in response to the Russia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Ukraine war, we announced a pause of sales in Russia and Belarus, in addition to our strict compliance with applicable sanctions, regimes, and other regulatory restrictions on business activities in those countries. As a result of the conflict, we deemed our overall business recurrence in the affected countries to have been reduced by approximately 50%, and accordingly, reduced our related ARR by $5,190 as of March 31, 2022. During the second quarter of 2022, the marked shifts in the Russian business environment and economic outlook led us to conclude it was no longer viable for us to continue operations in Russia. Accordingly, we made the decision to wind down business and exit the Russian market, which resulted in a further reduction in our ARR by $6,000.</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i w:val="1"/>
          <w:iCs w:val="1"/>
          <w:color w:val="auto"/>
        </w:rPr>
        <w:t>Last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months recurring revenues. </w:t>
      </w: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calculated as recurring revenues recognized over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We define recurring revenues as subscriptions revenues that recur monthly, quarterly, or annually with specific or automatic renewal clauses and services revenues in which the underlying contract is based on a fixed fee and contains automatic annual renewal provisions.</w:t>
      </w:r>
    </w:p>
    <w:p>
      <w:pPr>
        <w:spacing w:after="0" w:line="17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We believe that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time period. We believe that we will continue to experience favorable growth in recurring revenues primarily due to our strong account retention and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for the periods ended September 30, 2022 compared to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of the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increased by $160,395.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as well as additional recurring revenues resulting from new accounts and acquisitions, including the favorable impact from our platform acquisitions of Power Line Systems and Seequent Holdings Limited (“Seequent”). For the twelve months ended September 30, 2022, 88% of our revenues were recurring revenues.</w:t>
      </w:r>
    </w:p>
    <w:p>
      <w:pPr>
        <w:spacing w:after="0" w:line="17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i w:val="1"/>
          <w:iCs w:val="1"/>
          <w:color w:val="auto"/>
        </w:rPr>
        <w:t>Constant currency metrics</w:t>
      </w:r>
      <w:r>
        <w:rPr>
          <w:rFonts w:ascii="Times New Roman" w:cs="Times New Roman" w:eastAsia="Times New Roman" w:hAnsi="Times New Roman"/>
          <w:sz w:val="18"/>
          <w:szCs w:val="18"/>
          <w:color w:val="auto"/>
        </w:rPr>
        <w:t>. 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we calculate the effects of foreign currency fluctuations and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 currency basis. Our ARR growth rate was favorably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2.5% due to the ARR onboarding from our platform acquisition of Power Line Systems during the twelve months ended September 30, 2022. We believe that ARR growth is an important metric indicating the scale and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0" w:name="page51"/>
    <w:bookmarkEnd w:id="50"/>
    <w:p>
      <w:pPr>
        <w:jc w:val="both"/>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 using the average currency exchange rates for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accounts.</w:t>
      </w:r>
    </w:p>
    <w:p>
      <w:pPr>
        <w:spacing w:after="0" w:line="15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i w:val="1"/>
          <w:iCs w:val="1"/>
          <w:color w:val="auto"/>
        </w:rPr>
        <w:t>Recurring revenues 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based net retention rate. </w:t>
      </w:r>
      <w:r>
        <w:rPr>
          <w:rFonts w:ascii="Times New Roman" w:cs="Times New Roman" w:eastAsia="Times New Roman" w:hAnsi="Times New Roman"/>
          <w:sz w:val="18"/>
          <w:szCs w:val="18"/>
          <w:color w:val="auto"/>
        </w:rPr>
        <w:t>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calculated using the average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 We believe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key indicator of our success in growing our revenues within our existing accounts. Given that recurring revenues represented 88% of our total revenues for the twelve months ended September 30, 2022, this metric helps explain our revenue performance, excluding the impact from acquisitions, as primarily growth into existing accounts. We believe that our consistent and high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illustrates our ability to consistently retain accounts and grow them.</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metrics.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273,877</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236,778</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215,189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194,971</w:t>
            </w:r>
          </w:p>
        </w:tc>
      </w:tr>
    </w:tbl>
    <w:p>
      <w:pPr>
        <w:spacing w:after="0" w:line="285"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define Adjusted EBITDA as net income (loss) adjusted for interest expense, net, provision (benefit) for income taxes,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(income) relating to deferred compensation plan liabilities, acquisition expenses, realignment expenses (income),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(income) expense, net, and (income) loss from investment accounted for using the equity method, net of tax.</w:t>
      </w:r>
    </w:p>
    <w:p>
      <w:pPr>
        <w:spacing w:after="0" w:line="17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Adjusted Net Income</w:t>
      </w:r>
      <w:r>
        <w:rPr>
          <w:rFonts w:ascii="Times New Roman" w:cs="Times New Roman" w:eastAsia="Times New Roman" w:hAnsi="Times New Roman"/>
          <w:sz w:val="18"/>
          <w:szCs w:val="18"/>
          <w:color w:val="auto"/>
        </w:rPr>
        <w:t>. We define Adjusted Net Income as net income (loss) adjusted for the following: amortization of purchased intangibles and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(income) relating to deferred compensation plan liabilities, acquisition expenses, realignment expenses (income),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(income) expense, net, the tax effect of the above adjustments to net income (loss), and (income) loss from investment accounted for using the equity method, net of tax. The income tax effect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 was determined using the applicable rates in the taxing jurisdictions in which income or expense occurred, and represent both current and deferred income tax expense or benefit based on the nature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 including the tax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1" w:name="page52"/>
    <w:bookmarkEnd w:id="51"/>
    <w:p>
      <w:pPr>
        <w:jc w:val="both"/>
        <w:spacing w:after="0" w:line="218" w:lineRule="exact"/>
        <w:rPr>
          <w:sz w:val="20"/>
          <w:szCs w:val="20"/>
          <w:color w:val="auto"/>
        </w:rPr>
      </w:pPr>
      <w:r>
        <w:rPr>
          <w:rFonts w:ascii="Times New Roman" w:cs="Times New Roman" w:eastAsia="Times New Roman" w:hAnsi="Times New Roman"/>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 During the second quarter of 2022, we modified our definitions of Adjusted EBITDA and Adjusted Net Income to adjust for realignment expenses (income) relating to our Russian market exit costs as described further below. Amounts for all periods herein reflect application of the aforementioned definitions modification.</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and Adjusted Net Income should not be considered as alternatives to net income (loss),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net income (loss) to Adjusted EBITDA: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35,946</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32,186</w:t>
            </w: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w:t>
            </w: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(income) expenses </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7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84,468</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273,877</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Reconciliation of net income (loss) to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 prior to income taxes:</w:t>
            </w:r>
          </w:p>
        </w:tc>
        <w:tc>
          <w:tcPr>
            <w:tcW w:w="200" w:type="dxa"/>
            <w:vAlign w:val="bottom"/>
          </w:tcPr>
          <w:p>
            <w:pPr>
              <w:spacing w:after="0"/>
              <w:rPr>
                <w:sz w:val="20"/>
                <w:szCs w:val="20"/>
                <w:color w:val="auto"/>
              </w:rPr>
            </w:pPr>
          </w:p>
        </w:tc>
      </w:tr>
      <w:tr>
        <w:trPr>
          <w:trHeight w:val="189"/>
        </w:trPr>
        <w:tc>
          <w:tcPr>
            <w:tcW w:w="508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Amortization of purchased intangibles and developed technologies</w:t>
            </w:r>
          </w:p>
        </w:tc>
        <w:tc>
          <w:tcPr>
            <w:tcW w:w="200" w:type="dxa"/>
            <w:vAlign w:val="bottom"/>
          </w:tcPr>
          <w:p>
            <w:pPr>
              <w:spacing w:after="0"/>
              <w:rPr>
                <w:sz w:val="16"/>
                <w:szCs w:val="16"/>
                <w:color w:val="auto"/>
              </w:rPr>
            </w:pPr>
          </w:p>
        </w:tc>
      </w:tr>
      <w:tr>
        <w:trPr>
          <w:trHeight w:val="150"/>
        </w:trPr>
        <w:tc>
          <w:tcPr>
            <w:tcW w:w="50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r>
      <w:tr>
        <w:trPr>
          <w:trHeight w:val="341"/>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4"/>
                <w:szCs w:val="24"/>
                <w:color w:val="auto"/>
              </w:rPr>
            </w:pPr>
          </w:p>
        </w:tc>
      </w:tr>
      <w:tr>
        <w:trPr>
          <w:trHeight w:val="270"/>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3"/>
                <w:szCs w:val="23"/>
                <w:color w:val="auto"/>
              </w:rPr>
            </w:pPr>
          </w:p>
        </w:tc>
      </w:tr>
      <w:tr>
        <w:trPr>
          <w:trHeight w:val="270"/>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23"/>
                <w:szCs w:val="23"/>
                <w:color w:val="auto"/>
              </w:rPr>
            </w:pPr>
          </w:p>
        </w:tc>
      </w:tr>
      <w:tr>
        <w:trPr>
          <w:trHeight w:val="270"/>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Realignment (income) expenses </w:t>
            </w:r>
            <w:r>
              <w:rPr>
                <w:rFonts w:ascii="Times New Roman" w:cs="Times New Roman" w:eastAsia="Times New Roman" w:hAnsi="Times New Roman"/>
                <w:sz w:val="23"/>
                <w:szCs w:val="23"/>
                <w:color w:val="auto"/>
                <w:vertAlign w:val="superscript"/>
              </w:rPr>
              <w:t>(5)</w:t>
            </w:r>
          </w:p>
        </w:tc>
        <w:tc>
          <w:tcPr>
            <w:tcW w:w="200" w:type="dxa"/>
            <w:vAlign w:val="bottom"/>
          </w:tcPr>
          <w:p>
            <w:pPr>
              <w:spacing w:after="0"/>
              <w:rPr>
                <w:sz w:val="23"/>
                <w:szCs w:val="23"/>
                <w:color w:val="auto"/>
              </w:rPr>
            </w:pPr>
          </w:p>
        </w:tc>
      </w:tr>
      <w:tr>
        <w:trPr>
          <w:trHeight w:val="293"/>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(6)</w:t>
            </w:r>
          </w:p>
        </w:tc>
        <w:tc>
          <w:tcPr>
            <w:tcW w:w="200" w:type="dxa"/>
            <w:vAlign w:val="bottom"/>
          </w:tcPr>
          <w:p>
            <w:pPr>
              <w:spacing w:after="0"/>
              <w:rPr>
                <w:sz w:val="24"/>
                <w:szCs w:val="24"/>
                <w:color w:val="auto"/>
              </w:rPr>
            </w:pPr>
          </w:p>
        </w:tc>
      </w:tr>
    </w:tbl>
    <w:p>
      <w:pPr>
        <w:ind w:left="20" w:right="1520"/>
        <w:spacing w:after="0" w:line="262" w:lineRule="auto"/>
        <w:rPr>
          <w:sz w:val="20"/>
          <w:szCs w:val="20"/>
          <w:color w:val="auto"/>
        </w:rPr>
      </w:pPr>
      <w:r>
        <w:rPr>
          <w:rFonts w:ascii="Times New Roman" w:cs="Times New Roman" w:eastAsia="Times New Roman" w:hAnsi="Times New Roman"/>
          <w:sz w:val="18"/>
          <w:szCs w:val="18"/>
          <w:color w:val="auto"/>
        </w:rPr>
        <w:t>Total non-GAAP adjustments, prior to income taxes Income tax effect of non-GAAP adjustments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p>
      <w:pPr>
        <w:spacing w:after="0" w:line="63"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color w:val="auto"/>
        </w:rPr>
        <w:t>Adjusted 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9030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6"/>
        </w:trPr>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12"/>
        </w:trPr>
        <w:tc>
          <w:tcPr>
            <w:tcW w:w="108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1"/>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36,997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w:t>
            </w:r>
          </w:p>
        </w:tc>
      </w:tr>
      <w:tr>
        <w:trPr>
          <w:trHeight w:val="63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13,575</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22,003</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18,626</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32,186</w:t>
            </w:r>
          </w:p>
        </w:tc>
      </w:tr>
      <w:tr>
        <w:trPr>
          <w:trHeight w:val="270"/>
        </w:trPr>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(4,576)</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3,203</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27,999</w:t>
            </w:r>
          </w:p>
        </w:tc>
      </w:tr>
      <w:tr>
        <w:trPr>
          <w:trHeight w:val="270"/>
        </w:trPr>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(971)</w:t>
            </w:r>
          </w:p>
        </w:tc>
        <w:tc>
          <w:tcPr>
            <w:tcW w:w="44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18"/>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29,677</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161,767</w:t>
            </w:r>
          </w:p>
        </w:tc>
      </w:tr>
      <w:tr>
        <w:trPr>
          <w:trHeight w:val="234"/>
        </w:trPr>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(5,530)</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681</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23"/>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61,825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215,189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194,971</w:t>
            </w:r>
          </w:p>
        </w:tc>
      </w:tr>
      <w:tr>
        <w:trPr>
          <w:trHeight w:val="21"/>
        </w:trPr>
        <w:tc>
          <w:tcPr>
            <w:tcW w:w="1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-1773555</wp:posOffset>
            </wp:positionV>
            <wp:extent cx="71323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-1344930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-1002030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-359410</wp:posOffset>
            </wp:positionV>
            <wp:extent cx="7132320" cy="360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-659130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-2073910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-2219325</wp:posOffset>
            </wp:positionV>
            <wp:extent cx="18345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80"/>
            <w:col w:w="5560"/>
          </w:cols>
          <w:pgMar w:left="320" w:top="1417" w:right="339" w:bottom="1440" w:gutter="0" w:footer="0" w:header="0"/>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explanation of certain of our adjustments in arriving at Adjusted EBITDA and Adjusted Net Income are as follows:</w:t>
      </w:r>
    </w:p>
    <w:p>
      <w:pPr>
        <w:spacing w:after="0" w:line="223" w:lineRule="exact"/>
        <w:rPr>
          <w:sz w:val="20"/>
          <w:szCs w:val="20"/>
          <w:color w:val="auto"/>
        </w:rPr>
      </w:pPr>
    </w:p>
    <w:p>
      <w:pPr>
        <w:jc w:val="both"/>
        <w:ind w:left="340" w:hanging="332"/>
        <w:spacing w:after="0" w:line="220" w:lineRule="exact"/>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purchased intangibles and developed technologies</w:t>
      </w:r>
      <w:r>
        <w:rPr>
          <w:rFonts w:ascii="Times New Roman" w:cs="Times New Roman" w:eastAsia="Times New Roman" w:hAnsi="Times New Roman"/>
          <w:sz w:val="18"/>
          <w:szCs w:val="18"/>
          <w:color w:val="auto"/>
        </w:rPr>
        <w:t>. Amortization of purchased intangibles varies in amount and frequency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impacted by the timing and size of our acquisitions. Management finds it useful to exclude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169" w:lineRule="exact"/>
        <w:rPr>
          <w:rFonts w:ascii="Times New Roman" w:cs="Times New Roman" w:eastAsia="Times New Roman" w:hAnsi="Times New Roman"/>
          <w:sz w:val="18"/>
          <w:szCs w:val="18"/>
          <w:color w:val="auto"/>
        </w:rPr>
      </w:pPr>
    </w:p>
    <w:p>
      <w:pPr>
        <w:jc w:val="both"/>
        <w:ind w:left="340" w:hanging="332"/>
        <w:spacing w:after="0" w:line="224" w:lineRule="exact"/>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compensation</w:t>
      </w:r>
      <w:r>
        <w:rPr>
          <w:rFonts w:ascii="Times New Roman" w:cs="Times New Roman" w:eastAsia="Times New Roman" w:hAnsi="Times New Roman"/>
          <w:sz w:val="18"/>
          <w:szCs w:val="18"/>
          <w:color w:val="auto"/>
        </w:rPr>
        <w:t>. We exclude certain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expenses from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primarily because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charges to assess the appropriate level of various operating expenses to assist in budgeting, planning, and forecasting future periods. Moreover, because of the variety of award types and subjective assumptions that companies can use under Financial Accounting Standards Board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we believe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expenses allows investors to make meaningful comparisons between our recurring core business results of operations and those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3" w:name="page54"/>
    <w:bookmarkEnd w:id="53"/>
    <w:p>
      <w:pPr>
        <w:jc w:val="both"/>
        <w:ind w:left="340" w:hanging="332"/>
        <w:spacing w:after="0" w:line="217" w:lineRule="exact"/>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In August 2021, our board of directors approved an amendment to the amended and restated Bentley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Nonqualified Deferred Compensation Plan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we recognized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time compensation charge of $90,721 to </w:t>
      </w: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expenses in the consolidated statements of operations to record the reallocated deferred compensation plan liabilities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fair value.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in the consolidated statements of operations. We exclude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 (income) when we evaluate our continuing operational performance because it is not reflective of our ongoing business and results of operation. We believe it is useful for investors to understand the effects of this item on our total operating expenses.</w:t>
      </w:r>
    </w:p>
    <w:p>
      <w:pPr>
        <w:spacing w:after="0" w:line="208" w:lineRule="exact"/>
        <w:rPr>
          <w:rFonts w:ascii="Times New Roman" w:cs="Times New Roman" w:eastAsia="Times New Roman" w:hAnsi="Times New Roman"/>
          <w:sz w:val="18"/>
          <w:szCs w:val="18"/>
          <w:color w:val="auto"/>
        </w:rPr>
      </w:pPr>
    </w:p>
    <w:p>
      <w:pPr>
        <w:jc w:val="both"/>
        <w:ind w:left="340" w:hanging="332"/>
        <w:spacing w:after="0" w:line="219" w:lineRule="exact"/>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expenses</w:t>
      </w:r>
      <w:r>
        <w:rPr>
          <w:rFonts w:ascii="Times New Roman" w:cs="Times New Roman" w:eastAsia="Times New Roman" w:hAnsi="Times New Roman"/>
          <w:sz w:val="18"/>
          <w:szCs w:val="18"/>
          <w:color w:val="auto"/>
        </w:rPr>
        <w:t>. We incur expenses for professional services rendered in connection with business combinations, which are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presentation of general and administrative expense (See Note 4 to our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Also included in our acquisition expenses are retention incentives paid to executives of the acquired companies. For the three and nine months ended September 30, 2022, $350 and $10,149, respectively, of our acquisition expenses related to our platform acquisition of Power Line Systems. For the three and nine months ended September 30, 2021, $389 and $16,285, respectively, of our acquisition expenses related to our platform acquisition of Seequent. We exclude these acquisition expenses when we evaluate our continuing operational performance as we would not have otherwise incurred these expenses in the periods presented as part of our continuing operations.</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Realignment (income) expenses</w:t>
      </w:r>
      <w:r>
        <w:rPr>
          <w:rFonts w:ascii="Times New Roman" w:cs="Times New Roman" w:eastAsia="Times New Roman" w:hAnsi="Times New Roman"/>
          <w:sz w:val="18"/>
          <w:szCs w:val="18"/>
          <w:color w:val="auto"/>
        </w:rPr>
        <w:t>. During the second quarter of 2022, the marked shifts in the Russian business environment and economic outlook 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conclude it was no longer viable for us to continue operations in Russia. Accordingly, we made the decision to wind down business and exit the Russian market. As a result, we incurred exit costs, which were comprised of termination benefits for colleagues whose positions were eliminated and asset impairments (“Russian market exit costs”).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4" w:name="page55"/>
    <w:bookmarkEnd w:id="54"/>
    <w:p>
      <w:pPr>
        <w:jc w:val="both"/>
        <w:ind w:left="340" w:hanging="332"/>
        <w:spacing w:after="0" w:line="267"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 table below contains the details of</w:t>
      </w:r>
      <w:r>
        <w:rPr>
          <w:rFonts w:ascii="Times New Roman" w:cs="Times New Roman" w:eastAsia="Times New Roman" w:hAnsi="Times New Roman"/>
          <w:sz w:val="18"/>
          <w:szCs w:val="18"/>
          <w:i w:val="1"/>
          <w:iCs w:val="1"/>
          <w:color w:val="auto"/>
        </w:rPr>
        <w:t xml:space="preserve"> Other (income) expense, net</w:t>
      </w:r>
      <w:r>
        <w:rPr>
          <w:rFonts w:ascii="Times New Roman" w:cs="Times New Roman" w:eastAsia="Times New Roman" w:hAnsi="Times New Roman"/>
          <w:sz w:val="18"/>
          <w:szCs w:val="18"/>
          <w:color w:val="auto"/>
        </w:rPr>
        <w:t>. We exclude these items because they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our ongoing business and results of operations. We believe it is useful for investors to understand the effects of these items on our results of operations.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8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2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1"/>
        </w:trPr>
        <w:tc>
          <w:tcPr>
            <w:tcW w:w="29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70"/>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18,815</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w:t>
            </w: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4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consideration</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900" w:type="dxa"/>
            <w:vAlign w:val="bottom"/>
            <w:tcBorders>
              <w:bottom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7" w:lineRule="exact"/>
        <w:rPr>
          <w:sz w:val="20"/>
          <w:szCs w:val="20"/>
          <w:color w:val="auto"/>
        </w:rPr>
      </w:pPr>
    </w:p>
    <w:p>
      <w:pPr>
        <w:jc w:val="both"/>
        <w:ind w:left="660" w:hanging="328"/>
        <w:spacing w:after="0" w:line="261"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derived mainly from United States (“U.S.”) Dollar denominated cash and cash equivalents, account receivables, customer deposits, and intercompany balances held by foreign subsidiaries. Intercompany finance transactions denominated in U.S. Dollars resulted in unrealized foreign exchange losses of $5,730 and $2,741 for the three months ended September 30, 2022 and 2021, respectively, and $12,293 and $1,298 for the nine months ended September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Comparability and Performance: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businesses. As a public company, we have been able to make platform acquisitions which appreciably increase our scale and/or the scope of our platform capabilities. Our relatively numerous and frequent programmatic acquisitions, which most often “fill white space” within our ecosystem and add their particular value principally by virtue of our existing platform comprehensiveness, and accordingly we consider this programmatic aspect of our growth as characteristically within our mainstream business performance (unlike platform acquisitions).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completed four and 12 acquisitions for the nine months ended September 30, 2022 and 2021, respectively. Our three and nine months ended September 30, 2022 consolidated financial statements were meaningfully impacted by our platform acquisition of Power Line Systems, which was completed on January 31, 2022 for $695,968 in cash, net of cash acquired. Our three and nine months ended September 30, 2022 and 2021 consolidated financial statements were meaningfully impacted by our platform acquisition of Seequent, which was completed on June 17, 2021 for $883,336 in cash, net of cash acquired, plus 3,141,342 shares of our Class B Common Stock. For the three and nine months ended September 30, 2022, $350 and $10,149, respectively, of our acquisition expenses related to the acquisition of Power Line Systems. For the three and nine months ended September 30, 2021, $389 and $16,285, respectively, of our acquisition expenses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5" w:name="page56"/>
    <w:bookmarkEnd w:id="55"/>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DCP Amendment</w:t>
      </w:r>
      <w:r>
        <w:rPr>
          <w:rFonts w:ascii="Times New Roman" w:cs="Times New Roman" w:eastAsia="Times New Roman" w:hAnsi="Times New Roman"/>
          <w:sz w:val="18"/>
          <w:szCs w:val="18"/>
          <w:color w:val="auto"/>
        </w:rPr>
        <w:t>. In August 2021, our board of directors approved an amendment to the DCP, which offered to certain active executives in the DCP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our Class B Common Stock into other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we recognized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time compensation charge of $90,721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expenses in the consolidated statements of operations to record the reallocated deferred compensation plan liabilities at their fair value. Subsequent to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time reallocation, these diversified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in the consolidated statements of operations.</w:t>
      </w:r>
    </w:p>
    <w:p>
      <w:pPr>
        <w:spacing w:after="0" w:line="19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BSY Stock Repurchase Program</w:t>
      </w:r>
      <w:r>
        <w:rPr>
          <w:rFonts w:ascii="Times New Roman" w:cs="Times New Roman" w:eastAsia="Times New Roman" w:hAnsi="Times New Roman"/>
          <w:sz w:val="18"/>
          <w:szCs w:val="18"/>
          <w:color w:val="auto"/>
        </w:rPr>
        <w:t>. On May 11, 2022, we announced that our board of directors approved the BSY Stock Repurchase Program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authorizing us to repurchase up to $200,000 of our Class B Common Stock through June 30, 2024. The Repurchase Program is used to offset dilution from the issuance of our Class B Common Stock under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plans to enhance stockholder value. For the nine months ended September 30, 2022, we repurchased 896,126 shares for $28,250.</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Impact of foreign currency</w:t>
      </w:r>
      <w:r>
        <w:rPr>
          <w:rFonts w:ascii="Times New Roman" w:cs="Times New Roman" w:eastAsia="Times New Roman" w:hAnsi="Times New Roman"/>
          <w:sz w:val="18"/>
          <w:szCs w:val="18"/>
          <w:color w:val="auto"/>
        </w:rPr>
        <w:t>. A portion of our total revenues and operating expenses were derived from outside the U.S. and, as such, were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foreign currencies, including most significantly: Euros, British Pounds, Australian Dollars, Canadian Dollars, Chinese Yuan Renminbi, and New Zealand Dollars. Our financial results are therefore affected by changes in foreign currency rates. In 2021, 47% of our total revenues were denominated in various foreign currencies. Correspondingly, in 2021, 42% of our total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8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and enhance the understanding of our results and evaluation of our performance. 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selected consolidated statements of operations data for each of the periods indicated are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920" w:type="dxa"/>
            <w:vAlign w:val="bottom"/>
            <w:gridSpan w:val="4"/>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235,307</w:t>
            </w:r>
          </w:p>
        </w:tc>
        <w:tc>
          <w:tcPr>
            <w:tcW w:w="24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215,135</w:t>
            </w:r>
          </w:p>
        </w:tc>
        <w:tc>
          <w:tcPr>
            <w:tcW w:w="2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708,731</w:t>
            </w:r>
          </w:p>
        </w:tc>
        <w:tc>
          <w:tcPr>
            <w:tcW w:w="24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244,767</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739,944</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623,075</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72,190</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268,332</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251,388</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812,134</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697,314</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107,904</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66,758</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67,090</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59,183</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174,662</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156,972</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209,149</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197,156</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637,472</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540,342</w:t>
            </w: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63,827</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57,334</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189,966</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141,676</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114,846</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35,329</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128,981</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153,605</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234,696</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469,619</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489,022</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method, net of tax</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participating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Class A and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Class B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149,027</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310,116,104</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308,195,379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308,959,801</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305,119,985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325,170,383</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308,195,379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332,077,834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314,658,136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7" w:name="page58"/>
    <w:bookmarkEnd w:id="57"/>
    <w:p>
      <w:pPr>
        <w:jc w:val="both"/>
        <w:spacing w:after="0" w:line="228" w:lineRule="exact"/>
        <w:rPr>
          <w:sz w:val="20"/>
          <w:szCs w:val="20"/>
          <w:color w:val="auto"/>
        </w:rPr>
      </w:pP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4" w:lineRule="exact"/>
        <w:rPr>
          <w:sz w:val="20"/>
          <w:szCs w:val="20"/>
          <w:color w:val="auto"/>
        </w:rPr>
      </w:pPr>
    </w:p>
    <w:p>
      <w:pPr>
        <w:ind w:right="5260"/>
        <w:spacing w:after="0" w:line="4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Three and Nine Months Ended September 30, 2022 and 2021 </w:t>
      </w:r>
      <w:r>
        <w:rPr>
          <w:rFonts w:ascii="Times New Roman" w:cs="Times New Roman" w:eastAsia="Times New Roman" w:hAnsi="Times New Roman"/>
          <w:sz w:val="18"/>
          <w:szCs w:val="18"/>
          <w:i w:val="1"/>
          <w:iCs w:val="1"/>
          <w:color w:val="auto"/>
        </w:rPr>
        <w:t>Revenues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235,307</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6"/>
              </w:rPr>
              <w:t>20,172</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6"/>
              </w:rPr>
              <w:t>17,766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6"/>
              </w:rPr>
              <w:t>16,944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8"/>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708,731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589,702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119,029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739,944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623,075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116,869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812,134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697,314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114,820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revenues for the three and nine months ended September 30, 2022 was primarily driven by improvements in our business performance and the impact from our platform acquisitions in subscriptions revenues, partially offset by the overall negative foreign currency effects due to a stronger U.S. Dollar relative to our other currencies. We define business performance as our organic growth results inclusive of the impact from certain programmatic acquisitions, which generally are immaterial, individually and in the aggregate.</w:t>
      </w:r>
    </w:p>
    <w:p>
      <w:pPr>
        <w:spacing w:after="0" w:line="178" w:lineRule="exact"/>
        <w:rPr>
          <w:sz w:val="20"/>
          <w:szCs w:val="20"/>
          <w:color w:val="auto"/>
        </w:rPr>
      </w:pPr>
    </w:p>
    <w:p>
      <w:pPr>
        <w:jc w:val="both"/>
        <w:ind w:left="820" w:hanging="245"/>
        <w:spacing w:after="0" w:line="267"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For the three months ended September 30, 2022, the increase in subscriptions revenues was primarily driven by improvements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performance, on a constant currency basis, of approximately $27,500 and the impact from our platform acquisition of approximately $10,400.</w:t>
      </w:r>
    </w:p>
    <w:p>
      <w:pPr>
        <w:spacing w:after="0" w:line="175" w:lineRule="exact"/>
        <w:rPr>
          <w:rFonts w:ascii="Times New Roman" w:cs="Times New Roman" w:eastAsia="Times New Roman" w:hAnsi="Times New Roman"/>
          <w:sz w:val="18"/>
          <w:szCs w:val="18"/>
          <w:i w:val="1"/>
          <w:iCs w:val="1"/>
          <w:color w:val="auto"/>
        </w:rPr>
      </w:pPr>
    </w:p>
    <w:p>
      <w:pPr>
        <w:ind w:left="8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nine months ended September 30, 2022, the increase in subscriptions revenues was primarily driven by the impact from our platform acquisitions of approximately $84,900 and improvements in our business performance, on a constant currency basis, of approximately $69,000.</w:t>
      </w:r>
    </w:p>
    <w:p>
      <w:pPr>
        <w:spacing w:after="0" w:line="161" w:lineRule="exact"/>
        <w:rPr>
          <w:rFonts w:ascii="Times New Roman" w:cs="Times New Roman" w:eastAsia="Times New Roman" w:hAnsi="Times New Roman"/>
          <w:sz w:val="18"/>
          <w:szCs w:val="18"/>
          <w:i w:val="1"/>
          <w:iCs w:val="1"/>
          <w:color w:val="auto"/>
        </w:rPr>
      </w:pPr>
    </w:p>
    <w:p>
      <w:pPr>
        <w:jc w:val="both"/>
        <w:ind w:left="82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September 30, 2022, the acquisition impact relates to our platform acquisition of Power Line Systems and is inclusive of its organic performance. For the nine months ended September 30, 2022, the acquisition impact relates to our platform acquisitions of Seequent and Power Line Systems and is inclusive of their respective organic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8" w:name="page59"/>
    <w:bookmarkEnd w:id="58"/>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improvements in business performance, on a constant currency basis, were primarily driven by expansion within our existing accounts, and growth of 3% attributable to new accounts exclusive of platform acquisitions, most notability smaller- and medium-sized accounts. Improvements in business performance for the three months ended September 30, 2022 were led by our engineering applications. Improvements in business performance for the nine months ended September 30, 2022 were led by our structural and civil engineering applications and our Enterprise Systems for project delivery.</w:t>
      </w:r>
    </w:p>
    <w:p>
      <w:pPr>
        <w:spacing w:after="0" w:line="181" w:lineRule="exact"/>
        <w:rPr>
          <w:sz w:val="20"/>
          <w:szCs w:val="20"/>
          <w:color w:val="auto"/>
        </w:rPr>
      </w:pPr>
    </w:p>
    <w:p>
      <w:pPr>
        <w:ind w:left="820" w:hanging="245"/>
        <w:spacing w:after="0" w:line="284" w:lineRule="auto"/>
        <w:tabs>
          <w:tab w:leader="none" w:pos="81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For the three months ended September 30, 2022, the decrease in perpetual licenses revenues was primarily driven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business performance, due to continued efforts to migrating users to subscription offerings.</w:t>
      </w:r>
    </w:p>
    <w:p>
      <w:pPr>
        <w:spacing w:after="0" w:line="160" w:lineRule="exact"/>
        <w:rPr>
          <w:rFonts w:ascii="Times New Roman" w:cs="Times New Roman" w:eastAsia="Times New Roman" w:hAnsi="Times New Roman"/>
          <w:sz w:val="18"/>
          <w:szCs w:val="18"/>
          <w:i w:val="1"/>
          <w:iCs w:val="1"/>
          <w:color w:val="auto"/>
        </w:rPr>
      </w:pPr>
    </w:p>
    <w:p>
      <w:pPr>
        <w:ind w:left="8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nine months ended September 30, 2022, perpetual licenses revenues were impacted by our Seequent platform acquisition by approximately $1,800, partially offset by a reduction in business performance, on a constant currency basis, of approximately $1,700.</w:t>
      </w:r>
    </w:p>
    <w:p>
      <w:pPr>
        <w:spacing w:after="0" w:line="159" w:lineRule="exact"/>
        <w:rPr>
          <w:rFonts w:ascii="Times New Roman" w:cs="Times New Roman" w:eastAsia="Times New Roman" w:hAnsi="Times New Roman"/>
          <w:sz w:val="18"/>
          <w:szCs w:val="18"/>
          <w:i w:val="1"/>
          <w:iCs w:val="1"/>
          <w:color w:val="auto"/>
        </w:rPr>
      </w:pPr>
    </w:p>
    <w:p>
      <w:pPr>
        <w:jc w:val="both"/>
        <w:ind w:left="820" w:hanging="245"/>
        <w:spacing w:after="0" w:line="267" w:lineRule="auto"/>
        <w:tabs>
          <w:tab w:leader="none" w:pos="81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For the nine months ended September 30, 2022, services revenues were impacted by our Seequent and Power Line Systems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by approximately $1,200, partially offset by a reduction in business performance, on a constant currency basis, of approximately $700.</w:t>
      </w:r>
    </w:p>
    <w:p>
      <w:pPr>
        <w:spacing w:after="0" w:line="17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 reduction in business performance, on a constant currency basis, was impacted by the ongoing transition of historically classified services revenues into subscriptions revenues for accounts converting to our E365 subscription offering with embedded Success Services, partially offset by favorable contributions from Cohesive digital integrator services of approximately $6,300.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Region</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8"/>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gridSpan w:val="4"/>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127,996</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8"/>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349,752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90,466</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gridSpan w:val="2"/>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w:t>
            </w:r>
          </w:p>
        </w:tc>
        <w:tc>
          <w:tcPr>
            <w:tcW w:w="40" w:type="dxa"/>
            <w:vAlign w:val="bottom"/>
            <w:tcBorders>
              <w:bottom w:val="single" w:sz="8" w:color="auto"/>
            </w:tcBorders>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114,820</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jc w:val="both"/>
        <w:ind w:left="245" w:hanging="245"/>
        <w:spacing w:after="0" w:line="267" w:lineRule="auto"/>
        <w:tabs>
          <w:tab w:leader="none" w:pos="2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Americas. </w:t>
      </w:r>
      <w:r>
        <w:rPr>
          <w:rFonts w:ascii="Times New Roman" w:cs="Times New Roman" w:eastAsia="Times New Roman" w:hAnsi="Times New Roman"/>
          <w:sz w:val="18"/>
          <w:szCs w:val="18"/>
          <w:color w:val="auto"/>
        </w:rPr>
        <w:t>For the three months ended September 30, 2022, the increase in revenues from the Americas was primarily driven by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business performance, on a constant currency basis, of approximately $8,600 and an increase in subscriptions revenues from our Power Line Systems platform acquisition of approximately $6,800.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nine months ended September 30, 2022, the increase in revenues from the Americas was primarily driven by an increase in subscriptions revenues from our Seequent and Power Line Systems platform acquisitions of approximately $53,600 and improvements in our business performance, on a constant currency basis, of approximately $38,900.</w:t>
      </w:r>
    </w:p>
    <w:p>
      <w:pPr>
        <w:spacing w:after="0" w:line="121" w:lineRule="exact"/>
        <w:rPr>
          <w:rFonts w:ascii="Times New Roman" w:cs="Times New Roman" w:eastAsia="Times New Roman" w:hAnsi="Times New Roman"/>
          <w:sz w:val="18"/>
          <w:szCs w:val="18"/>
          <w:i w:val="1"/>
          <w:iCs w:val="1"/>
          <w:color w:val="auto"/>
        </w:rPr>
      </w:pPr>
    </w:p>
    <w:p>
      <w:pPr>
        <w:ind w:left="245"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on a constant currency basis, for the three and nine months ended September 30, 2022 were primarily due to expansion of our subscriptions revenues from existing accounts in the U.S.</w:t>
      </w:r>
    </w:p>
    <w:p>
      <w:pPr>
        <w:spacing w:after="0" w:line="105" w:lineRule="exact"/>
        <w:rPr>
          <w:rFonts w:ascii="Times New Roman" w:cs="Times New Roman" w:eastAsia="Times New Roman" w:hAnsi="Times New Roman"/>
          <w:sz w:val="18"/>
          <w:szCs w:val="18"/>
          <w:i w:val="1"/>
          <w:iCs w:val="1"/>
          <w:color w:val="auto"/>
        </w:rPr>
      </w:pPr>
    </w:p>
    <w:p>
      <w:pPr>
        <w:ind w:left="245" w:hanging="245"/>
        <w:spacing w:after="0" w:line="284" w:lineRule="auto"/>
        <w:tabs>
          <w:tab w:leader="none" w:pos="2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EMEA. </w:t>
      </w:r>
      <w:r>
        <w:rPr>
          <w:rFonts w:ascii="Times New Roman" w:cs="Times New Roman" w:eastAsia="Times New Roman" w:hAnsi="Times New Roman"/>
          <w:sz w:val="18"/>
          <w:szCs w:val="18"/>
          <w:color w:val="auto"/>
        </w:rPr>
        <w:t>For the three months ended September 30, 2022, EMEA revenues were impacted by improvements in our business performance,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basis, of approximately $8,000.</w:t>
      </w:r>
    </w:p>
    <w:p>
      <w:pPr>
        <w:spacing w:after="0" w:line="160"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on a constant currency basis, for the three months ended September 30, 2022 were primarily due to expansion of our subscriptions revenues from existing accounts in Central Europe, the Middle East, and Africa, partially offset by reductions in Russia.</w:t>
      </w:r>
    </w:p>
    <w:p>
      <w:pPr>
        <w:spacing w:after="0" w:line="121"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nine months ended September 30, 2022, the increase in revenues from EMEA was primarily driven by an increase in subscriptions revenues from our Seequent and Power Line Systems platform acquisitions of approximately $16,900 and improvements in our business performance, on a constant currency basis, of approximately $14,900.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on a constant currency basis, for the nine months ended September 30, 2022 were primarily due to expansion of our subscriptions revenues from existing accounts in Central Europe, the United Kingdom, the Middle East, and Africa, partially offset by reductions in Russia.</w:t>
      </w:r>
    </w:p>
    <w:p>
      <w:pPr>
        <w:spacing w:after="0" w:line="173" w:lineRule="exact"/>
        <w:rPr>
          <w:rFonts w:ascii="Times New Roman" w:cs="Times New Roman" w:eastAsia="Times New Roman" w:hAnsi="Times New Roman"/>
          <w:sz w:val="18"/>
          <w:szCs w:val="18"/>
          <w:i w:val="1"/>
          <w:iCs w:val="1"/>
          <w:color w:val="auto"/>
        </w:rPr>
      </w:pPr>
    </w:p>
    <w:p>
      <w:pPr>
        <w:ind w:left="245" w:hanging="245"/>
        <w:spacing w:after="0" w:line="284" w:lineRule="auto"/>
        <w:tabs>
          <w:tab w:leader="none" w:pos="2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For the three months ended September 30, 2022, the increase in revenues from APAC was primarily driven by improvements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performance, on a constant currency basis, of approximately $9,600.</w:t>
      </w:r>
    </w:p>
    <w:p>
      <w:pPr>
        <w:spacing w:after="0" w:line="160"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nine months ended September 30, 2022, the increase in revenues from APAC was primarily driven by an increase in subscriptions revenues from our Seequent and Power Line Systems platform acquisitions of approximately $14,500 and improvements in our business performance, on a constant currency basis, of approximately $12,900.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on a constant currency basis, for the three and nine months ended September 30, 2022 were primarily due to expansion of our subscriptions revenues from existing accounts in India, and Southeast Asia, partially offset by reductions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41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left="5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2"/>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2"/>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107,904</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For the three months ended September 30, 2022, on a constant currency basis, cost of subscriptions and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$3,300, mainly due to annual salary adjustments and additional headcount, an increase in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$2,200, and an increase in channel partner compensation and royalties of approximately $2,000.</w:t>
      </w:r>
    </w:p>
    <w:p>
      <w:pPr>
        <w:spacing w:after="0" w:line="19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For the nine months ended September 30, 2022, on a constant currency basis, cost of subscriptions and licenses 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$10,300, mainly due to our platform acquisition of Seequent and annual salary adjustments, an increase in amortization expense for software and technology of approximately $4,500, and an increase in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$3,900.</w:t>
      </w:r>
    </w:p>
    <w:p>
      <w:pPr>
        <w:spacing w:after="0" w:line="17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For the nine months ended September 30, 2022, on a constant currency basis, cost of services increased primarily due to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$3,900, mainly due to digital integrator business acquisitions and annual salary adjustments, partially offset by a decrease in facilities costs of approximately $700.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220" w:type="dxa"/>
            <w:vAlign w:val="bottom"/>
            <w:tcBorders>
              <w:bottom w:val="single" w:sz="8" w:color="auto"/>
            </w:tcBorders>
          </w:tcPr>
          <w:p>
            <w:pPr>
              <w:spacing w:after="0"/>
              <w:rPr>
                <w:sz w:val="18"/>
                <w:szCs w:val="18"/>
                <w:color w:val="auto"/>
              </w:rPr>
            </w:pPr>
          </w:p>
        </w:tc>
      </w:tr>
      <w:tr>
        <w:trPr>
          <w:trHeight w:val="212"/>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63,827</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(93,541)</w:t>
            </w:r>
          </w:p>
        </w:tc>
        <w:tc>
          <w:tcPr>
            <w:tcW w:w="1340" w:type="dxa"/>
            <w:vAlign w:val="bottom"/>
            <w:gridSpan w:val="2"/>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23"/>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20"/>
        </w:trPr>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1" w:name="page62"/>
    <w:bookmarkEnd w:id="61"/>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2"/>
        </w:trPr>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189,966</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32,053</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1340" w:type="dxa"/>
            <w:vAlign w:val="bottom"/>
            <w:gridSpan w:val="2"/>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92.9 %</w:t>
            </w:r>
          </w:p>
        </w:tc>
      </w:tr>
      <w:tr>
        <w:trPr>
          <w:trHeight w:val="22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469,619</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489,022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
        </w:trPr>
        <w:tc>
          <w:tcPr>
            <w:tcW w:w="3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1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For the three months ended September 30, 2022, on a constant currency basis, research and development expenses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headcount-related costs of approximately $9,000. The increase in headcount-related costs was primarily comprised of approximately $6,500 of increases in salaries, mainly due to annual salary adjustments and additional headcount, and variable compensation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on a constant currency basis, research and development expenses increased primarily due to an increase in headcount-related costs of approximately $35,200. The increase in headcount-related costs was primarily comprised of approximately $29,600 of increases in salaries, mainly due to our platform acquisition of Seequent, annual salary adjustments, and variable compensation costs, as well as an increase in stock-based compensation expense of approximately $4,100.</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For the three months ended September 30, 2022, on a constant currency basis, selling and marketing expenses increased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an increase in headcount-related costs of approximately $4,100. The increase in headcount-related costs was primarily comprised of approximately $2,400 of increases in salaries, mainly due to annual salary adjustments, and variable compensation costs, an increase in travel-related costs of approximately $1,100, and increase in stock-based compensation expense of approximately $600.</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on a constant currency basis, selling and marketing expenses increased primarily due to an increase in headcount-related costs of approximately $27,300 and an increase in promotional costs of approximately $3,500. The increase in headcount-related costs was primarily comprised of approximately $21,400 of increases in salaries, mainly due to our platform acquisition of Seequent and annual salary adjustments, and variable compensation costs, an increase in travel-related costs of approximately $3,800, and an increase in stock-based compensation expense of approximately $2,100.</w:t>
      </w:r>
    </w:p>
    <w:p>
      <w:pPr>
        <w:spacing w:after="0" w:line="18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For the three months ended September 30, 2022, on a constant currency basis, general and administrative expenses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headcount-related costs of approximately $7,700. The increase in headcount-related costs was primarily comprised of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$4,700 and an increase in salaries costs of approximately $3,300, mainly due to annual salary adjustments. Partially offsetting this increase were a decrease in facilities costs of approximately $1,700 and lower acquisition expenses of approximately $1,400.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spacing w:after="0" w:line="219" w:lineRule="exact"/>
        <w:rPr>
          <w:sz w:val="20"/>
          <w:szCs w:val="20"/>
          <w:color w:val="auto"/>
        </w:rPr>
      </w:pPr>
      <w:r>
        <w:rPr>
          <w:rFonts w:ascii="Times New Roman" w:cs="Times New Roman" w:eastAsia="Times New Roman" w:hAnsi="Times New Roman"/>
          <w:sz w:val="18"/>
          <w:szCs w:val="18"/>
          <w:color w:val="auto"/>
        </w:rPr>
        <w:t>For the nine months ended September 30, 2022, on a constant currency basis, general and administrative expenses increased primarily due to an increase in headcount-related costs of approximately $26,400. The increase in headcount-related costs was primarily comprised of an increase in salaries costs of approximately $12,700, mainly due to our platform acquisition of Seequent and annual salary adjustments, and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$11,800. Partially offsetting these increases were lower acquisition expenses of approximately $7,200, primarily due to expenses of $10,149 related to the acquisition of Power Line Systems for the nine months ended September 30, 2022 as compared to expenses of $16,285 related to the acquisition of Seequent for the nine months ended September 30, 2021.</w:t>
      </w:r>
    </w:p>
    <w:p>
      <w:pPr>
        <w:spacing w:after="0" w:line="20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For the three and nine months ended September 30, 2022, deferred compensation plan income was $4,576 and $21,873,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These amounts were attributable to the marked to market impact on deferred compensation plan liability balances period-over-period. For the three and nine months ended September 30, 2021, deferred compensation plan expense was $88,965 and $89,327, respectively. These amounts were primarily attributable to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compensation charge of $90,721 as discussed further below, partially offset by the marked to market impact on deferred compensation plan liability balances period-over-period.</w:t>
      </w:r>
    </w:p>
    <w:p>
      <w:pPr>
        <w:spacing w:after="0" w:line="17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August 2021, our board of directors approved an amendment to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we recognized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time compensation charge of $90,721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expenses in the consolidated statements of operations to record the reallocated deferred compensation plan liabilities at their fair value.</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For the three and nine months ended September 30, 2022, on a constant currency basis, amortization of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increased primarily due to amortization from recently acquired purchased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2600" w:type="dxa"/>
            <w:vAlign w:val="bottom"/>
            <w:gridSpan w:val="4"/>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 facility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coupon interest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interest expense, net increased primarily due to a higher outstanding average balance combined with a higher average interest rate under the revolving loan facility, and interest expense on the term loan, which we entered into on December 22,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w:t>
            </w: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30" w:lineRule="exact"/>
        <w:rPr>
          <w:sz w:val="20"/>
          <w:szCs w:val="20"/>
          <w:color w:val="auto"/>
        </w:rPr>
      </w:pPr>
    </w:p>
    <w:p>
      <w:pPr>
        <w:jc w:val="both"/>
        <w:ind w:left="340" w:hanging="332"/>
        <w:spacing w:after="0" w:line="261"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derived mainly from U.S. Dollar denominated cash and cash equivalents, account receivables, customer deposits, and intercompany balances held by foreign subsidiaries. Intercompany finance transactions denominated in U.S. Dollars resulted in unrealized foreign exchange losses of $5,730 and $2,741 for the three months ended September 30, 2022 and 2021, respectively, and $12,293 and $1,298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Income (loss)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47,342</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(42,333)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159,125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52,460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9,664</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8,221</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(5,090)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9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For the three months ended September 30, 2022, the effective tax rate was higher as compared to the three months ended September 30, 2021 primarily due to the 2021 tax effect, net of officer compensation limitation provisions, related to the 2021 compensation charge of $90,721 to </w:t>
      </w: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expenses to record reallocated deferred compensation plan liabilities at fair value. For the three months ended September 30, 2022 and 2021,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discrete tax benefits of $4,280 and $6,920,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For the nine months ended September 30, 2022, the effective tax rate was higher as compared to the nine months ended September 30, 2021 primarily due to the 2021 tax effect, net of officer compensation limitation provisions, related to the 2021 compensation charge of $90,721 to </w:t>
      </w: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expenses to record reallocated deferred compensation plan liabilities at fair value. For the nine months ended September 30, 2022 and 2021,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discrete tax benefits of $36,032 and $42,825,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net income (loss) increased by $85,019, or 177.0%, compared to the three months ended September 30, 2021. For the nine months ended September 30, 2022, net income (loss) increased by $94,447, or 172.9%, compared to the nine months ended September 30, 2021. Net income as a percentage of total revenues was 13.8% and (19.1)% for the three months ended September 30, 2022 and 2021, respectively, and 18.4% and 7.8% for the nine months ended September 30, 2022 and 2021. The changes are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84,468</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273,877</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236,778</w:t>
            </w: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56,289</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215,189</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194,971</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Adjusted EBITDA increased by $5,272 and $37,099 compared to the three and nine months ended September 30, 2021, respectively. For the three months ended September 30, 2022 and 2021, Adjusted EBITDA as a percentage of total revenues was 33.4% and 33.6%, respectively. For the nine months ended September 30, 2022 and 2021, Adjusted EBITDA as a percentage of total revenues was 33.7% and 34.0%,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Adjusted Net Income increased by $5,536 and $20,218 compared to the three and nine months ended September 30, 2021, respectively. For the three months ended September 30, 2022 and 2021, Adjusted Net Income as a percentage of total revenues was 23.0% and 22.4%, respectively. For the nine months ended September 30, 2022 and 2021, Adjusted Net Income as a percentage of total revenues was 26.5% and 28.0%, respectively.</w:t>
      </w:r>
    </w:p>
    <w:p>
      <w:pPr>
        <w:spacing w:after="0" w:line="15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For additional information, including the limitations of using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reconciliations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 most directly comparable financial measures stated in accordance with U.S. GAAP, see the section 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primary source of operating cash is from the sale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service our debt obligations, to pay quarterly dividends, to repurchase our Class B Common Stock (discussed further below), and for capital expenditures in support of our operations. We also use cash to fund our acquisitions of software assets and businesses, and other investment activities of </w:t>
      </w:r>
      <w:r>
        <w:rPr>
          <w:rFonts w:ascii="Times New Roman" w:cs="Times New Roman" w:eastAsia="Times New Roman" w:hAnsi="Times New Roman"/>
          <w:sz w:val="18"/>
          <w:szCs w:val="18"/>
          <w:i w:val="1"/>
          <w:iCs w:val="1"/>
          <w:color w:val="auto"/>
        </w:rPr>
        <w:t>BSY Investments</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i w:val="1"/>
          <w:iCs w:val="1"/>
          <w:color w:val="auto"/>
        </w:rPr>
        <w:t>iTwin Ventures</w:t>
      </w:r>
      <w:r>
        <w:rPr>
          <w:rFonts w:ascii="Times New Roman" w:cs="Times New Roman" w:eastAsia="Times New Roman" w:hAnsi="Times New Roman"/>
          <w:sz w:val="18"/>
          <w:szCs w:val="18"/>
          <w:color w:val="auto"/>
        </w:rPr>
        <w:t xml:space="preserve"> for which, over a period of approximately 5 years, we expect to invest up to $100 million of corporate venture capital funding for seed, early, and growth stage technology companies with promising and emerging opportunities for infrastructure digital twin solutions strategically relevant to our business. In connection with the acquisition of Power Line Systems in January 2022, we used available cash and borrowings under our Credit Facility (described below) to fund the transaction.</w:t>
      </w:r>
    </w:p>
    <w:p>
      <w:pPr>
        <w:spacing w:after="0" w:line="192"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 May 11, 2022, we announced that our board of directors approved the Repurchase Program authorizing us to repurchase up to $200,000 of our Class B Common Stock through June 30, 2024. The Repurchase Program is used to offset dilution from the issuance of our Class B Common Stock under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plans to enhance stockholder value. The shares proposed to be acquired in the Repurchase Program may be repurchased from time to time in open market transactions, through privately negotiated transactions, or by other means in accordance with federal securities laws. We intend to fund repurchases from available working capital and cash provided by operating activities. The timing, as well as the number and value of shares repurchased under the Repurchase Program, will be determined at our discretion and will depend on a variety of factors, including management’s assessment of the intrinsic value of our shares, the market price of our Class B Common Stock, general market and economic conditions, available liquidity, compliance with our debt and other agreements, and applicable legal requirements. The exact number of shares to be repurchased by us is not guaranteed, and the Repurchase Program may be suspended, modified, or discontinued at any time without prior notice. For the nine months ended September 30, 2022, we repurchased 896,126 shares for $28,250.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2022, we exercised our right to require that certain equity awardees receive gross quantities of shares of our Class B Common Stock, most meaningfully for the issuance of shares in connection with our Executive Bonus Plan incentive compensation and distributions from the DCP, and promptly reimburse to us the cash required for their tax withholding amounts. Historically, these shares were issued on a net basis, holding back shares in consideration of remitting withholding taxes on behalf of equity awardees, thereby requiring us to remit cash for the tax withholdings.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and cash equivalent balances are concentrated in a few locations around the world, with substantial amounts held outside of the U.S. As of September 30, 2022 and December 31, 2021, 94% and 48%, respectively, of our total cash and cash equivalents were located outside of the U.S. During the nine months ended September 30, 2022, we repatriated $150,000 of undistributed previously taxed earnings generated by our foreign subsidiaries to the U.S. The repatriations were used to fund the acquisition of Power Line Systems. We expect to meet our U.S. liquidity needs through ongoing cash flows or external borrowings including available liquidity under the Credit Facility.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Our domestic and foreign holdings of cash and cash equivalents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domestically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 foreign subsidiaries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159,070</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Bank Credit Facility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amended and restated Credit Agreement, which provides for an $850,000 senior secured revolving loan facility with a maturity date of November 15, 2025 and a $200,000 senior secured term loan as described further below (the “Credit Facility”).</w:t>
      </w:r>
    </w:p>
    <w:p>
      <w:pPr>
        <w:spacing w:after="0" w:line="16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Our $200,000 senior secured term loan has a maturity of November 15, 2025 (the “2021 Term Loan”). The 2021 Term Loan requires principal repayment at the end of each calendar quarter. Beginning with March 31, 2022 and ending with December 31, 2023, we are required to repay $1,250 per quarter. Beginning with March 31, 2024 and ending with the last such date prior to the maturity date, we are required to repay $2,500 per quarter. We incurred $540 of debt issuance costs related to the 2021 Term Loan. We used borrowings under the 2021 Term Loan to pay down borrowings under the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revolving loan facility under the Credit Facility.</w:t>
      </w:r>
    </w:p>
    <w:p>
      <w:pPr>
        <w:spacing w:after="0" w:line="17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the senior secured revolving loan facility, the Credit Facility also provides up to $50,000 of letters of credit and other borrowings subject to availability, including a $85,000 U.S. Dollar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a $200,000 incremental “accordion”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We had $150 of letters of credit and surety bonds outstanding as of September 30, 2022 and December 31, 2021. As of September 30, 2022 and December 31, 2021, we had $505,189 and $849,850, respectively, available under the Credit Facility.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net leverage ratios. As of September 30, 2022 and December 31, 2021, we were in compliance with all covenants in our Credit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has a termination date of April 2, 2030. Under the terms of the interest rate swap, we fixed our London Interbank Offered Rate borrowing rate at 0.73% on a notional amount of $200,000. The interest rate swap is not designated as a hedging instrument for accounting purposes. We account for the interest rate swap as either an asset or a liability in the consolidated balance sheets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As of September 30, 2022 and December 31, 2021, we recorded a swap related asset at fair value of $39,435 and $10,117, respectively,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under the Credit Facility was 4.34% and 2.33% for the three months ended September 30, 2022 and 2021, respectively, and 3.20% and 2.02% for the nine months ended September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2027 Notes. </w:t>
      </w:r>
      <w:r>
        <w:rPr>
          <w:rFonts w:ascii="Times New Roman" w:cs="Times New Roman" w:eastAsia="Times New Roman" w:hAnsi="Times New Roman"/>
          <w:sz w:val="18"/>
          <w:szCs w:val="18"/>
          <w:color w:val="auto"/>
        </w:rPr>
        <w:t>On June 28, 2021, we completed a private offering of $575,000 of 0.375% convertible senior notes due 2027 (the “2027 Notes”).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 Notes were issued pursuant to an indenture, dated as of June 28, 2021, between the Company and Wilmington Trust, National Association, as trustee (the “2027 Indenture”). Interest will accrue from June 28,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the payment of initial purchasers’ discounts and commissions, professional fees, and other expenses (“transaction costs”).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8"/>
          <w:szCs w:val="18"/>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were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none of the conditions of the 2027 Notes to early convert has been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2027 Notes contain both affirmative and negative covenants. As of September 30, 2022, we were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Capped Call Options. </w:t>
      </w:r>
      <w:r>
        <w:rPr>
          <w:rFonts w:ascii="Times New Roman" w:cs="Times New Roman" w:eastAsia="Times New Roman" w:hAnsi="Times New Roman"/>
          <w:sz w:val="18"/>
          <w:szCs w:val="18"/>
          <w:color w:val="auto"/>
        </w:rPr>
        <w:t>In connection with the pricing of the 2027 Notes, we entered into capped call options with certain of the initial purchasers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affiliates and certain other financial institutions. We incurred $50 of expenses in connection with the capped call options.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18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2026 Notes. </w:t>
      </w:r>
      <w:r>
        <w:rPr>
          <w:rFonts w:ascii="Times New Roman" w:cs="Times New Roman" w:eastAsia="Times New Roman" w:hAnsi="Times New Roman"/>
          <w:sz w:val="18"/>
          <w:szCs w:val="18"/>
          <w:color w:val="auto"/>
        </w:rPr>
        <w:t>On January 26, 2021, we completed a private offering of $690,000 of 0.125% convertible senior notes due 2026 (the “2026 Notes”).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Notes were issued pursuant to an indenture, dated as of January 26, 2021, between the Company and Wilmington Trust, National Association, as trustee (the “2026 Indenture”). Interest will accrue from January 26,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70" w:name="page71"/>
    <w:bookmarkEnd w:id="70"/>
    <w:p>
      <w:pPr>
        <w:spacing w:after="0" w:line="261" w:lineRule="auto"/>
        <w:rPr>
          <w:sz w:val="20"/>
          <w:szCs w:val="20"/>
          <w:color w:val="auto"/>
        </w:rPr>
      </w:pPr>
      <w:r>
        <w:rPr>
          <w:rFonts w:ascii="Times New Roman" w:cs="Times New Roman" w:eastAsia="Times New Roman" w:hAnsi="Times New Roman"/>
          <w:sz w:val="18"/>
          <w:szCs w:val="18"/>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Notes were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none of the conditions of the 2026 Notes to early convert has been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Notes contain both affirmative and negative covenants. As of September 30, 2022, we were in compliance with all covenants in the 2026 Notes.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Capped Call Options</w:t>
      </w:r>
      <w:r>
        <w:rPr>
          <w:rFonts w:ascii="Times New Roman" w:cs="Times New Roman" w:eastAsia="Times New Roman" w:hAnsi="Times New Roman"/>
          <w:sz w:val="18"/>
          <w:szCs w:val="18"/>
          <w:color w:val="auto"/>
        </w:rPr>
        <w:t>. In connection with the pricing of the 2026 Notes, we entered into capped call options with certain of the initial purchasers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for the nine months ended September 30, 2022 and 2021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9"/>
              </w:rPr>
              <w:t>238,198</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207,417</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(740,445)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(1,047,847)</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3"/>
                <w:szCs w:val="23"/>
                <w:color w:val="auto"/>
              </w:rPr>
            </w:pPr>
          </w:p>
        </w:tc>
        <w:tc>
          <w:tcPr>
            <w:tcW w:w="12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9"/>
              </w:rPr>
              <w:t>254,692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869,649</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Net cash provided by operating activities was $238,198 for the nine months ended September 30, 2022. Compared to the same period in the prior year, net cash provided by operating activities was higher by $30,781 due to an increase in net income of $94,447 and a net increase in net cash flows from the change in operating assets and liabilities of $10,894, partially offset by a net decrease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of $74,560. Both the increase in net income and the net decrease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were impacted by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compensation charge of $90,721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expenses during the nine months ended September 30, 2021 to record reallocated deferred compensation plan liabilities at fair value as previously discussed. The net increase in cash flows from the change in operating assets and liabilities was primarily related to a decrease related to cash paid for income taxes.</w:t>
      </w:r>
    </w:p>
    <w:p>
      <w:pPr>
        <w:spacing w:after="0" w:line="201"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For the nine months ended September 30, 2021, net cash provided by operating activities was $207,417 due to net income of $54,611 increased by $138,808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and $13,998 from changes in operating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$740,445 for the nine months ended September 30, 2022 primarily due to $719,539 in acquisition related payments, net of cash acquired, to complete four acquisitions.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was $1,047,847 primarily due to $1,033,695 in acquisition related payments, net of cash acquired, to complete 12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$254,692 for the nine months ended September 30, 2022 primarily due to an increase in net borrowings under the Credit Facility of $340,912, partially offset by net payments for shares acquired of $70,463, including shares repurchased under the Repurchase Program, and payments of dividends of $25,828.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$869,649 primarily due to the net proceeds from the convertible senior notes of $1,233,377, partially offset by a decrease in net borrowings under the Credit Facility of $178,145, net payments for shares acquired of $111,306, and the purchase of capped call options of $51,555.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There have been no significant changes in our market risk exposure as described in Part II, Item 7A. Quantitative and Qualitative Disclosures About Market Risk in our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file with the SEC.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Effectiveness of Disclosure Controls and Procedures</w:t>
      </w:r>
    </w:p>
    <w:p>
      <w:pPr>
        <w:spacing w:after="0" w:line="20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September 30, 2022, our disclosure controls and procedures were effective at the reasonable assurance level.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management’s evaluation pursuant to Rules 13a or 15d of the Exchange Act that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other information set forth in this report, you should carefully consider the risk factors described in Part I, Item 1A. Risk Factors in our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file with the SEC, which could materially affect our business, financial condition or future results. Additional risks and uncertainties not currently known to us or that we currently deem to be immaterial may also materially adversely affect our business, financial condition, or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July 1, 2022 to September 30, 2022, we issued 262,901 shares of our Class B Common Stock pursuant to the vesting of restricted stock awards and restricted stock units.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July 1, 2022 to September 30, 2022, we issued 97,591 shares of our Class B Common Stock in connection with distributions from our amended and restated Bentley Systems, Incorporated Nonqualified Deferred Compensation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Class B Common Stock we repurchased during the three months ended September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2"/>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26"/>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Announced Plan </w:t>
            </w:r>
            <w:r>
              <w:rPr>
                <w:rFonts w:ascii="Times New Roman" w:cs="Times New Roman" w:eastAsia="Times New Roman" w:hAnsi="Times New Roman"/>
                <w:sz w:val="18"/>
                <w:szCs w:val="18"/>
                <w:b w:val="1"/>
                <w:bCs w:val="1"/>
                <w:color w:val="auto"/>
                <w:w w:val="99"/>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 xml:space="preserve">Under the Plan </w:t>
            </w:r>
            <w:r>
              <w:rPr>
                <w:rFonts w:ascii="Times New Roman" w:cs="Times New Roman" w:eastAsia="Times New Roman" w:hAnsi="Times New Roman"/>
                <w:sz w:val="18"/>
                <w:szCs w:val="18"/>
                <w:b w:val="1"/>
                <w:bCs w:val="1"/>
                <w:color w:val="auto"/>
                <w:w w:val="99"/>
                <w:vertAlign w:val="superscript"/>
              </w:rPr>
              <w:t>(2)</w:t>
            </w:r>
          </w:p>
        </w:tc>
      </w:tr>
      <w:tr>
        <w:trPr>
          <w:trHeight w:val="210"/>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2022 to July 31, 2022</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186,767,654</w:t>
            </w:r>
          </w:p>
        </w:tc>
      </w:tr>
      <w:tr>
        <w:trPr>
          <w:trHeight w:val="21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 2022 to August 31, 2022</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186,767,654</w:t>
            </w:r>
          </w:p>
        </w:tc>
      </w:tr>
      <w:tr>
        <w:trPr>
          <w:trHeight w:val="21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2022 to September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2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171,767,665</w:t>
            </w:r>
          </w:p>
        </w:tc>
      </w:tr>
      <w:tr>
        <w:trPr>
          <w:trHeight w:val="207"/>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433,125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20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433,125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
        </w:trPr>
        <w:tc>
          <w:tcPr>
            <w:tcW w:w="3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88" w:lineRule="exact"/>
        <w:rPr>
          <w:sz w:val="20"/>
          <w:szCs w:val="20"/>
          <w:color w:val="auto"/>
        </w:rPr>
      </w:pPr>
    </w:p>
    <w:p>
      <w:pPr>
        <w:ind w:left="320" w:hanging="312"/>
        <w:spacing w:after="0" w:line="207" w:lineRule="exact"/>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purchased in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transactions under the BSY Stock Repurchase Program approved by our board of directors.</w:t>
      </w:r>
    </w:p>
    <w:p>
      <w:pPr>
        <w:spacing w:after="0" w:line="145"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correspond to the plan publicly announced and approved by our board of directors in May 2022 that authorizes the repurchase up to $200 million of our Class B Common Stock through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As disclosed in the Company’s definitive proxy statement for its 2022 Annual Meeting of Stockholders, certain of the Company’s named executive officers, including David J. Hollister, the Company’s Chief Investment Officer, receive a portion of their annual compensation under the amended and restated Bentley Systems, Incorporated Bonus Pool Plan (the “Bonus Plan”). Pursuant to the Bonus Plan, participants are eligible to receive incentive bonuses that are determined based on the Company’s Management Report Operating Income, or adjusted operating income, as determined by the Company’s internal management accounts (“MROI”). For purposes of the Bonus Plan, the bonus pool thereunder may be funded with up to an aggregate of 20% of the Company’s adjusted MROI (as adjusted for accounting anomalies and other items identified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charges), minus (a) the value of certain incentive compensation paid to or reserved for senior management members and others employees who do not participate in the Bonus Plan;</w:t>
      </w:r>
    </w:p>
    <w:p>
      <w:pPr>
        <w:spacing w:after="0" w:line="3" w:lineRule="exact"/>
        <w:rPr>
          <w:sz w:val="20"/>
          <w:szCs w:val="20"/>
          <w:color w:val="auto"/>
        </w:rPr>
      </w:pPr>
    </w:p>
    <w:p>
      <w:pPr>
        <w:jc w:val="both"/>
        <w:ind w:firstLine="8"/>
        <w:spacing w:after="0" w:line="253" w:lineRule="auto"/>
        <w:tabs>
          <w:tab w:leader="none" w:pos="2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charitable contributions recommended by the plan participants; and (c) any other amount recommended by a majority of participants, subject to approval by the Company’s nonemployee directors. Payments are determined and made quarterly to plan participants based on each such participant’s allocated interest in the bonus pool. With respect to fiscal year 2022 (and consistent with fiscal year 2021), David J. Hollister’s allocated percentage interest in the Bonus Plan bonus pool is 12.1% (4/33).</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November 2, 2022, the Sustainability Committee of the Company’s board of directors approved an amendment to the Bonus Plan such that with respect to current year payouts and thereafter,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third of David J. Hollister’s allocated percentage interest will be multiplied by a coefficient derived from the performance of the Company’s </w:t>
      </w:r>
      <w:r>
        <w:rPr>
          <w:rFonts w:ascii="Times New Roman" w:cs="Times New Roman" w:eastAsia="Times New Roman" w:hAnsi="Times New Roman"/>
          <w:sz w:val="18"/>
          <w:szCs w:val="18"/>
          <w:i w:val="1"/>
          <w:iCs w:val="1"/>
          <w:color w:val="auto"/>
        </w:rPr>
        <w:t>BSY Investments</w:t>
      </w:r>
      <w:r>
        <w:rPr>
          <w:rFonts w:ascii="Times New Roman" w:cs="Times New Roman" w:eastAsia="Times New Roman" w:hAnsi="Times New Roman"/>
          <w:sz w:val="18"/>
          <w:szCs w:val="18"/>
          <w:color w:val="auto"/>
        </w:rPr>
        <w:t xml:space="preserve"> group (the Company’s executive team focused on portfolio development, mergers and acquisitions, venture capital investing, digital integrator business activities, and various incubating and accelerating business activities). This coefficient is generally determined by calculating the annual increase (or decrease) in value of the </w:t>
      </w:r>
      <w:r>
        <w:rPr>
          <w:rFonts w:ascii="Times New Roman" w:cs="Times New Roman" w:eastAsia="Times New Roman" w:hAnsi="Times New Roman"/>
          <w:sz w:val="18"/>
          <w:szCs w:val="18"/>
          <w:i w:val="1"/>
          <w:iCs w:val="1"/>
          <w:color w:val="auto"/>
        </w:rPr>
        <w:t>BSY Investments</w:t>
      </w:r>
      <w:r>
        <w:rPr>
          <w:rFonts w:ascii="Times New Roman" w:cs="Times New Roman" w:eastAsia="Times New Roman" w:hAnsi="Times New Roman"/>
          <w:sz w:val="18"/>
          <w:szCs w:val="18"/>
          <w:color w:val="auto"/>
        </w:rPr>
        <w:t xml:space="preserve"> portfolio, taking into account applicable fees and an annual hurdle rate, in all cases, as approved by the Company’s nonemployee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40" w:type="dxa"/>
            <w:vAlign w:val="bottom"/>
            <w:gridSpan w:val="5"/>
            <w:vMerge w:val="restart"/>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40" w:type="dxa"/>
            <w:vAlign w:val="bottom"/>
            <w:gridSpan w:val="5"/>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00" w:type="dxa"/>
            <w:vAlign w:val="bottom"/>
            <w:tcBorders>
              <w:top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00" w:type="dxa"/>
            <w:vAlign w:val="bottom"/>
            <w:tcBorders>
              <w:top w:val="single" w:sz="8" w:color="auto"/>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Amendment No. 1 to the Bentley Systems, Incorporated Bonus Pool Plan, as amended and restated effective as of September 22, 2020</w:t>
            </w:r>
          </w:p>
        </w:tc>
        <w:tc>
          <w:tcPr>
            <w:tcW w:w="0" w:type="dxa"/>
            <w:vAlign w:val="bottom"/>
          </w:tcPr>
          <w:p>
            <w:pPr>
              <w:spacing w:after="0"/>
              <w:rPr>
                <w:sz w:val="1"/>
                <w:szCs w:val="1"/>
                <w:color w:val="auto"/>
              </w:rPr>
            </w:pPr>
          </w:p>
        </w:tc>
      </w:tr>
      <w:tr>
        <w:trPr>
          <w:trHeight w:val="209"/>
        </w:trPr>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CEO pursuant to Rule 13a-14(a) and Rule 15d-14(a) of the Securities Exchange Act of 1934, as amended</w:t>
            </w:r>
          </w:p>
        </w:tc>
        <w:tc>
          <w:tcPr>
            <w:tcW w:w="920" w:type="dxa"/>
            <w:vAlign w:val="bottom"/>
            <w:tcBorders>
              <w:top w:val="single" w:sz="8" w:color="0000FF"/>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CFO pursuant to Rule 13a-14(a) and Rule 15d-14(a) of the Securities Exchange Act of 1934, as amended</w:t>
            </w:r>
          </w:p>
        </w:tc>
        <w:tc>
          <w:tcPr>
            <w:tcW w:w="1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CEO and CFO Pursuant to 18 U.S.C. Section 1350, as Adopted Pursuant to Section 906 of the Sarbanes-Oxley Act of</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8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24" w:lineRule="exact"/>
        <w:rPr>
          <w:rFonts w:ascii="Times New Roman" w:cs="Times New Roman" w:eastAsia="Times New Roman" w:hAnsi="Times New Roman"/>
          <w:sz w:val="18"/>
          <w:szCs w:val="18"/>
          <w:color w:val="auto"/>
        </w:rPr>
      </w:pPr>
    </w:p>
    <w:p>
      <w:pPr>
        <w:ind w:left="480" w:right="20" w:hanging="445"/>
        <w:spacing w:after="0" w:line="23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The certification attached as Exhibit 32.1 that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59" w:lineRule="exact"/>
        <w:rPr>
          <w:sz w:val="20"/>
          <w:szCs w:val="20"/>
          <w:color w:val="auto"/>
        </w:rPr>
      </w:pPr>
    </w:p>
    <w:p>
      <w:pPr>
        <w:ind w:left="20"/>
        <w:spacing w:after="0"/>
        <w:tabs>
          <w:tab w:leader="none" w:pos="4240" w:val="left"/>
          <w:tab w:leader="none" w:pos="7460" w:val="left"/>
        </w:tabs>
        <w:rPr>
          <w:sz w:val="20"/>
          <w:szCs w:val="20"/>
          <w:color w:val="auto"/>
        </w:rPr>
      </w:pPr>
      <w:r>
        <w:rPr>
          <w:rFonts w:ascii="Times New Roman" w:cs="Times New Roman" w:eastAsia="Times New Roman" w:hAnsi="Times New Roman"/>
          <w:sz w:val="35"/>
          <w:szCs w:val="35"/>
          <w:color w:val="auto"/>
          <w:vertAlign w:val="superscript"/>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jc w:val="center"/>
        <w:ind w:left="5120"/>
        <w:spacing w:after="0"/>
        <w:rPr>
          <w:sz w:val="20"/>
          <w:szCs w:val="20"/>
          <w:color w:val="auto"/>
        </w:rPr>
      </w:pPr>
      <w:r>
        <w:rPr>
          <w:rFonts w:ascii="Times New Roman" w:cs="Times New Roman" w:eastAsia="Times New Roman" w:hAnsi="Times New Roman"/>
          <w:sz w:val="18"/>
          <w:szCs w:val="18"/>
          <w:color w:val="auto"/>
        </w:rPr>
        <w:t>Werner Andre</w:t>
      </w:r>
    </w:p>
    <w:p>
      <w:pPr>
        <w:spacing w:after="0" w:line="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23"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19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BONUS POOL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September 22, 2020)</w:t>
      </w:r>
    </w:p>
    <w:p>
      <w:pPr>
        <w:spacing w:after="0" w:line="178" w:lineRule="exact"/>
        <w:rPr>
          <w:sz w:val="20"/>
          <w:szCs w:val="20"/>
          <w:color w:val="auto"/>
        </w:rPr>
      </w:pPr>
    </w:p>
    <w:p>
      <w:pPr>
        <w:ind w:right="40" w:firstLine="216"/>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Bentley Systems, Incorporated (the “Company”) amended and restated the Bentley Systems, Incorporated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Pool Plan (the “Bonus Pool Plan”), effective as of September 22, 2020;</w:t>
      </w:r>
    </w:p>
    <w:p>
      <w:pPr>
        <w:spacing w:after="0" w:line="173" w:lineRule="exact"/>
        <w:rPr>
          <w:sz w:val="20"/>
          <w:szCs w:val="20"/>
          <w:color w:val="auto"/>
        </w:rPr>
      </w:pPr>
    </w:p>
    <w:p>
      <w:pPr>
        <w:jc w:val="both"/>
        <w:ind w:right="120" w:firstLine="21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6(g) of the Bonus Pool Plan provides that, subject to certain inapplicable limitations, the “Nonemployee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as defined in the Bonus Pool Plan, in their sole discretion, reserve the right to amend the Bonus Pool Plan from time to time; and</w:t>
      </w:r>
    </w:p>
    <w:p>
      <w:pPr>
        <w:spacing w:after="0" w:line="173" w:lineRule="exact"/>
        <w:rPr>
          <w:sz w:val="20"/>
          <w:szCs w:val="20"/>
          <w:color w:val="auto"/>
        </w:rPr>
      </w:pPr>
    </w:p>
    <w:p>
      <w:pPr>
        <w:ind w:right="880" w:firstLine="216"/>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Nonemployee Directors desire to amend the Bonus Pool Plan to modify Exhibit A thereof and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unanimously approved the amendments set forth herein;</w:t>
      </w:r>
    </w:p>
    <w:p>
      <w:pPr>
        <w:spacing w:after="0" w:line="173" w:lineRule="exact"/>
        <w:rPr>
          <w:sz w:val="20"/>
          <w:szCs w:val="20"/>
          <w:color w:val="auto"/>
        </w:rPr>
      </w:pPr>
    </w:p>
    <w:p>
      <w:pPr>
        <w:ind w:right="620" w:firstLine="216"/>
        <w:spacing w:after="0" w:line="238"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effective as of November 2, 2022, Appendix A of the Plan is hereby amended and restated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as set forth on Schedule I 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Company has caused this Amendment No. 1 to be executed this 2nd day of November,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w:t>
      </w: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David R. Shaman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409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David R. Shaman</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Legal Officer and Secretary</w:t>
      </w:r>
    </w:p>
    <w:p>
      <w:pPr>
        <w:sectPr>
          <w:pgSz w:w="11900" w:h="16838" w:orient="portrait"/>
          <w:cols w:equalWidth="0" w:num="1">
            <w:col w:w="11240"/>
          </w:cols>
          <w:pgMar w:left="320" w:top="106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6"/>
          </w:tcPr>
          <w:p>
            <w:pPr>
              <w:jc w:val="center"/>
              <w:ind w:right="2320"/>
              <w:spacing w:after="0"/>
              <w:rPr>
                <w:sz w:val="20"/>
                <w:szCs w:val="20"/>
                <w:color w:val="auto"/>
              </w:rPr>
            </w:pPr>
            <w:r>
              <w:rPr>
                <w:rFonts w:ascii="Times New Roman" w:cs="Times New Roman" w:eastAsia="Times New Roman" w:hAnsi="Times New Roman"/>
                <w:sz w:val="22"/>
                <w:szCs w:val="22"/>
                <w:color w:val="auto"/>
                <w:w w:val="98"/>
              </w:rPr>
              <w:t>Schedule I</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0" w:type="dxa"/>
            <w:vAlign w:val="bottom"/>
            <w:gridSpan w:val="9"/>
          </w:tcPr>
          <w:p>
            <w:pPr>
              <w:jc w:val="center"/>
              <w:ind w:right="840"/>
              <w:spacing w:after="0"/>
              <w:rPr>
                <w:sz w:val="20"/>
                <w:szCs w:val="20"/>
                <w:color w:val="auto"/>
              </w:rPr>
            </w:pPr>
            <w:r>
              <w:rPr>
                <w:rFonts w:ascii="Times New Roman" w:cs="Times New Roman" w:eastAsia="Times New Roman" w:hAnsi="Times New Roman"/>
                <w:sz w:val="22"/>
                <w:szCs w:val="22"/>
                <w:b w:val="1"/>
                <w:bCs w:val="1"/>
                <w:color w:val="auto"/>
                <w:w w:val="97"/>
              </w:rPr>
              <w:t>BENTLEY SYSTEMS, INCORPORATED</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gridSpan w:val="6"/>
          </w:tcPr>
          <w:p>
            <w:pPr>
              <w:jc w:val="center"/>
              <w:ind w:right="940"/>
              <w:spacing w:after="0"/>
              <w:rPr>
                <w:sz w:val="20"/>
                <w:szCs w:val="20"/>
                <w:color w:val="auto"/>
              </w:rPr>
            </w:pPr>
            <w:r>
              <w:rPr>
                <w:rFonts w:ascii="Times New Roman" w:cs="Times New Roman" w:eastAsia="Times New Roman" w:hAnsi="Times New Roman"/>
                <w:sz w:val="22"/>
                <w:szCs w:val="22"/>
                <w:b w:val="1"/>
                <w:bCs w:val="1"/>
                <w:color w:val="auto"/>
                <w:w w:val="98"/>
              </w:rPr>
              <w:t>BONUS POOL PLAN</w:t>
            </w:r>
          </w:p>
        </w:tc>
        <w:tc>
          <w:tcPr>
            <w:tcW w:w="840" w:type="dxa"/>
            <w:vAlign w:val="bottom"/>
            <w:gridSpan w:val="2"/>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APPENDIX A</w:t>
            </w:r>
          </w:p>
        </w:tc>
        <w:tc>
          <w:tcPr>
            <w:tcW w:w="1800" w:type="dxa"/>
            <w:vAlign w:val="bottom"/>
            <w:gridSpan w:val="3"/>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160" w:type="dxa"/>
            <w:vAlign w:val="bottom"/>
            <w:gridSpan w:val="4"/>
          </w:tcPr>
          <w:p>
            <w:pPr>
              <w:jc w:val="center"/>
              <w:ind w:right="1160"/>
              <w:spacing w:after="0"/>
              <w:rPr>
                <w:sz w:val="20"/>
                <w:szCs w:val="20"/>
                <w:color w:val="auto"/>
              </w:rPr>
            </w:pPr>
            <w:r>
              <w:rPr>
                <w:rFonts w:ascii="Times New Roman" w:cs="Times New Roman" w:eastAsia="Times New Roman" w:hAnsi="Times New Roman"/>
                <w:sz w:val="22"/>
                <w:szCs w:val="22"/>
                <w:color w:val="auto"/>
                <w:w w:val="99"/>
              </w:rPr>
              <w:t>First</w:t>
            </w:r>
          </w:p>
        </w:tc>
        <w:tc>
          <w:tcPr>
            <w:tcW w:w="278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color w:val="auto"/>
                <w:w w:val="98"/>
              </w:rPr>
              <w:t>Second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gridSpan w:val="4"/>
          </w:tcPr>
          <w:p>
            <w:pPr>
              <w:jc w:val="center"/>
              <w:ind w:right="1160"/>
              <w:spacing w:after="0" w:line="216" w:lineRule="exact"/>
              <w:rPr>
                <w:sz w:val="20"/>
                <w:szCs w:val="20"/>
                <w:color w:val="auto"/>
              </w:rPr>
            </w:pPr>
            <w:r>
              <w:rPr>
                <w:rFonts w:ascii="Times New Roman" w:cs="Times New Roman" w:eastAsia="Times New Roman" w:hAnsi="Times New Roman"/>
                <w:sz w:val="22"/>
                <w:szCs w:val="22"/>
                <w:color w:val="auto"/>
                <w:w w:val="98"/>
              </w:rPr>
              <w:t>Fractional</w:t>
            </w:r>
          </w:p>
        </w:tc>
        <w:tc>
          <w:tcPr>
            <w:tcW w:w="2780" w:type="dxa"/>
            <w:vAlign w:val="bottom"/>
            <w:gridSpan w:val="2"/>
          </w:tcPr>
          <w:p>
            <w:pPr>
              <w:jc w:val="center"/>
              <w:ind w:right="420"/>
              <w:spacing w:after="0" w:line="216" w:lineRule="exact"/>
              <w:rPr>
                <w:sz w:val="20"/>
                <w:szCs w:val="20"/>
                <w:color w:val="auto"/>
              </w:rPr>
            </w:pPr>
            <w:r>
              <w:rPr>
                <w:rFonts w:ascii="Times New Roman" w:cs="Times New Roman" w:eastAsia="Times New Roman" w:hAnsi="Times New Roman"/>
                <w:sz w:val="22"/>
                <w:szCs w:val="22"/>
                <w:color w:val="auto"/>
                <w:w w:val="98"/>
              </w:rPr>
              <w:t>Fractional</w:t>
            </w:r>
          </w:p>
        </w:tc>
        <w:tc>
          <w:tcPr>
            <w:tcW w:w="0" w:type="dxa"/>
            <w:vAlign w:val="bottom"/>
          </w:tcPr>
          <w:p>
            <w:pPr>
              <w:spacing w:after="0"/>
              <w:rPr>
                <w:sz w:val="1"/>
                <w:szCs w:val="1"/>
                <w:color w:val="auto"/>
              </w:rPr>
            </w:pPr>
          </w:p>
        </w:tc>
      </w:tr>
      <w:tr>
        <w:trPr>
          <w:trHeight w:val="21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Participant</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gridSpan w:val="4"/>
          </w:tcPr>
          <w:p>
            <w:pPr>
              <w:jc w:val="center"/>
              <w:ind w:right="1160"/>
              <w:spacing w:after="0" w:line="216" w:lineRule="exact"/>
              <w:rPr>
                <w:sz w:val="20"/>
                <w:szCs w:val="20"/>
                <w:color w:val="auto"/>
              </w:rPr>
            </w:pPr>
            <w:r>
              <w:rPr>
                <w:rFonts w:ascii="Times New Roman" w:cs="Times New Roman" w:eastAsia="Times New Roman" w:hAnsi="Times New Roman"/>
                <w:sz w:val="22"/>
                <w:szCs w:val="22"/>
                <w:color w:val="auto"/>
                <w:w w:val="98"/>
              </w:rPr>
              <w:t>Interest for</w:t>
            </w:r>
          </w:p>
        </w:tc>
        <w:tc>
          <w:tcPr>
            <w:tcW w:w="2780" w:type="dxa"/>
            <w:vAlign w:val="bottom"/>
            <w:gridSpan w:val="2"/>
          </w:tcPr>
          <w:p>
            <w:pPr>
              <w:jc w:val="center"/>
              <w:ind w:right="400"/>
              <w:spacing w:after="0" w:line="216" w:lineRule="exact"/>
              <w:rPr>
                <w:sz w:val="20"/>
                <w:szCs w:val="20"/>
                <w:color w:val="auto"/>
              </w:rPr>
            </w:pPr>
            <w:r>
              <w:rPr>
                <w:rFonts w:ascii="Times New Roman" w:cs="Times New Roman" w:eastAsia="Times New Roman" w:hAnsi="Times New Roman"/>
                <w:sz w:val="22"/>
                <w:szCs w:val="22"/>
                <w:color w:val="auto"/>
                <w:w w:val="96"/>
              </w:rPr>
              <w:t>Interest for</w:t>
            </w:r>
          </w:p>
        </w:tc>
        <w:tc>
          <w:tcPr>
            <w:tcW w:w="0" w:type="dxa"/>
            <w:vAlign w:val="bottom"/>
          </w:tcPr>
          <w:p>
            <w:pPr>
              <w:spacing w:after="0"/>
              <w:rPr>
                <w:sz w:val="1"/>
                <w:szCs w:val="1"/>
                <w:color w:val="auto"/>
              </w:rPr>
            </w:pPr>
          </w:p>
        </w:tc>
      </w:tr>
      <w:tr>
        <w:trPr>
          <w:trHeight w:val="283"/>
        </w:trPr>
        <w:tc>
          <w:tcPr>
            <w:tcW w:w="2500" w:type="dxa"/>
            <w:vAlign w:val="bottom"/>
            <w:vMerge w:val="continue"/>
          </w:tcPr>
          <w:p>
            <w:pPr>
              <w:spacing w:after="0"/>
              <w:rPr>
                <w:sz w:val="24"/>
                <w:szCs w:val="24"/>
                <w:color w:val="auto"/>
              </w:rPr>
            </w:pPr>
          </w:p>
        </w:tc>
        <w:tc>
          <w:tcPr>
            <w:tcW w:w="5100" w:type="dxa"/>
            <w:vAlign w:val="bottom"/>
            <w:gridSpan w:val="8"/>
          </w:tcPr>
          <w:p>
            <w:pPr>
              <w:jc w:val="center"/>
              <w:ind w:left="3332"/>
              <w:spacing w:after="0"/>
              <w:rPr>
                <w:sz w:val="20"/>
                <w:szCs w:val="20"/>
                <w:color w:val="auto"/>
              </w:rPr>
            </w:pPr>
            <w:r>
              <w:rPr>
                <w:rFonts w:ascii="Times New Roman" w:cs="Times New Roman" w:eastAsia="Times New Roman" w:hAnsi="Times New Roman"/>
                <w:sz w:val="22"/>
                <w:szCs w:val="22"/>
                <w:color w:val="auto"/>
                <w:w w:val="98"/>
              </w:rPr>
              <w:t>2022*</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2022*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Greg Bentley</w:t>
            </w:r>
          </w:p>
        </w:tc>
        <w:tc>
          <w:tcPr>
            <w:tcW w:w="2620" w:type="dxa"/>
            <w:vAlign w:val="bottom"/>
            <w:tcBorders>
              <w:top w:val="single" w:sz="8" w:color="auto"/>
            </w:tcBorders>
            <w:gridSpan w:val="4"/>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12/33</w:t>
            </w:r>
          </w:p>
        </w:tc>
        <w:tc>
          <w:tcPr>
            <w:tcW w:w="48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12/33</w:t>
            </w:r>
          </w:p>
        </w:tc>
        <w:tc>
          <w:tcPr>
            <w:tcW w:w="4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Keith Bentley</w:t>
            </w:r>
          </w:p>
        </w:tc>
        <w:tc>
          <w:tcPr>
            <w:tcW w:w="54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7/33</w:t>
            </w:r>
          </w:p>
        </w:tc>
        <w:tc>
          <w:tcPr>
            <w:tcW w:w="48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7/33</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David Hollister</w:t>
            </w:r>
          </w:p>
        </w:tc>
        <w:tc>
          <w:tcPr>
            <w:tcW w:w="5940" w:type="dxa"/>
            <w:vAlign w:val="bottom"/>
            <w:gridSpan w:val="10"/>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4/33 **</w:t>
            </w:r>
          </w:p>
        </w:tc>
        <w:tc>
          <w:tcPr>
            <w:tcW w:w="2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4/33 **</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60" w:right="140" w:hanging="4"/>
        <w:spacing w:after="0" w:line="236" w:lineRule="auto"/>
        <w:tabs>
          <w:tab w:leader="none" w:pos="82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and Second Fractional Interests will be in place each successive calendar year for each Participant unless and until the Nonemployee Directors change or revoke one or both of them for such Participant.</w:t>
      </w:r>
    </w:p>
    <w:p>
      <w:pPr>
        <w:spacing w:after="0" w:line="150" w:lineRule="exact"/>
        <w:rPr>
          <w:sz w:val="20"/>
          <w:szCs w:val="20"/>
          <w:color w:val="auto"/>
        </w:rPr>
      </w:pPr>
    </w:p>
    <w:p>
      <w:pPr>
        <w:ind w:left="660" w:right="140"/>
        <w:spacing w:after="0" w:line="215" w:lineRule="auto"/>
        <w:rPr>
          <w:sz w:val="20"/>
          <w:szCs w:val="20"/>
          <w:color w:val="auto"/>
        </w:rPr>
      </w:pPr>
      <w:r>
        <w:rPr>
          <w:rFonts w:ascii="Times New Roman" w:cs="Times New Roman" w:eastAsia="Times New Roman" w:hAnsi="Times New Roman"/>
          <w:sz w:val="22"/>
          <w:szCs w:val="22"/>
          <w:color w:val="auto"/>
        </w:rPr>
        <w:t>Further, neither (i) the proration of a Participant’s Bonus under Section 3(b) for a calendar quarter or the elimination of a Participant’s First and Second Fractional Interests for future calendar quarters, in each case due to the Participant’s Termination of Employment, nor (ii) the reduction in a Participant’s First and Second Fractional Interests under Section 3(c) due to the Participant’s less than full-time employment, shall result in or cause any change in the First and Second Fractional Interests of the remaining Participants, even though neither the sum of such First Fractional Interests nor the sum of such Second Fractional Interests for such remaining Participants equals 1.0.</w:t>
      </w:r>
    </w:p>
    <w:p>
      <w:pPr>
        <w:spacing w:after="0" w:line="179" w:lineRule="exact"/>
        <w:rPr>
          <w:sz w:val="20"/>
          <w:szCs w:val="20"/>
          <w:color w:val="auto"/>
        </w:rPr>
      </w:pPr>
    </w:p>
    <w:p>
      <w:pPr>
        <w:ind w:left="660" w:right="240" w:hanging="4"/>
        <w:spacing w:after="0" w:line="220" w:lineRule="auto"/>
        <w:tabs>
          <w:tab w:leader="none" w:pos="93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for current year payouts and thereafter, one-third of David Hollister’s First and Second Fractional Interests shall be multiplied by a coefficient determined by calculating the annual increase (or decrease) in value of the BSY Investments portfolio, taking into account applicable fees and an annual hurdle rate. The calculation of such coefficient shall be approved by the Nonemployee Directors.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20"/>
          </w:cols>
          <w:pgMar w:left="320" w:top="1071" w:right="3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Bentley, certify that:</w:t>
      </w:r>
    </w:p>
    <w:p>
      <w:pPr>
        <w:spacing w:after="0" w:line="169" w:lineRule="exact"/>
        <w:rPr>
          <w:sz w:val="20"/>
          <w:szCs w:val="20"/>
          <w:color w:val="auto"/>
        </w:rPr>
      </w:pPr>
    </w:p>
    <w:p>
      <w:pPr>
        <w:ind w:left="340" w:hanging="332"/>
        <w:spacing w:after="0" w:line="207" w:lineRule="exact"/>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74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Werner Andre, certify that:</w:t>
      </w:r>
    </w:p>
    <w:p>
      <w:pPr>
        <w:spacing w:after="0" w:line="169" w:lineRule="exact"/>
        <w:rPr>
          <w:sz w:val="20"/>
          <w:szCs w:val="20"/>
          <w:color w:val="auto"/>
        </w:rPr>
      </w:pPr>
    </w:p>
    <w:p>
      <w:pPr>
        <w:ind w:left="340" w:hanging="332"/>
        <w:spacing w:after="0" w:line="207" w:lineRule="exact"/>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 connection with the Quarterly Report of Bentley Systems, Incorporated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September 30, 2022,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2"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140" w:firstLine="332"/>
        <w:spacing w:after="0" w:line="485" w:lineRule="auto"/>
        <w:tabs>
          <w:tab w:leader="none" w:pos="6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8, 2022</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3"/>
    </w:lvl>
  </w:abstractNum>
  <w:abstractNum w:abstractNumId="21">
    <w:nsid w:val="8138641"/>
    <w:multiLevelType w:val="hybridMultilevel"/>
    <w:lvl w:ilvl="0">
      <w:lvlJc w:val="left"/>
      <w:lvlText w:val="(%1)"/>
      <w:numFmt w:val="decimal"/>
      <w:start w:val="6"/>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
      <w:numFmt w:val="bullet"/>
      <w:start w:val="1"/>
    </w:lvl>
    <w:lvl w:ilvl="1">
      <w:lvlJc w:val="left"/>
      <w:lvlText w:val="%2"/>
      <w:numFmt w:val="decimal"/>
      <w:start w:val="104"/>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lvl w:ilvl="1">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2022-11-08T15:23:36Z</dcterms:created>
  <dcterms:modified xsi:type="dcterms:W3CDTF">2022-11-08T15:23:36Z</dcterms:modified>
</cp:coreProperties>
</file>