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8, 2020.</w:t>
      </w:r>
    </w:p>
    <w:p>
      <w:pPr>
        <w:spacing w:after="0" w:line="15" w:lineRule="exact"/>
        <w:rPr>
          <w:sz w:val="24"/>
          <w:szCs w:val="24"/>
          <w:color w:val="auto"/>
        </w:rPr>
      </w:pPr>
    </w:p>
    <w:p>
      <w:pPr>
        <w:ind w:left="8430"/>
        <w:spacing w:after="0"/>
        <w:rPr>
          <w:sz w:val="20"/>
          <w:szCs w:val="20"/>
          <w:color w:val="auto"/>
        </w:rPr>
      </w:pPr>
      <w:r>
        <w:rPr>
          <w:rFonts w:ascii="Times New Roman" w:cs="Times New Roman" w:eastAsia="Times New Roman" w:hAnsi="Times New Roman"/>
          <w:sz w:val="13"/>
          <w:szCs w:val="13"/>
          <w:b w:val="1"/>
          <w:bCs w:val="1"/>
          <w:color w:val="auto"/>
        </w:rPr>
        <w:t>Registration No. 333-248246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45085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FORM S-1</w:t>
      </w:r>
    </w:p>
    <w:p>
      <w:pPr>
        <w:jc w:val="center"/>
        <w:ind w:right="10"/>
        <w:spacing w:after="0" w:line="216" w:lineRule="auto"/>
        <w:rPr>
          <w:sz w:val="20"/>
          <w:szCs w:val="20"/>
          <w:color w:val="auto"/>
        </w:rPr>
      </w:pPr>
      <w:r>
        <w:rPr>
          <w:rFonts w:ascii="Times New Roman" w:cs="Times New Roman" w:eastAsia="Times New Roman" w:hAnsi="Times New Roman"/>
          <w:sz w:val="13"/>
          <w:szCs w:val="13"/>
          <w:b w:val="1"/>
          <w:bCs w:val="1"/>
          <w:color w:val="auto"/>
        </w:rPr>
        <w:t>REGISTRATION STATEMENT</w:t>
      </w:r>
    </w:p>
    <w:p>
      <w:pPr>
        <w:jc w:val="center"/>
        <w:ind w:right="10"/>
        <w:spacing w:after="0" w:line="217" w:lineRule="auto"/>
        <w:rPr>
          <w:sz w:val="20"/>
          <w:szCs w:val="20"/>
          <w:color w:val="auto"/>
        </w:rPr>
      </w:pPr>
      <w:r>
        <w:rPr>
          <w:rFonts w:ascii="Times New Roman" w:cs="Times New Roman" w:eastAsia="Times New Roman" w:hAnsi="Times New Roman"/>
          <w:sz w:val="13"/>
          <w:szCs w:val="13"/>
          <w:b w:val="1"/>
          <w:bCs w:val="1"/>
          <w:color w:val="auto"/>
        </w:rPr>
        <w:t>UNDER</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45085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45085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0" w:lineRule="exact"/>
        <w:rPr>
          <w:sz w:val="24"/>
          <w:szCs w:val="24"/>
          <w:color w:val="auto"/>
        </w:rPr>
      </w:pPr>
    </w:p>
    <w:tbl>
      <w:tblPr>
        <w:tblLayout w:type="fixed"/>
        <w:tblInd w:w="810" w:type="dxa"/>
        <w:tblCellMar>
          <w:top w:w="0" w:type="dxa"/>
          <w:left w:w="0" w:type="dxa"/>
          <w:bottom w:w="0" w:type="dxa"/>
          <w:right w:w="0" w:type="dxa"/>
        </w:tblCellMar>
      </w:tblPr>
      <w:tr>
        <w:trPr>
          <w:trHeight w:val="149"/>
        </w:trPr>
        <w:tc>
          <w:tcPr>
            <w:tcW w:w="2260" w:type="dxa"/>
            <w:vAlign w:val="bottom"/>
          </w:tcPr>
          <w:p>
            <w:pPr>
              <w:jc w:val="center"/>
              <w:ind w:right="4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320" w:type="dxa"/>
            <w:vAlign w:val="bottom"/>
            <w:gridSpan w:val="2"/>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7372</w:t>
            </w:r>
          </w:p>
        </w:tc>
        <w:tc>
          <w:tcPr>
            <w:tcW w:w="1360" w:type="dxa"/>
            <w:vAlign w:val="bottom"/>
          </w:tcPr>
          <w:p>
            <w:pPr>
              <w:spacing w:after="0"/>
              <w:rPr>
                <w:sz w:val="12"/>
                <w:szCs w:val="12"/>
                <w:color w:val="auto"/>
              </w:rPr>
            </w:pPr>
          </w:p>
        </w:tc>
        <w:tc>
          <w:tcPr>
            <w:tcW w:w="14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95-3936623</w:t>
            </w:r>
          </w:p>
        </w:tc>
      </w:tr>
      <w:tr>
        <w:trPr>
          <w:trHeight w:val="135"/>
        </w:trPr>
        <w:tc>
          <w:tcPr>
            <w:tcW w:w="2260" w:type="dxa"/>
            <w:vAlign w:val="bottom"/>
          </w:tcPr>
          <w:p>
            <w:pPr>
              <w:jc w:val="center"/>
              <w:ind w:right="41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color w:val="auto"/>
                <w:w w:val="96"/>
              </w:rPr>
              <w:t>(Primary Standard Industrial</w:t>
            </w:r>
          </w:p>
        </w:tc>
        <w:tc>
          <w:tcPr>
            <w:tcW w:w="14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260" w:type="dxa"/>
            <w:vAlign w:val="bottom"/>
          </w:tcPr>
          <w:p>
            <w:pPr>
              <w:jc w:val="center"/>
              <w:ind w:right="39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760" w:type="dxa"/>
            <w:vAlign w:val="bottom"/>
          </w:tcPr>
          <w:p>
            <w:pPr>
              <w:spacing w:after="0"/>
              <w:rPr>
                <w:sz w:val="14"/>
                <w:szCs w:val="14"/>
                <w:color w:val="auto"/>
              </w:rPr>
            </w:pPr>
          </w:p>
        </w:tc>
        <w:tc>
          <w:tcPr>
            <w:tcW w:w="3920" w:type="dxa"/>
            <w:vAlign w:val="bottom"/>
            <w:gridSpan w:val="2"/>
          </w:tcPr>
          <w:p>
            <w:pPr>
              <w:jc w:val="center"/>
              <w:ind w:right="1360"/>
              <w:spacing w:after="0"/>
              <w:rPr>
                <w:sz w:val="20"/>
                <w:szCs w:val="20"/>
                <w:color w:val="auto"/>
              </w:rPr>
            </w:pPr>
            <w:r>
              <w:rPr>
                <w:rFonts w:ascii="Times New Roman" w:cs="Times New Roman" w:eastAsia="Times New Roman" w:hAnsi="Times New Roman"/>
                <w:sz w:val="13"/>
                <w:szCs w:val="13"/>
                <w:color w:val="auto"/>
                <w:w w:val="97"/>
              </w:rPr>
              <w:t>Classification Code Number)</w:t>
            </w:r>
          </w:p>
        </w:tc>
        <w:tc>
          <w:tcPr>
            <w:tcW w:w="14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Identification Number)</w:t>
            </w:r>
          </w:p>
        </w:tc>
      </w:tr>
      <w:tr>
        <w:trPr>
          <w:trHeight w:val="185"/>
        </w:trPr>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20" w:type="dxa"/>
            <w:vAlign w:val="bottom"/>
            <w:gridSpan w:val="2"/>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685 Stockton Drive</w:t>
            </w:r>
          </w:p>
        </w:tc>
        <w:tc>
          <w:tcPr>
            <w:tcW w:w="1440" w:type="dxa"/>
            <w:vAlign w:val="bottom"/>
          </w:tcPr>
          <w:p>
            <w:pPr>
              <w:spacing w:after="0"/>
              <w:rPr>
                <w:sz w:val="16"/>
                <w:szCs w:val="16"/>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Exton, PA 19341</w:t>
            </w:r>
          </w:p>
        </w:tc>
        <w:tc>
          <w:tcPr>
            <w:tcW w:w="1440" w:type="dxa"/>
            <w:vAlign w:val="bottom"/>
          </w:tcPr>
          <w:p>
            <w:pPr>
              <w:spacing w:after="0"/>
              <w:rPr>
                <w:sz w:val="11"/>
                <w:szCs w:val="11"/>
                <w:color w:val="auto"/>
              </w:rPr>
            </w:pPr>
          </w:p>
        </w:tc>
      </w:tr>
      <w:tr>
        <w:trPr>
          <w:trHeight w:val="137"/>
        </w:trPr>
        <w:tc>
          <w:tcPr>
            <w:tcW w:w="2260" w:type="dxa"/>
            <w:vAlign w:val="bottom"/>
          </w:tcPr>
          <w:p>
            <w:pPr>
              <w:spacing w:after="0"/>
              <w:rPr>
                <w:sz w:val="11"/>
                <w:szCs w:val="11"/>
                <w:color w:val="auto"/>
              </w:rPr>
            </w:pPr>
          </w:p>
        </w:tc>
        <w:tc>
          <w:tcPr>
            <w:tcW w:w="3320" w:type="dxa"/>
            <w:vAlign w:val="bottom"/>
            <w:gridSpan w:val="2"/>
          </w:tcPr>
          <w:p>
            <w:pPr>
              <w:jc w:val="center"/>
              <w:ind w:left="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(610) 458-5000</w:t>
            </w:r>
          </w:p>
        </w:tc>
        <w:tc>
          <w:tcPr>
            <w:tcW w:w="13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35"/>
        </w:trPr>
        <w:tc>
          <w:tcPr>
            <w:tcW w:w="2260" w:type="dxa"/>
            <w:vAlign w:val="bottom"/>
          </w:tcPr>
          <w:p>
            <w:pPr>
              <w:spacing w:after="0"/>
              <w:rPr>
                <w:sz w:val="11"/>
                <w:szCs w:val="11"/>
                <w:color w:val="auto"/>
              </w:rPr>
            </w:pPr>
          </w:p>
        </w:tc>
        <w:tc>
          <w:tcPr>
            <w:tcW w:w="4680" w:type="dxa"/>
            <w:vAlign w:val="bottom"/>
            <w:gridSpan w:val="3"/>
          </w:tcPr>
          <w:p>
            <w:pPr>
              <w:jc w:val="center"/>
              <w:ind w:right="600"/>
              <w:spacing w:after="0" w:line="135" w:lineRule="exact"/>
              <w:rPr>
                <w:sz w:val="20"/>
                <w:szCs w:val="20"/>
                <w:color w:val="auto"/>
              </w:rPr>
            </w:pPr>
            <w:r>
              <w:rPr>
                <w:rFonts w:ascii="Times New Roman" w:cs="Times New Roman" w:eastAsia="Times New Roman" w:hAnsi="Times New Roman"/>
                <w:sz w:val="13"/>
                <w:szCs w:val="13"/>
                <w:color w:val="auto"/>
                <w:w w:val="96"/>
              </w:rPr>
              <w:t>(Address, including zip code and telephone number, including</w:t>
            </w:r>
          </w:p>
        </w:tc>
        <w:tc>
          <w:tcPr>
            <w:tcW w:w="1440" w:type="dxa"/>
            <w:vAlign w:val="bottom"/>
          </w:tcPr>
          <w:p>
            <w:pPr>
              <w:spacing w:after="0"/>
              <w:rPr>
                <w:sz w:val="11"/>
                <w:szCs w:val="11"/>
                <w:color w:val="auto"/>
              </w:rPr>
            </w:pPr>
          </w:p>
        </w:tc>
      </w:tr>
      <w:tr>
        <w:trPr>
          <w:trHeight w:val="164"/>
        </w:trPr>
        <w:tc>
          <w:tcPr>
            <w:tcW w:w="2260" w:type="dxa"/>
            <w:vAlign w:val="bottom"/>
          </w:tcPr>
          <w:p>
            <w:pPr>
              <w:spacing w:after="0"/>
              <w:rPr>
                <w:sz w:val="14"/>
                <w:szCs w:val="14"/>
                <w:color w:val="auto"/>
              </w:rPr>
            </w:pPr>
          </w:p>
        </w:tc>
        <w:tc>
          <w:tcPr>
            <w:tcW w:w="4680" w:type="dxa"/>
            <w:vAlign w:val="bottom"/>
            <w:gridSpan w:val="3"/>
          </w:tcPr>
          <w:p>
            <w:pPr>
              <w:jc w:val="center"/>
              <w:ind w:right="600"/>
              <w:spacing w:after="0"/>
              <w:rPr>
                <w:sz w:val="20"/>
                <w:szCs w:val="20"/>
                <w:color w:val="auto"/>
              </w:rPr>
            </w:pPr>
            <w:r>
              <w:rPr>
                <w:rFonts w:ascii="Times New Roman" w:cs="Times New Roman" w:eastAsia="Times New Roman" w:hAnsi="Times New Roman"/>
                <w:sz w:val="13"/>
                <w:szCs w:val="13"/>
                <w:color w:val="auto"/>
                <w:w w:val="96"/>
              </w:rPr>
              <w:t>area code, of registrant’s principal executive offices)</w:t>
            </w:r>
          </w:p>
        </w:tc>
        <w:tc>
          <w:tcPr>
            <w:tcW w:w="1440" w:type="dxa"/>
            <w:vAlign w:val="bottom"/>
          </w:tcPr>
          <w:p>
            <w:pPr>
              <w:spacing w:after="0"/>
              <w:rPr>
                <w:sz w:val="14"/>
                <w:szCs w:val="14"/>
                <w:color w:val="auto"/>
              </w:rPr>
            </w:pPr>
          </w:p>
        </w:tc>
      </w:tr>
      <w:tr>
        <w:trPr>
          <w:trHeight w:val="70"/>
        </w:trPr>
        <w:tc>
          <w:tcPr>
            <w:tcW w:w="2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62"/>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20" w:type="dxa"/>
            <w:vAlign w:val="bottom"/>
            <w:gridSpan w:val="2"/>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8"/>
              </w:rPr>
              <w:t>David R. Shaman</w:t>
            </w:r>
          </w:p>
        </w:tc>
        <w:tc>
          <w:tcPr>
            <w:tcW w:w="1440" w:type="dxa"/>
            <w:vAlign w:val="bottom"/>
          </w:tcPr>
          <w:p>
            <w:pPr>
              <w:spacing w:after="0"/>
              <w:rPr>
                <w:sz w:val="14"/>
                <w:szCs w:val="14"/>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20" w:type="dxa"/>
            <w:vAlign w:val="bottom"/>
            <w:gridSpan w:val="2"/>
          </w:tcPr>
          <w:p>
            <w:pPr>
              <w:jc w:val="center"/>
              <w:ind w:right="1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Chief Legal Officer and Corporate Secretary</w:t>
            </w:r>
          </w:p>
        </w:tc>
        <w:tc>
          <w:tcPr>
            <w:tcW w:w="1440" w:type="dxa"/>
            <w:vAlign w:val="bottom"/>
          </w:tcPr>
          <w:p>
            <w:pPr>
              <w:spacing w:after="0"/>
              <w:rPr>
                <w:sz w:val="11"/>
                <w:szCs w:val="1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Bentley Systems, Incorporated</w:t>
            </w:r>
          </w:p>
        </w:tc>
        <w:tc>
          <w:tcPr>
            <w:tcW w:w="1440" w:type="dxa"/>
            <w:vAlign w:val="bottom"/>
          </w:tcPr>
          <w:p>
            <w:pPr>
              <w:spacing w:after="0"/>
              <w:rPr>
                <w:sz w:val="11"/>
                <w:szCs w:val="1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685 Stockton Drive</w:t>
            </w:r>
          </w:p>
        </w:tc>
        <w:tc>
          <w:tcPr>
            <w:tcW w:w="1440" w:type="dxa"/>
            <w:vAlign w:val="bottom"/>
          </w:tcPr>
          <w:p>
            <w:pPr>
              <w:spacing w:after="0"/>
              <w:rPr>
                <w:sz w:val="11"/>
                <w:szCs w:val="1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Exton, PA 19341</w:t>
            </w:r>
          </w:p>
        </w:tc>
        <w:tc>
          <w:tcPr>
            <w:tcW w:w="1440" w:type="dxa"/>
            <w:vAlign w:val="bottom"/>
          </w:tcPr>
          <w:p>
            <w:pPr>
              <w:spacing w:after="0"/>
              <w:rPr>
                <w:sz w:val="11"/>
                <w:szCs w:val="11"/>
                <w:color w:val="auto"/>
              </w:rPr>
            </w:pPr>
          </w:p>
        </w:tc>
      </w:tr>
      <w:tr>
        <w:trPr>
          <w:trHeight w:val="137"/>
        </w:trPr>
        <w:tc>
          <w:tcPr>
            <w:tcW w:w="2260" w:type="dxa"/>
            <w:vAlign w:val="bottom"/>
          </w:tcPr>
          <w:p>
            <w:pPr>
              <w:spacing w:after="0"/>
              <w:rPr>
                <w:sz w:val="11"/>
                <w:szCs w:val="11"/>
                <w:color w:val="auto"/>
              </w:rPr>
            </w:pPr>
          </w:p>
        </w:tc>
        <w:tc>
          <w:tcPr>
            <w:tcW w:w="3320" w:type="dxa"/>
            <w:vAlign w:val="bottom"/>
            <w:gridSpan w:val="2"/>
          </w:tcPr>
          <w:p>
            <w:pPr>
              <w:jc w:val="center"/>
              <w:ind w:left="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(610) 458-5000</w:t>
            </w:r>
          </w:p>
        </w:tc>
        <w:tc>
          <w:tcPr>
            <w:tcW w:w="13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4"/>
        </w:trPr>
        <w:tc>
          <w:tcPr>
            <w:tcW w:w="6940" w:type="dxa"/>
            <w:vAlign w:val="bottom"/>
            <w:gridSpan w:val="4"/>
          </w:tcPr>
          <w:p>
            <w:pPr>
              <w:jc w:val="center"/>
              <w:ind w:left="1597"/>
              <w:spacing w:after="0"/>
              <w:rPr>
                <w:sz w:val="20"/>
                <w:szCs w:val="20"/>
                <w:color w:val="auto"/>
              </w:rPr>
            </w:pPr>
            <w:r>
              <w:rPr>
                <w:rFonts w:ascii="Times New Roman" w:cs="Times New Roman" w:eastAsia="Times New Roman" w:hAnsi="Times New Roman"/>
                <w:sz w:val="13"/>
                <w:szCs w:val="13"/>
                <w:color w:val="auto"/>
                <w:w w:val="96"/>
              </w:rPr>
              <w:t>(Name, address, including zip code and telephone number, including area code, of agent for service)</w:t>
            </w:r>
          </w:p>
        </w:tc>
        <w:tc>
          <w:tcPr>
            <w:tcW w:w="1440" w:type="dxa"/>
            <w:vAlign w:val="bottom"/>
          </w:tcPr>
          <w:p>
            <w:pPr>
              <w:spacing w:after="0"/>
              <w:rPr>
                <w:sz w:val="14"/>
                <w:szCs w:val="14"/>
                <w:color w:val="auto"/>
              </w:rPr>
            </w:pPr>
          </w:p>
        </w:tc>
      </w:tr>
      <w:tr>
        <w:trPr>
          <w:trHeight w:val="70"/>
        </w:trPr>
        <w:tc>
          <w:tcPr>
            <w:tcW w:w="2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57"/>
        </w:trPr>
        <w:tc>
          <w:tcPr>
            <w:tcW w:w="2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920" w:type="dxa"/>
            <w:vAlign w:val="bottom"/>
            <w:gridSpan w:val="2"/>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6"/>
              </w:rPr>
              <w:t>Copies to:</w:t>
            </w:r>
          </w:p>
        </w:tc>
        <w:tc>
          <w:tcPr>
            <w:tcW w:w="1440" w:type="dxa"/>
            <w:vAlign w:val="bottom"/>
          </w:tcPr>
          <w:p>
            <w:pPr>
              <w:spacing w:after="0"/>
              <w:rPr>
                <w:sz w:val="22"/>
                <w:szCs w:val="22"/>
                <w:color w:val="auto"/>
              </w:rPr>
            </w:pPr>
          </w:p>
        </w:tc>
      </w:tr>
      <w:tr>
        <w:trPr>
          <w:trHeight w:val="135"/>
        </w:trPr>
        <w:tc>
          <w:tcPr>
            <w:tcW w:w="2260" w:type="dxa"/>
            <w:vAlign w:val="bottom"/>
          </w:tcPr>
          <w:p>
            <w:pPr>
              <w:jc w:val="center"/>
              <w:ind w:right="3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Richard A. Fenyes</w:t>
            </w:r>
          </w:p>
        </w:tc>
        <w:tc>
          <w:tcPr>
            <w:tcW w:w="760" w:type="dxa"/>
            <w:vAlign w:val="bottom"/>
          </w:tcPr>
          <w:p>
            <w:pPr>
              <w:spacing w:after="0"/>
              <w:rPr>
                <w:sz w:val="11"/>
                <w:szCs w:val="11"/>
                <w:color w:val="auto"/>
              </w:rPr>
            </w:pPr>
          </w:p>
        </w:tc>
        <w:tc>
          <w:tcPr>
            <w:tcW w:w="3920" w:type="dxa"/>
            <w:vAlign w:val="bottom"/>
            <w:gridSpan w:val="2"/>
          </w:tcPr>
          <w:p>
            <w:pPr>
              <w:jc w:val="center"/>
              <w:ind w:right="1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Gregory S. Bentley</w:t>
            </w:r>
          </w:p>
        </w:tc>
        <w:tc>
          <w:tcPr>
            <w:tcW w:w="14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Richard A. Kline</w:t>
            </w:r>
          </w:p>
        </w:tc>
      </w:tr>
      <w:tr>
        <w:trPr>
          <w:trHeight w:val="135"/>
        </w:trPr>
        <w:tc>
          <w:tcPr>
            <w:tcW w:w="2260" w:type="dxa"/>
            <w:vAlign w:val="bottom"/>
          </w:tcPr>
          <w:p>
            <w:pPr>
              <w:jc w:val="center"/>
              <w:ind w:right="4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Jonathan R. Ozner</w:t>
            </w: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David J. Hollister</w:t>
            </w:r>
          </w:p>
        </w:tc>
        <w:tc>
          <w:tcPr>
            <w:tcW w:w="14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Sarah B. Axtell</w:t>
            </w:r>
          </w:p>
        </w:tc>
      </w:tr>
      <w:tr>
        <w:trPr>
          <w:trHeight w:val="135"/>
        </w:trPr>
        <w:tc>
          <w:tcPr>
            <w:tcW w:w="2260" w:type="dxa"/>
            <w:vAlign w:val="bottom"/>
          </w:tcPr>
          <w:p>
            <w:pPr>
              <w:jc w:val="center"/>
              <w:ind w:right="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685 Stockton Drive</w:t>
            </w:r>
          </w:p>
        </w:tc>
        <w:tc>
          <w:tcPr>
            <w:tcW w:w="144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Goodwin Procter LLP</w:t>
            </w:r>
          </w:p>
        </w:tc>
      </w:tr>
      <w:tr>
        <w:trPr>
          <w:trHeight w:val="135"/>
        </w:trPr>
        <w:tc>
          <w:tcPr>
            <w:tcW w:w="2260" w:type="dxa"/>
            <w:vAlign w:val="bottom"/>
          </w:tcPr>
          <w:p>
            <w:pPr>
              <w:jc w:val="center"/>
              <w:ind w:right="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760" w:type="dxa"/>
            <w:vAlign w:val="bottom"/>
          </w:tcPr>
          <w:p>
            <w:pPr>
              <w:spacing w:after="0"/>
              <w:rPr>
                <w:sz w:val="11"/>
                <w:szCs w:val="11"/>
                <w:color w:val="auto"/>
              </w:rPr>
            </w:pPr>
          </w:p>
        </w:tc>
        <w:tc>
          <w:tcPr>
            <w:tcW w:w="3920" w:type="dxa"/>
            <w:vAlign w:val="bottom"/>
            <w:gridSpan w:val="2"/>
          </w:tcPr>
          <w:p>
            <w:pPr>
              <w:jc w:val="center"/>
              <w:ind w:right="1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Exton, PA 19341</w:t>
            </w:r>
          </w:p>
        </w:tc>
        <w:tc>
          <w:tcPr>
            <w:tcW w:w="14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601 Marshall Street</w:t>
            </w:r>
          </w:p>
        </w:tc>
      </w:tr>
      <w:tr>
        <w:trPr>
          <w:trHeight w:val="135"/>
        </w:trPr>
        <w:tc>
          <w:tcPr>
            <w:tcW w:w="2260" w:type="dxa"/>
            <w:vAlign w:val="bottom"/>
          </w:tcPr>
          <w:p>
            <w:pPr>
              <w:jc w:val="center"/>
              <w:ind w:right="3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NY 10017</w:t>
            </w:r>
          </w:p>
        </w:tc>
        <w:tc>
          <w:tcPr>
            <w:tcW w:w="3320" w:type="dxa"/>
            <w:vAlign w:val="bottom"/>
            <w:gridSpan w:val="2"/>
          </w:tcPr>
          <w:p>
            <w:pPr>
              <w:jc w:val="right"/>
              <w:ind w:right="817"/>
              <w:spacing w:after="0" w:line="135" w:lineRule="exact"/>
              <w:rPr>
                <w:sz w:val="20"/>
                <w:szCs w:val="20"/>
                <w:color w:val="auto"/>
              </w:rPr>
            </w:pPr>
            <w:r>
              <w:rPr>
                <w:rFonts w:ascii="Times New Roman" w:cs="Times New Roman" w:eastAsia="Times New Roman" w:hAnsi="Times New Roman"/>
                <w:sz w:val="13"/>
                <w:szCs w:val="13"/>
                <w:b w:val="1"/>
                <w:bCs w:val="1"/>
                <w:color w:val="auto"/>
              </w:rPr>
              <w:t>(610) 458-5000</w:t>
            </w:r>
          </w:p>
        </w:tc>
        <w:tc>
          <w:tcPr>
            <w:tcW w:w="1360" w:type="dxa"/>
            <w:vAlign w:val="bottom"/>
          </w:tcPr>
          <w:p>
            <w:pPr>
              <w:spacing w:after="0"/>
              <w:rPr>
                <w:sz w:val="11"/>
                <w:szCs w:val="11"/>
                <w:color w:val="auto"/>
              </w:rPr>
            </w:pPr>
          </w:p>
        </w:tc>
        <w:tc>
          <w:tcPr>
            <w:tcW w:w="144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Redwood City, CA 94063</w:t>
            </w:r>
          </w:p>
        </w:tc>
      </w:tr>
      <w:tr>
        <w:trPr>
          <w:trHeight w:val="166"/>
        </w:trPr>
        <w:tc>
          <w:tcPr>
            <w:tcW w:w="2260" w:type="dxa"/>
            <w:vAlign w:val="bottom"/>
          </w:tcPr>
          <w:p>
            <w:pPr>
              <w:jc w:val="center"/>
              <w:ind w:right="417"/>
              <w:spacing w:after="0"/>
              <w:rPr>
                <w:sz w:val="20"/>
                <w:szCs w:val="20"/>
                <w:color w:val="auto"/>
              </w:rPr>
            </w:pPr>
            <w:r>
              <w:rPr>
                <w:rFonts w:ascii="Times New Roman" w:cs="Times New Roman" w:eastAsia="Times New Roman" w:hAnsi="Times New Roman"/>
                <w:sz w:val="13"/>
                <w:szCs w:val="13"/>
                <w:b w:val="1"/>
                <w:bCs w:val="1"/>
                <w:color w:val="auto"/>
                <w:w w:val="95"/>
              </w:rPr>
              <w:t>(212) 455-2000</w:t>
            </w: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(650) 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104775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p>
    <w:p>
      <w:pPr>
        <w:spacing w:after="0" w:line="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36195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93" w:lineRule="exact"/>
        <w:rPr>
          <w:sz w:val="24"/>
          <w:szCs w:val="24"/>
          <w:color w:val="auto"/>
        </w:rPr>
      </w:pPr>
    </w:p>
    <w:p>
      <w:pPr>
        <w:ind w:left="390"/>
        <w:spacing w:after="0" w:line="175"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Arial Unicode MS" w:cs="Arial Unicode MS" w:eastAsia="Arial Unicode MS" w:hAnsi="Arial Unicode MS"/>
          <w:sz w:val="13"/>
          <w:szCs w:val="13"/>
          <w:color w:val="auto"/>
        </w:rPr>
        <w:t>☐</w:t>
      </w:r>
    </w:p>
    <w:p>
      <w:pPr>
        <w:spacing w:after="0" w:line="49" w:lineRule="exact"/>
        <w:rPr>
          <w:sz w:val="24"/>
          <w:szCs w:val="24"/>
          <w:color w:val="auto"/>
        </w:rPr>
      </w:pPr>
    </w:p>
    <w:p>
      <w:pPr>
        <w:ind w:left="10" w:right="320" w:firstLine="389"/>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10" w:right="140" w:firstLine="389"/>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Unicode MS" w:cs="Arial Unicode MS" w:eastAsia="Arial Unicode MS" w:hAnsi="Arial Unicode MS"/>
          <w:sz w:val="13"/>
          <w:szCs w:val="13"/>
          <w:color w:val="auto"/>
        </w:rPr>
        <w:t>☐</w:t>
      </w:r>
    </w:p>
    <w:p>
      <w:pPr>
        <w:spacing w:after="0" w:line="38" w:lineRule="exact"/>
        <w:rPr>
          <w:sz w:val="24"/>
          <w:szCs w:val="24"/>
          <w:color w:val="auto"/>
        </w:rPr>
      </w:pPr>
    </w:p>
    <w:p>
      <w:pPr>
        <w:ind w:left="10" w:right="140" w:firstLine="389"/>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Unicode MS" w:cs="Arial Unicode MS" w:eastAsia="Arial Unicode MS" w:hAnsi="Arial Unicode MS"/>
          <w:sz w:val="13"/>
          <w:szCs w:val="13"/>
          <w:color w:val="auto"/>
        </w:rPr>
        <w:t>☐</w:t>
      </w:r>
    </w:p>
    <w:p>
      <w:pPr>
        <w:spacing w:after="0" w:line="25" w:lineRule="exact"/>
        <w:rPr>
          <w:sz w:val="24"/>
          <w:szCs w:val="24"/>
          <w:color w:val="auto"/>
        </w:rPr>
      </w:pPr>
    </w:p>
    <w:p>
      <w:pPr>
        <w:ind w:left="10" w:right="400" w:firstLine="389"/>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sectPr>
      </w:pPr>
    </w:p>
    <w:p>
      <w:pPr>
        <w:spacing w:after="0" w:line="45" w:lineRule="exact"/>
        <w:rPr>
          <w:sz w:val="24"/>
          <w:szCs w:val="24"/>
          <w:color w:val="auto"/>
        </w:rPr>
      </w:pPr>
    </w:p>
    <w:p>
      <w:pPr>
        <w:ind w:left="650"/>
        <w:spacing w:after="0" w:line="161"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720"/>
        <w:spacing w:after="0" w:line="175"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Arial Unicode MS" w:cs="Arial Unicode MS" w:eastAsia="Arial Unicode MS" w:hAnsi="Arial Unicode MS"/>
          <w:sz w:val="12"/>
          <w:szCs w:val="12"/>
          <w:color w:val="auto"/>
        </w:rPr>
        <w:t>☐</w:t>
      </w:r>
    </w:p>
    <w:p>
      <w:pPr>
        <w:spacing w:after="0" w:line="2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41" w:lineRule="exact"/>
        <w:rPr>
          <w:sz w:val="24"/>
          <w:szCs w:val="24"/>
          <w:color w:val="auto"/>
        </w:rPr>
      </w:pPr>
    </w:p>
    <w:p>
      <w:pPr>
        <w:sectPr>
          <w:pgSz w:w="11900" w:h="16838" w:orient="portrait"/>
          <w:cols w:equalWidth="0" w:num="4">
            <w:col w:w="2610" w:space="720"/>
            <w:col w:w="1720" w:space="720"/>
            <w:col w:w="1680" w:space="720"/>
            <w:col w:w="2060"/>
          </w:cols>
          <w:pgMar w:left="830" w:top="661" w:right="839" w:bottom="1440" w:gutter="0" w:footer="0" w:header="0"/>
          <w:type w:val="continuous"/>
        </w:sectPr>
      </w:pPr>
    </w:p>
    <w:p>
      <w:pPr>
        <w:ind w:left="10" w:right="500" w:firstLine="389"/>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35560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5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r>
      <w:tr>
        <w:trPr>
          <w:trHeight w:val="95"/>
        </w:trPr>
        <w:tc>
          <w:tcPr>
            <w:tcW w:w="20" w:type="dxa"/>
            <w:vAlign w:val="bottom"/>
          </w:tcPr>
          <w:p>
            <w:pPr>
              <w:spacing w:after="0"/>
              <w:rPr>
                <w:sz w:val="8"/>
                <w:szCs w:val="8"/>
                <w:color w:val="auto"/>
              </w:rPr>
            </w:pPr>
          </w:p>
        </w:tc>
        <w:tc>
          <w:tcPr>
            <w:tcW w:w="75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120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 Securities</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Aggregate Offering</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55"/>
        </w:trPr>
        <w:tc>
          <w:tcPr>
            <w:tcW w:w="20" w:type="dxa"/>
            <w:vAlign w:val="bottom"/>
          </w:tcPr>
          <w:p>
            <w:pPr>
              <w:spacing w:after="0"/>
              <w:rPr>
                <w:sz w:val="13"/>
                <w:szCs w:val="13"/>
                <w:color w:val="auto"/>
              </w:rPr>
            </w:pPr>
          </w:p>
        </w:tc>
        <w:tc>
          <w:tcPr>
            <w:tcW w:w="7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 be Registered</w:t>
            </w:r>
          </w:p>
        </w:tc>
        <w:tc>
          <w:tcPr>
            <w:tcW w:w="1480" w:type="dxa"/>
            <w:vAlign w:val="bottom"/>
            <w:tcBorders>
              <w:bottom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Price</w:t>
            </w:r>
            <w:r>
              <w:rPr>
                <w:rFonts w:ascii="Times New Roman" w:cs="Times New Roman" w:eastAsia="Times New Roman" w:hAnsi="Times New Roman"/>
                <w:sz w:val="17"/>
                <w:szCs w:val="17"/>
                <w:b w:val="1"/>
                <w:bCs w:val="1"/>
                <w:color w:val="auto"/>
                <w:vertAlign w:val="superscript"/>
              </w:rPr>
              <w:t>(1)</w:t>
            </w:r>
          </w:p>
        </w:tc>
        <w:tc>
          <w:tcPr>
            <w:tcW w:w="12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Registration Fee</w:t>
            </w:r>
            <w:r>
              <w:rPr>
                <w:rFonts w:ascii="Times New Roman" w:cs="Times New Roman" w:eastAsia="Times New Roman" w:hAnsi="Times New Roman"/>
                <w:sz w:val="17"/>
                <w:szCs w:val="17"/>
                <w:b w:val="1"/>
                <w:bCs w:val="1"/>
                <w:color w:val="auto"/>
                <w:vertAlign w:val="superscript"/>
              </w:rPr>
              <w:t>(2)</w:t>
            </w:r>
          </w:p>
        </w:tc>
      </w:tr>
      <w:tr>
        <w:trPr>
          <w:trHeight w:val="129"/>
        </w:trPr>
        <w:tc>
          <w:tcPr>
            <w:tcW w:w="20" w:type="dxa"/>
            <w:vAlign w:val="bottom"/>
            <w:tcBorders>
              <w:bottom w:val="single" w:sz="8" w:color="auto"/>
            </w:tcBorders>
          </w:tcPr>
          <w:p>
            <w:pPr>
              <w:spacing w:after="0"/>
              <w:rPr>
                <w:sz w:val="11"/>
                <w:szCs w:val="11"/>
                <w:color w:val="auto"/>
              </w:rPr>
            </w:pPr>
          </w:p>
        </w:tc>
        <w:tc>
          <w:tcPr>
            <w:tcW w:w="752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Class B Common Stock, $0.01 par value per share</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$100,000,000</w:t>
            </w:r>
          </w:p>
        </w:tc>
        <w:tc>
          <w:tcPr>
            <w:tcW w:w="120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9"/>
              </w:rPr>
              <w:t>$12,980</w:t>
            </w:r>
          </w:p>
        </w:tc>
      </w:tr>
      <w:tr>
        <w:trPr>
          <w:trHeight w:val="20"/>
        </w:trPr>
        <w:tc>
          <w:tcPr>
            <w:tcW w:w="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 w:lineRule="exact"/>
        <w:rPr>
          <w:sz w:val="24"/>
          <w:szCs w:val="24"/>
          <w:color w:val="auto"/>
        </w:rPr>
      </w:pPr>
    </w:p>
    <w:p>
      <w:pPr>
        <w:ind w:left="370" w:right="320" w:hanging="370"/>
        <w:spacing w:after="0"/>
        <w:tabs>
          <w:tab w:leader="none" w:pos="37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purposes of calculating the registration fee pursuant to Rule 457(o) of the Securities Act of 1933, as amended, and includes shares of our Class B common stock that the underwriters have an option to purchase to cover over-allotments, if any.</w:t>
      </w:r>
    </w:p>
    <w:p>
      <w:pPr>
        <w:ind w:left="370" w:hanging="370"/>
        <w:spacing w:after="0"/>
        <w:tabs>
          <w:tab w:leader="none" w:pos="37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43815</wp:posOffset>
            </wp:positionV>
            <wp:extent cx="1628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6" w:lineRule="exact"/>
        <w:rPr>
          <w:sz w:val="24"/>
          <w:szCs w:val="24"/>
          <w:color w:val="auto"/>
        </w:rPr>
      </w:pPr>
    </w:p>
    <w:p>
      <w:pPr>
        <w:jc w:val="both"/>
        <w:ind w:left="10" w:right="40" w:firstLine="389"/>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508000</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45085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87630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40"/>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519"/>
          </w:cols>
          <w:pgMar w:left="940" w:top="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94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91"/>
              </w:rPr>
              <w:t>registration statement filed with the Securities and</w:t>
            </w:r>
          </w:p>
        </w:tc>
        <w:tc>
          <w:tcPr>
            <w:tcW w:w="380" w:type="dxa"/>
            <w:vAlign w:val="bottom"/>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0000"/>
                <w:w w:val="90"/>
              </w:rPr>
              <w:t>offers to buy these securities in any state where the offer</w:t>
            </w:r>
          </w:p>
        </w:tc>
      </w:tr>
      <w:tr>
        <w:trPr>
          <w:trHeight w:val="656"/>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89"/>
              </w:rPr>
              <w:t>until the</w:t>
            </w:r>
          </w:p>
        </w:tc>
        <w:tc>
          <w:tcPr>
            <w:tcW w:w="380" w:type="dxa"/>
            <w:vAlign w:val="bottom"/>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0000"/>
                <w:w w:val="92"/>
              </w:rPr>
              <w:t>soliciting</w:t>
            </w:r>
          </w:p>
        </w:tc>
      </w:tr>
      <w:tr>
        <w:trPr>
          <w:trHeight w:val="772"/>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91"/>
              </w:rPr>
              <w:t>not be sold</w:t>
            </w:r>
          </w:p>
        </w:tc>
        <w:tc>
          <w:tcPr>
            <w:tcW w:w="380" w:type="dxa"/>
            <w:vAlign w:val="bottom"/>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0000"/>
                <w:w w:val="92"/>
              </w:rPr>
              <w:t>we are not</w:t>
            </w:r>
          </w:p>
        </w:tc>
      </w:tr>
      <w:tr>
        <w:trPr>
          <w:trHeight w:val="2242"/>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91"/>
              </w:rPr>
              <w:t>be changed. The securities may</w:t>
            </w:r>
          </w:p>
        </w:tc>
        <w:tc>
          <w:tcPr>
            <w:tcW w:w="380" w:type="dxa"/>
            <w:vAlign w:val="bottom"/>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0000"/>
                <w:w w:val="91"/>
              </w:rPr>
              <w:t>offer to sell these securities and</w:t>
            </w:r>
          </w:p>
        </w:tc>
      </w:tr>
      <w:tr>
        <w:trPr>
          <w:trHeight w:val="3456"/>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91"/>
              </w:rPr>
              <w:t>preliminary prospectus is not complete and may</w:t>
            </w:r>
          </w:p>
        </w:tc>
        <w:tc>
          <w:tcPr>
            <w:tcW w:w="380" w:type="dxa"/>
            <w:vAlign w:val="bottom"/>
            <w:textDirection w:val="btLr"/>
          </w:tcPr>
          <w:p>
            <w:pPr>
              <w:ind w:left="33"/>
              <w:spacing w:after="0"/>
              <w:rPr>
                <w:sz w:val="20"/>
                <w:szCs w:val="20"/>
                <w:color w:val="auto"/>
              </w:rPr>
            </w:pPr>
            <w:r>
              <w:rPr>
                <w:rFonts w:ascii="Times New Roman" w:cs="Times New Roman" w:eastAsia="Times New Roman" w:hAnsi="Times New Roman"/>
                <w:sz w:val="18"/>
                <w:szCs w:val="18"/>
                <w:b w:val="1"/>
                <w:bCs w:val="1"/>
                <w:color w:val="FF0000"/>
                <w:w w:val="91"/>
              </w:rPr>
              <w:t>is effective. This preliminary prospectus is not an</w:t>
            </w:r>
          </w:p>
        </w:tc>
      </w:tr>
      <w:tr>
        <w:trPr>
          <w:trHeight w:val="1663"/>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0000"/>
                <w:w w:val="91"/>
              </w:rPr>
              <w:t>The information in this</w:t>
            </w:r>
          </w:p>
        </w:tc>
        <w:tc>
          <w:tcPr>
            <w:tcW w:w="380" w:type="dxa"/>
            <w:vAlign w:val="bottom"/>
            <w:textDirection w:val="btLr"/>
          </w:tcPr>
          <w:p>
            <w:pPr>
              <w:ind w:left="242"/>
              <w:spacing w:after="0"/>
              <w:rPr>
                <w:sz w:val="20"/>
                <w:szCs w:val="20"/>
                <w:color w:val="auto"/>
              </w:rPr>
            </w:pPr>
            <w:r>
              <w:rPr>
                <w:rFonts w:ascii="Times New Roman" w:cs="Times New Roman" w:eastAsia="Times New Roman" w:hAnsi="Times New Roman"/>
                <w:sz w:val="12"/>
                <w:szCs w:val="12"/>
                <w:b w:val="1"/>
                <w:bCs w:val="1"/>
                <w:color w:val="FF0000"/>
                <w:w w:val="73"/>
              </w:rPr>
              <w:t>Exchange Commissionorsaleisnotpermitted.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rPr>
              <w:t>Subject to Completion, dated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rPr>
              <w:t>, 2020</w:t>
            </w:r>
          </w:p>
        </w:tc>
      </w:tr>
    </w:tbl>
    <w:p>
      <w:pPr>
        <w:spacing w:after="0" w:line="6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92710</wp:posOffset>
            </wp:positionV>
            <wp:extent cx="3291840"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84455</wp:posOffset>
            </wp:positionV>
            <wp:extent cx="13887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17145"/>
                    </a:xfrm>
                    <a:prstGeom prst="rect">
                      <a:avLst/>
                    </a:prstGeom>
                    <a:noFill/>
                  </pic:spPr>
                </pic:pic>
              </a:graphicData>
            </a:graphic>
          </wp:anchor>
        </w:drawing>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is an initial public offering of shares of Class B common stock of Bentley Systems, Incorporated.</w:t>
      </w:r>
    </w:p>
    <w:p>
      <w:pPr>
        <w:spacing w:after="0" w:line="63" w:lineRule="exact"/>
        <w:rPr>
          <w:sz w:val="20"/>
          <w:szCs w:val="20"/>
          <w:color w:val="auto"/>
        </w:rPr>
      </w:pPr>
    </w:p>
    <w:p>
      <w:pPr>
        <w:ind w:right="159" w:firstLine="324"/>
        <w:spacing w:after="0" w:line="250" w:lineRule="auto"/>
        <w:rPr>
          <w:sz w:val="20"/>
          <w:szCs w:val="20"/>
          <w:color w:val="auto"/>
        </w:rPr>
      </w:pPr>
      <w:r>
        <w:rPr>
          <w:rFonts w:ascii="Times New Roman" w:cs="Times New Roman" w:eastAsia="Times New Roman" w:hAnsi="Times New Roman"/>
          <w:sz w:val="18"/>
          <w:szCs w:val="18"/>
          <w:color w:val="auto"/>
        </w:rPr>
        <w:t>The selling stockholders identified in this prospectus are selling Class B shares in this offering. We will not be selling any shares in this offering and will not receive any of the proceeds from the sale of the Class B shares being sold by the selling stockholders.</w:t>
      </w:r>
    </w:p>
    <w:p>
      <w:pPr>
        <w:spacing w:after="0" w:line="42" w:lineRule="exact"/>
        <w:rPr>
          <w:sz w:val="20"/>
          <w:szCs w:val="20"/>
          <w:color w:val="auto"/>
        </w:rPr>
      </w:pPr>
    </w:p>
    <w:p>
      <w:pPr>
        <w:ind w:right="179" w:firstLine="324"/>
        <w:spacing w:after="0" w:line="237" w:lineRule="auto"/>
        <w:rPr>
          <w:sz w:val="20"/>
          <w:szCs w:val="20"/>
          <w:color w:val="auto"/>
        </w:rPr>
      </w:pPr>
      <w:r>
        <w:rPr>
          <w:rFonts w:ascii="Times New Roman" w:cs="Times New Roman" w:eastAsia="Times New Roman" w:hAnsi="Times New Roman"/>
          <w:sz w:val="18"/>
          <w:szCs w:val="18"/>
          <w:color w:val="auto"/>
        </w:rPr>
        <w:t>We will have two classes of authorized common stock: Class A common stock and Class B common stock. Upon completion of this offering, the rights of the holders of our Class A common stock and our Class B common stock will be identical, except with respect to voting and conversion rights. Each share of our Class B common stock will be entitled to one vote per share. Each share of our Class A common stock will be entitled to 29 votes per share and is convertible at any time into one share of our Class B common stock. Our Class A common stock will automatically convert into our Class B common stock upon certain transfers. The beneficial owners of our Class A common stock consist primarily of the Bentleys (as defined herein). As of June 30, 2020, after giving effect to the Charter Amendments (as defined herein) and following the completion of this offering, the holders of our Class A common stock will hold</w:t>
      </w: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 of the voting power of our outstanding capital stock and the Bentley Control Group (as defined</w:t>
      </w:r>
    </w:p>
    <w:p>
      <w:pPr>
        <w:spacing w:after="0"/>
        <w:tabs>
          <w:tab w:leader="none" w:pos="4760" w:val="left"/>
        </w:tabs>
        <w:rPr>
          <w:sz w:val="20"/>
          <w:szCs w:val="20"/>
          <w:color w:val="auto"/>
        </w:rPr>
      </w:pPr>
      <w:r>
        <w:rPr>
          <w:rFonts w:ascii="Times New Roman" w:cs="Times New Roman" w:eastAsia="Times New Roman" w:hAnsi="Times New Roman"/>
          <w:sz w:val="18"/>
          <w:szCs w:val="18"/>
          <w:color w:val="auto"/>
        </w:rPr>
        <w:t>herein) will hold or have the ability to control approximately</w:t>
      </w:r>
      <w:r>
        <w:rPr>
          <w:sz w:val="20"/>
          <w:szCs w:val="20"/>
          <w:color w:val="auto"/>
        </w:rPr>
        <w:tab/>
      </w:r>
      <w:r>
        <w:rPr>
          <w:rFonts w:ascii="Times New Roman" w:cs="Times New Roman" w:eastAsia="Times New Roman" w:hAnsi="Times New Roman"/>
          <w:sz w:val="17"/>
          <w:szCs w:val="17"/>
          <w:color w:val="auto"/>
        </w:rPr>
        <w:t>% of the voting power of our outstanding capital</w:t>
      </w:r>
    </w:p>
    <w:p>
      <w:pPr>
        <w:spacing w:after="0" w:line="1" w:lineRule="exact"/>
        <w:rPr>
          <w:sz w:val="20"/>
          <w:szCs w:val="20"/>
          <w:color w:val="auto"/>
        </w:rPr>
      </w:pPr>
    </w:p>
    <w:p>
      <w:pPr>
        <w:ind w:right="259"/>
        <w:spacing w:after="0" w:line="237" w:lineRule="auto"/>
        <w:rPr>
          <w:sz w:val="20"/>
          <w:szCs w:val="20"/>
          <w:color w:val="auto"/>
        </w:rPr>
      </w:pPr>
      <w:r>
        <w:rPr>
          <w:rFonts w:ascii="Times New Roman" w:cs="Times New Roman" w:eastAsia="Times New Roman" w:hAnsi="Times New Roman"/>
          <w:sz w:val="18"/>
          <w:szCs w:val="18"/>
          <w:color w:val="auto"/>
        </w:rPr>
        <w:t>stock. As a result, we will be a “controlled company” within the meaning of the Nasdaq Listing Rules and Nasdaq corporate governance standards. This ownership means that, for the foreseeable future, holders of our Class B common stock will not have a meaningful voice in our corporate affairs and that the control of our company will be concentrated with the Bentley Control Group. For additional information, see the sections titled “Risk Factors—Risks Related to the Offering ” and “Management—Controlled Company.”</w:t>
      </w:r>
    </w:p>
    <w:p>
      <w:pPr>
        <w:spacing w:after="0" w:line="38" w:lineRule="exact"/>
        <w:rPr>
          <w:sz w:val="20"/>
          <w:szCs w:val="20"/>
          <w:color w:val="auto"/>
        </w:rPr>
      </w:pPr>
    </w:p>
    <w:p>
      <w:pPr>
        <w:ind w:right="239" w:firstLine="324"/>
        <w:spacing w:after="0" w:line="250"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Class B common stock. It is currently estimated that the initial public offering price per share will be between $ and $ . We have applied to list our Class B common stock on The Nasdaq Global Select Market under the symbol “BSY.”</w:t>
      </w:r>
    </w:p>
    <w:p>
      <w:pPr>
        <w:spacing w:after="0" w:line="26" w:lineRule="exact"/>
        <w:rPr>
          <w:sz w:val="20"/>
          <w:szCs w:val="20"/>
          <w:color w:val="auto"/>
        </w:rPr>
      </w:pPr>
    </w:p>
    <w:p>
      <w:pPr>
        <w:ind w:right="639"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See “Risk Factors” on page 21 to read about factors you should consider before buying shares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62230</wp:posOffset>
            </wp:positionV>
            <wp:extent cx="1388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1" w:lineRule="exact"/>
        <w:rPr>
          <w:sz w:val="20"/>
          <w:szCs w:val="20"/>
          <w:color w:val="auto"/>
        </w:rPr>
      </w:pPr>
    </w:p>
    <w:p>
      <w:pPr>
        <w:ind w:right="399" w:firstLine="324"/>
        <w:spacing w:after="0" w:line="246" w:lineRule="auto"/>
        <w:rPr>
          <w:sz w:val="20"/>
          <w:szCs w:val="20"/>
          <w:color w:val="auto"/>
        </w:rPr>
      </w:pPr>
      <w:r>
        <w:rPr>
          <w:rFonts w:ascii="Times New Roman" w:cs="Times New Roman" w:eastAsia="Times New Roman" w:hAnsi="Times New Roman"/>
          <w:sz w:val="22"/>
          <w:szCs w:val="2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57785</wp:posOffset>
            </wp:positionV>
            <wp:extent cx="1388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0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70"/>
        </w:trPr>
        <w:tc>
          <w:tcPr>
            <w:tcW w:w="600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000" w:type="dxa"/>
            <w:vAlign w:val="bottom"/>
            <w:tcBorders>
              <w:bottom w:val="single" w:sz="8" w:color="auto"/>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1360" w:type="dxa"/>
            <w:vAlign w:val="bottom"/>
            <w:tcBorders>
              <w:bottom w:val="single" w:sz="8" w:color="auto"/>
              <w:right w:val="single" w:sz="8" w:color="auto"/>
            </w:tcBorders>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75"/>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6000" w:type="dxa"/>
            <w:vAlign w:val="bottom"/>
            <w:tcBorders>
              <w:bottom w:val="single" w:sz="8" w:color="auto"/>
              <w:right w:val="single" w:sz="8" w:color="auto"/>
            </w:tcBorders>
          </w:tcPr>
          <w:p>
            <w:pPr>
              <w:spacing w:after="0" w:line="196" w:lineRule="exact"/>
              <w:rPr>
                <w:sz w:val="20"/>
                <w:szCs w:val="20"/>
                <w:color w:val="auto"/>
              </w:rPr>
            </w:pPr>
            <w:r>
              <w:rPr>
                <w:rFonts w:ascii="Times New Roman" w:cs="Times New Roman" w:eastAsia="Times New Roman" w:hAnsi="Times New Roman"/>
                <w:sz w:val="16"/>
                <w:szCs w:val="16"/>
                <w:color w:val="auto"/>
              </w:rPr>
              <w:t>Underwriting discount</w:t>
            </w:r>
            <w:r>
              <w:rPr>
                <w:rFonts w:ascii="Times New Roman" w:cs="Times New Roman" w:eastAsia="Times New Roman" w:hAnsi="Times New Roman"/>
                <w:sz w:val="22"/>
                <w:szCs w:val="22"/>
                <w:color w:val="auto"/>
                <w:vertAlign w:val="superscript"/>
              </w:rPr>
              <w:t>(1)</w:t>
            </w:r>
          </w:p>
        </w:tc>
        <w:tc>
          <w:tcPr>
            <w:tcW w:w="1360" w:type="dxa"/>
            <w:vAlign w:val="bottom"/>
            <w:tcBorders>
              <w:bottom w:val="single" w:sz="8" w:color="auto"/>
              <w:right w:val="single" w:sz="8" w:color="auto"/>
            </w:tcBorders>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75"/>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6000" w:type="dxa"/>
            <w:vAlign w:val="bottom"/>
            <w:tcBorders>
              <w:bottom w:val="single" w:sz="8" w:color="auto"/>
              <w:right w:val="single" w:sz="8" w:color="auto"/>
            </w:tcBorders>
          </w:tcPr>
          <w:p>
            <w:pPr>
              <w:spacing w:after="0" w:line="196" w:lineRule="exact"/>
              <w:rPr>
                <w:sz w:val="20"/>
                <w:szCs w:val="20"/>
                <w:color w:val="auto"/>
              </w:rPr>
            </w:pPr>
            <w:r>
              <w:rPr>
                <w:rFonts w:ascii="Times New Roman" w:cs="Times New Roman" w:eastAsia="Times New Roman" w:hAnsi="Times New Roman"/>
                <w:sz w:val="16"/>
                <w:szCs w:val="16"/>
                <w:color w:val="auto"/>
              </w:rPr>
              <w:t>Proceeds to the selling stockholders</w:t>
            </w:r>
            <w:r>
              <w:rPr>
                <w:rFonts w:ascii="Times New Roman" w:cs="Times New Roman" w:eastAsia="Times New Roman" w:hAnsi="Times New Roman"/>
                <w:sz w:val="22"/>
                <w:szCs w:val="22"/>
                <w:color w:val="auto"/>
                <w:vertAlign w:val="superscript"/>
              </w:rPr>
              <w:t>(2)</w:t>
            </w:r>
          </w:p>
        </w:tc>
        <w:tc>
          <w:tcPr>
            <w:tcW w:w="1360" w:type="dxa"/>
            <w:vAlign w:val="bottom"/>
            <w:tcBorders>
              <w:bottom w:val="single" w:sz="8" w:color="auto"/>
              <w:right w:val="single" w:sz="8" w:color="auto"/>
            </w:tcBorders>
          </w:tcPr>
          <w:p>
            <w:pPr>
              <w:jc w:val="center"/>
              <w:ind w:left="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center"/>
              <w:ind w:left="75"/>
              <w:spacing w:after="0" w:line="196"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320" w:hanging="316"/>
        <w:spacing w:after="0"/>
        <w:tabs>
          <w:tab w:leader="none" w:pos="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“Underwriting” for additional information regarding compensation payable to the underwriters.</w:t>
      </w:r>
    </w:p>
    <w:p>
      <w:pPr>
        <w:spacing w:after="0" w:line="58" w:lineRule="exact"/>
        <w:rPr>
          <w:rFonts w:ascii="Times New Roman" w:cs="Times New Roman" w:eastAsia="Times New Roman" w:hAnsi="Times New Roman"/>
          <w:sz w:val="16"/>
          <w:szCs w:val="16"/>
          <w:color w:val="auto"/>
        </w:rPr>
      </w:pPr>
    </w:p>
    <w:p>
      <w:pPr>
        <w:ind w:left="320" w:right="799" w:hanging="316"/>
        <w:spacing w:after="0" w:line="263" w:lineRule="auto"/>
        <w:tabs>
          <w:tab w:leader="none" w:pos="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agreed to pay certain expenses in connection with this offering on behalf of the selling stockholders, including underwriting discounts and commissions. See the section titled “Underwriting.”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 the extent that the underwriters sell more than</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shares of Class B common stock, the underwriters have the option to</w:t>
            </w:r>
          </w:p>
        </w:tc>
      </w:tr>
      <w:tr>
        <w:trPr>
          <w:trHeight w:val="176"/>
        </w:trPr>
        <w:tc>
          <w:tcPr>
            <w:tcW w:w="2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purchase up to an additional</w:t>
            </w:r>
          </w:p>
        </w:tc>
        <w:tc>
          <w:tcPr>
            <w:tcW w:w="6500" w:type="dxa"/>
            <w:vAlign w:val="bottom"/>
            <w:gridSpan w:val="5"/>
          </w:tcPr>
          <w:p>
            <w:pPr>
              <w:jc w:val="right"/>
              <w:ind w:right="86"/>
              <w:spacing w:after="0" w:line="175" w:lineRule="exact"/>
              <w:rPr>
                <w:sz w:val="20"/>
                <w:szCs w:val="20"/>
                <w:color w:val="auto"/>
              </w:rPr>
            </w:pPr>
            <w:r>
              <w:rPr>
                <w:rFonts w:ascii="Times New Roman" w:cs="Times New Roman" w:eastAsia="Times New Roman" w:hAnsi="Times New Roman"/>
                <w:sz w:val="16"/>
                <w:szCs w:val="16"/>
                <w:color w:val="auto"/>
              </w:rPr>
              <w:t>shares from the selling stockholders at the initial public offering price less the underwriting</w:t>
            </w: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discount.</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74"/>
        </w:trPr>
        <w:tc>
          <w:tcPr>
            <w:tcW w:w="3280" w:type="dxa"/>
            <w:vAlign w:val="bottom"/>
            <w:gridSpan w:val="2"/>
          </w:tcPr>
          <w:p>
            <w:pPr>
              <w:spacing w:after="0"/>
              <w:rPr>
                <w:sz w:val="6"/>
                <w:szCs w:val="6"/>
                <w:color w:val="auto"/>
              </w:rPr>
            </w:pPr>
          </w:p>
        </w:tc>
        <w:tc>
          <w:tcPr>
            <w:tcW w:w="2180" w:type="dxa"/>
            <w:vAlign w:val="bottom"/>
            <w:tcBorders>
              <w:bottom w:val="single" w:sz="8" w:color="auto"/>
            </w:tcBorders>
            <w:gridSpan w:val="2"/>
          </w:tcPr>
          <w:p>
            <w:pPr>
              <w:spacing w:after="0"/>
              <w:rPr>
                <w:sz w:val="6"/>
                <w:szCs w:val="6"/>
                <w:color w:val="auto"/>
              </w:rPr>
            </w:pPr>
          </w:p>
        </w:tc>
        <w:tc>
          <w:tcPr>
            <w:tcW w:w="1340" w:type="dxa"/>
            <w:vAlign w:val="bottom"/>
          </w:tcPr>
          <w:p>
            <w:pPr>
              <w:spacing w:after="0"/>
              <w:rPr>
                <w:sz w:val="6"/>
                <w:szCs w:val="6"/>
                <w:color w:val="auto"/>
              </w:rPr>
            </w:pPr>
          </w:p>
        </w:tc>
        <w:tc>
          <w:tcPr>
            <w:tcW w:w="1920" w:type="dxa"/>
            <w:vAlign w:val="bottom"/>
          </w:tcPr>
          <w:p>
            <w:pPr>
              <w:spacing w:after="0"/>
              <w:rPr>
                <w:sz w:val="6"/>
                <w:szCs w:val="6"/>
                <w:color w:val="auto"/>
              </w:rPr>
            </w:pPr>
          </w:p>
        </w:tc>
      </w:tr>
      <w:tr>
        <w:trPr>
          <w:trHeight w:val="277"/>
        </w:trPr>
        <w:tc>
          <w:tcPr>
            <w:tcW w:w="68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9"/>
              </w:rPr>
              <w:t>The underwriters expect to deliver the shares against payment in New York, New York on</w:t>
            </w:r>
          </w:p>
        </w:tc>
        <w:tc>
          <w:tcPr>
            <w:tcW w:w="1920" w:type="dxa"/>
            <w:vAlign w:val="bottom"/>
          </w:tcPr>
          <w:p>
            <w:pPr>
              <w:jc w:val="right"/>
              <w:ind w:right="406"/>
              <w:spacing w:after="0"/>
              <w:rPr>
                <w:sz w:val="20"/>
                <w:szCs w:val="20"/>
                <w:color w:val="auto"/>
              </w:rPr>
            </w:pPr>
            <w:r>
              <w:rPr>
                <w:rFonts w:ascii="Times New Roman" w:cs="Times New Roman" w:eastAsia="Times New Roman" w:hAnsi="Times New Roman"/>
                <w:sz w:val="18"/>
                <w:szCs w:val="18"/>
                <w:color w:val="auto"/>
              </w:rPr>
              <w:t>, 2020.</w:t>
            </w:r>
          </w:p>
        </w:tc>
      </w:tr>
      <w:tr>
        <w:trPr>
          <w:trHeight w:val="398"/>
        </w:trPr>
        <w:tc>
          <w:tcPr>
            <w:tcW w:w="3880" w:type="dxa"/>
            <w:vAlign w:val="bottom"/>
            <w:gridSpan w:val="3"/>
          </w:tcPr>
          <w:p>
            <w:pPr>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w w:val="98"/>
              </w:rPr>
              <w:t>BofA Securities</w:t>
            </w:r>
          </w:p>
        </w:tc>
      </w:tr>
      <w:tr>
        <w:trPr>
          <w:trHeight w:val="393"/>
        </w:trPr>
        <w:tc>
          <w:tcPr>
            <w:tcW w:w="2220" w:type="dxa"/>
            <w:vAlign w:val="bottom"/>
          </w:tcPr>
          <w:p>
            <w:pPr>
              <w:spacing w:after="0"/>
              <w:rPr>
                <w:sz w:val="24"/>
                <w:szCs w:val="24"/>
                <w:color w:val="auto"/>
              </w:rPr>
            </w:pPr>
          </w:p>
        </w:tc>
        <w:tc>
          <w:tcPr>
            <w:tcW w:w="4580" w:type="dxa"/>
            <w:vAlign w:val="bottom"/>
            <w:gridSpan w:val="4"/>
          </w:tcPr>
          <w:p>
            <w:pPr>
              <w:jc w:val="center"/>
              <w:ind w:right="210"/>
              <w:spacing w:after="0"/>
              <w:rPr>
                <w:sz w:val="20"/>
                <w:szCs w:val="20"/>
                <w:color w:val="auto"/>
              </w:rPr>
            </w:pPr>
            <w:r>
              <w:rPr>
                <w:rFonts w:ascii="Times New Roman" w:cs="Times New Roman" w:eastAsia="Times New Roman" w:hAnsi="Times New Roman"/>
                <w:sz w:val="25"/>
                <w:szCs w:val="25"/>
                <w:b w:val="1"/>
                <w:bCs w:val="1"/>
                <w:color w:val="auto"/>
              </w:rPr>
              <w:t>RBC Capital Markets</w:t>
            </w:r>
          </w:p>
        </w:tc>
        <w:tc>
          <w:tcPr>
            <w:tcW w:w="1920" w:type="dxa"/>
            <w:vAlign w:val="bottom"/>
          </w:tcPr>
          <w:p>
            <w:pPr>
              <w:spacing w:after="0"/>
              <w:rPr>
                <w:sz w:val="24"/>
                <w:szCs w:val="24"/>
                <w:color w:val="auto"/>
              </w:rPr>
            </w:pPr>
          </w:p>
        </w:tc>
      </w:tr>
      <w:tr>
        <w:trPr>
          <w:trHeight w:val="341"/>
        </w:trPr>
        <w:tc>
          <w:tcPr>
            <w:tcW w:w="2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Baird</w:t>
            </w:r>
          </w:p>
        </w:tc>
        <w:tc>
          <w:tcPr>
            <w:tcW w:w="4580" w:type="dxa"/>
            <w:vAlign w:val="bottom"/>
            <w:gridSpan w:val="4"/>
          </w:tcPr>
          <w:p>
            <w:pPr>
              <w:jc w:val="center"/>
              <w:ind w:right="230"/>
              <w:spacing w:after="0"/>
              <w:rPr>
                <w:sz w:val="20"/>
                <w:szCs w:val="20"/>
                <w:color w:val="auto"/>
              </w:rPr>
            </w:pPr>
            <w:r>
              <w:rPr>
                <w:rFonts w:ascii="Times New Roman" w:cs="Times New Roman" w:eastAsia="Times New Roman" w:hAnsi="Times New Roman"/>
                <w:sz w:val="22"/>
                <w:szCs w:val="22"/>
                <w:b w:val="1"/>
                <w:bCs w:val="1"/>
                <w:color w:val="auto"/>
                <w:w w:val="98"/>
              </w:rPr>
              <w:t>KeyBanc Capital Markets</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Mizuho Securities</w:t>
            </w:r>
          </w:p>
        </w:tc>
      </w:tr>
      <w:tr>
        <w:trPr>
          <w:trHeight w:val="109"/>
        </w:trPr>
        <w:tc>
          <w:tcPr>
            <w:tcW w:w="2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180" w:type="dxa"/>
            <w:vAlign w:val="bottom"/>
            <w:tcBorders>
              <w:bottom w:val="single" w:sz="8" w:color="auto"/>
            </w:tcBorders>
            <w:gridSpan w:val="2"/>
          </w:tcPr>
          <w:p>
            <w:pPr>
              <w:spacing w:after="0"/>
              <w:rPr>
                <w:sz w:val="9"/>
                <w:szCs w:val="9"/>
                <w:color w:val="auto"/>
              </w:rPr>
            </w:pPr>
          </w:p>
        </w:tc>
        <w:tc>
          <w:tcPr>
            <w:tcW w:w="134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99"/>
        </w:trPr>
        <w:tc>
          <w:tcPr>
            <w:tcW w:w="2220" w:type="dxa"/>
            <w:vAlign w:val="bottom"/>
          </w:tcPr>
          <w:p>
            <w:pPr>
              <w:spacing w:after="0"/>
              <w:rPr>
                <w:sz w:val="24"/>
                <w:szCs w:val="24"/>
                <w:color w:val="auto"/>
              </w:rPr>
            </w:pPr>
          </w:p>
        </w:tc>
        <w:tc>
          <w:tcPr>
            <w:tcW w:w="32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2020.</w:t>
            </w:r>
          </w:p>
        </w:tc>
        <w:tc>
          <w:tcPr>
            <w:tcW w:w="1920" w:type="dxa"/>
            <w:vAlign w:val="bottom"/>
          </w:tcPr>
          <w:p>
            <w:pPr>
              <w:spacing w:after="0"/>
              <w:rPr>
                <w:sz w:val="24"/>
                <w:szCs w:val="24"/>
                <w:color w:val="auto"/>
              </w:rPr>
            </w:pPr>
          </w:p>
        </w:tc>
      </w:tr>
      <w:tr>
        <w:trPr>
          <w:trHeight w:val="763"/>
        </w:trPr>
        <w:tc>
          <w:tcPr>
            <w:tcW w:w="2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2">
            <w:col w:w="560" w:space="80"/>
            <w:col w:w="8879"/>
          </w:cols>
          <w:pgMar w:left="940" w:top="256" w:right="1440" w:bottom="1440" w:gutter="0" w:footer="0" w:header="0"/>
          <w:type w:val="continuous"/>
        </w:sectPr>
      </w:pPr>
    </w:p>
    <w:bookmarkStart w:id="2" w:name="page3"/>
    <w:bookmarkEnd w:id="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620" w:type="dxa"/>
            <w:vAlign w:val="bottom"/>
          </w:tcPr>
          <w:p>
            <w:pPr>
              <w:spacing w:after="0"/>
              <w:rPr>
                <w:sz w:val="20"/>
                <w:szCs w:val="20"/>
                <w:color w:val="auto"/>
              </w:rPr>
            </w:pPr>
          </w:p>
        </w:tc>
      </w:tr>
      <w:tr>
        <w:trPr>
          <w:trHeight w:val="580"/>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4"/>
                <w:szCs w:val="24"/>
                <w:color w:val="auto"/>
              </w:rPr>
            </w:pPr>
          </w:p>
        </w:tc>
      </w:tr>
      <w:tr>
        <w:trPr>
          <w:trHeight w:val="427"/>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TRADEMARKS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CAUTIONARY NOTE REGARDING FORWARD-LOOKING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MARKET AND INDUSTRY DATA</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DIVIDEND POLICY</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CAPITALIZATION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SELECTED CONSOLIDATED FINANCIAL DATA AND OTHER DATA</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4"/>
        </w:trPr>
        <w:tc>
          <w:tcPr>
            <w:tcW w:w="77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MANAGEMENT’S DISCUSSION AND ANALYSIS OF FINANCIAL CONDITION AND RESULTS OF</w:t>
              </w:r>
            </w:hyperlink>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920" w:type="dxa"/>
            <w:vAlign w:val="bottom"/>
            <w:gridSpan w:val="3"/>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OPERATIONS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8"/>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FOUNDERS’ LETTER</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BUSINESS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MANAGEMENT</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EXECUTIVE AND DIRECTOR COMPENSATION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CERTAIN RELATIONSHIPS AND RELATED PARTY TRANSACTIONS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PRINCIPAL AND SELLING STOCKHOLDERS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DESCRIPTION OF CAPITAL STOCK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SHARES ELIGIBLE FOR FUTURE SALE</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MATERIAL U.S. FEDERAL INCOME TAX CONSEQUENCES TO NON-U.S. HOLDERS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UNDERWRITING</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EXPERTS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8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INDEX TO CONSOLIDATED 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137160</wp:posOffset>
            </wp:positionV>
            <wp:extent cx="138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9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contained in any free writing prospectus filed with the Securities and Exchange Commission (the “SEC”). Neither we, the selling stockholders nor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This prospectus is an offer to sell only the shares offered hereby, and only under circumstances and in jurisdictions where it is lawful to do so. The information contained in this prospectus is accurate only as of the date of this prospectus, regardless of the time of delivery of this prospectus or of any sale of the Class B common stock. Our business, financial condition, results of operations, and prospects may have changed since such date.</w:t>
      </w:r>
    </w:p>
    <w:p>
      <w:pPr>
        <w:spacing w:after="0" w:line="80"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For investors outside of the United States: neither we, the selling stockholders nor the underwriters have done anything that would permit this offering, or the use of or possession or distribution of this prospectus in any jurisdiction where action for that purpose is required, other than in the United States. You are required to inform yourselves about, and to observe any restrictions relating to, the offering of the shares of Class B common stock and the distribution of this prospectus outside of the United States.</w:t>
      </w:r>
    </w:p>
    <w:p>
      <w:pPr>
        <w:spacing w:after="0" w:line="75"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to “Bentley Systems,” the “Company,” “we,” “us,” “our” and similar references refer to Bentley Systems, Incorporated and, where appropriate, its direct and indirect wholly-owned subsidiaries. References to the “Bentleys” refer to Barry J. Bentley, Gregory S. Bentley, Keith A. Bentley, Raymond B. Bentley and Richard P. Bentley, collectively. References to the “Bentley Control Group” refer to the Bentleys and certain of their family members, trusts or other permitted transferees who are acting as a group. For a further discussion of the Bentley Control Group, see the section titled “Management—Controlled Company.” References to the “Bentley Family” refer to the Bentley Control Group, certain other family members and trusts and other entities controlled by or primarily for the benefit of the Bentleys and their families.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396875</wp:posOffset>
            </wp:positionV>
            <wp:extent cx="55378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 w:name="page4"/>
    <w:bookmarkEnd w:id="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40" w:right="299" w:firstLine="324"/>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references to our trademarks and service marks and to those belonging to other entities.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any other companies.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contains references to certain data derived from external publications:</w:t>
      </w:r>
    </w:p>
    <w:p>
      <w:pPr>
        <w:spacing w:after="0" w:line="117" w:lineRule="exact"/>
        <w:rPr>
          <w:sz w:val="20"/>
          <w:szCs w:val="20"/>
          <w:color w:val="auto"/>
        </w:rPr>
      </w:pPr>
    </w:p>
    <w:p>
      <w:pPr>
        <w:ind w:left="1120" w:right="259" w:hanging="328"/>
        <w:spacing w:after="0" w:line="258"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 The report is copyrighted by the Global Infrastructure Hub Ltd (the “GI Hub”), and is licensed from the GI Hub under a Creative Commons Attribution 3.0 Australia License. To the extent permitted by law, the GI Hub disclaims liability to any person or organization in respect of anything done, or omitted to be done, in reliance upon information contained in the publication. See the section titled “Market and Industry Data;”</w:t>
      </w:r>
    </w:p>
    <w:p>
      <w:pPr>
        <w:spacing w:after="0" w:line="75" w:lineRule="exact"/>
        <w:rPr>
          <w:rFonts w:ascii="Times New Roman" w:cs="Times New Roman" w:eastAsia="Times New Roman" w:hAnsi="Times New Roman"/>
          <w:sz w:val="18"/>
          <w:szCs w:val="18"/>
          <w:color w:val="auto"/>
        </w:rPr>
      </w:pPr>
    </w:p>
    <w:p>
      <w:pPr>
        <w:ind w:left="1120" w:right="479" w:hanging="328"/>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prepared by the ARC Advisory Group. All information in the report is proprietary and copyrighted by ARC Advisory Group; and</w:t>
      </w:r>
    </w:p>
    <w:p>
      <w:pPr>
        <w:spacing w:after="0" w:line="53" w:lineRule="exact"/>
        <w:rPr>
          <w:rFonts w:ascii="Times New Roman" w:cs="Times New Roman" w:eastAsia="Times New Roman" w:hAnsi="Times New Roman"/>
          <w:sz w:val="18"/>
          <w:szCs w:val="18"/>
          <w:color w:val="auto"/>
        </w:rPr>
      </w:pPr>
    </w:p>
    <w:p>
      <w:pPr>
        <w:ind w:left="1120" w:right="539" w:hanging="328"/>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research report commissioned by us entitled “Infrastructure Engineering Software: Potential World-Wide Market Size” prepared by Cambashi Limited (“Cambashi”).</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882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30240" cy="788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160" w:right="1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and does not contain all of the information that you should consider in making your investment decision. This summary does not contain all of the information you should consider before investing in our Class B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the section titled “Cautionary Note Regarding Forward-Looking Statements.”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21" w:lineRule="exact"/>
        <w:rPr>
          <w:sz w:val="20"/>
          <w:szCs w:val="20"/>
          <w:color w:val="auto"/>
        </w:rPr>
      </w:pPr>
    </w:p>
    <w:p>
      <w:pPr>
        <w:ind w:left="160" w:right="339" w:firstLine="324"/>
        <w:spacing w:after="0" w:line="282"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infrastructure—sustaining both the global economy and environment, for improved quality of life.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21" w:lineRule="exact"/>
        <w:rPr>
          <w:sz w:val="20"/>
          <w:szCs w:val="20"/>
          <w:color w:val="auto"/>
        </w:rPr>
      </w:pPr>
    </w:p>
    <w:p>
      <w:pPr>
        <w:ind w:left="160" w:right="239" w:firstLine="32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78" w:lineRule="exact"/>
        <w:rPr>
          <w:sz w:val="20"/>
          <w:szCs w:val="20"/>
          <w:color w:val="auto"/>
        </w:rPr>
      </w:pPr>
    </w:p>
    <w:p>
      <w:pPr>
        <w:ind w:left="1120" w:right="179" w:hanging="317"/>
        <w:spacing w:after="0" w:line="258"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ranked by net depreciated value of their tangible fixed assets;</w:t>
      </w:r>
    </w:p>
    <w:p>
      <w:pPr>
        <w:spacing w:after="0" w:line="75" w:lineRule="exact"/>
        <w:rPr>
          <w:rFonts w:ascii="Times New Roman" w:cs="Times New Roman" w:eastAsia="Times New Roman" w:hAnsi="Times New Roman"/>
          <w:sz w:val="18"/>
          <w:szCs w:val="18"/>
          <w:color w:val="auto"/>
        </w:rPr>
      </w:pPr>
    </w:p>
    <w:p>
      <w:pPr>
        <w:jc w:val="both"/>
        <w:ind w:left="1120" w:right="279" w:hanging="317"/>
        <w:spacing w:after="0" w:line="267"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 plants)</w:t>
      </w:r>
      <w:r>
        <w:rPr>
          <w:rFonts w:ascii="Times New Roman" w:cs="Times New Roman" w:eastAsia="Times New Roman" w:hAnsi="Times New Roman"/>
          <w:sz w:val="18"/>
          <w:szCs w:val="18"/>
          <w:i w:val="1"/>
          <w:iCs w:val="1"/>
          <w:color w:val="auto"/>
        </w:rPr>
        <w:t xml:space="preserve"> / resources </w:t>
      </w:r>
      <w:r>
        <w:rPr>
          <w:rFonts w:ascii="Times New Roman" w:cs="Times New Roman" w:eastAsia="Times New Roman" w:hAnsi="Times New Roman"/>
          <w:sz w:val="18"/>
          <w:szCs w:val="18"/>
          <w:color w:val="auto"/>
        </w:rPr>
        <w:t>(including oil and gas, mining, and offshore). We estimate that this sector represents 38%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ind w:left="1120" w:right="479" w:hanging="317"/>
        <w:spacing w:after="0" w:line="284"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10% of the global top 500 infrastructure owners’ net infrastructure asset value.</w:t>
      </w:r>
    </w:p>
    <w:p>
      <w:pPr>
        <w:spacing w:after="0" w:line="52" w:lineRule="exact"/>
        <w:rPr>
          <w:sz w:val="20"/>
          <w:szCs w:val="20"/>
          <w:color w:val="auto"/>
        </w:rPr>
      </w:pPr>
    </w:p>
    <w:p>
      <w:pPr>
        <w:ind w:left="160" w:right="259" w:firstLine="324"/>
        <w:spacing w:after="0" w:line="258"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75" w:lineRule="exact"/>
        <w:rPr>
          <w:sz w:val="20"/>
          <w:szCs w:val="20"/>
          <w:color w:val="auto"/>
        </w:rPr>
      </w:pPr>
    </w:p>
    <w:p>
      <w:pPr>
        <w:ind w:left="160" w:right="159" w:firstLine="324"/>
        <w:spacing w:after="0" w:line="255"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81" w:lineRule="exact"/>
        <w:rPr>
          <w:sz w:val="20"/>
          <w:szCs w:val="20"/>
          <w:color w:val="auto"/>
        </w:rPr>
      </w:pPr>
    </w:p>
    <w:p>
      <w:pPr>
        <w:ind w:left="160" w:right="459" w:firstLine="324"/>
        <w:spacing w:after="0" w:line="258"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 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7264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 w:name="page6"/>
    <w:bookmarkEnd w:id="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5893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0240" cy="589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right="199" w:firstLine="324"/>
        <w:spacing w:after="0" w:line="256" w:lineRule="auto"/>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79" w:lineRule="exact"/>
        <w:rPr>
          <w:sz w:val="20"/>
          <w:szCs w:val="20"/>
          <w:color w:val="auto"/>
        </w:rPr>
      </w:pPr>
    </w:p>
    <w:p>
      <w:pPr>
        <w:ind w:left="160" w:right="219" w:firstLine="324"/>
        <w:spacing w:after="0" w:line="25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 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79" w:lineRule="exact"/>
        <w:rPr>
          <w:sz w:val="20"/>
          <w:szCs w:val="20"/>
          <w:color w:val="auto"/>
        </w:rPr>
      </w:pPr>
    </w:p>
    <w:p>
      <w:pPr>
        <w:ind w:left="160" w:right="179" w:firstLine="324"/>
        <w:spacing w:after="0" w:line="255"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 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81" w:lineRule="exact"/>
        <w:rPr>
          <w:sz w:val="20"/>
          <w:szCs w:val="20"/>
          <w:color w:val="auto"/>
        </w:rPr>
      </w:pPr>
    </w:p>
    <w:p>
      <w:pPr>
        <w:ind w:left="160" w:right="299" w:firstLine="324"/>
        <w:spacing w:after="0" w:line="261" w:lineRule="auto"/>
        <w:rPr>
          <w:sz w:val="20"/>
          <w:szCs w:val="20"/>
          <w:color w:val="auto"/>
        </w:rPr>
      </w:pPr>
      <w:r>
        <w:rPr>
          <w:rFonts w:ascii="Times New Roman" w:cs="Times New Roman" w:eastAsia="Times New Roman" w:hAnsi="Times New Roman"/>
          <w:sz w:val="18"/>
          <w:szCs w:val="18"/>
          <w:color w:val="auto"/>
        </w:rPr>
        <w:t>We are the only infrastructure engineering software vendor to lead in market share in categories related to both the project and the asset lifecycle phases in the most recent rankings by The ARC Advisory Group (“ARC”). In</w:t>
      </w:r>
    </w:p>
    <w:p>
      <w:pPr>
        <w:ind w:left="160" w:right="159"/>
        <w:spacing w:after="0" w:line="253" w:lineRule="auto"/>
        <w:rPr>
          <w:sz w:val="20"/>
          <w:szCs w:val="20"/>
          <w:color w:val="auto"/>
        </w:rPr>
      </w:pPr>
      <w:r>
        <w:rPr>
          <w:rFonts w:ascii="Times New Roman" w:cs="Times New Roman" w:eastAsia="Times New Roman" w:hAnsi="Times New Roman"/>
          <w:sz w:val="18"/>
          <w:szCs w:val="18"/>
          <w:color w:val="auto"/>
        </w:rPr>
        <w:t xml:space="preserve">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 &amp; Services</w:t>
      </w:r>
      <w:r>
        <w:rPr>
          <w:rFonts w:ascii="Times New Roman" w:cs="Times New Roman" w:eastAsia="Times New Roman" w:hAnsi="Times New Roman"/>
          <w:sz w:val="18"/>
          <w:szCs w:val="18"/>
          <w:color w:val="auto"/>
        </w:rPr>
        <w:t>, ARC ranked us #1 overall for software, as well as #1 in each of Transportation, Oil and Gas, and Electric Power Transmission and Distribution.</w:t>
      </w:r>
    </w:p>
    <w:p>
      <w:pPr>
        <w:spacing w:after="0" w:line="79" w:lineRule="exact"/>
        <w:rPr>
          <w:sz w:val="20"/>
          <w:szCs w:val="20"/>
          <w:color w:val="auto"/>
        </w:rPr>
      </w:pPr>
    </w:p>
    <w:p>
      <w:pPr>
        <w:ind w:left="16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79" w:lineRule="exact"/>
        <w:rPr>
          <w:sz w:val="20"/>
          <w:szCs w:val="20"/>
          <w:color w:val="auto"/>
        </w:rPr>
      </w:pPr>
    </w:p>
    <w:p>
      <w:pPr>
        <w:ind w:left="160" w:right="2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and 64% of the 2019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ENR 2019 Top 500 Design Firms </w:t>
      </w:r>
      <w:r>
        <w:rPr>
          <w:rFonts w:ascii="Times New Roman" w:cs="Times New Roman" w:eastAsia="Times New Roman" w:hAnsi="Times New Roman"/>
          <w:sz w:val="18"/>
          <w:szCs w:val="18"/>
          <w:color w:val="auto"/>
        </w:rPr>
        <w:t>is authored by Engineering News-Record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(“ENR”) and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is authored by us. These rankings consist of substantially distinct account lists (with the 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402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024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right="299"/>
        <w:spacing w:after="0" w:line="282" w:lineRule="auto"/>
        <w:rPr>
          <w:sz w:val="20"/>
          <w:szCs w:val="20"/>
          <w:color w:val="auto"/>
        </w:rPr>
      </w:pPr>
      <w:r>
        <w:rPr>
          <w:rFonts w:ascii="Times New Roman" w:cs="Times New Roman" w:eastAsia="Times New Roman" w:hAnsi="Times New Roman"/>
          <w:sz w:val="18"/>
          <w:szCs w:val="18"/>
          <w:color w:val="auto"/>
        </w:rPr>
        <w:t>with 80% of our 2018 and 2019 total revenues coming from accounts of more than ten years’ standing, and 87% of our 2018 and 2019 total revenues coming from accounts of more than five years’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80" w:hanging="325"/>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figures as of December 31, 2019. All figures calculated using ASC 606. Chart segment sizing corresponds to underlying % of 2019 revenue.</w:t>
      </w:r>
    </w:p>
    <w:p>
      <w:pPr>
        <w:spacing w:after="0" w:line="208" w:lineRule="exact"/>
        <w:rPr>
          <w:sz w:val="20"/>
          <w:szCs w:val="20"/>
          <w:color w:val="auto"/>
        </w:rPr>
      </w:pPr>
    </w:p>
    <w:p>
      <w:pPr>
        <w:ind w:left="160" w:right="179" w:firstLine="324"/>
        <w:spacing w:after="0" w:line="253"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86" w:lineRule="exact"/>
        <w:rPr>
          <w:sz w:val="20"/>
          <w:szCs w:val="20"/>
          <w:color w:val="auto"/>
        </w:rPr>
      </w:pPr>
    </w:p>
    <w:p>
      <w:pPr>
        <w:ind w:left="160" w:right="219" w:firstLine="324"/>
        <w:spacing w:after="0" w:line="274" w:lineRule="auto"/>
        <w:rPr>
          <w:sz w:val="20"/>
          <w:szCs w:val="20"/>
          <w:color w:val="auto"/>
        </w:rPr>
      </w:pPr>
      <w:r>
        <w:rPr>
          <w:rFonts w:ascii="Times New Roman" w:cs="Times New Roman" w:eastAsia="Times New Roman" w:hAnsi="Times New Roman"/>
          <w:sz w:val="17"/>
          <w:szCs w:val="17"/>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65" w:lineRule="exact"/>
        <w:rPr>
          <w:sz w:val="20"/>
          <w:szCs w:val="20"/>
          <w:color w:val="auto"/>
        </w:rPr>
      </w:pPr>
    </w:p>
    <w:p>
      <w:pPr>
        <w:ind w:left="160" w:right="279" w:firstLine="324"/>
        <w:spacing w:after="0" w:line="261"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 $69 million and Adjusted EBITDA of $116 million. Our business is cash-efficient, with approximately 70% of our revenues billed in advance,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573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3024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right="359"/>
        <w:spacing w:after="0" w:line="266" w:lineRule="auto"/>
        <w:rPr>
          <w:sz w:val="20"/>
          <w:szCs w:val="20"/>
          <w:color w:val="auto"/>
        </w:rPr>
      </w:pPr>
      <w:r>
        <w:rPr>
          <w:rFonts w:ascii="Times New Roman" w:cs="Times New Roman" w:eastAsia="Times New Roman" w:hAnsi="Times New Roman"/>
          <w:sz w:val="18"/>
          <w:szCs w:val="18"/>
          <w:color w:val="auto"/>
        </w:rPr>
        <w:t>and a global tax rate of under 20%. For additional information on our financial results, key metrics, and non-GAAP financial metrics, see the section titled “Management’s Discussion and Analysis of Financial Condition and Results of Operations—Key Business Metrics.”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21" w:lineRule="exact"/>
        <w:rPr>
          <w:sz w:val="20"/>
          <w:szCs w:val="20"/>
          <w:color w:val="auto"/>
        </w:rPr>
      </w:pPr>
    </w:p>
    <w:p>
      <w:pPr>
        <w:ind w:left="160" w:right="159" w:firstLine="324"/>
        <w:spacing w:after="0" w:line="274" w:lineRule="auto"/>
        <w:rPr>
          <w:sz w:val="20"/>
          <w:szCs w:val="20"/>
          <w:color w:val="auto"/>
        </w:rPr>
      </w:pPr>
      <w:r>
        <w:rPr>
          <w:rFonts w:ascii="Times New Roman" w:cs="Times New Roman" w:eastAsia="Times New Roman" w:hAnsi="Times New Roman"/>
          <w:sz w:val="17"/>
          <w:szCs w:val="17"/>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 Our cloud-native Digital Twins solutions introduce digital workflows, which can span our Project Lifecycle and Asset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right="2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simulation, and construction, as well as the collaboration software services required to coordinate and share the work of interdisciplinary and/or distributed project teams.</w:t>
      </w:r>
    </w:p>
    <w:p>
      <w:pPr>
        <w:spacing w:after="0" w:line="65" w:lineRule="exact"/>
        <w:rPr>
          <w:sz w:val="20"/>
          <w:szCs w:val="20"/>
          <w:color w:val="auto"/>
        </w:rPr>
      </w:pPr>
    </w:p>
    <w:p>
      <w:pPr>
        <w:ind w:left="160" w:right="3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applications are domain-specific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120" w:right="179" w:hanging="317"/>
        <w:spacing w:after="0" w:line="258"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w:t>
      </w:r>
    </w:p>
    <w:p>
      <w:pPr>
        <w:spacing w:after="0" w:line="75" w:lineRule="exact"/>
        <w:rPr>
          <w:rFonts w:ascii="Times New Roman" w:cs="Times New Roman" w:eastAsia="Times New Roman" w:hAnsi="Times New Roman"/>
          <w:sz w:val="18"/>
          <w:szCs w:val="18"/>
          <w:color w:val="auto"/>
        </w:rPr>
      </w:pPr>
    </w:p>
    <w:p>
      <w:pPr>
        <w:ind w:left="1120" w:right="759" w:hanging="317"/>
        <w:spacing w:after="0" w:line="284"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50" w:lineRule="exact"/>
        <w:rPr>
          <w:rFonts w:ascii="Times New Roman" w:cs="Times New Roman" w:eastAsia="Times New Roman" w:hAnsi="Times New Roman"/>
          <w:sz w:val="18"/>
          <w:szCs w:val="18"/>
          <w:color w:val="auto"/>
        </w:rPr>
      </w:pPr>
    </w:p>
    <w:p>
      <w:pPr>
        <w:ind w:left="1120" w:right="379" w:hanging="317"/>
        <w:spacing w:after="0" w:line="267"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to enrich information sharing (and to minimize problematic translations) across project delivery processes.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402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3024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right="55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Project Delivery. </w:t>
      </w:r>
      <w:r>
        <w:rPr>
          <w:rFonts w:ascii="Times New Roman" w:cs="Times New Roman" w:eastAsia="Times New Roman" w:hAnsi="Times New Roman"/>
          <w:sz w:val="17"/>
          <w:szCs w:val="17"/>
          <w:color w:val="auto"/>
        </w:rPr>
        <w:t>Our Project Delivery solutions support information and document management, engineering-specific collaboration and work-sharing for distributed project teams and enterprises, and construction planning, modeling and execution. The scope of these solutions is not limited to users of only our own design applications.</w:t>
      </w:r>
    </w:p>
    <w:p>
      <w:pPr>
        <w:spacing w:after="0" w:line="49" w:lineRule="exact"/>
        <w:rPr>
          <w:sz w:val="20"/>
          <w:szCs w:val="20"/>
          <w:color w:val="auto"/>
        </w:rPr>
      </w:pPr>
    </w:p>
    <w:p>
      <w:pPr>
        <w:ind w:left="160" w:right="199" w:firstLine="324"/>
        <w:spacing w:after="0" w:line="255"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 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15" w:lineRule="exact"/>
        <w:rPr>
          <w:sz w:val="20"/>
          <w:szCs w:val="20"/>
          <w:color w:val="auto"/>
        </w:rPr>
      </w:pPr>
    </w:p>
    <w:p>
      <w:pPr>
        <w:ind w:left="1120" w:right="439" w:hanging="317"/>
        <w:spacing w:after="0" w:line="267"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Distributed work-sharing</w:t>
      </w:r>
      <w:r>
        <w:rPr>
          <w:rFonts w:ascii="Times New Roman" w:cs="Times New Roman" w:eastAsia="Times New Roman" w:hAnsi="Times New Roman"/>
          <w:sz w:val="18"/>
          <w:szCs w:val="18"/>
          <w:color w:val="auto"/>
        </w:rPr>
        <w:t>: 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65" w:lineRule="exact"/>
        <w:rPr>
          <w:rFonts w:ascii="Times New Roman" w:cs="Times New Roman" w:eastAsia="Times New Roman" w:hAnsi="Times New Roman"/>
          <w:sz w:val="18"/>
          <w:szCs w:val="18"/>
          <w:color w:val="auto"/>
        </w:rPr>
      </w:pPr>
    </w:p>
    <w:p>
      <w:pPr>
        <w:ind w:left="1120" w:right="219" w:hanging="317"/>
        <w:spacing w:after="0" w:line="261"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collaboration</w:t>
      </w:r>
      <w:r>
        <w:rPr>
          <w:rFonts w:ascii="Times New Roman" w:cs="Times New Roman" w:eastAsia="Times New Roman" w:hAnsi="Times New Roman"/>
          <w:sz w:val="18"/>
          <w:szCs w:val="18"/>
          <w:color w:val="auto"/>
        </w:rPr>
        <w:t>: Our software leverages cloud and hybrid environments to streamline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aggregation, distribution, and interaction for project deliverables, ensuring that the right project participants have the right information in the right format at the right time, including at the project site and on every device; and</w:t>
      </w:r>
    </w:p>
    <w:p>
      <w:pPr>
        <w:spacing w:after="0" w:line="71" w:lineRule="exact"/>
        <w:rPr>
          <w:rFonts w:ascii="Times New Roman" w:cs="Times New Roman" w:eastAsia="Times New Roman" w:hAnsi="Times New Roman"/>
          <w:sz w:val="18"/>
          <w:szCs w:val="18"/>
          <w:color w:val="auto"/>
        </w:rPr>
      </w:pPr>
    </w:p>
    <w:p>
      <w:pPr>
        <w:ind w:left="1120" w:right="399" w:hanging="317"/>
        <w:spacing w:after="0" w:line="267"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Construction visibility</w:t>
      </w:r>
      <w:r>
        <w:rPr>
          <w:rFonts w:ascii="Times New Roman" w:cs="Times New Roman" w:eastAsia="Times New Roman" w:hAnsi="Times New Roman"/>
          <w:sz w:val="18"/>
          <w:szCs w:val="18"/>
          <w:color w:val="auto"/>
        </w:rPr>
        <w:t>: 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63" w:lineRule="exact"/>
        <w:rPr>
          <w:sz w:val="20"/>
          <w:szCs w:val="20"/>
          <w:color w:val="auto"/>
        </w:rPr>
      </w:pPr>
    </w:p>
    <w:p>
      <w:pPr>
        <w:jc w:val="both"/>
        <w:ind w:left="160" w:right="4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capturing and managing changes to engineering models and enterprise information for compliance and safety, and to model performance and reliability to support operating and maintenance decisions.</w:t>
      </w:r>
    </w:p>
    <w:p>
      <w:pPr>
        <w:spacing w:after="0" w:line="65" w:lineRule="exact"/>
        <w:rPr>
          <w:sz w:val="20"/>
          <w:szCs w:val="20"/>
          <w:color w:val="auto"/>
        </w:rPr>
      </w:pPr>
    </w:p>
    <w:p>
      <w:pPr>
        <w:ind w:left="160" w:right="2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120" w:right="459" w:hanging="317"/>
        <w:spacing w:after="0" w:line="284"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compliance and assurance</w:t>
      </w:r>
      <w:r>
        <w:rPr>
          <w:rFonts w:ascii="Times New Roman" w:cs="Times New Roman" w:eastAsia="Times New Roman" w:hAnsi="Times New Roman"/>
          <w:sz w:val="18"/>
          <w:szCs w:val="18"/>
          <w:color w:val="auto"/>
        </w:rPr>
        <w:t>: Our systems intrinsically enforce the rigor appropriate for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assets in order to provide dependable visibility into the impact of changes;</w:t>
      </w:r>
    </w:p>
    <w:p>
      <w:pPr>
        <w:spacing w:after="0" w:line="50" w:lineRule="exact"/>
        <w:rPr>
          <w:rFonts w:ascii="Times New Roman" w:cs="Times New Roman" w:eastAsia="Times New Roman" w:hAnsi="Times New Roman"/>
          <w:sz w:val="18"/>
          <w:szCs w:val="18"/>
          <w:color w:val="auto"/>
        </w:rPr>
      </w:pPr>
    </w:p>
    <w:p>
      <w:pPr>
        <w:ind w:left="1120" w:right="539" w:hanging="317"/>
        <w:spacing w:after="0" w:line="284"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asset performance</w:t>
      </w:r>
      <w:r>
        <w:rPr>
          <w:rFonts w:ascii="Times New Roman" w:cs="Times New Roman" w:eastAsia="Times New Roman" w:hAnsi="Times New Roman"/>
          <w:sz w:val="18"/>
          <w:szCs w:val="18"/>
          <w:color w:val="auto"/>
        </w:rPr>
        <w:t>: Our solutions include operational dashboards that provide decision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insights to maintain and improve throughput and reliability; and</w:t>
      </w:r>
    </w:p>
    <w:p>
      <w:pPr>
        <w:spacing w:after="0" w:line="50" w:lineRule="exact"/>
        <w:rPr>
          <w:rFonts w:ascii="Times New Roman" w:cs="Times New Roman" w:eastAsia="Times New Roman" w:hAnsi="Times New Roman"/>
          <w:sz w:val="18"/>
          <w:szCs w:val="18"/>
          <w:color w:val="auto"/>
        </w:rPr>
      </w:pPr>
    </w:p>
    <w:p>
      <w:pPr>
        <w:ind w:left="1120" w:right="219" w:hanging="317"/>
        <w:spacing w:after="0" w:line="267"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risk management</w:t>
      </w:r>
      <w:r>
        <w:rPr>
          <w:rFonts w:ascii="Times New Roman" w:cs="Times New Roman" w:eastAsia="Times New Roman" w:hAnsi="Times New Roman"/>
          <w:sz w:val="18"/>
          <w:szCs w:val="18"/>
          <w:color w:val="auto"/>
        </w:rPr>
        <w:t>: Our solutions include predictive analytics that identify potential problems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occur, and ensure the accessibility of best-available engineering information and models for mitigation and resilience.</w:t>
      </w:r>
    </w:p>
    <w:p>
      <w:pPr>
        <w:spacing w:after="0" w:line="65" w:lineRule="exact"/>
        <w:rPr>
          <w:sz w:val="20"/>
          <w:szCs w:val="20"/>
          <w:color w:val="auto"/>
        </w:rPr>
      </w:pPr>
    </w:p>
    <w:p>
      <w:pPr>
        <w:ind w:left="160" w:right="1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 mapping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15" w:lineRule="exact"/>
        <w:rPr>
          <w:sz w:val="20"/>
          <w:szCs w:val="20"/>
          <w:color w:val="auto"/>
        </w:rPr>
      </w:pPr>
    </w:p>
    <w:p>
      <w:pPr>
        <w:ind w:left="1120" w:right="419" w:hanging="317"/>
        <w:spacing w:after="0" w:line="267"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Evergreen 3D city models</w:t>
      </w:r>
      <w:r>
        <w:rPr>
          <w:rFonts w:ascii="Times New Roman" w:cs="Times New Roman" w:eastAsia="Times New Roman" w:hAnsi="Times New Roman"/>
          <w:sz w:val="18"/>
          <w:szCs w:val="18"/>
          <w:color w:val="auto"/>
        </w:rPr>
        <w:t>: 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74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3024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20" w:right="239" w:hanging="317"/>
        <w:spacing w:after="0" w:line="267"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resilience</w:t>
      </w:r>
      <w:r>
        <w:rPr>
          <w:rFonts w:ascii="Times New Roman" w:cs="Times New Roman" w:eastAsia="Times New Roman" w:hAnsi="Times New Roman"/>
          <w:sz w:val="18"/>
          <w:szCs w:val="18"/>
          <w:color w:val="auto"/>
        </w:rPr>
        <w:t>: 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65" w:lineRule="exact"/>
        <w:rPr>
          <w:rFonts w:ascii="Times New Roman" w:cs="Times New Roman" w:eastAsia="Times New Roman" w:hAnsi="Times New Roman"/>
          <w:sz w:val="18"/>
          <w:szCs w:val="18"/>
          <w:color w:val="auto"/>
        </w:rPr>
      </w:pPr>
    </w:p>
    <w:p>
      <w:pPr>
        <w:ind w:left="1120" w:right="199" w:hanging="317"/>
        <w:spacing w:after="0" w:line="261"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Resource conservation</w:t>
      </w:r>
      <w:r>
        <w:rPr>
          <w:rFonts w:ascii="Times New Roman" w:cs="Times New Roman" w:eastAsia="Times New Roman" w:hAnsi="Times New Roman"/>
          <w:sz w:val="18"/>
          <w:szCs w:val="18"/>
          <w:color w:val="auto"/>
        </w:rPr>
        <w:t>: Taking full advantage of our solutions can significantly increase efficiency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waste. For instance, our water network modeling tools, applied to compare as-designed specifications to observed flows and pressures, can help to non-invasively locate subsurface water network leaks.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19" w:lineRule="exact"/>
        <w:rPr>
          <w:sz w:val="20"/>
          <w:szCs w:val="20"/>
          <w:color w:val="auto"/>
        </w:rPr>
      </w:pPr>
    </w:p>
    <w:p>
      <w:pPr>
        <w:ind w:left="160" w:right="279" w:firstLine="324"/>
        <w:spacing w:after="0" w:line="261"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15" w:lineRule="exact"/>
        <w:rPr>
          <w:sz w:val="20"/>
          <w:szCs w:val="20"/>
          <w:color w:val="auto"/>
        </w:rPr>
      </w:pPr>
    </w:p>
    <w:p>
      <w:pPr>
        <w:ind w:left="1120" w:right="179" w:hanging="317"/>
        <w:spacing w:after="0" w:line="258"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 visible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traditional workflows; for example, a 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75" w:lineRule="exact"/>
        <w:rPr>
          <w:rFonts w:ascii="Times New Roman" w:cs="Times New Roman" w:eastAsia="Times New Roman" w:hAnsi="Times New Roman"/>
          <w:sz w:val="18"/>
          <w:szCs w:val="18"/>
          <w:color w:val="auto"/>
        </w:rPr>
      </w:pPr>
    </w:p>
    <w:p>
      <w:pPr>
        <w:ind w:left="1120" w:right="179" w:hanging="317"/>
        <w:spacing w:after="0" w:line="258"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 progress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120" w:right="279" w:hanging="317"/>
        <w:spacing w:after="0" w:line="261"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120" w:right="239" w:hanging="317"/>
        <w:spacing w:after="0" w:line="253"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assets with IoT sensors, producing torrents of Operational Technology (“OT”) data that are difficult to interpret. Software advances in Information Technology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Engineering Technology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21" w:lineRule="exact"/>
        <w:rPr>
          <w:sz w:val="20"/>
          <w:szCs w:val="20"/>
          <w:color w:val="auto"/>
        </w:rPr>
      </w:pPr>
    </w:p>
    <w:p>
      <w:pPr>
        <w:ind w:left="160" w:right="799" w:firstLine="324"/>
        <w:spacing w:after="0" w:line="282"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50" w:lineRule="exact"/>
        <w:rPr>
          <w:sz w:val="20"/>
          <w:szCs w:val="20"/>
          <w:color w:val="auto"/>
        </w:rPr>
      </w:pPr>
    </w:p>
    <w:p>
      <w:pPr>
        <w:ind w:left="160" w:right="2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72643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0" w:name="page11"/>
    <w:bookmarkEnd w:id="1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470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3024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right="4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 which enable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68" w:lineRule="exact"/>
        <w:rPr>
          <w:sz w:val="20"/>
          <w:szCs w:val="20"/>
          <w:color w:val="auto"/>
        </w:rPr>
      </w:pPr>
    </w:p>
    <w:p>
      <w:pPr>
        <w:ind w:left="160" w:right="21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 of projects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the public works/utilities, 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74" w:lineRule="exact"/>
        <w:rPr>
          <w:sz w:val="20"/>
          <w:szCs w:val="20"/>
          <w:color w:val="auto"/>
        </w:rPr>
      </w:pPr>
    </w:p>
    <w:p>
      <w:pPr>
        <w:ind w:left="16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 practices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21" w:lineRule="exact"/>
        <w:rPr>
          <w:sz w:val="20"/>
          <w:szCs w:val="20"/>
          <w:color w:val="auto"/>
        </w:rPr>
      </w:pPr>
    </w:p>
    <w:p>
      <w:pPr>
        <w:ind w:left="160" w:right="199" w:firstLine="324"/>
        <w:spacing w:after="0" w:line="256"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market opportunity, which we refer to as our serviceable addressable market (“SAM”). We estimate our global SAM is approximately $9.5 billion, $6.1 billion of which is attributable to project delivery firms and $3.4 billion of which is attributable to owner-operators. Further, of our $9.5 billion SAM, approximately $1.6 billion is in Greater China.</w:t>
      </w:r>
    </w:p>
    <w:p>
      <w:pPr>
        <w:spacing w:after="0" w:line="79" w:lineRule="exact"/>
        <w:rPr>
          <w:sz w:val="20"/>
          <w:szCs w:val="20"/>
          <w:color w:val="auto"/>
        </w:rPr>
      </w:pPr>
    </w:p>
    <w:p>
      <w:pPr>
        <w:ind w:left="160" w:right="179" w:firstLine="324"/>
        <w:spacing w:after="0" w:line="254" w:lineRule="auto"/>
        <w:rPr>
          <w:sz w:val="20"/>
          <w:szCs w:val="20"/>
          <w:color w:val="auto"/>
        </w:rPr>
      </w:pPr>
      <w:r>
        <w:rPr>
          <w:rFonts w:ascii="Times New Roman" w:cs="Times New Roman" w:eastAsia="Times New Roman" w:hAnsi="Times New Roman"/>
          <w:sz w:val="18"/>
          <w:szCs w:val="18"/>
          <w:color w:val="auto"/>
        </w:rPr>
        <w:t>We also view our market opportunity in terms of the total addressable market (“TAM”), which we believe we can address over the long term. We believe that digital progress in the engineering of constructed infrastructure has to date lagged behind other substantial economic domains, and in particular has lagged behind digital progress—as reflected in spending on engineering software—in the engineering of manufactured products. Cambashi estimates that if engineering software spending would become as intensive in infrastructure engineering as in product engineering, global infrastructure engineering software spending, or our TAM, would be $29.2 billion. We believe that over time our current SAM of $9.5 billion will approach our estimated TAM of $29.2 billion. We also believe that both our SAM and our TAM will further expand over time with the growth of infrastructure spending. See the section titled “Business—Our Opportunity.”</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113" w:lineRule="exact"/>
        <w:rPr>
          <w:sz w:val="20"/>
          <w:szCs w:val="20"/>
          <w:color w:val="auto"/>
        </w:rPr>
      </w:pPr>
    </w:p>
    <w:p>
      <w:pPr>
        <w:ind w:left="1120" w:right="859" w:hanging="317"/>
        <w:spacing w:after="0" w:line="286"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We believe we can further penetrate our existing accounts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broadening their use of our portfolio. There are three primary mechanisms for this expansion:</w:t>
      </w:r>
    </w:p>
    <w:p>
      <w:pPr>
        <w:spacing w:after="0" w:line="48" w:lineRule="exact"/>
        <w:rPr>
          <w:rFonts w:ascii="Times New Roman" w:cs="Times New Roman" w:eastAsia="Times New Roman" w:hAnsi="Times New Roman"/>
          <w:sz w:val="18"/>
          <w:szCs w:val="18"/>
          <w:color w:val="auto"/>
        </w:rPr>
      </w:pPr>
    </w:p>
    <w:p>
      <w:pPr>
        <w:ind w:left="1460" w:right="279" w:hanging="333"/>
        <w:spacing w:after="0" w:line="267"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our software to the needs of our users. We believe the flexibility in our commercial models and deployment options will allow our accounts to grow usage continuously;</w:t>
      </w:r>
    </w:p>
    <w:p>
      <w:pPr>
        <w:spacing w:after="0" w:line="65" w:lineRule="exact"/>
        <w:rPr>
          <w:rFonts w:ascii="Times New Roman" w:cs="Times New Roman" w:eastAsia="Times New Roman" w:hAnsi="Times New Roman"/>
          <w:sz w:val="18"/>
          <w:szCs w:val="18"/>
          <w:color w:val="auto"/>
        </w:rPr>
      </w:pPr>
    </w:p>
    <w:p>
      <w:pPr>
        <w:ind w:left="1460" w:right="319" w:hanging="333"/>
        <w:spacing w:after="0" w:line="267" w:lineRule="auto"/>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leverage these interactive technologies to virtually assist our users and drive engagement across our software offerings; and</w:t>
      </w:r>
    </w:p>
    <w:p>
      <w:pPr>
        <w:spacing w:after="0" w:line="65" w:lineRule="exact"/>
        <w:rPr>
          <w:rFonts w:ascii="Times New Roman" w:cs="Times New Roman" w:eastAsia="Times New Roman" w:hAnsi="Times New Roman"/>
          <w:sz w:val="18"/>
          <w:szCs w:val="18"/>
          <w:color w:val="auto"/>
        </w:rPr>
      </w:pPr>
    </w:p>
    <w:p>
      <w:pPr>
        <w:ind w:left="1460" w:right="239" w:hanging="333"/>
        <w:spacing w:after="0" w:line="290" w:lineRule="auto"/>
        <w:tabs>
          <w:tab w:leader="none" w:pos="14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Adding new offerings. </w:t>
      </w:r>
      <w:r>
        <w:rPr>
          <w:rFonts w:ascii="Times New Roman" w:cs="Times New Roman" w:eastAsia="Times New Roman" w:hAnsi="Times New Roman"/>
          <w:sz w:val="17"/>
          <w:szCs w:val="17"/>
          <w:color w:val="auto"/>
        </w:rPr>
        <w:t>We have a history of building and maintaining leadership in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engineering comprehensiveness and intend to continue to innovate and develop our software offerings. We intend to continue to develop and integrate new products and capabilities over time;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74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3024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 w:right="319" w:hanging="317"/>
        <w:spacing w:after="0" w:line="268"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foreseeable future. We intend to continue investing in strategies to enhance our market position in Asia;</w:t>
      </w:r>
    </w:p>
    <w:p>
      <w:pPr>
        <w:spacing w:after="0" w:line="62" w:lineRule="exact"/>
        <w:rPr>
          <w:rFonts w:ascii="Times New Roman" w:cs="Times New Roman" w:eastAsia="Times New Roman" w:hAnsi="Times New Roman"/>
          <w:sz w:val="18"/>
          <w:szCs w:val="18"/>
          <w:color w:val="auto"/>
        </w:rPr>
      </w:pPr>
    </w:p>
    <w:p>
      <w:pPr>
        <w:ind w:left="1120" w:right="239" w:hanging="317"/>
        <w:spacing w:after="0" w:line="268"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inside sales. </w:t>
      </w:r>
      <w:r>
        <w:rPr>
          <w:rFonts w:ascii="Times New Roman" w:cs="Times New Roman" w:eastAsia="Times New Roman" w:hAnsi="Times New Roman"/>
          <w:sz w:val="18"/>
          <w:szCs w:val="18"/>
          <w:color w:val="auto"/>
        </w:rPr>
        <w:t>We will continue to expand our global inside sales resources and to multiply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 and effectiveness with superior digital tools to convert leads and to provide the self-service administration that engineering practitioners prefer; and</w:t>
      </w:r>
    </w:p>
    <w:p>
      <w:pPr>
        <w:spacing w:after="0" w:line="62" w:lineRule="exact"/>
        <w:rPr>
          <w:rFonts w:ascii="Times New Roman" w:cs="Times New Roman" w:eastAsia="Times New Roman" w:hAnsi="Times New Roman"/>
          <w:sz w:val="18"/>
          <w:szCs w:val="18"/>
          <w:color w:val="auto"/>
        </w:rPr>
      </w:pPr>
    </w:p>
    <w:p>
      <w:pPr>
        <w:ind w:left="1120" w:right="179" w:hanging="317"/>
        <w:spacing w:after="0" w:line="268"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supply chain (for example, Topcon, Siemens, and Microsoft), primarily to jointly develop and offer digital twin cloud services that extend the scope of our software.</w:t>
      </w:r>
    </w:p>
    <w:p>
      <w:pPr>
        <w:spacing w:after="0" w:line="62" w:lineRule="exact"/>
        <w:rPr>
          <w:rFonts w:ascii="Times New Roman" w:cs="Times New Roman" w:eastAsia="Times New Roman" w:hAnsi="Times New Roman"/>
          <w:sz w:val="18"/>
          <w:szCs w:val="18"/>
          <w:color w:val="auto"/>
        </w:rPr>
      </w:pPr>
    </w:p>
    <w:p>
      <w:pPr>
        <w:ind w:left="1120" w:right="219" w:hanging="317"/>
        <w:spacing w:after="0" w:line="26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intend to invest in and grow a portfolio of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outside of our core software business with the objective of cultivating an ecosystem of relatively service-intensive, yet profitable, digital integrator businesses that stimulate pull-through demand for our solutions.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ind w:left="160" w:right="179" w:firstLine="324"/>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w:t>
      </w:r>
    </w:p>
    <w:p>
      <w:pPr>
        <w:spacing w:after="0" w:line="72" w:lineRule="exact"/>
        <w:rPr>
          <w:sz w:val="20"/>
          <w:szCs w:val="20"/>
          <w:color w:val="auto"/>
        </w:rPr>
      </w:pPr>
    </w:p>
    <w:p>
      <w:pPr>
        <w:ind w:left="160" w:right="179"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82" w:lineRule="exact"/>
        <w:rPr>
          <w:sz w:val="20"/>
          <w:szCs w:val="20"/>
          <w:color w:val="auto"/>
        </w:rPr>
      </w:pPr>
    </w:p>
    <w:p>
      <w:pPr>
        <w:ind w:left="160" w:right="359" w:firstLine="324"/>
        <w:spacing w:after="0" w:line="255"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w:t>
      </w:r>
    </w:p>
    <w:p>
      <w:pPr>
        <w:spacing w:after="0" w:line="81" w:lineRule="exact"/>
        <w:rPr>
          <w:sz w:val="20"/>
          <w:szCs w:val="20"/>
          <w:color w:val="auto"/>
        </w:rPr>
      </w:pPr>
    </w:p>
    <w:p>
      <w:pPr>
        <w:ind w:left="160" w:right="219" w:firstLine="324"/>
        <w:spacing w:after="0" w:line="255"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 facilitate collaboration in their own businesses in remote working environments. This guidance and assistance was well received by accounts and we believe helped maximize usage during the observed trough in March and April.</w:t>
      </w:r>
    </w:p>
    <w:p>
      <w:pPr>
        <w:spacing w:after="0" w:line="81" w:lineRule="exact"/>
        <w:rPr>
          <w:sz w:val="20"/>
          <w:szCs w:val="20"/>
          <w:color w:val="auto"/>
        </w:rPr>
      </w:pPr>
    </w:p>
    <w:p>
      <w:pPr>
        <w:ind w:left="1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re-invested in a portfolio of businesses outside of our core software business, with the objective of cultivating an ecosystem of digital integrator businesses.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72643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2" w:name="page13"/>
    <w:bookmarkEnd w:id="1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813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3024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right="199" w:firstLine="324"/>
        <w:spacing w:after="0" w:line="256"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 (as defined below).</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Siemens AG (“Siemens”)</w:t>
      </w:r>
    </w:p>
    <w:p>
      <w:pPr>
        <w:spacing w:after="0" w:line="121" w:lineRule="exact"/>
        <w:rPr>
          <w:sz w:val="20"/>
          <w:szCs w:val="20"/>
          <w:color w:val="auto"/>
        </w:rPr>
      </w:pPr>
    </w:p>
    <w:p>
      <w:pPr>
        <w:ind w:left="160" w:right="179" w:firstLine="324"/>
        <w:spacing w:after="0" w:line="253" w:lineRule="auto"/>
        <w:rPr>
          <w:sz w:val="20"/>
          <w:szCs w:val="20"/>
          <w:color w:val="auto"/>
        </w:rPr>
      </w:pPr>
      <w:r>
        <w:rPr>
          <w:rFonts w:ascii="Times New Roman" w:cs="Times New Roman" w:eastAsia="Times New Roman" w:hAnsi="Times New Roman"/>
          <w:sz w:val="18"/>
          <w:szCs w:val="18"/>
          <w:color w:val="auto"/>
        </w:rPr>
        <w:t>As discussed in the section titled “Certain Relationships and Related Party Transactions—Our Relationship with Siemens AG—Common Stock Purchase Agreement,” we, and the Bentley family members party to the Common Stock Purchase Agreement, entered into the Common Stock Purchase Agreement with Siemens in September 2016, pursuant to which we and they have granted Siemens a right of first refusal with respect to certain deemed liquidation events, offers, sales or certain issuances of our capital stock, and with respect to certain transfers of our capital stock by the Bentley family members party thereto. Pursuant to the terms of the Common Stock Purchase Agreement, Siemens’ right of first refusal expires upon the effectiveness of a registration statement in connection with an underwritten initial public offering. Siemens contends that this right of first refusal applies to sales of common stock in an initial public offering by the Company or the Bentley family members party to the Common Stock Purchase Agreement. While we disagree with Siemens’ contention, our initial public offering of Class B common stock will be exclusively by existing holders whose transfers of capital stock are not subject to Siemens’ right of first refusal, and we have not included any shares to be issued by the Company or any shares held by the Bentley family members party to the Common Stock Purchase Agreement in the offering pursuant to this prospectus.</w:t>
      </w:r>
    </w:p>
    <w:p>
      <w:pPr>
        <w:spacing w:after="0" w:line="79" w:lineRule="exact"/>
        <w:rPr>
          <w:sz w:val="20"/>
          <w:szCs w:val="20"/>
          <w:color w:val="auto"/>
        </w:rPr>
      </w:pPr>
    </w:p>
    <w:p>
      <w:pPr>
        <w:ind w:left="160" w:right="979"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relationship with Siemens is discussed in the section titled “Certain Relationships and Related Party Transactions—Our Relationship with Siemens AG.”</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Potential for Post-IPO Follow-On Offering</w:t>
      </w:r>
    </w:p>
    <w:p>
      <w:pPr>
        <w:spacing w:after="0" w:line="121" w:lineRule="exact"/>
        <w:rPr>
          <w:sz w:val="20"/>
          <w:szCs w:val="20"/>
          <w:color w:val="auto"/>
        </w:rPr>
      </w:pPr>
    </w:p>
    <w:p>
      <w:pPr>
        <w:ind w:left="160" w:right="219" w:firstLine="324"/>
        <w:spacing w:after="0" w:line="253" w:lineRule="auto"/>
        <w:rPr>
          <w:sz w:val="20"/>
          <w:szCs w:val="20"/>
          <w:color w:val="auto"/>
        </w:rPr>
      </w:pPr>
      <w:r>
        <w:rPr>
          <w:rFonts w:ascii="Times New Roman" w:cs="Times New Roman" w:eastAsia="Times New Roman" w:hAnsi="Times New Roman"/>
          <w:sz w:val="18"/>
          <w:szCs w:val="18"/>
          <w:color w:val="auto"/>
        </w:rPr>
        <w:t>Following the effectiveness of the registration statement of which this prospectus forms a part, Siemens’ right of first refusal will terminate. Following the completion of this offering, we intend to evaluate opportunities to then undertake a primary offering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and such lock-up agreement expires 180 days following the date of this prospectus. See the section titled “Underwriting” for additional information regarding our lock-up agreement with the underwriters.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New Term Loan and Payment of Special Dividend</w:t>
      </w:r>
    </w:p>
    <w:p>
      <w:pPr>
        <w:spacing w:after="0" w:line="121" w:lineRule="exact"/>
        <w:rPr>
          <w:sz w:val="20"/>
          <w:szCs w:val="20"/>
          <w:color w:val="auto"/>
        </w:rPr>
      </w:pPr>
    </w:p>
    <w:p>
      <w:pPr>
        <w:ind w:left="160" w:right="179" w:firstLine="324"/>
        <w:spacing w:after="0" w:line="254" w:lineRule="auto"/>
        <w:rPr>
          <w:sz w:val="20"/>
          <w:szCs w:val="20"/>
          <w:color w:val="auto"/>
        </w:rPr>
      </w:pPr>
      <w:r>
        <w:rPr>
          <w:rFonts w:ascii="Times New Roman" w:cs="Times New Roman" w:eastAsia="Times New Roman" w:hAnsi="Times New Roman"/>
          <w:sz w:val="18"/>
          <w:szCs w:val="18"/>
          <w:color w:val="auto"/>
        </w:rPr>
        <w:t>On September 2, 2020, we entered into an amendment (“First Amendment”) to the Amended and Restated Credit Agreement, dated as of December 19, 2017, by and among Bentley Systems, PNC Bank National Association, as administrative agent, and the lenders party thereto (the “Credit Facility”). The First Amendment provided for a $125.0 million senior secured term loan with a maturity of December 18, 2022 (the “New Term Loan”) and included certain other amendments, including the addition of a mandatory prepayment provision requiring us to prepay borrowings under the Credit Facility in an aggregate amount equal to the net proceeds from any underwritten public offering by the Company, which prepayment shall be applied, first, to the New Term Loan and, second, to any borrowings outstanding under the revolving facility under the Credit Facility without reducing the revolving commitments thereof.</w:t>
      </w:r>
    </w:p>
    <w:p>
      <w:pPr>
        <w:spacing w:after="0" w:line="84" w:lineRule="exact"/>
        <w:rPr>
          <w:sz w:val="20"/>
          <w:szCs w:val="20"/>
          <w:color w:val="auto"/>
        </w:rPr>
      </w:pPr>
    </w:p>
    <w:p>
      <w:pPr>
        <w:ind w:left="160" w:right="239" w:firstLine="324"/>
        <w:spacing w:after="0" w:line="255" w:lineRule="auto"/>
        <w:rPr>
          <w:sz w:val="20"/>
          <w:szCs w:val="20"/>
          <w:color w:val="auto"/>
        </w:rPr>
      </w:pPr>
      <w:r>
        <w:rPr>
          <w:rFonts w:ascii="Times New Roman" w:cs="Times New Roman" w:eastAsia="Times New Roman" w:hAnsi="Times New Roman"/>
          <w:sz w:val="18"/>
          <w:szCs w:val="18"/>
          <w:color w:val="auto"/>
        </w:rPr>
        <w:t>On August 28, 2020, our Board of Directors declared a special dividend of $1.50 per share of our common stock (approximately $390 million in the aggregate) (the “Special Dividend”) and a regular quarterly dividend of $0.03 per share of our common stock. The record date for each of the Special Dividend and the regular quarterly dividend was August 31, 2020 and the Special Dividend and the regular quarterly dividend were payable on September 2, 2020 and September 3, 2020, respectively, subject, in the case of the Special Dividend, to the entry into the First Amendment. We used borrowings under the New Term Loan and under the revolving facility under the Credit Facility to pay such dividends.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374650</wp:posOffset>
            </wp:positionV>
            <wp:extent cx="572643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 w:name="page14"/>
    <w:bookmarkEnd w:id="1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196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3024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21" w:lineRule="exact"/>
        <w:rPr>
          <w:sz w:val="20"/>
          <w:szCs w:val="20"/>
          <w:color w:val="auto"/>
        </w:rPr>
      </w:pPr>
    </w:p>
    <w:p>
      <w:pPr>
        <w:ind w:left="160" w:right="359" w:firstLine="324"/>
        <w:spacing w:after="0" w:line="266" w:lineRule="auto"/>
        <w:rPr>
          <w:sz w:val="20"/>
          <w:szCs w:val="20"/>
          <w:color w:val="auto"/>
        </w:rPr>
      </w:pPr>
      <w:r>
        <w:rPr>
          <w:rFonts w:ascii="Times New Roman" w:cs="Times New Roman" w:eastAsia="Times New Roman" w:hAnsi="Times New Roman"/>
          <w:sz w:val="18"/>
          <w:szCs w:val="18"/>
          <w:color w:val="auto"/>
        </w:rPr>
        <w:t>Investing in our Class B common stock involves a high degree of risk. You should carefully consider all information in this prospectus prior to investing in our Class B common stock. These risks are discussed more fully in the section titled “Risk Factors.” These risks and uncertainties include, but are not limited to, the following:</w:t>
      </w:r>
    </w:p>
    <w:p>
      <w:pPr>
        <w:spacing w:after="0" w:line="68" w:lineRule="exact"/>
        <w:rPr>
          <w:sz w:val="20"/>
          <w:szCs w:val="20"/>
          <w:color w:val="auto"/>
        </w:rPr>
      </w:pPr>
    </w:p>
    <w:p>
      <w:pPr>
        <w:ind w:left="1120" w:right="41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software solutions is subject to volatility in our accounts’ underlying businesses, which includes infrastructure projects that typically have long timelines;</w:t>
      </w:r>
    </w:p>
    <w:p>
      <w:pPr>
        <w:spacing w:after="0" w:line="53" w:lineRule="exact"/>
        <w:rPr>
          <w:rFonts w:ascii="Times New Roman" w:cs="Times New Roman" w:eastAsia="Times New Roman" w:hAnsi="Times New Roman"/>
          <w:sz w:val="18"/>
          <w:szCs w:val="18"/>
          <w:color w:val="auto"/>
        </w:rPr>
      </w:pPr>
    </w:p>
    <w:p>
      <w:pPr>
        <w:ind w:left="1120" w:right="279" w:hanging="317"/>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67" w:lineRule="exact"/>
        <w:rPr>
          <w:rFonts w:ascii="Times New Roman" w:cs="Times New Roman" w:eastAsia="Times New Roman" w:hAnsi="Times New Roman"/>
          <w:sz w:val="18"/>
          <w:szCs w:val="18"/>
          <w:color w:val="auto"/>
        </w:rPr>
      </w:pPr>
    </w:p>
    <w:p>
      <w:pPr>
        <w:ind w:left="1120" w:right="319" w:hanging="317"/>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120" w:hanging="317"/>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may negatively impact our business, financial results and financial condition;</w:t>
      </w:r>
    </w:p>
    <w:p>
      <w:pPr>
        <w:spacing w:after="0" w:line="117" w:lineRule="exact"/>
        <w:rPr>
          <w:rFonts w:ascii="Times New Roman" w:cs="Times New Roman" w:eastAsia="Times New Roman" w:hAnsi="Times New Roman"/>
          <w:sz w:val="18"/>
          <w:szCs w:val="18"/>
          <w:color w:val="auto"/>
        </w:rPr>
      </w:pPr>
    </w:p>
    <w:p>
      <w:pPr>
        <w:ind w:left="1120" w:hanging="317"/>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investment by APAC, including China, may have a negative effect on our business;</w:t>
      </w:r>
    </w:p>
    <w:p>
      <w:pPr>
        <w:spacing w:after="0" w:line="117" w:lineRule="exact"/>
        <w:rPr>
          <w:rFonts w:ascii="Times New Roman" w:cs="Times New Roman" w:eastAsia="Times New Roman" w:hAnsi="Times New Roman"/>
          <w:sz w:val="18"/>
          <w:szCs w:val="18"/>
          <w:color w:val="auto"/>
        </w:rPr>
      </w:pPr>
    </w:p>
    <w:p>
      <w:pPr>
        <w:ind w:left="1140" w:hanging="337"/>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coronavirus outbreak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1120" w:right="17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for some of our solutions can be long and unpredictable and requires considerable time and expense, which may cause our results of operations to fluctuate;</w:t>
      </w:r>
    </w:p>
    <w:p>
      <w:pPr>
        <w:spacing w:after="0" w:line="53" w:lineRule="exact"/>
        <w:rPr>
          <w:rFonts w:ascii="Times New Roman" w:cs="Times New Roman" w:eastAsia="Times New Roman" w:hAnsi="Times New Roman"/>
          <w:sz w:val="18"/>
          <w:szCs w:val="18"/>
          <w:color w:val="auto"/>
        </w:rPr>
      </w:pPr>
    </w:p>
    <w:p>
      <w:pPr>
        <w:ind w:left="1120" w:right="29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keep pace with technological changes, and effectively market our new product solutions, our solutions may become less competitive and our business may suffer;</w:t>
      </w:r>
    </w:p>
    <w:p>
      <w:pPr>
        <w:spacing w:after="0" w:line="53" w:lineRule="exact"/>
        <w:rPr>
          <w:rFonts w:ascii="Times New Roman" w:cs="Times New Roman" w:eastAsia="Times New Roman" w:hAnsi="Times New Roman"/>
          <w:sz w:val="18"/>
          <w:szCs w:val="18"/>
          <w:color w:val="auto"/>
        </w:rPr>
      </w:pPr>
    </w:p>
    <w:p>
      <w:pPr>
        <w:ind w:left="1120" w:right="419" w:hanging="317"/>
        <w:spacing w:after="0" w:line="26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71" w:lineRule="exact"/>
        <w:rPr>
          <w:rFonts w:ascii="Times New Roman" w:cs="Times New Roman" w:eastAsia="Times New Roman" w:hAnsi="Times New Roman"/>
          <w:sz w:val="18"/>
          <w:szCs w:val="18"/>
          <w:color w:val="auto"/>
        </w:rPr>
      </w:pPr>
    </w:p>
    <w:p>
      <w:pPr>
        <w:ind w:left="1120" w:right="279" w:hanging="317"/>
        <w:spacing w:after="0" w:line="261"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71" w:lineRule="exact"/>
        <w:rPr>
          <w:rFonts w:ascii="Times New Roman" w:cs="Times New Roman" w:eastAsia="Times New Roman" w:hAnsi="Times New Roman"/>
          <w:sz w:val="18"/>
          <w:szCs w:val="18"/>
          <w:color w:val="auto"/>
        </w:rPr>
      </w:pPr>
    </w:p>
    <w:p>
      <w:pPr>
        <w:ind w:left="1120" w:hanging="317"/>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17" w:lineRule="exact"/>
        <w:rPr>
          <w:rFonts w:ascii="Times New Roman" w:cs="Times New Roman" w:eastAsia="Times New Roman" w:hAnsi="Times New Roman"/>
          <w:sz w:val="18"/>
          <w:szCs w:val="18"/>
          <w:color w:val="auto"/>
        </w:rPr>
      </w:pPr>
    </w:p>
    <w:p>
      <w:pPr>
        <w:ind w:left="1120" w:right="259" w:hanging="317"/>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increase the number of new subscription-based accounts or cause existing accounts to renew their subscriptions, which could have a negative impact on our future revenues and results of operations;</w:t>
      </w:r>
    </w:p>
    <w:p>
      <w:pPr>
        <w:spacing w:after="0" w:line="67" w:lineRule="exact"/>
        <w:rPr>
          <w:rFonts w:ascii="Times New Roman" w:cs="Times New Roman" w:eastAsia="Times New Roman" w:hAnsi="Times New Roman"/>
          <w:sz w:val="18"/>
          <w:szCs w:val="18"/>
          <w:color w:val="auto"/>
        </w:rPr>
      </w:pPr>
    </w:p>
    <w:p>
      <w:pPr>
        <w:ind w:left="1120" w:right="25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recognition policy and other factors may create volatility in our financial results in any given period and make them difficult to predict;</w:t>
      </w:r>
    </w:p>
    <w:p>
      <w:pPr>
        <w:spacing w:after="0" w:line="53" w:lineRule="exact"/>
        <w:rPr>
          <w:rFonts w:ascii="Times New Roman" w:cs="Times New Roman" w:eastAsia="Times New Roman" w:hAnsi="Times New Roman"/>
          <w:sz w:val="18"/>
          <w:szCs w:val="18"/>
          <w:color w:val="auto"/>
        </w:rPr>
      </w:pPr>
    </w:p>
    <w:p>
      <w:pPr>
        <w:ind w:left="1120" w:right="79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 could impair our ability to protect our proprietary technology and our brand;</w:t>
      </w:r>
    </w:p>
    <w:p>
      <w:pPr>
        <w:spacing w:after="0" w:line="53" w:lineRule="exact"/>
        <w:rPr>
          <w:rFonts w:ascii="Times New Roman" w:cs="Times New Roman" w:eastAsia="Times New Roman" w:hAnsi="Times New Roman"/>
          <w:sz w:val="18"/>
          <w:szCs w:val="18"/>
          <w:color w:val="auto"/>
        </w:rPr>
      </w:pPr>
    </w:p>
    <w:p>
      <w:pPr>
        <w:ind w:left="1120" w:right="959" w:hanging="31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personnel, and we could be subject to substantial risk of loss if any of them terminate their relationship with us;</w:t>
      </w:r>
    </w:p>
    <w:p>
      <w:pPr>
        <w:spacing w:after="0" w:line="53" w:lineRule="exact"/>
        <w:rPr>
          <w:rFonts w:ascii="Times New Roman" w:cs="Times New Roman" w:eastAsia="Times New Roman" w:hAnsi="Times New Roman"/>
          <w:sz w:val="18"/>
          <w:szCs w:val="18"/>
          <w:color w:val="auto"/>
        </w:rPr>
      </w:pPr>
    </w:p>
    <w:p>
      <w:pPr>
        <w:ind w:left="1120" w:right="179" w:hanging="317"/>
        <w:spacing w:after="0" w:line="266" w:lineRule="auto"/>
        <w:tabs>
          <w:tab w:leader="none" w:pos="11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and you may be unable to sell your shares at or above the offering price, if at all. Market volatility may affect the value of an investment in our Class B common stock and could subject us to litigation;</w:t>
      </w:r>
    </w:p>
    <w:p>
      <w:pPr>
        <w:spacing w:after="0" w:line="67" w:lineRule="exact"/>
        <w:rPr>
          <w:rFonts w:ascii="Times New Roman" w:cs="Times New Roman" w:eastAsia="Times New Roman" w:hAnsi="Times New Roman"/>
          <w:sz w:val="18"/>
          <w:szCs w:val="18"/>
          <w:color w:val="auto"/>
        </w:rPr>
      </w:pPr>
    </w:p>
    <w:p>
      <w:pPr>
        <w:ind w:left="1120" w:right="279" w:hanging="317"/>
        <w:spacing w:after="0" w:line="282" w:lineRule="auto"/>
        <w:tabs>
          <w:tab w:leader="none" w:pos="11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B common stock prior to this offering, and you may not be able to resell our shares at or above the price you paid, or at all. In addition, the limited public float of</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402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3024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20" w:right="259"/>
        <w:spacing w:after="0" w:line="282" w:lineRule="auto"/>
        <w:rPr>
          <w:sz w:val="20"/>
          <w:szCs w:val="20"/>
          <w:color w:val="auto"/>
        </w:rPr>
      </w:pPr>
      <w:r>
        <w:rPr>
          <w:rFonts w:ascii="Times New Roman" w:cs="Times New Roman" w:eastAsia="Times New Roman" w:hAnsi="Times New Roman"/>
          <w:sz w:val="18"/>
          <w:szCs w:val="18"/>
          <w:color w:val="auto"/>
        </w:rPr>
        <w:t>our Class B common stock following this offering could adversely impact the trading price of our Class B common stock; and</w:t>
      </w:r>
    </w:p>
    <w:p>
      <w:pPr>
        <w:spacing w:after="0" w:line="54" w:lineRule="exact"/>
        <w:rPr>
          <w:sz w:val="20"/>
          <w:szCs w:val="20"/>
          <w:color w:val="auto"/>
        </w:rPr>
      </w:pPr>
    </w:p>
    <w:p>
      <w:pPr>
        <w:ind w:left="1120" w:right="699" w:hanging="317"/>
        <w:spacing w:after="0" w:line="282" w:lineRule="auto"/>
        <w:tabs>
          <w:tab w:leader="none" w:pos="11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the Bentley Control Group.</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Channels for Disclosure of Information</w:t>
      </w:r>
    </w:p>
    <w:p>
      <w:pPr>
        <w:spacing w:after="0" w:line="121" w:lineRule="exact"/>
        <w:rPr>
          <w:sz w:val="20"/>
          <w:szCs w:val="20"/>
          <w:color w:val="auto"/>
        </w:rPr>
      </w:pPr>
    </w:p>
    <w:p>
      <w:pPr>
        <w:jc w:val="both"/>
        <w:ind w:left="160" w:right="259" w:firstLine="324"/>
        <w:spacing w:after="0" w:line="266" w:lineRule="auto"/>
        <w:rPr>
          <w:sz w:val="20"/>
          <w:szCs w:val="20"/>
          <w:color w:val="auto"/>
        </w:rPr>
      </w:pPr>
      <w:r>
        <w:rPr>
          <w:rFonts w:ascii="Times New Roman" w:cs="Times New Roman" w:eastAsia="Times New Roman" w:hAnsi="Times New Roman"/>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pacing w:after="0" w:line="68" w:lineRule="exact"/>
        <w:rPr>
          <w:sz w:val="20"/>
          <w:szCs w:val="20"/>
          <w:color w:val="auto"/>
        </w:rPr>
      </w:pPr>
    </w:p>
    <w:p>
      <w:pPr>
        <w:ind w:left="160" w:right="359" w:firstLine="324"/>
        <w:spacing w:after="0" w:line="266"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68" w:lineRule="exact"/>
        <w:rPr>
          <w:sz w:val="20"/>
          <w:szCs w:val="20"/>
          <w:color w:val="auto"/>
        </w:rPr>
      </w:pPr>
    </w:p>
    <w:p>
      <w:pPr>
        <w:ind w:left="160" w:right="439" w:firstLine="324"/>
        <w:spacing w:after="0" w:line="282"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121" w:lineRule="exact"/>
        <w:rPr>
          <w:sz w:val="20"/>
          <w:szCs w:val="20"/>
          <w:color w:val="auto"/>
        </w:rPr>
      </w:pPr>
    </w:p>
    <w:p>
      <w:pPr>
        <w:ind w:left="160" w:right="239" w:firstLine="324"/>
        <w:spacing w:after="0" w:line="258" w:lineRule="auto"/>
        <w:rPr>
          <w:sz w:val="20"/>
          <w:szCs w:val="20"/>
          <w:color w:val="auto"/>
        </w:rPr>
      </w:pPr>
      <w:r>
        <w:rPr>
          <w:rFonts w:ascii="Times New Roman" w:cs="Times New Roman" w:eastAsia="Times New Roman" w:hAnsi="Times New Roman"/>
          <w:sz w:val="18"/>
          <w:szCs w:val="18"/>
          <w:color w:val="auto"/>
        </w:rPr>
        <w:t>Bentley Systems, Incorporated was incorporated in Delaware in 1987. We were originally incorporated in California in 1984 upon our founding. Our principal offices are located at 685 Stockton Drive, Exton, PA 19341, and our telephone number is (610) 458-5000. Our website address is www.bentley.com. Information contained on, or that can be accessed through, our website does not constitute part of this prospectus and the inclusion of our website address in this prospectus is an inactive textual reference only.</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Emerging Growth Company</w:t>
      </w:r>
    </w:p>
    <w:p>
      <w:pPr>
        <w:spacing w:after="0" w:line="121" w:lineRule="exact"/>
        <w:rPr>
          <w:sz w:val="20"/>
          <w:szCs w:val="20"/>
          <w:color w:val="auto"/>
        </w:rPr>
      </w:pPr>
    </w:p>
    <w:p>
      <w:pPr>
        <w:ind w:left="160" w:right="259" w:firstLine="324"/>
        <w:spacing w:after="0" w:line="253" w:lineRule="auto"/>
        <w:rPr>
          <w:sz w:val="20"/>
          <w:szCs w:val="20"/>
          <w:color w:val="auto"/>
        </w:rPr>
      </w:pPr>
      <w:r>
        <w:rPr>
          <w:rFonts w:ascii="Times New Roman" w:cs="Times New Roman" w:eastAsia="Times New Roman" w:hAnsi="Times New Roman"/>
          <w:sz w:val="18"/>
          <w:szCs w:val="18"/>
          <w:color w:val="auto"/>
        </w:rPr>
        <w:t>The Jumpstart Our Business Startups Act (the “JOBS Act”) was enacted in April 2012 with the intention of encouraging capital formation in the United States and reducing the regulatory burden on newly-public companies that qualify as “emerging growth companies.” We are an “emerging growth company” within the meaning of the JOBS Act. As an “emerging growth company,” we intend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this prospectus and in our periodic reports and proxy statements, and the requirement that we hold a non-binding advisory vote on executive compensation and any golden parachute payments.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w:t>
      </w:r>
    </w:p>
    <w:p>
      <w:pPr>
        <w:spacing w:after="0" w:line="82" w:lineRule="exact"/>
        <w:rPr>
          <w:sz w:val="20"/>
          <w:szCs w:val="20"/>
          <w:color w:val="auto"/>
        </w:rPr>
      </w:pPr>
    </w:p>
    <w:p>
      <w:pPr>
        <w:ind w:left="160" w:right="299"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avail ourselves of this exemption from new or revised accounting standards. Accordingly, we will not be subject to the same new or revised accounting standards as other public companies that are not “emerging growth companies.”</w:t>
      </w:r>
    </w:p>
    <w:p>
      <w:pPr>
        <w:spacing w:after="0" w:line="72" w:lineRule="exact"/>
        <w:rPr>
          <w:sz w:val="20"/>
          <w:szCs w:val="20"/>
          <w:color w:val="auto"/>
        </w:rPr>
      </w:pPr>
    </w:p>
    <w:p>
      <w:pPr>
        <w:ind w:left="160" w:right="319"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75" w:lineRule="exact"/>
        <w:rPr>
          <w:sz w:val="20"/>
          <w:szCs w:val="20"/>
          <w:color w:val="auto"/>
        </w:rPr>
      </w:pPr>
    </w:p>
    <w:p>
      <w:pPr>
        <w:jc w:val="both"/>
        <w:ind w:left="160" w:right="199" w:firstLine="324"/>
        <w:spacing w:after="0" w:line="289" w:lineRule="auto"/>
        <w:rPr>
          <w:sz w:val="20"/>
          <w:szCs w:val="20"/>
          <w:color w:val="auto"/>
        </w:rPr>
      </w:pPr>
      <w:r>
        <w:rPr>
          <w:rFonts w:ascii="Times New Roman" w:cs="Times New Roman" w:eastAsia="Times New Roman" w:hAnsi="Times New Roman"/>
          <w:sz w:val="17"/>
          <w:szCs w:val="17"/>
          <w:color w:val="auto"/>
        </w:rPr>
        <w:t>For certain risks related to our status as an “emerging growth company,” see the section titled “Risk Factors—Risks Related to Our Business and Industry—We are an ‘emerging growth company,’ and the reduced disclosure requirements applicable to ‘emerging growth companies’ may make our Class B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5739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30240" cy="573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Company Status</w:t>
      </w:r>
    </w:p>
    <w:p>
      <w:pPr>
        <w:spacing w:after="0" w:line="121" w:lineRule="exact"/>
        <w:rPr>
          <w:sz w:val="20"/>
          <w:szCs w:val="20"/>
          <w:color w:val="auto"/>
        </w:rPr>
      </w:pPr>
    </w:p>
    <w:p>
      <w:pPr>
        <w:ind w:left="160" w:right="179" w:firstLine="324"/>
        <w:spacing w:after="0" w:line="252" w:lineRule="auto"/>
        <w:rPr>
          <w:sz w:val="20"/>
          <w:szCs w:val="20"/>
          <w:color w:val="auto"/>
        </w:rPr>
      </w:pPr>
      <w:r>
        <w:rPr>
          <w:rFonts w:ascii="Times New Roman" w:cs="Times New Roman" w:eastAsia="Times New Roman" w:hAnsi="Times New Roman"/>
          <w:sz w:val="18"/>
          <w:szCs w:val="18"/>
          <w:color w:val="auto"/>
        </w:rPr>
        <w:t>We will be a “controlled company” within the meaning of the Nasdaq Listing Rules and its corporate governance requirements. Under these rules, a company for which more than 50% of the voting power for the election of directors is held by an individual, group, or another company is a “controlled company” and may elect not to comply with certain of the Nasdaq Listing Rules’ corporate governance requirements, including: (i) the requirement that a majority of our board of directors consist of “independent directors” as defined under the Nasdaq Listing Rules; (ii) the requirement that we have a compensation committee that is composed entirely of independent directors; and (iii) the requirement that we have a nominating and corporate governance committee that is composed entirely of independent directors. We intend to use these exemptions upon our listing. As a result, we will not have a majority of independent directors on our board of directors. Additionally, upon completion of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 Accordingly, in the future our stockholders may not have the same protections afforded to stockholders of companies that are subject to all of the Nasdaq Listing Rules’ corporate governance requirements.</w:t>
      </w:r>
    </w:p>
    <w:p>
      <w:pPr>
        <w:spacing w:after="0" w:line="89" w:lineRule="exact"/>
        <w:rPr>
          <w:sz w:val="20"/>
          <w:szCs w:val="20"/>
          <w:color w:val="auto"/>
        </w:rPr>
      </w:pPr>
    </w:p>
    <w:p>
      <w:pPr>
        <w:ind w:left="160" w:right="279"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economic interests and combined voting power in Bentley Systems held by (i) the Bentleys and certain of their family members, trusts or other permitted transferees who are acting as a group (the “Bentley Control Group”), (ii) the Bentley Control Group, certain other family members and trusts and other entities controlled by or primarily for the benefit of the Bentleys and their families (the “Bentley Family”), (iii) colleagues and other existing stockholders, and (iv) public stockholders, each upon the completion of this offering:</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76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Economic Interests</w:t>
            </w:r>
          </w:p>
        </w:tc>
        <w:tc>
          <w:tcPr>
            <w:tcW w:w="170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Combined Voting Power</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8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7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Bentley Control Group</w:t>
            </w:r>
          </w:p>
        </w:tc>
        <w:tc>
          <w:tcPr>
            <w:tcW w:w="1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Bentley Family</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5"/>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Colleagues and other existing stockholders</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Public stockholders</w:t>
            </w: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outstanding</w:t>
            </w: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vMerge w:val="continue"/>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right="179" w:firstLine="324"/>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All of our Class A common stock also will automatically convert into shares of our Class B common stock upon the affirmative vote of at least 90% of the then outstanding shares of Class A common stock or such time that the Bentley Family, collectively, directly or indirectly, own less than 20% of our issued and outstanding Class B common stock on a fully diluted basis (assuming the conversion of all issued and outstanding Class A common stock).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See the section titled “Description of Capital Stock— Common Stock—Voting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513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30240" cy="751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121" w:right="1440" w:bottom="1440" w:gutter="0" w:footer="0" w:header="0"/>
        </w:sectPr>
      </w:pP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Class B common stock offered by the selling stockholders</w:t>
      </w:r>
    </w:p>
    <w:p>
      <w:pPr>
        <w:spacing w:after="0" w:line="3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Class B common stock</w:t>
      </w:r>
    </w:p>
    <w:p>
      <w:pPr>
        <w:spacing w:after="0" w:line="117" w:lineRule="exact"/>
        <w:rPr>
          <w:sz w:val="20"/>
          <w:szCs w:val="20"/>
          <w:color w:val="auto"/>
        </w:rPr>
      </w:pPr>
    </w:p>
    <w:p>
      <w:pPr>
        <w:ind w:left="340" w:right="6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117" w:lineRule="exact"/>
        <w:rPr>
          <w:sz w:val="20"/>
          <w:szCs w:val="20"/>
          <w:color w:val="auto"/>
        </w:rPr>
      </w:pPr>
    </w:p>
    <w:p>
      <w:pPr>
        <w:jc w:val="both"/>
        <w:ind w:left="20" w:right="239" w:firstLine="540"/>
        <w:spacing w:after="0" w:line="282" w:lineRule="auto"/>
        <w:rPr>
          <w:sz w:val="20"/>
          <w:szCs w:val="20"/>
          <w:color w:val="auto"/>
        </w:rPr>
      </w:pPr>
      <w:r>
        <w:rPr>
          <w:rFonts w:ascii="Times New Roman" w:cs="Times New Roman" w:eastAsia="Times New Roman" w:hAnsi="Times New Roman"/>
          <w:sz w:val="18"/>
          <w:szCs w:val="18"/>
          <w:color w:val="auto"/>
        </w:rPr>
        <w:t>shares ( shares in the event the underwriters exercise their option to purchase additional shares in full)</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11,601,757 shares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3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131" w:lineRule="exact"/>
        <w:rPr>
          <w:sz w:val="20"/>
          <w:szCs w:val="20"/>
          <w:color w:val="auto"/>
        </w:rPr>
      </w:pPr>
    </w:p>
    <w:p>
      <w:pPr>
        <w:ind w:right="179"/>
        <w:spacing w:after="0" w:line="251" w:lineRule="auto"/>
        <w:rPr>
          <w:sz w:val="20"/>
          <w:szCs w:val="20"/>
          <w:color w:val="auto"/>
        </w:rPr>
      </w:pPr>
      <w:r>
        <w:rPr>
          <w:rFonts w:ascii="Times New Roman" w:cs="Times New Roman" w:eastAsia="Times New Roman" w:hAnsi="Times New Roman"/>
          <w:sz w:val="18"/>
          <w:szCs w:val="18"/>
          <w:color w:val="auto"/>
        </w:rPr>
        <w:t>Each share of our Class A common stock will be entitled to 29 votes per share and is convertible into one share of our Class B common stock at any time at a holder’s option and automatically upon certain transfers, provided, however, that at any such time, and thereafter, as none of Barry J. Bentley, Gregory S. Bentley, Keith A. Bentley or Raymond B. Bentley is an executive officer or director of the Company, the holders of our Class A common stock will be entitled to 11 votes per share. All of our Class A common stock also will automatically convert into shares of our Class B common stock upon the affirmative vote of at least 90% of the then outstanding shares of Class A common stock or such time that the Bentley Family, collectively, directly or indirectly, own less than 20% of our issued and outstanding Class B common stock on a fully-diluted basis (assuming the conversion of all issued and outstanding Class A common stock). Each share of our Class B common stock will be entitled to one vote per share and is not convertible into any other shares of our capital stock. Holders of our Class A common stock and Class B common stock will generally vote together as a single class, unless otherwise required by our amended and restated certificate of incorporation or law.</w:t>
      </w:r>
    </w:p>
    <w:p>
      <w:pPr>
        <w:spacing w:after="0" w:line="111" w:lineRule="exact"/>
        <w:rPr>
          <w:sz w:val="20"/>
          <w:szCs w:val="20"/>
          <w:color w:val="auto"/>
        </w:rPr>
      </w:pPr>
    </w:p>
    <w:p>
      <w:pPr>
        <w:ind w:right="179"/>
        <w:spacing w:after="0" w:line="253" w:lineRule="auto"/>
        <w:rPr>
          <w:sz w:val="20"/>
          <w:szCs w:val="20"/>
          <w:color w:val="auto"/>
        </w:rPr>
      </w:pPr>
      <w:r>
        <w:rPr>
          <w:rFonts w:ascii="Times New Roman" w:cs="Times New Roman" w:eastAsia="Times New Roman" w:hAnsi="Times New Roman"/>
          <w:sz w:val="18"/>
          <w:szCs w:val="18"/>
          <w:color w:val="auto"/>
        </w:rPr>
        <w:t>The shares of our Class A common stock outstanding after this offering will represent approximately % of the total number of shares of our Class A and Class B common stock outstanding after this offering and % of the combined voting power of our Class A and Class B common stock, and the Bentley Control Group and the Bentley Family will hold or have the ability to control</w:t>
      </w:r>
    </w:p>
    <w:p>
      <w:pPr>
        <w:spacing w:after="0" w:line="3" w:lineRule="exact"/>
        <w:rPr>
          <w:sz w:val="20"/>
          <w:szCs w:val="20"/>
          <w:color w:val="auto"/>
        </w:rPr>
      </w:pPr>
    </w:p>
    <w:p>
      <w:pPr>
        <w:ind w:right="199"/>
        <w:spacing w:after="0" w:line="251" w:lineRule="auto"/>
        <w:rPr>
          <w:sz w:val="20"/>
          <w:szCs w:val="20"/>
          <w:color w:val="auto"/>
        </w:rPr>
      </w:pPr>
      <w:r>
        <w:rPr>
          <w:rFonts w:ascii="Times New Roman" w:cs="Times New Roman" w:eastAsia="Times New Roman" w:hAnsi="Times New Roman"/>
          <w:sz w:val="18"/>
          <w:szCs w:val="18"/>
          <w:color w:val="auto"/>
        </w:rPr>
        <w:t>approximately % and %, respectively, of the voting power of our outstanding capital stock. The Bentley Control Group will have the ability to control the outcome of matters submitted to our stockholders for approval, including the election of our directors and the approval of any change in control transactions. See the sections titled “Principal and Selling Stockholders” and “Description of Capital Stock” for additional information.</w:t>
      </w:r>
    </w:p>
    <w:p>
      <w:pPr>
        <w:spacing w:after="0" w:line="200" w:lineRule="exact"/>
        <w:rPr>
          <w:sz w:val="20"/>
          <w:szCs w:val="20"/>
          <w:color w:val="auto"/>
        </w:rPr>
      </w:pPr>
    </w:p>
    <w:p>
      <w:pPr>
        <w:sectPr>
          <w:pgSz w:w="11900" w:h="16838" w:orient="portrait"/>
          <w:cols w:equalWidth="0" w:num="2">
            <w:col w:w="4340" w:space="240"/>
            <w:col w:w="443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7" w:name="page18"/>
    <w:bookmarkEnd w:id="1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007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30240" cy="700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See the section titled “—Controlled Company Status”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above for information regarding ownership interests and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voting power of our common stock.</w:t>
      </w:r>
    </w:p>
    <w:p>
      <w:pPr>
        <w:sectPr>
          <w:pgSz w:w="11900" w:h="16838" w:orient="portrait"/>
          <w:cols w:equalWidth="0" w:num="1">
            <w:col w:w="9019"/>
          </w:cols>
          <w:pgMar w:left="1440" w:top="121" w:right="1440" w:bottom="1440" w:gutter="0" w:footer="0" w:header="0"/>
        </w:sectPr>
      </w:pPr>
    </w:p>
    <w:p>
      <w:pPr>
        <w:spacing w:after="0" w:line="1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our Class B common stock in this offering. We will not receive any proceeds from the sale of shares by the selling stockholders. The selling stockholders will not be responsible for any offering expenses.</w:t>
      </w:r>
    </w:p>
    <w:p>
      <w:pPr>
        <w:spacing w:after="0" w:line="79" w:lineRule="exact"/>
        <w:rPr>
          <w:sz w:val="20"/>
          <w:szCs w:val="20"/>
          <w:color w:val="auto"/>
        </w:rPr>
      </w:pPr>
    </w:p>
    <w:p>
      <w:pPr>
        <w:sectPr>
          <w:pgSz w:w="11900" w:h="16838" w:orient="portrait"/>
          <w:cols w:equalWidth="0" w:num="2">
            <w:col w:w="3860" w:space="720"/>
            <w:col w:w="4439"/>
          </w:cols>
          <w:pgMar w:left="1440" w:top="121"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79"/>
        <w:spacing w:after="0" w:line="281" w:lineRule="auto"/>
        <w:rPr>
          <w:sz w:val="20"/>
          <w:szCs w:val="20"/>
          <w:color w:val="auto"/>
        </w:rPr>
      </w:pPr>
      <w:r>
        <w:rPr>
          <w:rFonts w:ascii="Times New Roman" w:cs="Times New Roman" w:eastAsia="Times New Roman" w:hAnsi="Times New Roman"/>
          <w:sz w:val="17"/>
          <w:szCs w:val="17"/>
          <w:color w:val="auto"/>
        </w:rPr>
        <w:t>Investing in our Class B common stock involves risk. See the section titled “Risk Factors” in this prospectus for a discussion of the factors you should carefully consider before deciding to invest in our Class B common stock.</w:t>
      </w:r>
    </w:p>
    <w:p>
      <w:pPr>
        <w:spacing w:after="0" w:line="56" w:lineRule="exact"/>
        <w:rPr>
          <w:sz w:val="20"/>
          <w:szCs w:val="20"/>
          <w:color w:val="auto"/>
        </w:rPr>
      </w:pPr>
    </w:p>
    <w:p>
      <w:pPr>
        <w:sectPr>
          <w:pgSz w:w="11900" w:h="16838" w:orient="portrait"/>
          <w:cols w:equalWidth="0" w:num="2">
            <w:col w:w="3860" w:space="720"/>
            <w:col w:w="4439"/>
          </w:cols>
          <w:pgMar w:left="1440" w:top="121"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“BSY”</w:t>
      </w:r>
    </w:p>
    <w:p>
      <w:pPr>
        <w:spacing w:after="0" w:line="131" w:lineRule="exact"/>
        <w:rPr>
          <w:sz w:val="20"/>
          <w:szCs w:val="20"/>
          <w:color w:val="auto"/>
        </w:rPr>
      </w:pPr>
    </w:p>
    <w:p>
      <w:pPr>
        <w:sectPr>
          <w:pgSz w:w="11900" w:h="16838" w:orient="portrait"/>
          <w:cols w:equalWidth="0" w:num="2">
            <w:col w:w="3860" w:space="720"/>
            <w:col w:w="4439"/>
          </w:cols>
          <w:pgMar w:left="1440" w:top="121" w:right="1440" w:bottom="1440" w:gutter="0" w:footer="0" w:header="0"/>
          <w:type w:val="continuous"/>
        </w:sectPr>
      </w:pPr>
    </w:p>
    <w:p>
      <w:pPr>
        <w:ind w:left="160" w:right="279"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is based upon 11,601,757 shares of Class A common stock and 247,607,598 shares of Class B common stock outstanding as of June 30, 2020, plus:</w:t>
      </w:r>
    </w:p>
    <w:p>
      <w:pPr>
        <w:spacing w:after="0" w:line="68" w:lineRule="exact"/>
        <w:rPr>
          <w:sz w:val="20"/>
          <w:szCs w:val="20"/>
          <w:color w:val="auto"/>
        </w:rPr>
      </w:pPr>
    </w:p>
    <w:p>
      <w:pPr>
        <w:jc w:val="both"/>
        <w:ind w:left="1120" w:right="219" w:hanging="317"/>
        <w:spacing w:after="0" w:line="266" w:lineRule="auto"/>
        <w:tabs>
          <w:tab w:leader="none" w:pos="11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994,912 total shares of restricted Class B common stock and restricted stock units issued in July 2020 that will vest automatically upon the consummation of this offering, reduced by 32,238 of such restricted stock units that will be settled in cash; and</w:t>
      </w:r>
    </w:p>
    <w:p>
      <w:pPr>
        <w:spacing w:after="0" w:line="67" w:lineRule="exact"/>
        <w:rPr>
          <w:rFonts w:ascii="Times New Roman" w:cs="Times New Roman" w:eastAsia="Times New Roman" w:hAnsi="Times New Roman"/>
          <w:sz w:val="18"/>
          <w:szCs w:val="18"/>
          <w:color w:val="auto"/>
        </w:rPr>
      </w:pPr>
    </w:p>
    <w:p>
      <w:pPr>
        <w:ind w:left="1120" w:right="619" w:hanging="317"/>
        <w:spacing w:after="0" w:line="282" w:lineRule="auto"/>
        <w:tabs>
          <w:tab w:leader="none" w:pos="19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to be sold in this offering following the exercise of stock options for such shares.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number of shares of our Class A and Class B common stock to be outstanding after this offering excludes:</w:t>
      </w:r>
    </w:p>
    <w:p>
      <w:pPr>
        <w:spacing w:after="0" w:line="117" w:lineRule="exact"/>
        <w:rPr>
          <w:sz w:val="20"/>
          <w:szCs w:val="20"/>
          <w:color w:val="auto"/>
        </w:rPr>
      </w:pPr>
    </w:p>
    <w:p>
      <w:pPr>
        <w:ind w:left="1940" w:hanging="1137"/>
        <w:spacing w:after="0"/>
        <w:tabs>
          <w:tab w:leader="none" w:pos="1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issuable upon exercise of stock options outstanding as of the</w:t>
      </w:r>
    </w:p>
    <w:p>
      <w:pPr>
        <w:spacing w:after="0" w:line="27" w:lineRule="exact"/>
        <w:rPr>
          <w:sz w:val="20"/>
          <w:szCs w:val="20"/>
          <w:color w:val="auto"/>
        </w:rPr>
      </w:pPr>
    </w:p>
    <w:p>
      <w:pPr>
        <w:ind w:left="1120"/>
        <w:spacing w:after="0"/>
        <w:tabs>
          <w:tab w:leader="none" w:pos="6100" w:val="left"/>
        </w:tabs>
        <w:rPr>
          <w:sz w:val="20"/>
          <w:szCs w:val="20"/>
          <w:color w:val="auto"/>
        </w:rPr>
      </w:pPr>
      <w:r>
        <w:rPr>
          <w:rFonts w:ascii="Times New Roman" w:cs="Times New Roman" w:eastAsia="Times New Roman" w:hAnsi="Times New Roman"/>
          <w:sz w:val="18"/>
          <w:szCs w:val="18"/>
          <w:color w:val="auto"/>
        </w:rPr>
        <w:t>date of this prospectus at a weighted average exercise price of $</w:t>
      </w:r>
      <w:r>
        <w:rPr>
          <w:sz w:val="20"/>
          <w:szCs w:val="20"/>
          <w:color w:val="auto"/>
        </w:rPr>
        <w:tab/>
      </w:r>
      <w:r>
        <w:rPr>
          <w:rFonts w:ascii="Times New Roman" w:cs="Times New Roman" w:eastAsia="Times New Roman" w:hAnsi="Times New Roman"/>
          <w:sz w:val="17"/>
          <w:szCs w:val="17"/>
          <w:color w:val="auto"/>
        </w:rPr>
        <w:t>per share of Class B common stock;</w:t>
      </w:r>
    </w:p>
    <w:p>
      <w:pPr>
        <w:spacing w:after="0" w:line="99" w:lineRule="exact"/>
        <w:rPr>
          <w:sz w:val="20"/>
          <w:szCs w:val="20"/>
          <w:color w:val="auto"/>
        </w:rPr>
      </w:pPr>
    </w:p>
    <w:p>
      <w:pPr>
        <w:ind w:left="1120" w:right="279" w:hanging="317"/>
        <w:spacing w:after="0" w:line="282" w:lineRule="auto"/>
        <w:tabs>
          <w:tab w:leader="none" w:pos="11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45,151 shares of Class B common stock issuable upon the settlement of fully-vested restricted stock units outstanding as of June 30, 2020;</w:t>
      </w:r>
    </w:p>
    <w:p>
      <w:pPr>
        <w:spacing w:after="0" w:line="53" w:lineRule="exact"/>
        <w:rPr>
          <w:rFonts w:ascii="Times New Roman" w:cs="Times New Roman" w:eastAsia="Times New Roman" w:hAnsi="Times New Roman"/>
          <w:sz w:val="18"/>
          <w:szCs w:val="18"/>
          <w:color w:val="auto"/>
        </w:rPr>
      </w:pPr>
    </w:p>
    <w:p>
      <w:pPr>
        <w:ind w:left="1120" w:right="219" w:hanging="317"/>
        <w:spacing w:after="0" w:line="282" w:lineRule="auto"/>
        <w:tabs>
          <w:tab w:leader="none" w:pos="19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unvested restricted Class B common stock and restricted stock units outstanding as of the date of this prospectus that will not vest upon consummation of this offering;</w:t>
      </w:r>
    </w:p>
    <w:p>
      <w:pPr>
        <w:spacing w:after="0" w:line="53" w:lineRule="exact"/>
        <w:rPr>
          <w:rFonts w:ascii="Times New Roman" w:cs="Times New Roman" w:eastAsia="Times New Roman" w:hAnsi="Times New Roman"/>
          <w:sz w:val="18"/>
          <w:szCs w:val="18"/>
          <w:color w:val="auto"/>
        </w:rPr>
      </w:pPr>
    </w:p>
    <w:p>
      <w:pPr>
        <w:ind w:left="1120" w:right="219" w:hanging="317"/>
        <w:spacing w:after="0" w:line="282" w:lineRule="auto"/>
        <w:tabs>
          <w:tab w:leader="none" w:pos="11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27,941,520 shares of Class B common stock held by colleagues and directors as phantom shares under our nonqualified deferred compensation plans as of June 30, 2020;</w:t>
      </w:r>
    </w:p>
    <w:p>
      <w:pPr>
        <w:spacing w:after="0" w:line="53" w:lineRule="exact"/>
        <w:rPr>
          <w:rFonts w:ascii="Times New Roman" w:cs="Times New Roman" w:eastAsia="Times New Roman" w:hAnsi="Times New Roman"/>
          <w:sz w:val="18"/>
          <w:szCs w:val="18"/>
          <w:color w:val="auto"/>
        </w:rPr>
      </w:pPr>
    </w:p>
    <w:p>
      <w:pPr>
        <w:ind w:left="1120" w:right="339" w:hanging="317"/>
        <w:spacing w:after="0" w:line="282" w:lineRule="auto"/>
        <w:tabs>
          <w:tab w:leader="none" w:pos="11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2020 Incentive Award Plan (as defined herein); and</w:t>
      </w:r>
    </w:p>
    <w:p>
      <w:pPr>
        <w:spacing w:after="0" w:line="53" w:lineRule="exact"/>
        <w:rPr>
          <w:rFonts w:ascii="Times New Roman" w:cs="Times New Roman" w:eastAsia="Times New Roman" w:hAnsi="Times New Roman"/>
          <w:sz w:val="18"/>
          <w:szCs w:val="18"/>
          <w:color w:val="auto"/>
        </w:rPr>
      </w:pPr>
    </w:p>
    <w:p>
      <w:pPr>
        <w:ind w:left="1120" w:right="739" w:hanging="317"/>
        <w:spacing w:after="0" w:line="282" w:lineRule="auto"/>
        <w:tabs>
          <w:tab w:leader="none" w:pos="11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 shares of Class B common stock to be reserved for issuance under our Global ESPP (as defined herein).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120" w:hanging="317"/>
        <w:spacing w:after="0"/>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120" w:right="259" w:hanging="317"/>
        <w:spacing w:after="0" w:line="266"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immediately prior to the completion of this offering, which we refer to in this prospectus as the “Charter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8" w:name="page19"/>
    <w:bookmarkEnd w:id="1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3287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30240"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160" w:right="219" w:firstLine="324"/>
        <w:spacing w:after="0" w:line="252" w:lineRule="auto"/>
        <w:rPr>
          <w:sz w:val="20"/>
          <w:szCs w:val="20"/>
          <w:color w:val="auto"/>
        </w:rPr>
      </w:pPr>
      <w:r>
        <w:rPr>
          <w:rFonts w:ascii="Times New Roman" w:cs="Times New Roman" w:eastAsia="Times New Roman" w:hAnsi="Times New Roman"/>
          <w:sz w:val="18"/>
          <w:szCs w:val="18"/>
          <w:color w:val="auto"/>
        </w:rPr>
        <w:t>The following tables set forth summary consolidated financial data. The summary consolidated statement of operations data for the years ended December 31, 2018 and 2019 have been derived from our audited consolidated financial statements included elsewhere in this prospectus. The summary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summary consolidated financial data in conjunction with the sections titled “Selected Consolidated Financial Data” and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87" w:lineRule="exact"/>
        <w:rPr>
          <w:sz w:val="20"/>
          <w:szCs w:val="20"/>
          <w:color w:val="auto"/>
        </w:rPr>
      </w:pPr>
    </w:p>
    <w:p>
      <w:pPr>
        <w:ind w:left="160" w:right="639" w:firstLine="324"/>
        <w:spacing w:after="0" w:line="266" w:lineRule="auto"/>
        <w:rPr>
          <w:sz w:val="20"/>
          <w:szCs w:val="20"/>
          <w:color w:val="auto"/>
        </w:rPr>
      </w:pPr>
      <w:r>
        <w:rPr>
          <w:rFonts w:ascii="Times New Roman" w:cs="Times New Roman" w:eastAsia="Times New Roman" w:hAnsi="Times New Roman"/>
          <w:sz w:val="18"/>
          <w:szCs w:val="18"/>
          <w:color w:val="auto"/>
        </w:rPr>
        <w:t>All amounts presented in this summary consolidated financial data, except share and per share amounts, are presented in thousands. Additionally, many of the amounts and percentages have been rounded for convenience of presentation.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025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3024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5"/>
          </w:tcPr>
          <w:p>
            <w:pPr>
              <w:jc w:val="right"/>
              <w:ind w:right="608"/>
              <w:spacing w:after="0" w:line="129"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Topic 605</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Subscriptions</w:t>
            </w:r>
          </w:p>
        </w:tc>
        <w:tc>
          <w:tcPr>
            <w:tcW w:w="2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501,098</w:t>
            </w:r>
          </w:p>
        </w:tc>
        <w:tc>
          <w:tcPr>
            <w:tcW w:w="80" w:type="dxa"/>
            <w:vAlign w:val="bottom"/>
          </w:tcPr>
          <w:p>
            <w:pPr>
              <w:spacing w:after="0"/>
              <w:rPr>
                <w:sz w:val="12"/>
                <w:szCs w:val="12"/>
                <w:color w:val="auto"/>
              </w:rPr>
            </w:pPr>
          </w:p>
        </w:tc>
        <w:tc>
          <w:tcPr>
            <w:tcW w:w="2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557,421</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613,925</w:t>
            </w:r>
          </w:p>
        </w:tc>
        <w:tc>
          <w:tcPr>
            <w:tcW w:w="8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608,300</w:t>
            </w:r>
          </w:p>
        </w:tc>
        <w:tc>
          <w:tcPr>
            <w:tcW w:w="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290,147</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327,837</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Perpetual licenses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61,661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61,065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23,193</w:t>
            </w:r>
          </w:p>
        </w:tc>
        <w:tc>
          <w:tcPr>
            <w:tcW w:w="0" w:type="dxa"/>
            <w:vAlign w:val="bottom"/>
          </w:tcPr>
          <w:p>
            <w:pPr>
              <w:spacing w:after="0"/>
              <w:rPr>
                <w:sz w:val="1"/>
                <w:szCs w:val="1"/>
                <w:color w:val="auto"/>
              </w:rPr>
            </w:pPr>
          </w:p>
        </w:tc>
      </w:tr>
      <w:tr>
        <w:trPr>
          <w:trHeight w:val="142"/>
        </w:trPr>
        <w:tc>
          <w:tcPr>
            <w:tcW w:w="20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Subscriptions and licenses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562,759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618,486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666,444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667,993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314,615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351,030</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66,164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32,529</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628,923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691,710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734,849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736,654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347,144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378,980</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Cost of revenues: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Cost of subscriptions and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71,439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71,578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43,128</w:t>
            </w:r>
          </w:p>
        </w:tc>
        <w:tc>
          <w:tcPr>
            <w:tcW w:w="0" w:type="dxa"/>
            <w:vAlign w:val="bottom"/>
          </w:tcPr>
          <w:p>
            <w:pPr>
              <w:spacing w:after="0"/>
              <w:rPr>
                <w:sz w:val="1"/>
                <w:szCs w:val="1"/>
                <w:color w:val="auto"/>
              </w:rPr>
            </w:pPr>
          </w:p>
        </w:tc>
      </w:tr>
      <w:tr>
        <w:trPr>
          <w:trHeight w:val="171"/>
        </w:trPr>
        <w:tc>
          <w:tcPr>
            <w:tcW w:w="2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licenses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76,211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30,836</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120,590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144,011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144,150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69,198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73,964</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560,386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590,838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592,504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277,946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305,016</w:t>
            </w:r>
          </w:p>
        </w:tc>
        <w:tc>
          <w:tcPr>
            <w:tcW w:w="0" w:type="dxa"/>
            <w:vAlign w:val="bottom"/>
          </w:tcPr>
          <w:p>
            <w:pPr>
              <w:spacing w:after="0"/>
              <w:rPr>
                <w:sz w:val="1"/>
                <w:szCs w:val="1"/>
                <w:color w:val="auto"/>
              </w:rPr>
            </w:pPr>
          </w:p>
        </w:tc>
      </w:tr>
      <w:tr>
        <w:trPr>
          <w:trHeight w:val="142"/>
        </w:trPr>
        <w:tc>
          <w:tcPr>
            <w:tcW w:w="2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89,353</w:t>
            </w:r>
          </w:p>
        </w:tc>
        <w:tc>
          <w:tcPr>
            <w:tcW w:w="0" w:type="dxa"/>
            <w:vAlign w:val="bottom"/>
          </w:tcPr>
          <w:p>
            <w:pPr>
              <w:spacing w:after="0"/>
              <w:rPr>
                <w:sz w:val="1"/>
                <w:szCs w:val="1"/>
                <w:color w:val="auto"/>
              </w:rPr>
            </w:pPr>
          </w:p>
        </w:tc>
      </w:tr>
      <w:tr>
        <w:trPr>
          <w:trHeight w:val="148"/>
        </w:trPr>
        <w:tc>
          <w:tcPr>
            <w:tcW w:w="2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139,259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65,727</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46,307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52,269</w:t>
            </w:r>
          </w:p>
        </w:tc>
        <w:tc>
          <w:tcPr>
            <w:tcW w:w="0" w:type="dxa"/>
            <w:vAlign w:val="bottom"/>
          </w:tcPr>
          <w:p>
            <w:pPr>
              <w:spacing w:after="0"/>
              <w:rPr>
                <w:sz w:val="1"/>
                <w:szCs w:val="1"/>
                <w:color w:val="auto"/>
              </w:rPr>
            </w:pPr>
          </w:p>
        </w:tc>
      </w:tr>
      <w:tr>
        <w:trPr>
          <w:trHeight w:val="126"/>
        </w:trPr>
        <w:tc>
          <w:tcPr>
            <w:tcW w:w="20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Amortization of purchased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intangibles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386,934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438,995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450,639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220,188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214,464</w:t>
            </w:r>
          </w:p>
        </w:tc>
        <w:tc>
          <w:tcPr>
            <w:tcW w:w="0" w:type="dxa"/>
            <w:vAlign w:val="bottom"/>
          </w:tcPr>
          <w:p>
            <w:pPr>
              <w:spacing w:after="0"/>
              <w:rPr>
                <w:sz w:val="1"/>
                <w:szCs w:val="1"/>
                <w:color w:val="auto"/>
              </w:rPr>
            </w:pPr>
          </w:p>
        </w:tc>
      </w:tr>
      <w:tr>
        <w:trPr>
          <w:trHeight w:val="142"/>
        </w:trPr>
        <w:tc>
          <w:tcPr>
            <w:tcW w:w="20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57,758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90,552</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(10,320)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(8,765)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(2,516)</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(5,773)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(5,557)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(6,985)</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105,306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112,862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126,463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128,109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51,537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81,051</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(29,250)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11,440</w:t>
            </w: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 in loss of joint venture, net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6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59,165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142,112</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103,426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103,096</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46,418</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79"/>
        </w:trPr>
        <w:tc>
          <w:tcPr>
            <w:tcW w:w="20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Less: Net income attributable to</w:t>
            </w: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60" w:type="dxa"/>
            <w:vAlign w:val="bottom"/>
          </w:tcPr>
          <w:p>
            <w:pPr>
              <w:ind w:left="220"/>
              <w:spacing w:after="0" w:line="106" w:lineRule="exact"/>
              <w:rPr>
                <w:sz w:val="20"/>
                <w:szCs w:val="20"/>
                <w:color w:val="auto"/>
              </w:rPr>
            </w:pPr>
            <w:r>
              <w:rPr>
                <w:rFonts w:ascii="Times New Roman" w:cs="Times New Roman" w:eastAsia="Times New Roman" w:hAnsi="Times New Roman"/>
                <w:sz w:val="12"/>
                <w:szCs w:val="12"/>
                <w:color w:val="auto"/>
              </w:rPr>
              <w:t>Net income per share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attributable to Class A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142,108</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103,418</w:t>
            </w:r>
          </w:p>
        </w:tc>
        <w:tc>
          <w:tcPr>
            <w:tcW w:w="80" w:type="dxa"/>
            <w:vAlign w:val="bottom"/>
          </w:tcPr>
          <w:p>
            <w:pPr>
              <w:spacing w:after="0"/>
              <w:rPr>
                <w:sz w:val="12"/>
                <w:szCs w:val="12"/>
                <w:color w:val="auto"/>
              </w:rPr>
            </w:pPr>
          </w:p>
        </w:tc>
        <w:tc>
          <w:tcPr>
            <w:tcW w:w="2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103,088</w:t>
            </w:r>
          </w:p>
        </w:tc>
        <w:tc>
          <w:tcPr>
            <w:tcW w:w="8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198"/>
        </w:trPr>
        <w:tc>
          <w:tcPr>
            <w:tcW w:w="2060" w:type="dxa"/>
            <w:vAlign w:val="bottom"/>
          </w:tcPr>
          <w:p>
            <w:pPr>
              <w:ind w:left="340"/>
              <w:spacing w:after="0" w:line="158" w:lineRule="exact"/>
              <w:rPr>
                <w:sz w:val="20"/>
                <w:szCs w:val="20"/>
                <w:color w:val="auto"/>
              </w:rPr>
            </w:pPr>
            <w:r>
              <w:rPr>
                <w:rFonts w:ascii="Times New Roman" w:cs="Times New Roman" w:eastAsia="Times New Roman" w:hAnsi="Times New Roman"/>
                <w:sz w:val="14"/>
                <w:szCs w:val="14"/>
                <w:color w:val="auto"/>
              </w:rPr>
              <w:t>Class B common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per share:</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140" w:type="dxa"/>
            <w:vAlign w:val="bottom"/>
          </w:tcPr>
          <w:p>
            <w:pPr>
              <w:spacing w:after="0"/>
              <w:rPr>
                <w:sz w:val="16"/>
                <w:szCs w:val="16"/>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6"/>
                <w:szCs w:val="16"/>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6"/>
                <w:szCs w:val="16"/>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29"/>
        </w:trPr>
        <w:tc>
          <w:tcPr>
            <w:tcW w:w="206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2060" w:type="dxa"/>
            <w:vAlign w:val="bottom"/>
            <w:vMerge w:val="restart"/>
          </w:tcPr>
          <w:p>
            <w:pPr>
              <w:ind w:left="220"/>
              <w:spacing w:after="0" w:line="119" w:lineRule="exact"/>
              <w:rPr>
                <w:sz w:val="20"/>
                <w:szCs w:val="20"/>
                <w:color w:val="auto"/>
              </w:rPr>
            </w:pPr>
            <w:r>
              <w:rPr>
                <w:rFonts w:ascii="Times New Roman" w:cs="Times New Roman" w:eastAsia="Times New Roman" w:hAnsi="Times New Roman"/>
                <w:sz w:val="13"/>
                <w:szCs w:val="13"/>
                <w:color w:val="auto"/>
              </w:rPr>
              <w:t>Weighted average shares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285,805,096</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284,625,642</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284,625,642</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285,529,476</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286,068,766</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CEEFF"/>
            </w:tcBorders>
          </w:tcPr>
          <w:p>
            <w:pPr>
              <w:ind w:left="340"/>
              <w:spacing w:after="0" w:line="158" w:lineRule="exact"/>
              <w:rPr>
                <w:sz w:val="20"/>
                <w:szCs w:val="20"/>
                <w:color w:val="auto"/>
              </w:rPr>
            </w:pPr>
            <w:r>
              <w:rPr>
                <w:rFonts w:ascii="Times New Roman" w:cs="Times New Roman" w:eastAsia="Times New Roman" w:hAnsi="Times New Roman"/>
                <w:sz w:val="14"/>
                <w:szCs w:val="14"/>
                <w:color w:val="auto"/>
              </w:rPr>
              <w:t>outstanding, basic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60" w:type="dxa"/>
            <w:vAlign w:val="bottom"/>
            <w:shd w:val="clear" w:color="auto" w:fill="CCEEFF"/>
          </w:tcPr>
          <w:p>
            <w:pPr>
              <w:ind w:left="220"/>
              <w:spacing w:after="0" w:line="79" w:lineRule="exact"/>
              <w:rPr>
                <w:sz w:val="20"/>
                <w:szCs w:val="20"/>
                <w:color w:val="auto"/>
              </w:rPr>
            </w:pPr>
            <w:r>
              <w:rPr>
                <w:rFonts w:ascii="Times New Roman" w:cs="Times New Roman" w:eastAsia="Times New Roman" w:hAnsi="Times New Roman"/>
                <w:sz w:val="9"/>
                <w:szCs w:val="9"/>
                <w:color w:val="auto"/>
              </w:rPr>
              <w:t>Weighted average shares</w:t>
            </w: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292,624,496</w:t>
            </w: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293,796,707</w:t>
            </w: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293,796,707</w:t>
            </w: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293,633,255</w:t>
            </w: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295,595,234</w:t>
            </w:r>
          </w:p>
        </w:tc>
        <w:tc>
          <w:tcPr>
            <w:tcW w:w="0" w:type="dxa"/>
            <w:vAlign w:val="bottom"/>
          </w:tcPr>
          <w:p>
            <w:pPr>
              <w:spacing w:after="0"/>
              <w:rPr>
                <w:sz w:val="1"/>
                <w:szCs w:val="1"/>
                <w:color w:val="auto"/>
              </w:rPr>
            </w:pPr>
          </w:p>
        </w:tc>
      </w:tr>
      <w:tr>
        <w:trPr>
          <w:trHeight w:val="158"/>
        </w:trPr>
        <w:tc>
          <w:tcPr>
            <w:tcW w:w="2060" w:type="dxa"/>
            <w:vAlign w:val="bottom"/>
            <w:tcBorders>
              <w:bottom w:val="single" w:sz="8" w:color="CCEEFF"/>
            </w:tcBorders>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outstanding, diluted</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80" w:right="179" w:hanging="325"/>
        <w:spacing w:after="0" w:line="261"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Revenue Comparison—Topic 605 versus Topic 606:</w:t>
      </w:r>
    </w:p>
    <w:p>
      <w:pPr>
        <w:spacing w:after="0" w:line="119" w:lineRule="exact"/>
        <w:rPr>
          <w:sz w:val="20"/>
          <w:szCs w:val="20"/>
          <w:color w:val="auto"/>
        </w:rPr>
      </w:pPr>
    </w:p>
    <w:p>
      <w:pPr>
        <w:ind w:left="160" w:right="2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 2019, we adopted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related amendments (“Topic 606”), which supersedes substantially all existing revenue recognition guidance under accounting principles generally accepted in the United States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in our consolidated financial statements included elsewhere in this prospectus continues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Topic 605-25, </w:t>
      </w:r>
      <w:r>
        <w:rPr>
          <w:rFonts w:ascii="Times New Roman" w:cs="Times New Roman" w:eastAsia="Times New Roman" w:hAnsi="Times New Roman"/>
          <w:sz w:val="18"/>
          <w:szCs w:val="18"/>
          <w:i w:val="1"/>
          <w:iCs w:val="1"/>
          <w:color w:val="auto"/>
        </w:rPr>
        <w:t>Revenue Recognition, Multiple-Element Arrangements</w:t>
      </w:r>
      <w:r>
        <w:rPr>
          <w:rFonts w:ascii="Times New Roman" w:cs="Times New Roman" w:eastAsia="Times New Roman" w:hAnsi="Times New Roman"/>
          <w:sz w:val="18"/>
          <w:szCs w:val="18"/>
          <w:color w:val="auto"/>
        </w:rPr>
        <w:t>. We refer to ASC 985-605 and Topic 605-25 collectively as “Topic 605.”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65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3024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60" w:right="359" w:firstLine="324"/>
        <w:spacing w:after="0" w:line="266"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7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60" w:type="dxa"/>
            <w:vAlign w:val="bottom"/>
            <w:tcBorders>
              <w:bottom w:val="single" w:sz="8" w:color="auto"/>
            </w:tcBorders>
            <w:gridSpan w:val="6"/>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tcBorders>
              <w:top w:val="single" w:sz="8" w:color="CCEEFF"/>
            </w:tcBorders>
            <w:shd w:val="clear" w:color="auto" w:fill="CCEEFF"/>
          </w:tcPr>
          <w:p>
            <w:pPr>
              <w:jc w:val="right"/>
              <w:ind w:right="1111"/>
              <w:spacing w:after="0" w:line="210" w:lineRule="exact"/>
              <w:rPr>
                <w:sz w:val="20"/>
                <w:szCs w:val="20"/>
                <w:color w:val="auto"/>
              </w:rPr>
            </w:pPr>
            <w:r>
              <w:rPr>
                <w:rFonts w:ascii="Times New Roman" w:cs="Times New Roman" w:eastAsia="Times New Roman" w:hAnsi="Times New Roman"/>
                <w:sz w:val="17"/>
                <w:szCs w:val="17"/>
                <w:color w:val="auto"/>
                <w:w w:val="96"/>
              </w:rPr>
              <w:t>Topic 605:</w:t>
            </w:r>
            <w:r>
              <w:rPr>
                <w:rFonts w:ascii="Times New Roman" w:cs="Times New Roman" w:eastAsia="Times New Roman" w:hAnsi="Times New Roman"/>
                <w:sz w:val="24"/>
                <w:szCs w:val="24"/>
                <w:color w:val="auto"/>
                <w:w w:val="96"/>
                <w:vertAlign w:val="superscript"/>
              </w:rPr>
              <w:t>(1)</w:t>
            </w:r>
          </w:p>
        </w:tc>
        <w:tc>
          <w:tcPr>
            <w:tcW w:w="2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$ 501,098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$ 557,421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$ 613,925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Perpetual licenses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$ 628,923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$ 691,710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$ 734,849</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jc w:val="right"/>
              <w:ind w:right="1111"/>
              <w:spacing w:after="0" w:line="236" w:lineRule="exact"/>
              <w:rPr>
                <w:sz w:val="20"/>
                <w:szCs w:val="20"/>
                <w:color w:val="auto"/>
              </w:rPr>
            </w:pPr>
            <w:r>
              <w:rPr>
                <w:rFonts w:ascii="Times New Roman" w:cs="Times New Roman" w:eastAsia="Times New Roman" w:hAnsi="Times New Roman"/>
                <w:sz w:val="18"/>
                <w:szCs w:val="18"/>
                <w:color w:val="auto"/>
                <w:w w:val="95"/>
              </w:rPr>
              <w:t>Topic 606:</w:t>
            </w:r>
            <w:r>
              <w:rPr>
                <w:rFonts w:ascii="Times New Roman" w:cs="Times New Roman" w:eastAsia="Times New Roman" w:hAnsi="Times New Roman"/>
                <w:sz w:val="26"/>
                <w:szCs w:val="26"/>
                <w:color w:val="auto"/>
                <w:w w:val="95"/>
                <w:vertAlign w:val="superscript"/>
              </w:rPr>
              <w:t>(2)</w:t>
            </w:r>
          </w:p>
        </w:tc>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gridSpan w:val="2"/>
            <w:vMerge w:val="continue"/>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Subscriptions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$ 505,720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$ 560,485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$ 608,300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Perpetual licenses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$ 621,867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$ 691,062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$ 736,654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20" w:right="239" w:hanging="328"/>
        <w:spacing w:after="0" w:line="258"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75" w:lineRule="exact"/>
        <w:rPr>
          <w:rFonts w:ascii="Times New Roman" w:cs="Times New Roman" w:eastAsia="Times New Roman" w:hAnsi="Times New Roman"/>
          <w:sz w:val="18"/>
          <w:szCs w:val="18"/>
          <w:color w:val="auto"/>
        </w:rPr>
      </w:pPr>
    </w:p>
    <w:p>
      <w:pPr>
        <w:ind w:left="1320" w:right="219" w:hanging="328"/>
        <w:spacing w:after="0" w:line="256" w:lineRule="auto"/>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Data—Non-GAAP Financial Measures.”</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60" w:right="17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4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4200" w:type="dxa"/>
            <w:vAlign w:val="bottom"/>
          </w:tcPr>
          <w:p>
            <w:pPr>
              <w:spacing w:after="0"/>
              <w:rPr>
                <w:sz w:val="14"/>
                <w:szCs w:val="14"/>
                <w:color w:val="auto"/>
              </w:rPr>
            </w:pPr>
          </w:p>
        </w:tc>
        <w:tc>
          <w:tcPr>
            <w:tcW w:w="7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center"/>
              <w:ind w:left="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4"/>
                <w:szCs w:val="14"/>
                <w:color w:val="auto"/>
              </w:rPr>
            </w:pPr>
          </w:p>
        </w:tc>
      </w:tr>
      <w:tr>
        <w:trPr>
          <w:trHeight w:val="196"/>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606)</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$ 521,923</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$ 586,466</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$ 631,097</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$ 606,411</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$665,659</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$ 523,502</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$ 582,402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$ 636,899</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$604,043</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$670,825</w:t>
            </w:r>
          </w:p>
        </w:tc>
        <w:tc>
          <w:tcPr>
            <w:tcW w:w="160" w:type="dxa"/>
            <w:vAlign w:val="bottom"/>
          </w:tcPr>
          <w:p>
            <w:pPr>
              <w:spacing w:after="0"/>
              <w:rPr>
                <w:sz w:val="17"/>
                <w:szCs w:val="17"/>
                <w:color w:val="auto"/>
              </w:rPr>
            </w:pPr>
          </w:p>
        </w:tc>
      </w:tr>
      <w:tr>
        <w:trPr>
          <w:trHeight w:val="20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Constant Currency:</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Annualized recurring revenues (“ARR”) growth rate</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 retention rate</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98 %</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r>
      <w:tr>
        <w:trPr>
          <w:trHeight w:val="210"/>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Recurring revenues dollar-based net retention rate</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107 %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106 %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110 %</w:t>
            </w:r>
          </w:p>
        </w:tc>
      </w:tr>
    </w:tbl>
    <w:p>
      <w:pPr>
        <w:spacing w:after="0" w:line="186" w:lineRule="exact"/>
        <w:rPr>
          <w:sz w:val="20"/>
          <w:szCs w:val="20"/>
          <w:color w:val="auto"/>
        </w:rPr>
      </w:pPr>
    </w:p>
    <w:p>
      <w:pPr>
        <w:ind w:left="160" w:right="2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72" w:lineRule="exact"/>
        <w:rPr>
          <w:sz w:val="20"/>
          <w:szCs w:val="20"/>
          <w:color w:val="auto"/>
        </w:rPr>
      </w:pPr>
    </w:p>
    <w:p>
      <w:pPr>
        <w:ind w:left="160" w:right="219" w:firstLine="324"/>
        <w:spacing w:after="0" w:line="255" w:lineRule="auto"/>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 well as Topic 605 for all periods in order to enhance comparability during our transition to Topic 606. 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Non-GAAP Financial Measures.”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1" w:name="page22"/>
    <w:bookmarkEnd w:id="2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7470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3024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0" w:right="199" w:firstLine="324"/>
        <w:spacing w:after="0" w:line="253"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“Management’s Discussion and Analysis of Financial Condition and Results of Operations—Key Factors Impacting Comparability and Performance.”</w:t>
      </w:r>
    </w:p>
    <w:p>
      <w:pPr>
        <w:spacing w:after="0" w:line="84" w:lineRule="exact"/>
        <w:rPr>
          <w:sz w:val="20"/>
          <w:szCs w:val="20"/>
          <w:color w:val="auto"/>
        </w:rPr>
      </w:pPr>
    </w:p>
    <w:p>
      <w:pPr>
        <w:ind w:left="160" w:right="199" w:firstLine="324"/>
        <w:spacing w:after="0" w:line="252"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85" w:lineRule="exact"/>
        <w:rPr>
          <w:sz w:val="20"/>
          <w:szCs w:val="20"/>
          <w:color w:val="auto"/>
        </w:rPr>
      </w:pPr>
    </w:p>
    <w:p>
      <w:pPr>
        <w:ind w:left="160" w:right="39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73" w:lineRule="exact"/>
        <w:rPr>
          <w:sz w:val="20"/>
          <w:szCs w:val="20"/>
          <w:color w:val="auto"/>
        </w:rPr>
      </w:pPr>
    </w:p>
    <w:p>
      <w:pPr>
        <w:ind w:left="160" w:right="1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 is defined as the sum of the annualized value of our portfolio of contracts that produce recurring revenue as of the last day of the reporting period, and the annualized value of the last three months of recognized revenues for our contractually recurring consumption-based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84" w:lineRule="exact"/>
        <w:rPr>
          <w:sz w:val="20"/>
          <w:szCs w:val="20"/>
          <w:color w:val="auto"/>
        </w:rPr>
      </w:pPr>
    </w:p>
    <w:p>
      <w:pPr>
        <w:ind w:left="160" w:right="299" w:firstLine="324"/>
        <w:spacing w:after="0" w:line="258"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75" w:lineRule="exact"/>
        <w:rPr>
          <w:sz w:val="20"/>
          <w:szCs w:val="20"/>
          <w:color w:val="auto"/>
        </w:rPr>
      </w:pPr>
    </w:p>
    <w:p>
      <w:pPr>
        <w:ind w:left="160" w:right="239" w:firstLine="324"/>
        <w:spacing w:after="0" w:line="266"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264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52762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0240" cy="527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80" w:lineRule="exact"/>
        <w:rPr>
          <w:sz w:val="20"/>
          <w:szCs w:val="20"/>
          <w:color w:val="auto"/>
        </w:rPr>
      </w:pPr>
    </w:p>
    <w:p>
      <w:pPr>
        <w:ind w:left="160" w:right="17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using the average exchange rates for the prior period, as follows: the recurring revenues for the current period, including any growth or reductions from accounts with recurring revenue in the prior period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81" w:lineRule="exact"/>
        <w:rPr>
          <w:sz w:val="20"/>
          <w:szCs w:val="20"/>
          <w:color w:val="auto"/>
        </w:rPr>
      </w:pPr>
    </w:p>
    <w:p>
      <w:pPr>
        <w:ind w:left="160" w:right="239" w:firstLine="324"/>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117" w:lineRule="exact"/>
        <w:rPr>
          <w:sz w:val="20"/>
          <w:szCs w:val="20"/>
          <w:color w:val="auto"/>
        </w:rPr>
      </w:pPr>
    </w:p>
    <w:p>
      <w:pPr>
        <w:jc w:val="both"/>
        <w:ind w:left="160" w:right="319"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sections titled “Selected Consolidated Financial Data— Key Business Metrics” and “Management’s Discussion and Analysis of Financial Condition and Results of Operations —Key Business Metrics.”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5053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30240" cy="505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60" w:right="179"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88"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Topic 605:</w:t>
            </w:r>
            <w:r>
              <w:rPr>
                <w:rFonts w:ascii="Times New Roman" w:cs="Times New Roman" w:eastAsia="Times New Roman" w:hAnsi="Times New Roman"/>
                <w:sz w:val="24"/>
                <w:szCs w:val="24"/>
                <w:color w:val="auto"/>
                <w:vertAlign w:val="superscript"/>
              </w:rPr>
              <w:t>(1)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160,886</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171,768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186,598</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115,389</w:t>
            </w: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132,246</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135,471</w:t>
            </w:r>
          </w:p>
        </w:tc>
      </w:tr>
      <w:tr>
        <w:trPr>
          <w:trHeight w:val="216"/>
        </w:trPr>
        <w:tc>
          <w:tcPr>
            <w:tcW w:w="20" w:type="dxa"/>
            <w:vAlign w:val="bottom"/>
          </w:tcPr>
          <w:p>
            <w:pPr>
              <w:spacing w:after="0"/>
              <w:rPr>
                <w:sz w:val="18"/>
                <w:szCs w:val="18"/>
                <w:color w:val="auto"/>
              </w:rPr>
            </w:pPr>
          </w:p>
        </w:tc>
        <w:tc>
          <w:tcPr>
            <w:tcW w:w="2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Topic 606:</w:t>
            </w:r>
            <w:r>
              <w:rPr>
                <w:rFonts w:ascii="Times New Roman" w:cs="Times New Roman" w:eastAsia="Times New Roman" w:hAnsi="Times New Roman"/>
                <w:sz w:val="25"/>
                <w:szCs w:val="25"/>
                <w:color w:val="auto"/>
                <w:vertAlign w:val="superscript"/>
              </w:rPr>
              <w:t>(2)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w:t>
            </w: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171,120</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188,129</w:t>
            </w:r>
          </w:p>
        </w:tc>
      </w:tr>
      <w:tr>
        <w:trPr>
          <w:trHeight w:val="234"/>
        </w:trPr>
        <w:tc>
          <w:tcPr>
            <w:tcW w:w="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109,398</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179" w:lineRule="exact"/>
        <w:rPr>
          <w:sz w:val="20"/>
          <w:szCs w:val="20"/>
          <w:color w:val="auto"/>
        </w:rPr>
      </w:pPr>
    </w:p>
    <w:p>
      <w:pPr>
        <w:ind w:left="1320" w:right="239" w:hanging="328"/>
        <w:spacing w:after="0" w:line="258"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75" w:lineRule="exact"/>
        <w:rPr>
          <w:rFonts w:ascii="Times New Roman" w:cs="Times New Roman" w:eastAsia="Times New Roman" w:hAnsi="Times New Roman"/>
          <w:sz w:val="18"/>
          <w:szCs w:val="18"/>
          <w:color w:val="auto"/>
        </w:rPr>
      </w:pPr>
    </w:p>
    <w:p>
      <w:pPr>
        <w:ind w:left="1320" w:right="219" w:hanging="328"/>
        <w:spacing w:after="0" w:line="256" w:lineRule="auto"/>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Data—Non-GAAP Financial Measures.”</w:t>
      </w:r>
    </w:p>
    <w:p>
      <w:pPr>
        <w:spacing w:after="0" w:line="86"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79,384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115,506</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Net Income</w:t>
            </w:r>
          </w:p>
        </w:tc>
        <w:tc>
          <w:tcPr>
            <w:tcW w:w="1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59,978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89,203</w:t>
            </w:r>
          </w:p>
        </w:tc>
      </w:tr>
    </w:tbl>
    <w:p>
      <w:pPr>
        <w:spacing w:after="0" w:line="198" w:lineRule="exact"/>
        <w:rPr>
          <w:sz w:val="20"/>
          <w:szCs w:val="20"/>
          <w:color w:val="auto"/>
        </w:rPr>
      </w:pPr>
    </w:p>
    <w:p>
      <w:pPr>
        <w:ind w:left="160" w:right="259"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5730240" cy="55333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30240" cy="553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June 30, 2020 on:</w:t>
      </w:r>
    </w:p>
    <w:p>
      <w:pPr>
        <w:spacing w:after="0" w:line="117" w:lineRule="exact"/>
        <w:rPr>
          <w:sz w:val="20"/>
          <w:szCs w:val="20"/>
          <w:color w:val="auto"/>
        </w:rPr>
      </w:pPr>
    </w:p>
    <w:p>
      <w:pPr>
        <w:ind w:left="1140" w:hanging="337"/>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17" w:lineRule="exact"/>
        <w:rPr>
          <w:rFonts w:ascii="Times New Roman" w:cs="Times New Roman" w:eastAsia="Times New Roman" w:hAnsi="Times New Roman"/>
          <w:sz w:val="18"/>
          <w:szCs w:val="18"/>
          <w:color w:val="auto"/>
        </w:rPr>
      </w:pPr>
    </w:p>
    <w:p>
      <w:pPr>
        <w:ind w:left="1120" w:right="179" w:hanging="317"/>
        <w:spacing w:after="0" w:line="261" w:lineRule="auto"/>
        <w:tabs>
          <w:tab w:leader="none" w:pos="11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120" w:right="179" w:hanging="317"/>
        <w:spacing w:after="0" w:line="254" w:lineRule="auto"/>
        <w:tabs>
          <w:tab w:leader="none" w:pos="113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Special Dividend and the funding of such Special Dividend as described in the immediately preceding bullet and to further (i) give effect to (A) 994,912 total shares of restricted Class B common stock and restricted stock units issued in July 2020 that will vest automatically upon the consummation of this offering, reduced by 32,238 of such restricted stock units that will be settled in cash, (B) approximately $14.9 million in additional stock-based compensation</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expense in connection with such July 2020 grant (excluding restricted stock units that will settle in</w:t>
      </w:r>
    </w:p>
    <w:p>
      <w:pPr>
        <w:spacing w:after="0" w:line="9" w:lineRule="exact"/>
        <w:rPr>
          <w:sz w:val="20"/>
          <w:szCs w:val="20"/>
          <w:color w:val="auto"/>
        </w:rPr>
      </w:pPr>
    </w:p>
    <w:p>
      <w:pPr>
        <w:ind w:left="1120" w:right="179"/>
        <w:spacing w:after="0" w:line="250" w:lineRule="auto"/>
        <w:rPr>
          <w:sz w:val="20"/>
          <w:szCs w:val="20"/>
          <w:color w:val="auto"/>
        </w:rPr>
      </w:pPr>
      <w:r>
        <w:rPr>
          <w:rFonts w:ascii="Times New Roman" w:cs="Times New Roman" w:eastAsia="Times New Roman" w:hAnsi="Times New Roman"/>
          <w:sz w:val="18"/>
          <w:szCs w:val="18"/>
          <w:color w:val="auto"/>
        </w:rPr>
        <w:t>cash) and (C) shares of Class B common stock to be sold in this offering following the exercise of stock options for such shares, at an assumed initial public offering price of the Class B common stock of</w:t>
      </w:r>
    </w:p>
    <w:p>
      <w:pPr>
        <w:spacing w:after="0" w:line="1" w:lineRule="exact"/>
        <w:rPr>
          <w:sz w:val="20"/>
          <w:szCs w:val="20"/>
          <w:color w:val="auto"/>
        </w:rPr>
      </w:pPr>
    </w:p>
    <w:p>
      <w:pPr>
        <w:ind w:left="1120" w:right="199" w:firstLine="7"/>
        <w:spacing w:after="0" w:line="270" w:lineRule="auto"/>
        <w:tabs>
          <w:tab w:leader="none" w:pos="170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share, the midpoint of the range set forth on the cover page of this prospectus, as if such exercise had occurred on June 30, 2020, (ii) reflect the payment of certain expenses in connection with this offering by the Company, including those paid on behalf of the selling stockholders and the underwriting discounts and commissions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pacing w:after="0" w:line="73"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102,831</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1,059,169</w:t>
            </w:r>
          </w:p>
        </w:tc>
        <w:tc>
          <w:tcPr>
            <w:tcW w:w="76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186,456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596,583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598,075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 (deficit)</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(13,028)</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gridSpan w:val="2"/>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Pro forma as adjusted amount does not include $</w:t>
            </w:r>
          </w:p>
        </w:tc>
        <w:tc>
          <w:tcPr>
            <w:tcW w:w="240" w:type="dxa"/>
            <w:vAlign w:val="bottom"/>
          </w:tcPr>
          <w:p>
            <w:pPr>
              <w:spacing w:after="0"/>
              <w:rPr>
                <w:sz w:val="24"/>
                <w:szCs w:val="24"/>
                <w:color w:val="auto"/>
              </w:rPr>
            </w:pPr>
          </w:p>
        </w:tc>
        <w:tc>
          <w:tcPr>
            <w:tcW w:w="37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w w:val="99"/>
              </w:rPr>
              <w:t>of stock-based compensation expense for 32,238</w:t>
            </w:r>
          </w:p>
        </w:tc>
        <w:tc>
          <w:tcPr>
            <w:tcW w:w="0" w:type="dxa"/>
            <w:vAlign w:val="bottom"/>
          </w:tcPr>
          <w:p>
            <w:pPr>
              <w:spacing w:after="0"/>
              <w:rPr>
                <w:sz w:val="1"/>
                <w:szCs w:val="1"/>
                <w:color w:val="auto"/>
              </w:rPr>
            </w:pPr>
          </w:p>
        </w:tc>
      </w:tr>
    </w:tbl>
    <w:p>
      <w:pPr>
        <w:ind w:left="1120" w:right="299"/>
        <w:spacing w:after="0" w:line="260" w:lineRule="auto"/>
        <w:rPr>
          <w:sz w:val="20"/>
          <w:szCs w:val="20"/>
          <w:color w:val="auto"/>
        </w:rPr>
      </w:pPr>
      <w:r>
        <w:rPr>
          <w:rFonts w:ascii="Times New Roman" w:cs="Times New Roman" w:eastAsia="Times New Roman" w:hAnsi="Times New Roman"/>
          <w:sz w:val="18"/>
          <w:szCs w:val="18"/>
          <w:color w:val="auto"/>
        </w:rPr>
        <w:t>restricted stock units that will vest automatically upon the consummation of this offering and be settled in cash at the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572643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264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B common stock involves a high degree of risk. You should carefully consider the risks and uncertainties described below, together with all of the other information in this prospectus, including the consolidated financial statements and the related notes and the section titled “Management’s Discussion and Analysis of Financial Condition and Results of Operations,” before deciding whether to invest in shares of our Class B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 risks and uncertainties that are not yet identified or that we currently think are immaterial, actually occur, our business, financial condition, results of operations and future prospects could be materially and adversely affected. In that event, the market price of our Class B common stock could decline, and you could lose part or all of your investment.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sales are based significantly on accounts’ demand for software solutions in the following infrastructure sectors:</w:t>
      </w:r>
    </w:p>
    <w:p>
      <w:pPr>
        <w:spacing w:after="0" w:line="27" w:lineRule="exact"/>
        <w:rPr>
          <w:sz w:val="20"/>
          <w:szCs w:val="20"/>
          <w:color w:val="auto"/>
        </w:rPr>
      </w:pPr>
    </w:p>
    <w:p>
      <w:pPr>
        <w:ind w:left="140" w:right="179" w:firstLine="4"/>
        <w:spacing w:after="0" w:line="251" w:lineRule="auto"/>
        <w:tabs>
          <w:tab w:leader="none" w:pos="3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works/utilities; (ii) industrial/resources; and (iii)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8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188" w:lineRule="exact"/>
        <w:rPr>
          <w:sz w:val="20"/>
          <w:szCs w:val="20"/>
          <w:color w:val="auto"/>
        </w:rPr>
      </w:pPr>
    </w:p>
    <w:p>
      <w:pPr>
        <w:jc w:val="both"/>
        <w:ind w:left="14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67" w:lineRule="exact"/>
        <w:rPr>
          <w:sz w:val="20"/>
          <w:szCs w:val="20"/>
          <w:color w:val="auto"/>
        </w:rPr>
      </w:pPr>
    </w:p>
    <w:p>
      <w:pPr>
        <w:ind w:left="140" w:right="319" w:firstLine="324"/>
        <w:spacing w:after="0" w:line="289" w:lineRule="auto"/>
        <w:rPr>
          <w:sz w:val="20"/>
          <w:szCs w:val="20"/>
          <w:color w:val="auto"/>
        </w:rPr>
      </w:pPr>
      <w:r>
        <w:rPr>
          <w:rFonts w:ascii="Times New Roman" w:cs="Times New Roman" w:eastAsia="Times New Roman" w:hAnsi="Times New Roman"/>
          <w:sz w:val="17"/>
          <w:szCs w:val="17"/>
          <w:color w:val="auto"/>
        </w:rPr>
        <w:t>Approximately 60%, 58% and 58% of our total revenues were from outside the United States in the years ended December 31, 2018 and 2019, and six months ended June 30, 2020, respectively. We anticipate that revenues from accounts outside the United States will continue to comprise a majority of our total revenues for the foreseeable future.</w:t>
      </w:r>
    </w:p>
    <w:p>
      <w:pPr>
        <w:spacing w:after="0" w:line="50" w:lineRule="exact"/>
        <w:rPr>
          <w:sz w:val="20"/>
          <w:szCs w:val="20"/>
          <w:color w:val="auto"/>
        </w:rPr>
      </w:pPr>
    </w:p>
    <w:p>
      <w:pPr>
        <w:ind w:left="140" w:right="259" w:firstLine="324"/>
        <w:spacing w:after="0" w:line="255" w:lineRule="auto"/>
        <w:rPr>
          <w:sz w:val="20"/>
          <w:szCs w:val="20"/>
          <w:color w:val="auto"/>
        </w:rPr>
      </w:pPr>
      <w:r>
        <w:rPr>
          <w:rFonts w:ascii="Times New Roman" w:cs="Times New Roman" w:eastAsia="Times New Roman" w:hAnsi="Times New Roman"/>
          <w:sz w:val="18"/>
          <w:szCs w:val="18"/>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United States are subject to certain legal, regulatory, social, political, economic and other risks inherent in international business operations, including, without limitation:</w:t>
      </w:r>
    </w:p>
    <w:p>
      <w:pPr>
        <w:spacing w:after="0" w:line="81" w:lineRule="exact"/>
        <w:rPr>
          <w:sz w:val="20"/>
          <w:szCs w:val="20"/>
          <w:color w:val="auto"/>
        </w:rPr>
      </w:pPr>
    </w:p>
    <w:p>
      <w:pPr>
        <w:ind w:left="4420" w:right="4219" w:hanging="3628"/>
        <w:spacing w:after="0" w:line="843" w:lineRule="auto"/>
        <w:tabs>
          <w:tab w:leader="none" w:pos="112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product preference and product requirements;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31115</wp:posOffset>
            </wp:positionV>
            <wp:extent cx="55378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27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demand dynamics, which may make the products and services we offer less successful compared to the United States;</w:t>
      </w:r>
    </w:p>
    <w:p>
      <w:pPr>
        <w:spacing w:after="0" w:line="53" w:lineRule="exact"/>
        <w:rPr>
          <w:rFonts w:ascii="Times New Roman" w:cs="Times New Roman" w:eastAsia="Times New Roman" w:hAnsi="Times New Roman"/>
          <w:sz w:val="18"/>
          <w:szCs w:val="18"/>
          <w:color w:val="auto"/>
        </w:rPr>
      </w:pPr>
    </w:p>
    <w:p>
      <w:pPr>
        <w:jc w:val="both"/>
        <w:ind w:left="1120" w:right="419" w:hanging="328"/>
        <w:spacing w:after="0" w:line="266"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access to, or use of, commercial and personal information, such as the European Union’s General Data Protection Regulation (the “GDPR”), and the Cybersecurity Law of the People’s Republic of China;</w:t>
      </w:r>
    </w:p>
    <w:p>
      <w:pPr>
        <w:spacing w:after="0" w:line="67" w:lineRule="exact"/>
        <w:rPr>
          <w:rFonts w:ascii="Times New Roman" w:cs="Times New Roman" w:eastAsia="Times New Roman" w:hAnsi="Times New Roman"/>
          <w:sz w:val="18"/>
          <w:szCs w:val="18"/>
          <w:color w:val="auto"/>
        </w:rPr>
      </w:pPr>
    </w:p>
    <w:p>
      <w:pPr>
        <w:ind w:left="1120" w:right="479" w:hanging="328"/>
        <w:spacing w:after="0" w:line="266"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that account data be stored and processed in a designated territory or that certain transfers of account data outside of the country be notified to or registered with regulatory authorities;</w:t>
      </w:r>
    </w:p>
    <w:p>
      <w:pPr>
        <w:spacing w:after="0" w:line="6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understand the local market and may operate more effectively;</w:t>
      </w:r>
    </w:p>
    <w:p>
      <w:pPr>
        <w:spacing w:after="0" w:line="117" w:lineRule="exact"/>
        <w:rPr>
          <w:rFonts w:ascii="Times New Roman" w:cs="Times New Roman" w:eastAsia="Times New Roman" w:hAnsi="Times New Roman"/>
          <w:sz w:val="18"/>
          <w:szCs w:val="18"/>
          <w:color w:val="auto"/>
        </w:rPr>
      </w:pPr>
    </w:p>
    <w:p>
      <w:pPr>
        <w:ind w:left="1120" w:right="23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sanctions, quotas, embargoes, import and export licensing requirements, duties, tariffs or surcharges;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regulatory requirements and tax laws;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foreign regulatory requirements;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non-U.S. operations;</w:t>
      </w:r>
    </w:p>
    <w:p>
      <w:pPr>
        <w:spacing w:after="0" w:line="117" w:lineRule="exact"/>
        <w:rPr>
          <w:rFonts w:ascii="Times New Roman" w:cs="Times New Roman" w:eastAsia="Times New Roman" w:hAnsi="Times New Roman"/>
          <w:sz w:val="18"/>
          <w:szCs w:val="18"/>
          <w:color w:val="auto"/>
        </w:rPr>
      </w:pPr>
    </w:p>
    <w:p>
      <w:pPr>
        <w:ind w:left="1120" w:right="33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where labor laws may be more advantageous to colleagues as compared to the United States, as well as increased labor costs;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currency controls and inflation, recession or interest rate fluctuations;</w:t>
      </w:r>
    </w:p>
    <w:p>
      <w:pPr>
        <w:spacing w:after="0" w:line="117"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United States and greater difficulty of collecting receivables in certain foreign jurisdictions;</w:t>
      </w:r>
    </w:p>
    <w:p>
      <w:pPr>
        <w:spacing w:after="0" w:line="53" w:lineRule="exact"/>
        <w:rPr>
          <w:rFonts w:ascii="Times New Roman" w:cs="Times New Roman" w:eastAsia="Times New Roman" w:hAnsi="Times New Roman"/>
          <w:sz w:val="18"/>
          <w:szCs w:val="18"/>
          <w:color w:val="auto"/>
        </w:rPr>
      </w:pPr>
    </w:p>
    <w:p>
      <w:pPr>
        <w:ind w:left="1120" w:right="45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or actual violations of anti-bribery and anti-corruption laws, rules and regulations in the foreign jurisdictions in which we do business;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of critical technology, software and services;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tax and cash management issues;</w:t>
      </w:r>
    </w:p>
    <w:p>
      <w:pPr>
        <w:spacing w:after="0" w:line="117" w:lineRule="exact"/>
        <w:rPr>
          <w:rFonts w:ascii="Times New Roman" w:cs="Times New Roman" w:eastAsia="Times New Roman" w:hAnsi="Times New Roman"/>
          <w:sz w:val="18"/>
          <w:szCs w:val="18"/>
          <w:color w:val="auto"/>
        </w:rPr>
      </w:pPr>
    </w:p>
    <w:p>
      <w:pPr>
        <w:ind w:left="1120" w:right="639" w:hanging="328"/>
        <w:spacing w:after="0" w:line="282"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restrictions on the repatriation of earnings and changes in tax rates;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and accounts receivable payment cycles in some countries;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security concerns in general;</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pandemics, including the ongoing COVID-19 pandemic;</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or varied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120" w:right="439" w:hanging="328"/>
        <w:spacing w:after="0" w:line="266" w:lineRule="auto"/>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solutions to accounts from different cultures, which may require us to adapt to sales practices, modify our solutions or products, and provide features necessary to effectively serve the local market.</w:t>
      </w:r>
    </w:p>
    <w:p>
      <w:pPr>
        <w:spacing w:after="0" w:line="68" w:lineRule="exact"/>
        <w:rPr>
          <w:sz w:val="20"/>
          <w:szCs w:val="20"/>
          <w:color w:val="auto"/>
        </w:rPr>
      </w:pPr>
    </w:p>
    <w:p>
      <w:pPr>
        <w:ind w:left="140" w:right="399" w:firstLine="324"/>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United States, particularly from China. The imposition of additional tariffs by the United States could result in the adoption of tariffs by other countries, leading to a global trade war. In addition, certain of these risks may be heightened as a result of changing political climates, which may also be exacerbated as a result of the COVID-19 pandemic. For example, throughout 2018 and 2019, the United States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79"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In addition, increases in the extent to which global trade is limited by tariffs or other trade barriers could negatively affect decisions to invest in infrastructure projects due to decreasing confidence in future profitability of such projects. Such resulting decreases in infrastructure spending could negatively affect demand for our software solutions, which could harm our business, financial condition, and results of operations.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negatively impact our business, financial condition, and results of operations.</w:t>
      </w:r>
    </w:p>
    <w:p>
      <w:pPr>
        <w:spacing w:after="0" w:line="121" w:lineRule="exact"/>
        <w:rPr>
          <w:sz w:val="20"/>
          <w:szCs w:val="20"/>
          <w:color w:val="auto"/>
        </w:rPr>
      </w:pPr>
    </w:p>
    <w:p>
      <w:pPr>
        <w:ind w:left="140" w:right="239" w:firstLine="324"/>
        <w:spacing w:after="0" w:line="252" w:lineRule="auto"/>
        <w:rPr>
          <w:sz w:val="20"/>
          <w:szCs w:val="20"/>
          <w:color w:val="auto"/>
        </w:rPr>
      </w:pPr>
      <w:r>
        <w:rPr>
          <w:rFonts w:ascii="Times New Roman" w:cs="Times New Roman" w:eastAsia="Times New Roman" w:hAnsi="Times New Roman"/>
          <w:sz w:val="18"/>
          <w:szCs w:val="18"/>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cash flows, business, financial condition and results of operations.</w:t>
      </w:r>
    </w:p>
    <w:p>
      <w:pPr>
        <w:spacing w:after="0" w:line="88" w:lineRule="exact"/>
        <w:rPr>
          <w:sz w:val="20"/>
          <w:szCs w:val="20"/>
          <w:color w:val="auto"/>
        </w:rPr>
      </w:pPr>
    </w:p>
    <w:p>
      <w:pPr>
        <w:ind w:left="140" w:right="319" w:firstLine="324"/>
        <w:spacing w:after="0" w:line="255" w:lineRule="auto"/>
        <w:rPr>
          <w:sz w:val="20"/>
          <w:szCs w:val="20"/>
          <w:color w:val="auto"/>
        </w:rPr>
      </w:pPr>
      <w:r>
        <w:rPr>
          <w:rFonts w:ascii="Times New Roman" w:cs="Times New Roman" w:eastAsia="Times New Roman" w:hAnsi="Times New Roman"/>
          <w:sz w:val="18"/>
          <w:szCs w:val="18"/>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the upcoming 2020 United States presidential election and trade relations between the United States in China, in any of the countries in which we do business could harm our business, financial condition and results of operations.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Decreased investment by APAC, including China, may have a negative effect on our business.</w:t>
      </w:r>
    </w:p>
    <w:p>
      <w:pPr>
        <w:spacing w:after="0" w:line="121"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Approximately 19%, 20% and 19% of our revenues in the years ended December 31, 2018 and 2019 and six months ended June 30, 2020, respectively,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ongoing global coronavirus outbreak could materially and adversely affect our business</w:t>
      </w:r>
    </w:p>
    <w:p>
      <w:pPr>
        <w:spacing w:after="0" w:line="121"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 The COVID-19 pandemic has adversely affected global economies, financial markets and the overall environment in which we do business, and the extent to which it may impact our future results of operations and overall financial performance remains uncertain. Our accounts’ usage of our solutions slightly declined during the months of March and April when compared to levels from the same periods in 2019, and our revenue growth has also been modestly impacted, primarily due to lower growth of our non-recurring solutions including perpetual licenses and professional services engagements due to the COVID-19 pandemic. The duration and extent of the impact from the COVID-19 pandemic depends on future developments that cannot be accurately predicted at this time, such as the severity and transmission rate of the virus, the extent and effectiveness of containment actions and the impact of these and other factors on our colleagues, accounts, suppliers and partners. The COVID-19 pandemic may continue to materially affect the economies and financial markets in impacted countries and countries in which we operate, causing continued economic downturn that could decrease spending on infrastructure projects and adversely affect demand for our software solutions. Such impact on our business, operating results, cash flows and/or financial condition could be material. </w:t>
      </w:r>
      <w:r>
        <w:rPr>
          <w:rFonts w:ascii="Times New Roman" w:cs="Times New Roman" w:eastAsia="Times New Roman" w:hAnsi="Times New Roman"/>
          <w:sz w:val="18"/>
          <w:szCs w:val="18"/>
          <w:color w:val="212529"/>
        </w:rPr>
        <w:t>The COVID-19 pandemic may also have the effect of heightening other risks disclosed in these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such as, but not limited to, those related to supply chain interruptions and labor availability and cost.</w:t>
      </w:r>
    </w:p>
    <w:p>
      <w:pPr>
        <w:spacing w:after="0" w:line="189" w:lineRule="exact"/>
        <w:rPr>
          <w:sz w:val="20"/>
          <w:szCs w:val="20"/>
          <w:color w:val="auto"/>
        </w:rPr>
      </w:pPr>
    </w:p>
    <w:p>
      <w:pPr>
        <w:ind w:left="1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cycle for some of our solutions can be long and unpredictable and requires considerable time and expense, which may cause our results of operations to fluctuate.</w:t>
      </w:r>
    </w:p>
    <w:p>
      <w:pPr>
        <w:spacing w:after="0" w:line="5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The sales cycle for some of our solutions, from initial contact with a potential lead to contract execution and implementation, varies widely by brand and account, and can be lengthy. Some of our accounts undertake a significant evaluation process that frequently involves not only our solution, but also solutions of our competitors, which may result in extended sales cycles. Our sales efforts involve educating our accounts and prospective accounts about the use, technical capabilities and benefits of our solutions. We also put a significant amount of time into discussing with our accounts the value and importance of migrating to the latest versions of our software solutions. We have no assurance that the substantial time and money spent on our sales efforts will increase sales or cause existing accounts to migrate to the latest versions of our software solutions. Furthermore, our sales and marketing efforts in a given period may only result in sales in subsequent periods, or not at all. If we do not realize sales in the time period expected or at all, our business, financial condition, and results of operations could be adversely affected.</w:t>
      </w:r>
    </w:p>
    <w:p>
      <w:pPr>
        <w:spacing w:after="0" w:line="190" w:lineRule="exact"/>
        <w:rPr>
          <w:sz w:val="20"/>
          <w:szCs w:val="20"/>
          <w:color w:val="auto"/>
        </w:rPr>
      </w:pPr>
    </w:p>
    <w:p>
      <w:pPr>
        <w:ind w:left="14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keep pace with technological changes, and effectively market our new product solutions, our solutions may become less competitive and our business may suffer.</w:t>
      </w:r>
    </w:p>
    <w:p>
      <w:pPr>
        <w:spacing w:after="0" w:line="51"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We operate in an industry generally characterized by rapidly changing technology and frequent new software introductions, which can render existing software obsolete or unmarketable. A major factor in our future success will be our ability to anticipate technological changes and to develop and introduce, in a timely manner, enhancements to our existing software solutions, new software solutions and software solutions acquired in acquisitions to meet those changes. In particular, the software industry has undergone a transition from developing and selling perpetual licenses and on-premises products to cloud, mobile, and social applications. If we are unable to adapt our software solutions to the changing needs of our accounts and infrastructure engineers and to respond quickly to sector changes, our business, financial condition, results of operations, and cash flows could be harmed.</w:t>
      </w:r>
    </w:p>
    <w:p>
      <w:pPr>
        <w:spacing w:after="0" w:line="84"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The introduction and marketing of new or enhanced software solutions require us to manage the transition from existing software to minimize disruption in account use and purchasing patterns. There can be no assurance that we will be successful in developing and marketing, on a timely basis, new software or enhancements, that our new software solutions will adequately address the changing needs of the marketplace or that we will successfully manage the transition from existing software solutions. In addition, our future software solutions may require a higher level of sales and support expertise. Any inability of our sales team, including our channel partners, to obtain this expertise and to sell the new software offerings effectively could have an adverse impact on our sales in future periods. Any of these problems may result in the loss of or delay in account acceptance, decreased demand for or usage of our software solutions, damage to our reputation, or increased service and warranty costs, any of which could harm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39" w:firstLine="324"/>
        <w:spacing w:after="0" w:line="255" w:lineRule="auto"/>
        <w:rPr>
          <w:sz w:val="20"/>
          <w:szCs w:val="20"/>
          <w:color w:val="auto"/>
        </w:rPr>
      </w:pPr>
      <w:r>
        <w:rPr>
          <w:rFonts w:ascii="Times New Roman" w:cs="Times New Roman" w:eastAsia="Times New Roman" w:hAnsi="Times New Roman"/>
          <w:sz w:val="18"/>
          <w:szCs w:val="18"/>
          <w:color w:val="auto"/>
        </w:rPr>
        <w:t>We must act quickly, continuously, and with vision, given the rapidly changing expectations and technology advancements inherent in the software industry, the extensive and complex efforts required to create useful and widely accepted products and the rapid evolution of cloud computing, mobile devices, new computing platforms, and other technologies. Although we have articulated a strategy that we believe will fulfill these challenges, if we fail to execute properly on that strategy or adapt that strategy as market conditions evolve, we may fail to meet our accounts’ expectations, fail to compete with our competitors’ products and technology, and lose the confidence of our channel partners and colleagues, which in turn could adversely affect our business and financial performance.</w:t>
      </w:r>
    </w:p>
    <w:p>
      <w:pPr>
        <w:spacing w:after="0" w:line="185" w:lineRule="exact"/>
        <w:rPr>
          <w:sz w:val="20"/>
          <w:szCs w:val="20"/>
          <w:color w:val="auto"/>
        </w:rPr>
      </w:pPr>
    </w:p>
    <w:p>
      <w:pPr>
        <w:jc w:val="both"/>
        <w:ind w:left="1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Interruptions in the availability of server systems or communications with Internet, third-party hosting facilities or cloud-based services, or failure to maintain the security, confidentiality, accessibility, or integrity of data stored on such systems, could harm our business or impair the delivery of our managed services.</w:t>
      </w:r>
    </w:p>
    <w:p>
      <w:pPr>
        <w:spacing w:after="0" w:line="67" w:lineRule="exact"/>
        <w:rPr>
          <w:sz w:val="20"/>
          <w:szCs w:val="20"/>
          <w:color w:val="auto"/>
        </w:rPr>
      </w:pPr>
    </w:p>
    <w:p>
      <w:pPr>
        <w:ind w:left="140" w:right="259"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our software development personnel, source code, and computer equipment is located at operating facilities outside the United States. We also depend on data maintained on servers running third-party enterprise resource planning, account relationship management, and other business operations systems. We further rely upon a variety of Internet service providers, third-party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192" w:lineRule="exact"/>
        <w:rPr>
          <w:sz w:val="20"/>
          <w:szCs w:val="20"/>
          <w:color w:val="auto"/>
        </w:rPr>
      </w:pPr>
    </w:p>
    <w:p>
      <w:pPr>
        <w:ind w:left="14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third-party cloud data hosts, cloud computing platform providers, or third-party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72"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color w:val="auto"/>
        </w:rPr>
        <w:t>As we digitize and use cloud and web-based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spacing w:after="0" w:line="79"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or our IT systems. It is virtually impossible for us to entirely eliminate this risk. Like all software, our software is vulnerable to cyber attacks. The impact of cyber 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86"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19"/>
        <w:spacing w:after="0" w:line="282" w:lineRule="auto"/>
        <w:rPr>
          <w:sz w:val="20"/>
          <w:szCs w:val="20"/>
          <w:color w:val="auto"/>
        </w:rPr>
      </w:pPr>
      <w:r>
        <w:rPr>
          <w:rFonts w:ascii="Times New Roman" w:cs="Times New Roman" w:eastAsia="Times New Roman" w:hAnsi="Times New Roman"/>
          <w:sz w:val="18"/>
          <w:szCs w:val="18"/>
          <w:color w:val="auto"/>
        </w:rPr>
        <w:t>damage our reputation, negatively impact our future sales, disrupt our business and lead to regulatory inquiry and legal liability.</w:t>
      </w:r>
    </w:p>
    <w:p>
      <w:pPr>
        <w:spacing w:after="0" w:line="158" w:lineRule="exact"/>
        <w:rPr>
          <w:sz w:val="20"/>
          <w:szCs w:val="20"/>
          <w:color w:val="auto"/>
        </w:rPr>
      </w:pPr>
    </w:p>
    <w:p>
      <w:pPr>
        <w:ind w:left="14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51"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We sell our solutions in 172 countries, primarily through a direct sales force located throughout the world. Approximately 60%, 58% and 58% of our total revenues were from outside the United States in the years ended December 31, 2018 and 2019, and six months ended June 30, 2020, respectively. As we continue to expand our presence in international regions, the portion of our revenue, expenses, cash, accounts receivable and payment obligations denominated in foreign currencies continues to increase. Further, we anticipate that revenues from accounts outside of the United States will continue to comprise the majority of our total revenues for the foreseeable future.</w:t>
      </w:r>
    </w:p>
    <w:p>
      <w:pPr>
        <w:spacing w:after="0" w:line="79"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Because of our international activities, we have revenue, expenses, cash, accounts receivable and payment obligations denominated in foreign currencies. In the years ended December 31, 2018 and 2019, and the six months ended June 30, 2020, 49%, 47% and 44%,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Australian Dollar, Canadian Dollar, and Chinese Yuan Renminbi. For example, the Chinese Yuan Renminbi has fluctuated against the U.S. Dollar, at times significantly and unpredictably, due to changes in foreign exchange for a wide variety of reasons, including actions instituted by China. Because of changes in trade between the United States and China and Renminbi internationalization, the China may in the future announce further changes to the exchange rate system, and we cannot assure you that the Renminbi will not appreciate or depreciate significantly in value against the U.S. Dollar in the future.</w:t>
      </w:r>
    </w:p>
    <w:p>
      <w:pPr>
        <w:spacing w:after="0" w:line="89"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68"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121"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We continue to experience competition across all markets for our software solutions and services. Our competitors include large, global, publicly-traded companies, small, specialty or geographically-focused firms and organizations who develop their own solutions internally. Some of our current and possible future competitors have greater financial, technical, sales, marketing and other resources than us, some specialize in developing niche software solutions and some have well-established relationships with our current and potential accounts. There is no assurance that we will be able to continue to compete effectively. Parties among our current or future strategic alliances may diminish or sever technical, software development and marketing relationships with us for competitive purposes. These competitive pressures may result in decreased sales volumes, price reductions, and/or increased operating costs, and could result in lower revenues, margins, and net income.</w:t>
      </w:r>
    </w:p>
    <w:p>
      <w:pPr>
        <w:spacing w:after="0" w:line="76" w:lineRule="exact"/>
        <w:rPr>
          <w:sz w:val="20"/>
          <w:szCs w:val="20"/>
          <w:color w:val="auto"/>
        </w:rPr>
      </w:pPr>
    </w:p>
    <w:p>
      <w:pPr>
        <w:ind w:left="14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increase the number of new subscription-based accounts or cause existing accounts to renew their subscriptions, which could have a negative impact on our future revenues and results of operations.</w:t>
      </w:r>
    </w:p>
    <w:p>
      <w:pPr>
        <w:spacing w:after="0" w:line="51" w:lineRule="exact"/>
        <w:rPr>
          <w:sz w:val="20"/>
          <w:szCs w:val="20"/>
          <w:color w:val="auto"/>
        </w:rPr>
      </w:pPr>
    </w:p>
    <w:p>
      <w:pPr>
        <w:ind w:left="140" w:right="339" w:firstLine="324"/>
        <w:spacing w:after="0" w:line="277" w:lineRule="auto"/>
        <w:rPr>
          <w:sz w:val="20"/>
          <w:szCs w:val="20"/>
          <w:color w:val="auto"/>
        </w:rPr>
      </w:pPr>
      <w:r>
        <w:rPr>
          <w:rFonts w:ascii="Times New Roman" w:cs="Times New Roman" w:eastAsia="Times New Roman" w:hAnsi="Times New Roman"/>
          <w:sz w:val="17"/>
          <w:szCs w:val="17"/>
          <w:color w:val="auto"/>
        </w:rPr>
        <w:t>We may not be able to increase demand for our subscription-based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559"/>
        <w:spacing w:after="0" w:line="282" w:lineRule="auto"/>
        <w:rPr>
          <w:sz w:val="20"/>
          <w:szCs w:val="20"/>
          <w:color w:val="auto"/>
        </w:rPr>
      </w:pPr>
      <w:r>
        <w:rPr>
          <w:rFonts w:ascii="Times New Roman" w:cs="Times New Roman" w:eastAsia="Times New Roman" w:hAnsi="Times New Roman"/>
          <w:sz w:val="18"/>
          <w:szCs w:val="18"/>
          <w:color w:val="auto"/>
        </w:rPr>
        <w:t>renew their subscriptions or if they renew on less favorable terms, our revenues may decline, which could harm our business, financial condition, and results of operations.</w:t>
      </w:r>
    </w:p>
    <w:p>
      <w:pPr>
        <w:spacing w:after="0" w:line="158" w:lineRule="exact"/>
        <w:rPr>
          <w:sz w:val="20"/>
          <w:szCs w:val="20"/>
          <w:color w:val="auto"/>
        </w:rPr>
      </w:pPr>
    </w:p>
    <w:p>
      <w:pPr>
        <w:ind w:left="14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recognition policy and other factors may create volatility in our financial results in any given period and make them difficult to predict.</w:t>
      </w:r>
    </w:p>
    <w:p>
      <w:pPr>
        <w:spacing w:after="0" w:line="51"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As described in Note 3 to our consolidated financial statements for the years ended December 31, 2018 and 2019 included elsewhere in this prospectus, we adopted ASC 606 effective January 1, 2019. The new revenue guidance significantly impacts our timing of subscriptions and perpetual licenses revenue. Under previous revenue guidance, we historically maintained stable recurring revenue from the sale of software subscriptions and perpetual licenses. Under ASC 606, perpetual licenses and the license component of applicable subscriptions are recognized up front. The maintenance portion of subscription contracts continues to be recognized over the contract term.</w:t>
      </w:r>
    </w:p>
    <w:p>
      <w:pPr>
        <w:spacing w:after="0" w:line="79"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The adoption of the new revenue recognition guidance creates the likelihood for subscriptions and licenses revenue volatility to increase across quarterly periods, particularly as compared to our results under the previous revenue recognition standard. Annual and trailing twelve-months subscription revenues will be more consistent between periods, and as compared to our results under the previous revenue recognition standard, due to the annual, recurring nature of our subscription agreements. However, annual results are still subject to volatility due to the timing of renewals between periods, timing of new sales contracts, changes in contract term and length, changes in perpetual license sales, and conversion of existing subscription users to other commercial offerings, particularly consumption-based offerings with consumption measurement durations of less than one year.</w:t>
      </w:r>
    </w:p>
    <w:p>
      <w:pPr>
        <w:spacing w:after="0" w:line="188" w:lineRule="exact"/>
        <w:rPr>
          <w:sz w:val="20"/>
          <w:szCs w:val="20"/>
          <w:color w:val="auto"/>
        </w:rPr>
      </w:pPr>
    </w:p>
    <w:p>
      <w:pPr>
        <w:ind w:left="14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have fluctuated in the past and may fluctuate in the future, which could cause the price of our Class B common stock to decline or become volatile. These potential fluctuations can make our future results difficult to predict and cause our results of operations to fall below analyst or investor expectations.</w:t>
      </w:r>
    </w:p>
    <w:p>
      <w:pPr>
        <w:spacing w:after="0" w:line="67"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have fluctuated in the past and may fluctuate in the future as a result of a variety of factors, many of which are outside of our control. If our quarterly results of operations or guidance fall below the expectations of research analysts or investors, the price of our Class B common stock could decline substantially. The following factors, among others, could cause fluctuations in our quarterly results of operations:</w:t>
      </w:r>
    </w:p>
    <w:p>
      <w:pPr>
        <w:spacing w:after="0" w:line="72" w:lineRule="exact"/>
        <w:rPr>
          <w:sz w:val="20"/>
          <w:szCs w:val="20"/>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selling our subscription and services offerings;</w:t>
      </w:r>
    </w:p>
    <w:p>
      <w:pPr>
        <w:spacing w:after="0" w:line="117" w:lineRule="exact"/>
        <w:rPr>
          <w:rFonts w:ascii="Times New Roman" w:cs="Times New Roman" w:eastAsia="Times New Roman" w:hAnsi="Times New Roman"/>
          <w:sz w:val="18"/>
          <w:szCs w:val="18"/>
          <w:color w:val="auto"/>
        </w:rPr>
      </w:pPr>
    </w:p>
    <w:p>
      <w:pPr>
        <w:ind w:left="1120" w:right="239" w:hanging="32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accounts and retain existing accounts, including in connection with consolidation activities among, or management changes at, our accounts;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revenues and appropriately plan our expenses;</w:t>
      </w:r>
    </w:p>
    <w:p>
      <w:pPr>
        <w:spacing w:after="0" w:line="117" w:lineRule="exact"/>
        <w:rPr>
          <w:rFonts w:ascii="Times New Roman" w:cs="Times New Roman" w:eastAsia="Times New Roman" w:hAnsi="Times New Roman"/>
          <w:sz w:val="18"/>
          <w:szCs w:val="18"/>
          <w:color w:val="auto"/>
        </w:rPr>
      </w:pPr>
    </w:p>
    <w:p>
      <w:pPr>
        <w:ind w:left="1120" w:right="839" w:hanging="32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features, including ensuring inter-operational ability with our existing solutions and with third-party software and devices;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receiving milestone payments in respect of the projects for which our software is providing solutions;</w:t>
      </w:r>
    </w:p>
    <w:p>
      <w:pPr>
        <w:spacing w:after="0" w:line="117" w:lineRule="exact"/>
        <w:rPr>
          <w:rFonts w:ascii="Times New Roman" w:cs="Times New Roman" w:eastAsia="Times New Roman" w:hAnsi="Times New Roman"/>
          <w:sz w:val="18"/>
          <w:szCs w:val="18"/>
          <w:color w:val="auto"/>
        </w:rPr>
      </w:pPr>
    </w:p>
    <w:p>
      <w:pPr>
        <w:ind w:left="1120" w:right="899" w:hanging="32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consolidation within the industry, pricing changes or the introduction of new solutions;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any future acquisitions of businesses, solutions or technologies;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developing or acquiring technologies or businesses;</w:t>
      </w:r>
    </w:p>
    <w:p>
      <w:pPr>
        <w:spacing w:after="0" w:line="117"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operating costs and capital expenditures related to the operation, maintenance and expansion of our business;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or security breaches and any related occurrences that could impact our reputation;</w:t>
      </w:r>
    </w:p>
    <w:p>
      <w:pPr>
        <w:spacing w:after="0" w:line="117" w:lineRule="exact"/>
        <w:rPr>
          <w:rFonts w:ascii="Times New Roman" w:cs="Times New Roman" w:eastAsia="Times New Roman" w:hAnsi="Times New Roman"/>
          <w:sz w:val="18"/>
          <w:szCs w:val="18"/>
          <w:color w:val="auto"/>
        </w:rPr>
      </w:pPr>
    </w:p>
    <w:p>
      <w:pPr>
        <w:ind w:left="1120" w:right="599" w:hanging="328"/>
        <w:spacing w:after="0" w:line="282" w:lineRule="auto"/>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industry and market conditions, including disruptions in financial markets and the deterioration of the underlying economic conditions in some countries;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hanging="328"/>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affecting our business;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and other claims.</w:t>
      </w:r>
    </w:p>
    <w:p>
      <w:pPr>
        <w:spacing w:after="0" w:line="117"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Our quarterly revenues and results of operations may vary in the future, and period-to-period comparisons of our results of operations may not be meaningful. Any one or more of the factors above may result in significant fluctuations in our quarterly results of operations. You should not rely on the results of one quarter as an indication of future performance.</w:t>
      </w:r>
    </w:p>
    <w:p>
      <w:pPr>
        <w:spacing w:after="0" w:line="72" w:lineRule="exact"/>
        <w:rPr>
          <w:sz w:val="20"/>
          <w:szCs w:val="20"/>
          <w:color w:val="auto"/>
        </w:rPr>
      </w:pPr>
    </w:p>
    <w:p>
      <w:pPr>
        <w:jc w:val="both"/>
        <w:ind w:left="140" w:right="319" w:firstLine="324"/>
        <w:spacing w:after="0" w:line="281" w:lineRule="auto"/>
        <w:rPr>
          <w:sz w:val="20"/>
          <w:szCs w:val="20"/>
          <w:color w:val="auto"/>
        </w:rPr>
      </w:pPr>
      <w:r>
        <w:rPr>
          <w:rFonts w:ascii="Times New Roman" w:cs="Times New Roman" w:eastAsia="Times New Roman" w:hAnsi="Times New Roman"/>
          <w:sz w:val="17"/>
          <w:szCs w:val="17"/>
          <w:color w:val="auto"/>
        </w:rPr>
        <w:t>The variability and unpredictability of our quarterly results of operations or other operating metrics could result in our failure to meet our expectations or those of analysts that cover us or investors with respect to revenues or other key metrics for a particular period. If we fail to meet or exceed such expectations for these or any other reasons, the market price of our Class B common stock could fall, and we could face costly lawsuits, including securities class action suits.</w:t>
      </w:r>
    </w:p>
    <w:p>
      <w:pPr>
        <w:spacing w:after="0" w:line="160" w:lineRule="exact"/>
        <w:rPr>
          <w:sz w:val="20"/>
          <w:szCs w:val="20"/>
          <w:color w:val="auto"/>
        </w:rPr>
      </w:pPr>
    </w:p>
    <w:p>
      <w:pPr>
        <w:ind w:left="14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w:t>
      </w:r>
    </w:p>
    <w:p>
      <w:pPr>
        <w:spacing w:after="0" w:line="51"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80"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75"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The steps we have taken, and will take, may not prevent unauthorized use, reverse engineering, or misappropriation of our technologies and we may not be able to detect any of the foregoing. Others may independently develop technologies that infringe on our intellectual property rights. In addition, we cannot control the use of our open source components, which could allow third parties to create products or solutions that compete with our offerings or that contain errors, defects or other performance problems that could hurt our reputation and reduce the adoption of our solutions in new and existing accounts. Defending and enforcing our intellectual property rights may result in litigation or other contentious actions, any such litigation may not be successful, and even if successful, such litigation can be costly and divert management attention and resources. Further, if we are unsuccessful in asserting our intellectual property rights, an adverse decision could place limitations on the scope of our rights. If our efforts to protect our technologies and intellectual property are inadequate, the value of these intangible assets may be diminished and competitors may be able to replicate our solutions and methods of operations. Any of these events could harm our business, financial condition, and results of operations.</w:t>
      </w:r>
    </w:p>
    <w:p>
      <w:pPr>
        <w:spacing w:after="0" w:line="82" w:lineRule="exact"/>
        <w:rPr>
          <w:sz w:val="20"/>
          <w:szCs w:val="20"/>
          <w:color w:val="auto"/>
        </w:rPr>
      </w:pPr>
    </w:p>
    <w:p>
      <w:pPr>
        <w:ind w:left="140" w:right="339" w:firstLine="324"/>
        <w:spacing w:after="0" w:line="255" w:lineRule="auto"/>
        <w:rPr>
          <w:sz w:val="20"/>
          <w:szCs w:val="20"/>
          <w:color w:val="auto"/>
        </w:rPr>
      </w:pPr>
      <w:r>
        <w:rPr>
          <w:rFonts w:ascii="Times New Roman" w:cs="Times New Roman" w:eastAsia="Times New Roman" w:hAnsi="Times New Roman"/>
          <w:sz w:val="18"/>
          <w:szCs w:val="18"/>
          <w:color w:val="auto"/>
        </w:rPr>
        <w:t>Although copyright protection is available for works of authorship such as computer code, we primarily rely on trade secrets laws to protect our proprietary software code, and have chosen not to register copyrights for the code. Under the United States Copyright Act, copyrights must be registered before the copyright owner may bring an infringement suit in the United States, and if a copyright is not registered within three months of publication of the underlying work, there are limitations on the damages that the copyright owner may be awarded for infringement. Accordingly, because we have chosen not to register the copyrights in our software, the causes of action, remedies and damages available to us in an enforcement action may be limited.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our accounts and other enterprises in the markets in which we operate may result in loss of business.</w:t>
      </w:r>
    </w:p>
    <w:p>
      <w:pPr>
        <w:spacing w:after="0" w:line="51"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84" w:lineRule="exact"/>
        <w:rPr>
          <w:sz w:val="20"/>
          <w:szCs w:val="20"/>
          <w:color w:val="auto"/>
        </w:rPr>
      </w:pPr>
    </w:p>
    <w:p>
      <w:pPr>
        <w:ind w:left="14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67" w:lineRule="exact"/>
        <w:rPr>
          <w:sz w:val="20"/>
          <w:szCs w:val="20"/>
          <w:color w:val="auto"/>
        </w:rPr>
      </w:pPr>
    </w:p>
    <w:p>
      <w:pPr>
        <w:ind w:left="140" w:right="299" w:firstLine="324"/>
        <w:spacing w:after="0" w:line="281" w:lineRule="auto"/>
        <w:rPr>
          <w:sz w:val="20"/>
          <w:szCs w:val="20"/>
          <w:color w:val="auto"/>
        </w:rPr>
      </w:pPr>
      <w:r>
        <w:rPr>
          <w:rFonts w:ascii="Times New Roman" w:cs="Times New Roman" w:eastAsia="Times New Roman" w:hAnsi="Times New Roman"/>
          <w:sz w:val="17"/>
          <w:szCs w:val="17"/>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56"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Even if we are able to consummate acquisitions that we believe will be successful, these transactions present many risks including, among others:</w:t>
      </w:r>
    </w:p>
    <w:p>
      <w:pPr>
        <w:spacing w:after="0" w:line="54" w:lineRule="exact"/>
        <w:rPr>
          <w:sz w:val="20"/>
          <w:szCs w:val="20"/>
          <w:color w:val="auto"/>
        </w:rPr>
      </w:pPr>
    </w:p>
    <w:p>
      <w:pPr>
        <w:ind w:left="1120" w:hanging="32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synergies and revenue increases;</w:t>
      </w:r>
    </w:p>
    <w:p>
      <w:pPr>
        <w:spacing w:after="0" w:line="117" w:lineRule="exact"/>
        <w:rPr>
          <w:rFonts w:ascii="Times New Roman" w:cs="Times New Roman" w:eastAsia="Times New Roman" w:hAnsi="Times New Roman"/>
          <w:sz w:val="18"/>
          <w:szCs w:val="18"/>
          <w:color w:val="auto"/>
        </w:rPr>
      </w:pPr>
    </w:p>
    <w:p>
      <w:pPr>
        <w:ind w:left="1120" w:right="27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incorporating and integrating the acquired technologies or software solutions with our offerings, and existing applications;</w:t>
      </w:r>
    </w:p>
    <w:p>
      <w:pPr>
        <w:spacing w:after="0" w:line="53" w:lineRule="exact"/>
        <w:rPr>
          <w:rFonts w:ascii="Times New Roman" w:cs="Times New Roman" w:eastAsia="Times New Roman" w:hAnsi="Times New Roman"/>
          <w:sz w:val="18"/>
          <w:szCs w:val="18"/>
          <w:color w:val="auto"/>
        </w:rPr>
      </w:pPr>
    </w:p>
    <w:p>
      <w:pPr>
        <w:ind w:left="1120" w:right="499" w:hanging="328"/>
        <w:spacing w:after="0" w:line="312" w:lineRule="auto"/>
        <w:tabs>
          <w:tab w:leader="none" w:pos="11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managing an acquired company’s technologies or lines of business or entering new markets where we have limited prior experience or where competitors may have stronger market positions;</w:t>
      </w:r>
    </w:p>
    <w:p>
      <w:pPr>
        <w:spacing w:after="0" w:line="31" w:lineRule="exact"/>
        <w:rPr>
          <w:rFonts w:ascii="Times New Roman" w:cs="Times New Roman" w:eastAsia="Times New Roman" w:hAnsi="Times New Roman"/>
          <w:sz w:val="17"/>
          <w:szCs w:val="17"/>
          <w:color w:val="auto"/>
        </w:rPr>
      </w:pPr>
    </w:p>
    <w:p>
      <w:pPr>
        <w:ind w:left="1120" w:hanging="32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quality standards that are consistent with our brand and reputation;</w:t>
      </w:r>
    </w:p>
    <w:p>
      <w:pPr>
        <w:spacing w:after="0" w:line="117" w:lineRule="exact"/>
        <w:rPr>
          <w:rFonts w:ascii="Times New Roman" w:cs="Times New Roman" w:eastAsia="Times New Roman" w:hAnsi="Times New Roman"/>
          <w:sz w:val="18"/>
          <w:szCs w:val="18"/>
          <w:color w:val="auto"/>
        </w:rPr>
      </w:pPr>
    </w:p>
    <w:p>
      <w:pPr>
        <w:ind w:left="1120" w:right="81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53" w:lineRule="exact"/>
        <w:rPr>
          <w:rFonts w:ascii="Times New Roman" w:cs="Times New Roman" w:eastAsia="Times New Roman" w:hAnsi="Times New Roman"/>
          <w:sz w:val="18"/>
          <w:szCs w:val="18"/>
          <w:color w:val="auto"/>
        </w:rPr>
      </w:pPr>
    </w:p>
    <w:p>
      <w:pPr>
        <w:ind w:left="1120" w:right="49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management’s attention to transition or integration issues;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product does not identify significant problems;</w:t>
      </w:r>
    </w:p>
    <w:p>
      <w:pPr>
        <w:spacing w:after="0" w:line="117" w:lineRule="exact"/>
        <w:rPr>
          <w:rFonts w:ascii="Times New Roman" w:cs="Times New Roman" w:eastAsia="Times New Roman" w:hAnsi="Times New Roman"/>
          <w:sz w:val="18"/>
          <w:szCs w:val="18"/>
          <w:color w:val="auto"/>
        </w:rPr>
      </w:pPr>
    </w:p>
    <w:p>
      <w:pPr>
        <w:ind w:left="1120" w:right="199" w:hanging="328"/>
        <w:spacing w:after="0" w:line="266"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colleagues, accounts, or other third parties;</w:t>
      </w:r>
    </w:p>
    <w:p>
      <w:pPr>
        <w:spacing w:after="0" w:line="6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and unknown liabilities, including for intellectual property infringement;</w:t>
      </w:r>
    </w:p>
    <w:p>
      <w:pPr>
        <w:spacing w:after="0" w:line="117" w:lineRule="exact"/>
        <w:rPr>
          <w:rFonts w:ascii="Times New Roman" w:cs="Times New Roman" w:eastAsia="Times New Roman" w:hAnsi="Times New Roman"/>
          <w:sz w:val="18"/>
          <w:szCs w:val="18"/>
          <w:color w:val="auto"/>
        </w:rPr>
      </w:pPr>
    </w:p>
    <w:p>
      <w:pPr>
        <w:ind w:left="1120" w:right="23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interest expense, leverage and debt service requirements if we incur additional debt to pay for an acquisition;</w:t>
      </w:r>
    </w:p>
    <w:p>
      <w:pPr>
        <w:spacing w:after="0" w:line="53"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issue a significant amount of equity securities in connection with future acquisitions, dilution to existing stockholders and potential decreases in earnings per share;</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colleagues, accounts and channel partners of ours or of the acquired company; and</w:t>
      </w:r>
    </w:p>
    <w:p>
      <w:pPr>
        <w:spacing w:after="0" w:line="117" w:lineRule="exact"/>
        <w:rPr>
          <w:rFonts w:ascii="Times New Roman" w:cs="Times New Roman" w:eastAsia="Times New Roman" w:hAnsi="Times New Roman"/>
          <w:sz w:val="18"/>
          <w:szCs w:val="18"/>
          <w:color w:val="auto"/>
        </w:rPr>
      </w:pPr>
    </w:p>
    <w:p>
      <w:pPr>
        <w:ind w:left="1120" w:right="459" w:hanging="328"/>
        <w:spacing w:after="0" w:line="282" w:lineRule="auto"/>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software and processes of the acquired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We may also incur unanticipated costs, expenses or other liabilities as a result of an acquisition target’s violation of applicable laws, such as the Foreign Corrupt Practices Act (“FCPA”) or similar worldwide anti-bribery and anti-corruption laws in foreign jurisdictions, as well as data security and privacy laws such as the GDPR. If we do not achieve the anticipated benefits of our acquisitions as rapidly or to the extent anticipated by management and financial or industry analysts, or if we are subject to unanticipated costs, expenses or other liabilities in connection with our acquisitions, there could be an adverse effect on our stock price, business, financial position, results of operations or cash flows.</w:t>
      </w:r>
    </w:p>
    <w:p>
      <w:pPr>
        <w:spacing w:after="0" w:line="81" w:lineRule="exact"/>
        <w:rPr>
          <w:sz w:val="20"/>
          <w:szCs w:val="20"/>
          <w:color w:val="auto"/>
        </w:rPr>
      </w:pPr>
    </w:p>
    <w:p>
      <w:pPr>
        <w:jc w:val="both"/>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may negatively impact our business. In addition, such acquisitions may contribute to potential fluctuations in our quarterly financial results. These fluctuations could arise from transaction-related costs and charges associated with eliminating redundant expenses or write-offs of impaired assets recorded in connection with acquisitions. These costs or charges could negatively impact our financial results for a given period, cause quarter to quarter variability in our financial results or negatively impact our financial results for several future periods.</w:t>
      </w:r>
    </w:p>
    <w:p>
      <w:pPr>
        <w:spacing w:after="0" w:line="183" w:lineRule="exact"/>
        <w:rPr>
          <w:sz w:val="20"/>
          <w:szCs w:val="20"/>
          <w:color w:val="auto"/>
        </w:rPr>
      </w:pPr>
    </w:p>
    <w:p>
      <w:pPr>
        <w:jc w:val="both"/>
        <w:ind w:left="14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Increasingly stringent and growing data protection and privacy laws with respect to cloud computing, cross-border data transfer restrictions and other restrictions may apply to our business and non-compliance with such rules may limit the use and adoption of our services and adversely affect our business.</w:t>
      </w:r>
    </w:p>
    <w:p>
      <w:pPr>
        <w:spacing w:after="0" w:line="67"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As a result, we are required to comply with local laws and regulations, including data protection requirements in the countries where we do business.</w:t>
      </w:r>
    </w:p>
    <w:p>
      <w:pPr>
        <w:spacing w:after="0" w:line="81"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Globally, new and evolving regulations regarding data protection and privacy and other standards governing the collection, processing, storage and use of personal data impose additional burdens for us due to increasing compliance standards that could restrict the use and adoption of our solutions and applications (in particular cloud services).</w:t>
      </w:r>
    </w:p>
    <w:p>
      <w:pPr>
        <w:spacing w:after="0" w:line="68"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We have significant business operations in the European Union (“E.U.”) and European Economic Area (“EEA”), where the GDPR went into effect on May 25, 2018. The GDPR harmonized data protection regulations across the E.U. and EEA, implementing stringent requirements for the protection of E.U. and EEA individuals’ (“data subjects”) personal data. These requirements include expanded requirements for our users as E.U. and EEA data subjects, new obligations on us as data controllers and processors, and mandatory breach notification to affected individuals and data protection supervisory authorities. Non-compliance with GDPR could result in fines and penalties up to the greater of €20 million or 4% of global turnover for the preceding financial year. Moreover, individuals can claim damages resulting from infringement of the GDPR. As a result of the GDPR, as a personal data processor for our business-to-business accounts we must commit to detailed contractual obligations, including to ensure we only process such data on our accounts’ instructions, keep it secure, require our sub-processors to commit to similar commitments, delete data when the contract ends and let our accounts audit our compliance.</w:t>
      </w:r>
    </w:p>
    <w:p>
      <w:pPr>
        <w:spacing w:after="0" w:line="84" w:lineRule="exact"/>
        <w:rPr>
          <w:sz w:val="20"/>
          <w:szCs w:val="20"/>
          <w:color w:val="auto"/>
        </w:rPr>
      </w:pPr>
    </w:p>
    <w:p>
      <w:pPr>
        <w:jc w:val="both"/>
        <w:ind w:left="140" w:right="199" w:firstLine="324"/>
        <w:spacing w:after="0" w:line="257" w:lineRule="auto"/>
        <w:rPr>
          <w:sz w:val="20"/>
          <w:szCs w:val="20"/>
          <w:color w:val="auto"/>
        </w:rPr>
      </w:pPr>
      <w:r>
        <w:rPr>
          <w:rFonts w:ascii="Times New Roman" w:cs="Times New Roman" w:eastAsia="Times New Roman" w:hAnsi="Times New Roman"/>
          <w:sz w:val="18"/>
          <w:szCs w:val="18"/>
          <w:color w:val="auto"/>
        </w:rPr>
        <w:t>In addition, E.U. and EEA data protection rules regulate the transfers of E.U. and EEA individuals’ personal data to other countries that have been deemed by the European Commission not to provide adequate protection to personal data. The United States is not deemed to have adequate laws to protect personal data. We had relied upon the E.U.-U.S.</w:t>
      </w:r>
    </w:p>
    <w:p>
      <w:pPr>
        <w:spacing w:after="0" w:line="1" w:lineRule="exact"/>
        <w:rPr>
          <w:sz w:val="20"/>
          <w:szCs w:val="20"/>
          <w:color w:val="auto"/>
        </w:rPr>
      </w:pPr>
    </w:p>
    <w:p>
      <w:pPr>
        <w:ind w:left="140" w:right="159"/>
        <w:spacing w:after="0" w:line="251" w:lineRule="auto"/>
        <w:rPr>
          <w:sz w:val="20"/>
          <w:szCs w:val="20"/>
          <w:color w:val="auto"/>
        </w:rPr>
      </w:pPr>
      <w:r>
        <w:rPr>
          <w:rFonts w:ascii="Times New Roman" w:cs="Times New Roman" w:eastAsia="Times New Roman" w:hAnsi="Times New Roman"/>
          <w:sz w:val="18"/>
          <w:szCs w:val="18"/>
          <w:color w:val="auto"/>
        </w:rPr>
        <w:t>Privacy Shield program to legitimize certain transfers of personal data from the E.U. and EEA to the United States. However, on July 16, 2020, the European Court of Justice (“ECJ”) invalidated the E.U.-U.S. Privacy Shield program that we (along with thousands of other companies) have used to transfer data from the E.U. and EEA to the United States in compliance with GDPR. As a result of this decision, companies like us that previously relied upon Privacy Shield will be required to use another GDPR-approved method to legitimize transfers of personal data to the U.S. and other third countries in compliance with the GDPR. Until the remaining legal uncertainties regarding how to legally continue these transfers are settled, we will continue to face uncertainty as to whether our efforts to comply with our obligations under European privacy laws will be sufficient. Our accounts may view alternative data transfer mechanisms as being too costly, too burdensome, too legally uncertain or otherwise objectionable and therefore decide not to do business with us. For example, some of our accounts or potential accounts in the E.U. may require their vendors to host all personal data within the E.U. and may decide to do business with one of our competitors who hosts personal data within the E.U. instead of doing business with us. This and other future developments regarding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359"/>
        <w:spacing w:after="0" w:line="266" w:lineRule="auto"/>
        <w:rPr>
          <w:sz w:val="20"/>
          <w:szCs w:val="20"/>
          <w:color w:val="auto"/>
        </w:rPr>
      </w:pPr>
      <w:r>
        <w:rPr>
          <w:rFonts w:ascii="Times New Roman" w:cs="Times New Roman" w:eastAsia="Times New Roman" w:hAnsi="Times New Roman"/>
          <w:sz w:val="18"/>
          <w:szCs w:val="18"/>
          <w:color w:val="auto"/>
        </w:rPr>
        <w:t>the flow of data across borders could increase the cost and complexity of delivering our products and services in some markets and may lead to governmental enforcement actions, litigation, fines and penalties or adverse publicity, which could have an adverse effect on our reputation and business.</w:t>
      </w:r>
    </w:p>
    <w:p>
      <w:pPr>
        <w:spacing w:after="0" w:line="68"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Further, laws such as the E.U.’s Privacy and Electronic Communications Directive 2002 (“ePrivacy Directive”), national legislation across the E.U. implementing the ePrivacy Directive and the proposed ePrivacy Regulation are increasingly aimed at the use of personal data for marketing purposes, and the tracking of individuals’ online activities. These existing or proposed laws and regulations are subject to differing interpretations and may be inconsistent among jurisdictions and member states. These and other requirements may have a negative effect on businesses, including ours, that collect and use online usage information for consumer acquisition and marketing. As the text of the ePrivacy Regulation is still under development, and as further guidance is issued and interpretation of both the ePrivacy Regulation and GDPR develop, we could incur costs to comply with these regulations.</w:t>
      </w:r>
    </w:p>
    <w:p>
      <w:pPr>
        <w:spacing w:after="0" w:line="84"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In addition, despite the enactment of the UK Data Protection Act, which substantially implements the GDPR and became effective in May 2018, it remains unclear exactly how the withdrawal of the United Kingdom from the European Union will affect transborder data flows, regulators’ jurisdiction over our business, and other matters related to how we do business and how we comply with applicable data protection laws. Accordingly, we cannot predict the additional expense, impact on revenue, or other business impact that may stem from the United Kingdom’s withdrawal from the European Union at this time.</w:t>
      </w:r>
    </w:p>
    <w:p>
      <w:pPr>
        <w:spacing w:after="0" w:line="79"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In the Asia-Pacific region, where we have significant business operations, changes in privacy and cybersecurity regulation, some of which is similar to changes effected by the GDPR, have come into effect in 2018 and 2019, and similar significant regulatory changes are expected across the Asia-Pacific region in the future. These changes introduce more stringent requirements, including that we register our data processing activities in certain jurisdictions, appoint local representatives in-country, restrict the cross-border transfer of personal, confidential and commercially sensitive information in some cases, provide expanded disclosures to tell our accounts about how we use their personal information, and obtain detailed consents from accounts to processing of personal information. There are also increased rights for accounts to access, control and delete their personal information. In addition, there are mandatory data breach notification requirements that differ depending on the jurisdiction as well as increases to penalties and expanded enforcement powers for regulators.</w:t>
      </w:r>
    </w:p>
    <w:p>
      <w:pPr>
        <w:spacing w:after="0" w:line="86"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the EEA, and other jurisdictions, and we cannot yet determine the impact such future laws, regulations and standards may have on our business. For example, in June 2018 California enacted the California Consumer Privacy Act (the “CCPA”), which took effect on January 1, 2020. The CCPA broadly defines personal information, gives California residents expanded privacy rights and protections and provides for civil penalties for violations and a private right of action for data breaches. In addition to government activity, privacy advocacy groups and technology and other industries are considering various new, additional or different self-regulatory standards that may place additional burdens on us. Future laws, regulations, standards and other obligations, and changes in the interpretation of existing laws, regulations, standards and other obligations could impair our ability to collect, use or disclose personally identifiable information, increase our costs and impair our ability to maintain and grow our account base and increase our revenue. New laws, amendments to or re-interpretations of existing laws and regulations, industry standards, contractual obligations and other obligations may require us to incur additional costs and restrict our business operations. Such laws and regulations may require companies to implement privacy and security policies, permit users to access, correct and delete personal data stored or maintained by such companies, inform individuals of security breaches that affect their personal data, and, in some cases, obtain individuals’ consent to use personal data for certain purposes. If we, or the third parties on which we rely, fail to comply with federal, state and international data privacy laws and regulations, our ability to successfully operate our business and pursue our business goals could be harmed.</w:t>
      </w:r>
    </w:p>
    <w:p>
      <w:pPr>
        <w:spacing w:after="0" w:line="84" w:lineRule="exact"/>
        <w:rPr>
          <w:sz w:val="20"/>
          <w:szCs w:val="20"/>
          <w:color w:val="auto"/>
        </w:rPr>
      </w:pPr>
    </w:p>
    <w:p>
      <w:pPr>
        <w:jc w:val="both"/>
        <w:ind w:left="140" w:right="419" w:firstLine="324"/>
        <w:spacing w:after="0" w:line="261"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such data, could result in enforcement action against us, including fines and public censure, claims for damages by accounts and other affected individuals, damage to our reputation and loss of goodwill (both in relation to existing accounts and prospective accounts), any of which could harm our business, financial condition, and results of operations.</w:t>
      </w:r>
    </w:p>
    <w:p>
      <w:pPr>
        <w:spacing w:after="0" w:line="72" w:lineRule="exact"/>
        <w:rPr>
          <w:sz w:val="20"/>
          <w:szCs w:val="20"/>
          <w:color w:val="auto"/>
        </w:rPr>
      </w:pPr>
    </w:p>
    <w:p>
      <w:pPr>
        <w:ind w:left="140" w:right="599" w:firstLine="324"/>
        <w:spacing w:after="0" w:line="266"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data. If those lawsuits are successful, it could increase the likelihood that our company may be exposed to liability for our own policies and practices concerning the processing of personal data and could hurt our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81" w:lineRule="exact"/>
        <w:rPr>
          <w:sz w:val="20"/>
          <w:szCs w:val="20"/>
          <w:color w:val="auto"/>
        </w:rPr>
      </w:pPr>
    </w:p>
    <w:p>
      <w:pPr>
        <w:ind w:left="140" w:right="339" w:firstLine="324"/>
        <w:spacing w:after="0" w:line="266"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it, or lead to significant fines, penalties or liabilities for any noncompliance.</w:t>
      </w:r>
    </w:p>
    <w:p>
      <w:pPr>
        <w:spacing w:after="0" w:line="68" w:lineRule="exact"/>
        <w:rPr>
          <w:sz w:val="20"/>
          <w:szCs w:val="20"/>
          <w:color w:val="auto"/>
        </w:rPr>
      </w:pPr>
    </w:p>
    <w:p>
      <w:pPr>
        <w:ind w:left="140" w:right="399" w:firstLine="324"/>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may cause our accounts’ customers to resist providing the data necessary to allow our accounts to use our services effectively. Even the perception that the privacy of personal information is not satisfactorily protected or does not meet regulatory requirements could inhibit sales of our software solutions or services, and could limit adoption of our cloud-based solutions.</w:t>
      </w:r>
    </w:p>
    <w:p>
      <w:pPr>
        <w:spacing w:after="0" w:line="176" w:lineRule="exact"/>
        <w:rPr>
          <w:sz w:val="20"/>
          <w:szCs w:val="20"/>
          <w:color w:val="auto"/>
        </w:rPr>
      </w:pPr>
    </w:p>
    <w:p>
      <w:pPr>
        <w:ind w:left="14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personnel, and we could be subject to substantial risk of loss if any of them terminate their relationship with us.</w:t>
      </w:r>
    </w:p>
    <w:p>
      <w:pPr>
        <w:spacing w:after="0" w:line="51"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services of our key personnel, including Barry J. Bentley, Gregory S. Bentley, Keith A. Bentley and Raymond B. Bentley. These individuals and each of our other executive officers, key technical personnel, and colleagues could terminate his or her relationship with us at any time. Failure to effectively implement our succession planning efforts and to ensure effective transfers of knowledge and smooth transitions involving key personnel could disrupt or adversely affect our business and results of operations. Additionally, Barry J. Bentley, Gregory S. Bentley, Keith A. Bentley and Raymond B. Bentley and most of our senior management team and other key personnel are not subject to employment or other agreements containing non-compete provisions. Accordingly, the adverse effect resulting from the loss of certain key personnel could be compounded by our inability to prevent them from competing with us. Further, we do not maintain key person insurance on any of our senior management team or other key personnel in the event of their death or extended incapacity. The loss of any of our senior executives might significantly delay or prevent the achievement of our business objectives and could harm our business and account relationships.</w:t>
      </w:r>
    </w:p>
    <w:p>
      <w:pPr>
        <w:spacing w:after="0" w:line="78" w:lineRule="exact"/>
        <w:rPr>
          <w:sz w:val="20"/>
          <w:szCs w:val="20"/>
          <w:color w:val="auto"/>
        </w:rPr>
      </w:pPr>
    </w:p>
    <w:p>
      <w:pPr>
        <w:ind w:left="14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integrating and retaining highly qualified personnel, we may not be able to successfully implement our business strategy.</w:t>
      </w:r>
    </w:p>
    <w:p>
      <w:pPr>
        <w:spacing w:after="0" w:line="51" w:lineRule="exact"/>
        <w:rPr>
          <w:sz w:val="20"/>
          <w:szCs w:val="20"/>
          <w:color w:val="auto"/>
        </w:rPr>
      </w:pPr>
    </w:p>
    <w:p>
      <w:pPr>
        <w:ind w:left="140" w:right="299" w:firstLine="324"/>
        <w:spacing w:after="0" w:line="254" w:lineRule="auto"/>
        <w:rPr>
          <w:sz w:val="20"/>
          <w:szCs w:val="20"/>
          <w:color w:val="auto"/>
        </w:rPr>
      </w:pPr>
      <w:r>
        <w:rPr>
          <w:rFonts w:ascii="Times New Roman" w:cs="Times New Roman" w:eastAsia="Times New Roman" w:hAnsi="Times New Roman"/>
          <w:sz w:val="18"/>
          <w:szCs w:val="18"/>
          <w:color w:val="auto"/>
        </w:rPr>
        <w:t>Our ability to establish and maintain a position of technology leadership in the highly competitive software market depends in large part upon our ability to attract, integrate and retain highly skilled engineering and development personnel in the United States and internationally. The market for this talent is highly competitive, and our recruiting efforts are widespread and conducted in varying hiring climates throughout the world. Due to restrictive immigration laws in the United States, we are also sometimes limited in our ability to integrate our international colleagues to locations where their skills may be particularly well-suited. If we are not successful in recruiting and retaining key personnel or integrating our personnel effectively, our business, reputation and results of operations could be adversely affected.</w:t>
      </w:r>
    </w:p>
    <w:p>
      <w:pPr>
        <w:spacing w:after="0" w:line="188" w:lineRule="exact"/>
        <w:rPr>
          <w:sz w:val="20"/>
          <w:szCs w:val="20"/>
          <w:color w:val="auto"/>
        </w:rPr>
      </w:pPr>
    </w:p>
    <w:p>
      <w:pPr>
        <w:ind w:left="14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5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 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61" w:lineRule="auto"/>
        <w:rPr>
          <w:sz w:val="20"/>
          <w:szCs w:val="20"/>
          <w:color w:val="auto"/>
        </w:rPr>
      </w:pPr>
      <w:r>
        <w:rPr>
          <w:rFonts w:ascii="Times New Roman" w:cs="Times New Roman" w:eastAsia="Times New Roman" w:hAnsi="Times New Roman"/>
          <w:sz w:val="18"/>
          <w:szCs w:val="18"/>
          <w:color w:val="auto"/>
        </w:rPr>
        <w:t>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76" w:lineRule="exact"/>
        <w:rPr>
          <w:sz w:val="20"/>
          <w:szCs w:val="20"/>
          <w:color w:val="auto"/>
        </w:rPr>
      </w:pPr>
    </w:p>
    <w:p>
      <w:pPr>
        <w:ind w:left="14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prospects may be harmed if we are unable to cross-sell our solutions.</w:t>
      </w:r>
    </w:p>
    <w:p>
      <w:pPr>
        <w:spacing w:after="0" w:line="51"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A significant component of our growth strategy is to increase the cross-selling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cross-sell these solutions to accounts using our existing solutions. Any failure to sell additional solutions to current and future accounts could harm our business, financial condition, results of operations, and prospects.</w:t>
      </w:r>
    </w:p>
    <w:p>
      <w:pPr>
        <w:spacing w:after="0" w:line="183" w:lineRule="exact"/>
        <w:rPr>
          <w:sz w:val="20"/>
          <w:szCs w:val="20"/>
          <w:color w:val="auto"/>
        </w:rPr>
      </w:pPr>
    </w:p>
    <w:p>
      <w:pPr>
        <w:ind w:left="14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license third-party technologies for the development of certain of our software solutions, and, in some instances, we incorporate third-party technologies, including open source software, into our software solutions. If we fail to maintain these licenses or are unable to secure alternative licenses on reasonable terms, our business could be adversely affected.</w:t>
      </w:r>
    </w:p>
    <w:p>
      <w:pPr>
        <w:spacing w:after="0" w:line="72"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We license third-party technologies to develop certain of our products, and, in some cases, we incorporate third-party technologies into our own software solutions, including technologies owned by our competitors. If we were to seek to expand the scope of this activity in the future, we could be required to obtain additional licenses and enter into long-term arrangements with third parties on whose technology we could become substantially dependent.</w:t>
      </w:r>
    </w:p>
    <w:p>
      <w:pPr>
        <w:spacing w:after="0" w:line="72"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use or license these third-party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w:t>
      </w:r>
    </w:p>
    <w:p>
      <w:pPr>
        <w:spacing w:after="0" w:line="79"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Furthermore, we are unable to predict whether future license agreements and arrangements with third parties can be obtained, and, if obtained, whether they can be renewed on acceptable terms, or at all. If we become substantially dependent upon any such third-party technology and we are unable to successfully license it, we may not be able to develop or commercialize our software solutions in a timely manner or at all. Any of the foregoing could adversely impact our business and results of operations.</w:t>
      </w:r>
    </w:p>
    <w:p>
      <w:pPr>
        <w:spacing w:after="0" w:line="75"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 In such event, we could be required to seek licenses from third-parties in order to continue offering our products, to disclose and offer royalty-free licenses to our own source code, to re-engineer our products, or to discontinue the sale of our products in the event re-engineering cannot be accomplished on a timely basis, any of which could adversely impact our business and results of operations.</w:t>
      </w:r>
    </w:p>
    <w:p>
      <w:pPr>
        <w:spacing w:after="0" w:line="188" w:lineRule="exact"/>
        <w:rPr>
          <w:sz w:val="20"/>
          <w:szCs w:val="20"/>
          <w:color w:val="auto"/>
        </w:rPr>
      </w:pPr>
    </w:p>
    <w:p>
      <w:pPr>
        <w:ind w:left="14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result of our strategy of strategic partnerships with other companies for product development, our product delivery schedules could be adversely affected if we experience difficulties with our product development partners.</w:t>
      </w:r>
    </w:p>
    <w:p>
      <w:pPr>
        <w:spacing w:after="0" w:line="28"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We have strategic partnerships with certain independent firms and contractors to perform some of our product development activities. We believe our strategic partnerships allow us to, among other things, achieve efficiencies in developing new products and maintaining and enhancing existing product offerings. Our strategic partnerships create a dependency on such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539"/>
        <w:spacing w:after="0" w:line="282" w:lineRule="auto"/>
        <w:rPr>
          <w:sz w:val="20"/>
          <w:szCs w:val="20"/>
          <w:color w:val="auto"/>
        </w:rPr>
      </w:pPr>
      <w:r>
        <w:rPr>
          <w:rFonts w:ascii="Times New Roman" w:cs="Times New Roman" w:eastAsia="Times New Roman" w:hAnsi="Times New Roman"/>
          <w:sz w:val="18"/>
          <w:szCs w:val="18"/>
          <w:color w:val="auto"/>
        </w:rPr>
        <w:t>intellectual property to misappropriation and result in disruptions to product delivery schedules, which in turn could harm our business, financial condition, and results of operations.</w:t>
      </w:r>
    </w:p>
    <w:p>
      <w:pPr>
        <w:spacing w:after="0" w:line="158" w:lineRule="exact"/>
        <w:rPr>
          <w:sz w:val="20"/>
          <w:szCs w:val="20"/>
          <w:color w:val="auto"/>
        </w:rPr>
      </w:pPr>
    </w:p>
    <w:p>
      <w:pPr>
        <w:ind w:left="140"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have a negative effect on global economic conditions, financial markets and our business.</w:t>
      </w:r>
    </w:p>
    <w:p>
      <w:pPr>
        <w:spacing w:after="0" w:line="51" w:lineRule="exact"/>
        <w:rPr>
          <w:sz w:val="20"/>
          <w:szCs w:val="20"/>
          <w:color w:val="auto"/>
        </w:rPr>
      </w:pPr>
    </w:p>
    <w:p>
      <w:pPr>
        <w:ind w:left="140" w:right="179" w:firstLine="324"/>
        <w:spacing w:after="0" w:line="251" w:lineRule="auto"/>
        <w:rPr>
          <w:sz w:val="20"/>
          <w:szCs w:val="20"/>
          <w:color w:val="auto"/>
        </w:rPr>
      </w:pPr>
      <w:r>
        <w:rPr>
          <w:rFonts w:ascii="Times New Roman" w:cs="Times New Roman" w:eastAsia="Times New Roman" w:hAnsi="Times New Roman"/>
          <w:sz w:val="18"/>
          <w:szCs w:val="18"/>
          <w:color w:val="auto"/>
        </w:rPr>
        <w:t>The United Kingdom’s withdrawal from the European Union (“Brexit”) has created political and economic uncertainty, particularly in the United Kingdom and the European Union, and this uncertainty may last for years. Demand for our software solutions or services could be affected by the impact of Brexit. For example, while we have invoiced our U.K.-based accounts and operated our business within the United Kingdom through our U.K.-based subsidiary since the fourth quarter of 2018 to manage risks posed to our business and operations by Brexit, Brexit may cause delays in purchasing decisions by our potential and current accounts affected by this transition and there is considerable uncertainty as to when the long-term nature of the United Kingdom’s relationship with the European Union will be agreed and implemented and what the terms of that relationship will be. The final terms of this exit by the United Kingdom from the European Union may result in new regulatory and cost challenges to our U.K. and global operations. In addition, our business and our channel partners’ businesses could be negatively affected by new trade agreements between the United Kingdom and other countries, including the United States and by the possible imposition of trade or other regulatory barriers in the United Kingdom. The unresolved final terms of Brexit have also created uncertainty with regard to the regulation of data protection in the United Kingdom. For example, the UK Data Protection Act, which substantially implements the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Depending on the terms reached regarding any exit from the European Union, it is possible that there may be adverse practical or operational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costs and restrictions associated with the repatriation of cash from our non-U.S. operations.</w:t>
      </w:r>
    </w:p>
    <w:p>
      <w:pPr>
        <w:spacing w:after="0" w:line="121"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approximately 98% of those balances held outside of the United States as of December 31, 2019.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188" w:lineRule="exact"/>
        <w:rPr>
          <w:sz w:val="20"/>
          <w:szCs w:val="20"/>
          <w:color w:val="auto"/>
        </w:rPr>
      </w:pPr>
    </w:p>
    <w:p>
      <w:pPr>
        <w:ind w:left="1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51"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79"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Intellectual property lawsuits are subject to inherent uncertainties due to the complexity of the technical issues involved, and we cannot be certain that we will be successful in defending ourselves against intellectual property claims. In addition, we may not be able to effectively use our intellectual property portfolio to assert defenses or counterclaims in response to copyright, patent and trademark infringement claims or litigation, as well as claims for trade secret misappropriation and unfair competition, brought against us by third parties. Further, litigation may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99"/>
        <w:spacing w:after="0" w:line="282" w:lineRule="auto"/>
        <w:rPr>
          <w:sz w:val="20"/>
          <w:szCs w:val="20"/>
          <w:color w:val="auto"/>
        </w:rPr>
      </w:pPr>
      <w:r>
        <w:rPr>
          <w:rFonts w:ascii="Times New Roman" w:cs="Times New Roman" w:eastAsia="Times New Roman" w:hAnsi="Times New Roman"/>
          <w:sz w:val="18"/>
          <w:szCs w:val="18"/>
          <w:color w:val="auto"/>
        </w:rPr>
        <w:t>involve patent holding companies or other adverse patent owners who have no relevant products and against whom our patent portfolio may provide little or no deterrence.</w:t>
      </w:r>
    </w:p>
    <w:p>
      <w:pPr>
        <w:spacing w:after="0" w:line="54"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color w:val="auto"/>
        </w:rPr>
        <w:t>Many potential litigants have the capability to dedicate substantially greater resources to enforce their intellectual property rights and to defend claims that may be brought against them. Furthermore, a successful claimant could secure a judgment that requires us to pay substantial damages or prevents us from distributing certain solutions or performing certain services. We might also be required to seek a license and pay royalties for the use of such intellectual property, which may not be available on commercially acceptable terms or at all. Alternatively, we may be required to develop non-infringing technology, which could require significant effort and expense and may ultimately not be successful.</w:t>
      </w:r>
    </w:p>
    <w:p>
      <w:pPr>
        <w:spacing w:after="0" w:line="183" w:lineRule="exact"/>
        <w:rPr>
          <w:sz w:val="20"/>
          <w:szCs w:val="20"/>
          <w:color w:val="auto"/>
        </w:rPr>
      </w:pPr>
    </w:p>
    <w:p>
      <w:pPr>
        <w:ind w:left="14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infringe on the intellectual property rights of others, we may be required to indemnify our accounts for any damages they suffer.</w:t>
      </w:r>
    </w:p>
    <w:p>
      <w:pPr>
        <w:spacing w:after="0" w:line="51"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We generally indemnify our accounts with respect to infringement by our products of the proprietary rights of third parties. Third parties may assert infringement claims against our accounts. These claims may require us to initiate or defend protracted and costly litigation on behalf of our accounts, regardless of the merits of these claims. If any of these claims succeed, we may be forced to pay damages on behalf of our accounts or may be required to obtain licenses for the products they use. If we cannot obtain all necessary licenses on commercially reasonable terms, our accounts may stop using our products.</w:t>
      </w:r>
    </w:p>
    <w:p>
      <w:pPr>
        <w:spacing w:after="0" w:line="183" w:lineRule="exact"/>
        <w:rPr>
          <w:sz w:val="20"/>
          <w:szCs w:val="20"/>
          <w:color w:val="auto"/>
        </w:rPr>
      </w:pPr>
    </w:p>
    <w:p>
      <w:pPr>
        <w:ind w:left="14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and our accounts may impact our ability to sell our software solutions at prices necessary to support our current business strategies.</w:t>
      </w:r>
    </w:p>
    <w:p>
      <w:pPr>
        <w:spacing w:after="0" w:line="5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The intense competition we face in the sales of our software solutions and services, and general economic and business conditions, can put pressure on us to lower our prices. If our competitors offer deep discounts on certain software solutions or services, or develop software solutions that the marketplace considers more valuable, we may need to lower prices or offer discounts or other favorable terms to compete successfully. Any such changes may reduce operating margins and could adversely affect results of operations. Any broad-based change to our prices and pricing policies could cause new software subscription and service revenues to decline or be delayed as our sales force implements and our accounts adjust to the new pricing policies.</w:t>
      </w:r>
    </w:p>
    <w:p>
      <w:pPr>
        <w:spacing w:after="0" w:line="185" w:lineRule="exact"/>
        <w:rPr>
          <w:sz w:val="20"/>
          <w:szCs w:val="20"/>
          <w:color w:val="auto"/>
        </w:rPr>
      </w:pPr>
    </w:p>
    <w:p>
      <w:pPr>
        <w:ind w:left="14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covenants that may limit our operating flexibility, and certain changes in ownership of equity interests in us by the Bentley Family constitutes an event of default.</w:t>
      </w:r>
    </w:p>
    <w:p>
      <w:pPr>
        <w:spacing w:after="0" w:line="51"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The agreement governing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3.50 to 1.00 and a covenant requiring the fixed charge coverage ratio for any period of four consecutive fiscal quarters to not be less than 3.0 to 1.00, and financial reporting requirements. Borrowings under the Credit Facility are secured by a first priority security interest in substantially all of our U.S. assets and 65% of the stock our foreign subsidiaries owned by a party to the agreement governing the Credit Facility.</w:t>
      </w:r>
    </w:p>
    <w:p>
      <w:pPr>
        <w:spacing w:after="0" w:line="84"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Further, if the Bentley Family ceases to collectively own equity interests in us representing at least a majority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72"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could affect interest rates under our Credit Facility.</w:t>
      </w:r>
    </w:p>
    <w:p>
      <w:pPr>
        <w:spacing w:after="0" w:line="121" w:lineRule="exact"/>
        <w:rPr>
          <w:sz w:val="20"/>
          <w:szCs w:val="20"/>
          <w:color w:val="auto"/>
        </w:rPr>
      </w:pPr>
    </w:p>
    <w:p>
      <w:pPr>
        <w:ind w:left="140" w:right="239" w:firstLine="324"/>
        <w:spacing w:after="0" w:line="252"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announced it intends to stop compelling banks to submit rates for the calculation of the London Interbank Offered Rate (“LIBOR”) after 2021. It is unclear if LIBOR will cease to exist at that time, if a new method of calculating LIBOR will be established, or if an alternative reference rate will be established. The Federal Reserve Board and the Federal Reserve Bank of New York organized the Alternative Reference Rates Committee, which identified the Secured Overnight Financing Rate (“SOFR”) as its preferred alternative to U.S. dollar LIBOR in derivatives and other financial contracts. We are not able to predict when LIBOR will cease to be available or if SOFR, or another alternative reference rate, attains market traction as a LIBOR replacement.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 margins and, as such, the interest rate on Euro currency borrowings under our Credit Facility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which could exacerbate the risks described above.</w:t>
      </w:r>
    </w:p>
    <w:p>
      <w:pPr>
        <w:spacing w:after="0" w:line="121"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“Management’s Discussion and Analysis of Financial Condition and Results of Operations—Liquidity and Capital Resources.”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to us.</w:t>
      </w:r>
    </w:p>
    <w:p>
      <w:pPr>
        <w:spacing w:after="0" w:line="121"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We may require substantial funds to operate our business and pursue our strategies. Our future liquidity and capital requirements are difficult to predict as they depend upon many factors, including the success of our solutions and competing technological and market developments. In the future, we may require additional capital to respond to business opportunities, challenges, acquisitions, a decline in the level of account prepayments or unforeseen circumstances and may determine to engage in equity or debt financings or enter into credit facilities for other reasons, and we may not be able to timely secure additional debt or equity financing on favorable terms, or at all. Any additional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raise funds through issuances of equity, convertible debt securities or other securities convertible into equity, our existing stockholders could suffer significant dilution in their percentage ownership of our company. If we are unable to obtain adequate financing or financing on terms satisfactory to us when we require it, our ability to continue to grow or support our business and to respond to business challenges could be significantly limited.</w:t>
      </w:r>
    </w:p>
    <w:p>
      <w:pPr>
        <w:spacing w:after="0" w:line="183" w:lineRule="exact"/>
        <w:rPr>
          <w:sz w:val="20"/>
          <w:szCs w:val="20"/>
          <w:color w:val="auto"/>
        </w:rPr>
      </w:pPr>
    </w:p>
    <w:p>
      <w:pPr>
        <w:ind w:left="14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67"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to invest more resources in research and development than anticipated, which could increase our operating expenses and negatively affect our results of operations.</w:t>
      </w:r>
    </w:p>
    <w:p>
      <w:pPr>
        <w:spacing w:after="0" w:line="51" w:lineRule="exact"/>
        <w:rPr>
          <w:sz w:val="20"/>
          <w:szCs w:val="20"/>
          <w:color w:val="auto"/>
        </w:rPr>
      </w:pPr>
    </w:p>
    <w:p>
      <w:pPr>
        <w:ind w:left="140" w:right="239" w:firstLine="324"/>
        <w:spacing w:after="0" w:line="256" w:lineRule="auto"/>
        <w:rPr>
          <w:sz w:val="20"/>
          <w:szCs w:val="20"/>
          <w:color w:val="auto"/>
        </w:rPr>
      </w:pPr>
      <w:r>
        <w:rPr>
          <w:rFonts w:ascii="Times New Roman" w:cs="Times New Roman" w:eastAsia="Times New Roman" w:hAnsi="Times New Roman"/>
          <w:sz w:val="18"/>
          <w:szCs w:val="18"/>
          <w:color w:val="auto"/>
        </w:rPr>
        <w:t>We devote substantial resources to research and development. New competitors, technological advances in the software industry or by competitors, our acquisitions, our entry into new markets, or other competitive factors may require us to invest significantly greater resources than we anticipate. If we are required to invest significantly greater resources than anticipated without a corresponding increase in revenue, our results of operations could decline. Additionally, our periodic research and development expenses may be independent of our level of revenue, which could negatively impact our financial results.</w:t>
      </w:r>
    </w:p>
    <w:p>
      <w:pPr>
        <w:spacing w:after="0" w:line="79" w:lineRule="exact"/>
        <w:rPr>
          <w:sz w:val="20"/>
          <w:szCs w:val="20"/>
          <w:color w:val="auto"/>
        </w:rPr>
      </w:pPr>
    </w:p>
    <w:p>
      <w:pPr>
        <w:ind w:left="140" w:right="559" w:firstLine="324"/>
        <w:spacing w:after="0" w:line="266" w:lineRule="auto"/>
        <w:rPr>
          <w:sz w:val="20"/>
          <w:szCs w:val="20"/>
          <w:color w:val="auto"/>
        </w:rPr>
      </w:pPr>
      <w:r>
        <w:rPr>
          <w:rFonts w:ascii="Times New Roman" w:cs="Times New Roman" w:eastAsia="Times New Roman" w:hAnsi="Times New Roman"/>
          <w:sz w:val="18"/>
          <w:szCs w:val="18"/>
          <w:color w:val="auto"/>
        </w:rPr>
        <w:t>Further, technology for which we spend a significant amount of time and resources on in our research and development, such as our digital twin technology, may prove to be less marketable than we expect. There can be no guarantee that our research and development investments will result in products that create additional revenue.</w:t>
      </w:r>
    </w:p>
    <w:p>
      <w:pPr>
        <w:spacing w:after="0" w:line="172" w:lineRule="exact"/>
        <w:rPr>
          <w:sz w:val="20"/>
          <w:szCs w:val="20"/>
          <w:color w:val="auto"/>
        </w:rPr>
      </w:pPr>
    </w:p>
    <w:p>
      <w:pPr>
        <w:ind w:left="1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revenues are from sales by our channel partners, and we could be subject to loss or liability based on their actions.</w:t>
      </w:r>
    </w:p>
    <w:p>
      <w:pPr>
        <w:spacing w:after="0" w:line="5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Sales through our global network of independent, regional channel partners accounted for 9% and 8% of our revenues for the years ended December 31, 2018 and 2019, respectively. These channel partners sell our software solutions to smaller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79"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79" w:lineRule="exact"/>
        <w:rPr>
          <w:sz w:val="20"/>
          <w:szCs w:val="20"/>
          <w:color w:val="auto"/>
        </w:rPr>
      </w:pPr>
    </w:p>
    <w:p>
      <w:pPr>
        <w:ind w:left="1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solutions are complex, and accounts may experience difficulty in implementing, upgrading or otherwise achieving the benefits attributable to them.</w:t>
      </w:r>
    </w:p>
    <w:p>
      <w:pPr>
        <w:spacing w:after="0" w:line="51" w:lineRule="exact"/>
        <w:rPr>
          <w:sz w:val="20"/>
          <w:szCs w:val="20"/>
          <w:color w:val="auto"/>
        </w:rPr>
      </w:pPr>
    </w:p>
    <w:p>
      <w:pPr>
        <w:ind w:left="140" w:right="279" w:firstLine="324"/>
        <w:spacing w:after="0" w:line="274" w:lineRule="auto"/>
        <w:rPr>
          <w:sz w:val="20"/>
          <w:szCs w:val="20"/>
          <w:color w:val="auto"/>
        </w:rPr>
      </w:pPr>
      <w:r>
        <w:rPr>
          <w:rFonts w:ascii="Times New Roman" w:cs="Times New Roman" w:eastAsia="Times New Roman" w:hAnsi="Times New Roman"/>
          <w:sz w:val="17"/>
          <w:szCs w:val="17"/>
          <w:color w:val="auto"/>
        </w:rPr>
        <w:t>Due to the scope and complexity of some of the solutions that we provide, our implementation cycle for them can be lengthy and unpredictable. Some solutions require configuration and integration with existing computer systems and applications of our accounts and their trading partners, which can be time-consuming and expensive for our accounts and can result in implementation delays. As a result, some accounts may have difficulty implementing those solutions successfully or otherwise achieving their expected benefits. Delayed or ineffective implementation or upgrades may limit our future sales opportunities, negatively affect revenue, result in account dissatisfaction and harm our reputation.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Determining our effective income tax rate is complex and subject to uncertainty.</w:t>
      </w:r>
    </w:p>
    <w:p>
      <w:pPr>
        <w:spacing w:after="0" w:line="121" w:lineRule="exact"/>
        <w:rPr>
          <w:sz w:val="20"/>
          <w:szCs w:val="20"/>
          <w:color w:val="auto"/>
        </w:rPr>
      </w:pPr>
    </w:p>
    <w:p>
      <w:pPr>
        <w:ind w:left="140" w:right="239" w:firstLine="324"/>
        <w:spacing w:after="0" w:line="277" w:lineRule="auto"/>
        <w:rPr>
          <w:sz w:val="20"/>
          <w:szCs w:val="20"/>
          <w:color w:val="auto"/>
        </w:rPr>
      </w:pPr>
      <w:r>
        <w:rPr>
          <w:rFonts w:ascii="Times New Roman" w:cs="Times New Roman" w:eastAsia="Times New Roman" w:hAnsi="Times New Roman"/>
          <w:sz w:val="17"/>
          <w:szCs w:val="17"/>
          <w:color w:val="auto"/>
        </w:rPr>
        <w:t>We make significant estimates in determining our worldwide income tax provision. These estimates involve complex tax laws and regulations in a number of jurisdictions across our global operations and are subject to many transactions and calculations in which the ultimate tax outcome is uncertain. The final outcome of tax matters could be different than the estimates reflected in the historical income tax provision and related accruals. These differences could have a material impact on income tax expense and net income in the periods in which such determinations are made.</w:t>
      </w:r>
    </w:p>
    <w:p>
      <w:pPr>
        <w:spacing w:after="0" w:line="60" w:lineRule="exact"/>
        <w:rPr>
          <w:sz w:val="20"/>
          <w:szCs w:val="20"/>
          <w:color w:val="auto"/>
        </w:rPr>
      </w:pPr>
    </w:p>
    <w:p>
      <w:pPr>
        <w:ind w:left="140" w:right="319" w:firstLine="324"/>
        <w:spacing w:after="0" w:line="282" w:lineRule="auto"/>
        <w:rPr>
          <w:sz w:val="20"/>
          <w:szCs w:val="20"/>
          <w:color w:val="auto"/>
        </w:rPr>
      </w:pPr>
      <w:r>
        <w:rPr>
          <w:rFonts w:ascii="Times New Roman" w:cs="Times New Roman" w:eastAsia="Times New Roman" w:hAnsi="Times New Roman"/>
          <w:sz w:val="18"/>
          <w:szCs w:val="18"/>
          <w:color w:val="auto"/>
        </w:rPr>
        <w:t>The amount of income tax we pay is subject to ongoing audits by federal, state and foreign tax authorities. These audits can often result in additional assessments, including interest and penalties. Our estimate for liabilities associated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2" w:name="page43"/>
    <w:bookmarkEnd w:id="4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61" w:lineRule="auto"/>
        <w:rPr>
          <w:sz w:val="20"/>
          <w:szCs w:val="20"/>
          <w:color w:val="auto"/>
        </w:rPr>
      </w:pPr>
      <w:r>
        <w:rPr>
          <w:rFonts w:ascii="Times New Roman" w:cs="Times New Roman" w:eastAsia="Times New Roman" w:hAnsi="Times New Roman"/>
          <w:sz w:val="18"/>
          <w:szCs w:val="18"/>
          <w:color w:val="auto"/>
        </w:rPr>
        <w:t>with uncertain tax positions is highly judgmental and actual future outcomes may result in favorable or unfavorable adjustments to our estimated tax liabilities, including estimates for uncertain tax positions, in the period the assessments are made or resolved, audits are closed or when statutes of limitation on potential assessments expire. As a result, our effective tax rate may fluctuate significantly on a quarterly or annual basis.</w:t>
      </w:r>
    </w:p>
    <w:p>
      <w:pPr>
        <w:spacing w:after="0" w:line="176" w:lineRule="exact"/>
        <w:rPr>
          <w:sz w:val="20"/>
          <w:szCs w:val="20"/>
          <w:color w:val="auto"/>
        </w:rPr>
      </w:pPr>
    </w:p>
    <w:p>
      <w:pPr>
        <w:ind w:left="14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intended efficiency of our corporate structure depends on the application of the tax laws and regulations in the countries where we operate, and we may have exposure to additional tax liabilities or our effective tax rate could change, which could have a material impact on our financial condition and results of operations.</w:t>
      </w:r>
    </w:p>
    <w:p>
      <w:pPr>
        <w:spacing w:after="0" w:line="67"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As a company with international operations, we are subject to income taxes, as well as non-income based taxes, in both the United States and various foreign jurisdictions. Currently, the majority of our revenues is generated from accounts located outside the United States, and a large portion of our assets are located outside the United States. We have designed our corporate structure, the manner in which we develop and use our intellectual property, and our intercompany transactions between our subsidiaries in a way that is intended to enhance our operational and financial efficiency and increase our overall profitability. United States income taxes and foreign withholding taxes have not been provided on undistributed earnings of non-U.S. subsidiaries to the extent those earnings are considered to be indefinitely reinvested in the operations of those subsidiaries. The application of the tax laws and regulations of various countries in which we operate and to our global operations is subject to interpretation. We also must operate our business in a manner consistent with our corporate structure to realize such efficiencies. The tax authorities of the countries in which we operate may challenge our methodologies for valuing developed technology or for transfer pricing. If, for one or more of these reasons, tax authorities determine that the manner in which we operate results in our business not achieving the intended tax consequences, our effective tax rate could increase and harm our financial condition and results of operations.</w:t>
      </w:r>
    </w:p>
    <w:p>
      <w:pPr>
        <w:spacing w:after="0" w:line="89"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A change in the tax law in the jurisdictions in which we do business, including an increase in tax rates, an adverse change in the treatment of an item of income or expense, a decrease in tax rates in a jurisdiction in which we have significant deferred tax assets, or a new or different interpretation of applicable tax law, could result in a material increase in tax expense. The United States government and other governments are considering and may adopt tax law changes that significantly increase our worldwide tax liabilities. The U.S. Congress and other government legislatures and agencies in countries where we and our subsidiaries operate have focused on issues related to the taxation of multinational corporations. For example, in Ireland, where one of our significant subsidiaries is domiciled, tax authorities recently announced changes to the treatment of non-resident Irish entities. The changes are expected to take effect for existing non-resident Irish entities, such as ours, in 2021. These changes, and other prospective changes in the United States and other countries in which we and our subsidiaries operate, could increase our effective tax rate, and harm our financial condition and results of operations.</w:t>
      </w:r>
    </w:p>
    <w:p>
      <w:pPr>
        <w:spacing w:after="0" w:line="242" w:lineRule="exact"/>
        <w:rPr>
          <w:sz w:val="20"/>
          <w:szCs w:val="20"/>
          <w:color w:val="auto"/>
        </w:rPr>
      </w:pPr>
    </w:p>
    <w:p>
      <w:pPr>
        <w:ind w:left="14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72"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FCPA and similar anti-bribery and anti-corruption laws associated with our activities outside the United States could subject us to penalties and other adverse consequences.</w:t>
      </w:r>
    </w:p>
    <w:p>
      <w:pPr>
        <w:spacing w:after="0" w:line="51"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revenues are from jurisdictions outside of the United States.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84"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In many foreign jurisdictions where we operate, particularly countries with developing economies, it may be a local custom for businesses to engage in practices that are prohibited by the FCPA or other similar laws and regulations. There can be no assurance that our colleagues, partners and agents, as well as those companies to which we outsource certain of our business operations, will not take actions in violation of the FCPA or our policies for which we may be ultimately held responsible. If we or our intermediaries fail to comply with the requirements of the FCPA or similar anti-bribery and anti-corruption legislation such as the United Kingdom Bribery Act and the China Unfair Competition law, governmental authorities in the United States and elsewhere could seek to impose civil and/or criminal fines and penalties, which could harm our business, financial conditions, and results of operations. We may also face collateral consequences such as debarment and the loss of our export privileges.</w:t>
      </w:r>
    </w:p>
    <w:p>
      <w:pPr>
        <w:spacing w:after="0" w:line="184" w:lineRule="exact"/>
        <w:rPr>
          <w:sz w:val="20"/>
          <w:szCs w:val="20"/>
          <w:color w:val="auto"/>
        </w:rPr>
      </w:pPr>
    </w:p>
    <w:p>
      <w:pPr>
        <w:ind w:left="14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5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self-disclosures or other measures.</w:t>
      </w:r>
    </w:p>
    <w:p>
      <w:pPr>
        <w:spacing w:after="0" w:line="80" w:lineRule="exact"/>
        <w:rPr>
          <w:sz w:val="20"/>
          <w:szCs w:val="20"/>
          <w:color w:val="auto"/>
        </w:rPr>
      </w:pPr>
    </w:p>
    <w:p>
      <w:pPr>
        <w:ind w:left="140" w:right="359" w:firstLine="324"/>
        <w:spacing w:after="0" w:line="261" w:lineRule="auto"/>
        <w:rPr>
          <w:sz w:val="20"/>
          <w:szCs w:val="20"/>
          <w:color w:val="auto"/>
        </w:rPr>
      </w:pPr>
      <w:r>
        <w:rPr>
          <w:rFonts w:ascii="Times New Roman" w:cs="Times New Roman" w:eastAsia="Times New Roman" w:hAnsi="Times New Roman"/>
          <w:sz w:val="18"/>
          <w:szCs w:val="18"/>
          <w:color w:val="auto"/>
        </w:rPr>
        <w:t>Further, if our channel partners fail to obtain appropriate import, export or re-export licenses or permits, we may also be adversely affected, for example, through reputational harm as well as other negative consequences including government investigations and penalties. Complying with export control and sanctions regulations for a particular sale may be time-consuming and may result in the delay or loss of sales opportunities.</w:t>
      </w:r>
    </w:p>
    <w:p>
      <w:pPr>
        <w:spacing w:after="0" w:line="72" w:lineRule="exact"/>
        <w:rPr>
          <w:sz w:val="20"/>
          <w:szCs w:val="20"/>
          <w:color w:val="auto"/>
        </w:rPr>
      </w:pPr>
    </w:p>
    <w:p>
      <w:pPr>
        <w:ind w:left="140" w:right="499" w:firstLine="324"/>
        <w:spacing w:after="0" w:line="281" w:lineRule="auto"/>
        <w:rPr>
          <w:sz w:val="20"/>
          <w:szCs w:val="20"/>
          <w:color w:val="auto"/>
        </w:rPr>
      </w:pPr>
      <w:r>
        <w:rPr>
          <w:rFonts w:ascii="Times New Roman" w:cs="Times New Roman" w:eastAsia="Times New Roman" w:hAnsi="Times New Roman"/>
          <w:sz w:val="17"/>
          <w:szCs w:val="17"/>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disrupted upon the occurrence of a catastrophic event.</w:t>
      </w:r>
    </w:p>
    <w:p>
      <w:pPr>
        <w:spacing w:after="0" w:line="12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accounts and computer operations for our internal use. The failure of our systems or hosted computer services due to a catastrophic event, such as an earthquake, fire, flood, tsunami, weather event, pandemic, telecommunications failure, power failure, cyber attack, terrorism, or war, could adversely impact our business, financial condition, or results of operations.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conduct business. This could in turn decrease that country’s or region’s demand for our products and services, thereby negatively impacting our financial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product or professional liability claims that could cause us to be liable for damages.</w:t>
      </w:r>
    </w:p>
    <w:p>
      <w:pPr>
        <w:spacing w:after="0" w:line="12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82"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79" w:lineRule="exact"/>
        <w:rPr>
          <w:sz w:val="20"/>
          <w:szCs w:val="20"/>
          <w:color w:val="auto"/>
        </w:rPr>
      </w:pPr>
    </w:p>
    <w:p>
      <w:pPr>
        <w:ind w:left="14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51" w:lineRule="exact"/>
        <w:rPr>
          <w:sz w:val="20"/>
          <w:szCs w:val="20"/>
          <w:color w:val="auto"/>
        </w:rPr>
      </w:pPr>
    </w:p>
    <w:p>
      <w:pPr>
        <w:ind w:left="140" w:right="179" w:firstLine="324"/>
        <w:spacing w:after="0" w:line="270"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GAAP. The preparation of these financial statements requires us to make estimates and judgments about, among other things, taxes, revenue recognition, stock-based compensation costs, investments, contingent obligations, allowance for doubtful accounts and intangible assets. These estimates and judgments affect the reported amounts of our assets, liabilities, revenues and expenses,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existing financial accounting standards or practices may harm our results of operations.</w:t>
      </w:r>
    </w:p>
    <w:p>
      <w:pPr>
        <w:spacing w:after="0" w:line="121"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Changes in existing accounting rules or practices, new accounting pronouncements rules, or varying interpretations of current accounting pronouncements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72" w:lineRule="exact"/>
        <w:rPr>
          <w:sz w:val="20"/>
          <w:szCs w:val="20"/>
          <w:color w:val="auto"/>
        </w:rPr>
      </w:pPr>
    </w:p>
    <w:p>
      <w:pPr>
        <w:ind w:left="140" w:right="219" w:firstLine="324"/>
        <w:spacing w:after="0" w:line="252" w:lineRule="auto"/>
        <w:rPr>
          <w:sz w:val="20"/>
          <w:szCs w:val="20"/>
          <w:color w:val="auto"/>
        </w:rPr>
      </w:pPr>
      <w:r>
        <w:rPr>
          <w:rFonts w:ascii="Times New Roman" w:cs="Times New Roman" w:eastAsia="Times New Roman" w:hAnsi="Times New Roman"/>
          <w:sz w:val="18"/>
          <w:szCs w:val="18"/>
          <w:color w:val="auto"/>
        </w:rPr>
        <w:t xml:space="preserve">U.S. GAAP is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particular, in February 2016, the FASB issued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supersedes the lease accounting guidance in ASC 840, Leases. The core principle of ASC 842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spacing w:after="0" w:line="6" w:lineRule="exact"/>
        <w:rPr>
          <w:sz w:val="20"/>
          <w:szCs w:val="20"/>
          <w:color w:val="auto"/>
        </w:rPr>
      </w:pPr>
    </w:p>
    <w:p>
      <w:pPr>
        <w:ind w:left="140" w:right="159"/>
        <w:spacing w:after="0" w:line="252" w:lineRule="auto"/>
        <w:rPr>
          <w:sz w:val="20"/>
          <w:szCs w:val="20"/>
          <w:color w:val="auto"/>
        </w:rPr>
      </w:pPr>
      <w:r>
        <w:rPr>
          <w:rFonts w:ascii="Times New Roman" w:cs="Times New Roman" w:eastAsia="Times New Roman" w:hAnsi="Times New Roman"/>
          <w:sz w:val="18"/>
          <w:szCs w:val="18"/>
          <w:color w:val="auto"/>
        </w:rPr>
        <w:t>12 months regardless of their classification. 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with respect to ASC 842, which resulted in ASC 842 becoming effective for us beginning on January 1, 2020. Any difficulties in implementing these pronouncements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419" w:firstLine="324"/>
        <w:spacing w:after="0" w:line="261" w:lineRule="auto"/>
        <w:rPr>
          <w:sz w:val="20"/>
          <w:szCs w:val="20"/>
          <w:color w:val="auto"/>
        </w:rPr>
      </w:pPr>
      <w:r>
        <w:rPr>
          <w:rFonts w:ascii="Times New Roman" w:cs="Times New Roman" w:eastAsia="Times New Roman" w:hAnsi="Times New Roman"/>
          <w:sz w:val="18"/>
          <w:szCs w:val="18"/>
          <w:color w:val="auto"/>
        </w:rPr>
        <w:t>We are evaluating the impact of the adoption of ASC 842 and currently believe the most significant impact upon adoption will be the recognition of material right-of-use assets and lease liabilities on our consolidated balance sheets associated with operating leases. We do not believe this standard will have a material impact on our consolidated statements of operations data.</w:t>
      </w:r>
    </w:p>
    <w:p>
      <w:pPr>
        <w:spacing w:after="0" w:line="176" w:lineRule="exact"/>
        <w:rPr>
          <w:sz w:val="20"/>
          <w:szCs w:val="20"/>
          <w:color w:val="auto"/>
        </w:rPr>
      </w:pPr>
    </w:p>
    <w:p>
      <w:pPr>
        <w:ind w:left="1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Class B common stock less attractive to investors.</w:t>
      </w:r>
    </w:p>
    <w:p>
      <w:pPr>
        <w:spacing w:after="0" w:line="51" w:lineRule="exact"/>
        <w:rPr>
          <w:sz w:val="20"/>
          <w:szCs w:val="20"/>
          <w:color w:val="auto"/>
        </w:rPr>
      </w:pPr>
    </w:p>
    <w:p>
      <w:pPr>
        <w:ind w:left="140" w:right="179"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Additionally, as an “emerging growth company” we are required to have only two years of audited financial statements and only two years of related selected financial data and Management’s Discussion and Analysis of Financial Condition and Results of Operations disclosure. We may take advantage of these exemptions until we are no longer an “emerging growth company,” which could be as long as five full fiscal years following the listing of our Class B common stock on The Nasdaq Global Select Market. We cannot predict if investors will find our Class B common stock less attractive because we will rely on these exemptions. If some investors find our Class B common stock less attractive as a result, there may be a less active trading market for our Class B common stock and the price of our Class B common stock may be more volatile.</w:t>
      </w:r>
    </w:p>
    <w:p>
      <w:pPr>
        <w:spacing w:after="0" w:line="89"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79" w:lineRule="exact"/>
        <w:rPr>
          <w:sz w:val="20"/>
          <w:szCs w:val="20"/>
          <w:color w:val="auto"/>
        </w:rPr>
      </w:pPr>
    </w:p>
    <w:p>
      <w:pPr>
        <w:ind w:left="140" w:right="2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under Section 107 of the JOBS Act to use the extended transition period with respect to complying with new or revised accounting standards, our financial statements may not be comparable to companies that comply with public company effective dates, making it more difficult for an investor to compare our results with other public companies.</w:t>
      </w:r>
    </w:p>
    <w:p>
      <w:pPr>
        <w:spacing w:after="0" w:line="72"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of 1933, as amended (the “Securities Act”) by Section 102(b)(1) of the JOBS Act, for complying with new or revised accounting standards. In other words, as an emerging growth company we can delay the adoption of new or revised accounting standards that have different effective dates for public and private companies until those standards would otherwise apply to private companies, which will result in less available information for our investors. We have elected to take advantage of the benefits of this extended transition period. As a result, our financial statements may not be comparable to those of companies that comply with public company effective dates.</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B Common Stock</w:t>
      </w:r>
    </w:p>
    <w:p>
      <w:pPr>
        <w:spacing w:after="0" w:line="117" w:lineRule="exact"/>
        <w:rPr>
          <w:sz w:val="20"/>
          <w:szCs w:val="20"/>
          <w:color w:val="auto"/>
        </w:rPr>
      </w:pPr>
    </w:p>
    <w:p>
      <w:pPr>
        <w:jc w:val="both"/>
        <w:ind w:left="14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share price of our Class B common stock may be volatile, and you may be unable to sell your shares at or above the offering price, if at all. Market volatility may affect the value of an investment in our Class B common stock and could subject us to litigation.</w:t>
      </w:r>
    </w:p>
    <w:p>
      <w:pPr>
        <w:spacing w:after="0" w:line="67"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no public market for our Class B common stock prior to this offering. The initial public offering price for the shares of our Class B common stock will be determined through negotiations between us and representatives of the underwriters and may not be indicative of prices that will prevail in the trading market. The market price of our Class B common stock could be subject to wide fluctuations in response to the risk factors listed in this prospectus, and others beyond our control, including:</w:t>
      </w:r>
    </w:p>
    <w:p>
      <w:pPr>
        <w:spacing w:after="0" w:line="75" w:lineRule="exact"/>
        <w:rPr>
          <w:sz w:val="20"/>
          <w:szCs w:val="20"/>
          <w:color w:val="auto"/>
        </w:rPr>
      </w:pPr>
    </w:p>
    <w:p>
      <w:pPr>
        <w:ind w:left="1120" w:right="319" w:hanging="328"/>
        <w:spacing w:after="0" w:line="282" w:lineRule="auto"/>
        <w:tabs>
          <w:tab w:leader="none" w:pos="112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B common stock publicly owned and available for trading (our “public float”);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279" w:hanging="328"/>
        <w:spacing w:after="0" w:line="261" w:lineRule="auto"/>
        <w:tabs>
          <w:tab w:leader="none" w:pos="11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following this offering whose trading or lack of trading could result in a volatile market price for our Class B common stock, uncertain trading volume, negative pricing pressure on the price of our Class B common stock and an adverse impact on your ability to sell any Class B common stock that you may purchase;</w:t>
      </w:r>
    </w:p>
    <w:p>
      <w:pPr>
        <w:spacing w:after="0" w:line="71" w:lineRule="exact"/>
        <w:rPr>
          <w:rFonts w:ascii="Times New Roman" w:cs="Times New Roman" w:eastAsia="Times New Roman" w:hAnsi="Times New Roman"/>
          <w:sz w:val="18"/>
          <w:szCs w:val="18"/>
          <w:color w:val="auto"/>
        </w:rPr>
      </w:pPr>
    </w:p>
    <w:p>
      <w:pPr>
        <w:ind w:left="1120" w:right="459" w:hanging="328"/>
        <w:spacing w:after="0" w:line="282" w:lineRule="auto"/>
        <w:tabs>
          <w:tab w:leader="none" w:pos="11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concentration of the ownership of our Class B common stock by a limited number of affiliated stockholders;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and/or publicly-listed technology companies;</w:t>
      </w:r>
    </w:p>
    <w:p>
      <w:pPr>
        <w:spacing w:after="0" w:line="117" w:lineRule="exact"/>
        <w:rPr>
          <w:rFonts w:ascii="Times New Roman" w:cs="Times New Roman" w:eastAsia="Times New Roman" w:hAnsi="Times New Roman"/>
          <w:sz w:val="18"/>
          <w:szCs w:val="18"/>
          <w:color w:val="auto"/>
        </w:rPr>
      </w:pPr>
    </w:p>
    <w:p>
      <w:pPr>
        <w:ind w:left="1120" w:right="27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and other non-GAAP metrics;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performance and the operating performance of our competitors;</w:t>
      </w:r>
    </w:p>
    <w:p>
      <w:pPr>
        <w:spacing w:after="0" w:line="117" w:lineRule="exact"/>
        <w:rPr>
          <w:rFonts w:ascii="Times New Roman" w:cs="Times New Roman" w:eastAsia="Times New Roman" w:hAnsi="Times New Roman"/>
          <w:sz w:val="18"/>
          <w:szCs w:val="18"/>
          <w:color w:val="auto"/>
        </w:rPr>
      </w:pPr>
    </w:p>
    <w:p>
      <w:pPr>
        <w:ind w:left="1120" w:right="43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projected operational and financial results we provide to the public or our failure to meet those projections;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accounts;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software solutions or business;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spacing w:after="0" w:line="117" w:lineRule="exact"/>
        <w:rPr>
          <w:rFonts w:ascii="Times New Roman" w:cs="Times New Roman" w:eastAsia="Times New Roman" w:hAnsi="Times New Roman"/>
          <w:sz w:val="18"/>
          <w:szCs w:val="18"/>
          <w:color w:val="auto"/>
        </w:rPr>
      </w:pPr>
    </w:p>
    <w:p>
      <w:pPr>
        <w:ind w:left="1120" w:right="17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53" w:lineRule="exact"/>
        <w:rPr>
          <w:rFonts w:ascii="Times New Roman" w:cs="Times New Roman" w:eastAsia="Times New Roman" w:hAnsi="Times New Roman"/>
          <w:sz w:val="18"/>
          <w:szCs w:val="18"/>
          <w:color w:val="auto"/>
        </w:rPr>
      </w:pPr>
    </w:p>
    <w:p>
      <w:pPr>
        <w:ind w:left="1120" w:right="499" w:hanging="328"/>
        <w:spacing w:after="0" w:line="282" w:lineRule="auto"/>
        <w:tabs>
          <w:tab w:leader="none" w:pos="11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management, or key personnel, including Barry J. Bentley, Gregory S. Bentley, Keith A. Bentley or Raymond B. Bentley in particular;</w:t>
      </w:r>
    </w:p>
    <w:p>
      <w:pPr>
        <w:spacing w:after="0" w:line="53" w:lineRule="exact"/>
        <w:rPr>
          <w:rFonts w:ascii="Times New Roman" w:cs="Times New Roman" w:eastAsia="Times New Roman" w:hAnsi="Times New Roman"/>
          <w:sz w:val="18"/>
          <w:szCs w:val="18"/>
          <w:color w:val="auto"/>
        </w:rPr>
      </w:pPr>
    </w:p>
    <w:p>
      <w:pPr>
        <w:ind w:left="1120" w:right="53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 or our failure to meet the estimates or the expectations of investors;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120" w:right="69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expected sales of our Class B common stock by us, and our officers, directors, and principal stockholders;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contractual lock-up periods;</w:t>
      </w:r>
    </w:p>
    <w:p>
      <w:pPr>
        <w:spacing w:after="0" w:line="117" w:lineRule="exact"/>
        <w:rPr>
          <w:rFonts w:ascii="Times New Roman" w:cs="Times New Roman" w:eastAsia="Times New Roman" w:hAnsi="Times New Roman"/>
          <w:sz w:val="18"/>
          <w:szCs w:val="18"/>
          <w:color w:val="auto"/>
        </w:rPr>
      </w:pPr>
    </w:p>
    <w:p>
      <w:pPr>
        <w:ind w:left="1120" w:right="259" w:hanging="328"/>
        <w:spacing w:after="0" w:line="282" w:lineRule="auto"/>
        <w:tabs>
          <w:tab w:leader="none" w:pos="11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impending presidential election in the United States in 2020;</w:t>
      </w:r>
    </w:p>
    <w:p>
      <w:pPr>
        <w:spacing w:after="0" w:line="53"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data privacy and cyber security in the United States or globally; and</w:t>
      </w:r>
    </w:p>
    <w:p>
      <w:pPr>
        <w:spacing w:after="0" w:line="53" w:lineRule="exact"/>
        <w:rPr>
          <w:rFonts w:ascii="Times New Roman" w:cs="Times New Roman" w:eastAsia="Times New Roman" w:hAnsi="Times New Roman"/>
          <w:sz w:val="18"/>
          <w:szCs w:val="18"/>
          <w:color w:val="auto"/>
        </w:rPr>
      </w:pPr>
    </w:p>
    <w:p>
      <w:pPr>
        <w:ind w:left="1120" w:right="239" w:hanging="328"/>
        <w:spacing w:after="0" w:line="282" w:lineRule="auto"/>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pandemics, or responses to these events.</w:t>
      </w:r>
    </w:p>
    <w:p>
      <w:pPr>
        <w:spacing w:after="0" w:line="54" w:lineRule="exact"/>
        <w:rPr>
          <w:sz w:val="20"/>
          <w:szCs w:val="20"/>
          <w:color w:val="auto"/>
        </w:rPr>
      </w:pPr>
    </w:p>
    <w:p>
      <w:pPr>
        <w:jc w:val="both"/>
        <w:ind w:left="140" w:right="199" w:firstLine="324"/>
        <w:spacing w:after="0" w:line="272" w:lineRule="auto"/>
        <w:rPr>
          <w:sz w:val="20"/>
          <w:szCs w:val="20"/>
          <w:color w:val="auto"/>
        </w:rPr>
      </w:pPr>
      <w:r>
        <w:rPr>
          <w:rFonts w:ascii="Times New Roman" w:cs="Times New Roman" w:eastAsia="Times New Roman" w:hAnsi="Times New Roman"/>
          <w:sz w:val="17"/>
          <w:szCs w:val="17"/>
          <w:color w:val="auto"/>
        </w:rPr>
        <w:t>Furthermore, the stock markets recently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w:t>
      </w:r>
    </w:p>
    <w:p>
      <w:pPr>
        <w:spacing w:after="0" w:line="2" w:lineRule="exact"/>
        <w:rPr>
          <w:sz w:val="20"/>
          <w:szCs w:val="20"/>
          <w:color w:val="auto"/>
        </w:rPr>
      </w:pPr>
    </w:p>
    <w:p>
      <w:pPr>
        <w:ind w:left="140" w:right="619"/>
        <w:spacing w:after="0" w:line="260" w:lineRule="auto"/>
        <w:rPr>
          <w:sz w:val="20"/>
          <w:szCs w:val="20"/>
          <w:color w:val="auto"/>
        </w:rPr>
      </w:pPr>
      <w:r>
        <w:rPr>
          <w:rFonts w:ascii="Times New Roman" w:cs="Times New Roman" w:eastAsia="Times New Roman" w:hAnsi="Times New Roman"/>
          <w:sz w:val="18"/>
          <w:szCs w:val="18"/>
          <w:color w:val="auto"/>
        </w:rPr>
        <w:t>These broad market and industry fluctuations, as well as general economic, political and market conditions such as recessions, interest rate changes or international currency fluctuations, may negatively impact the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59"/>
        <w:spacing w:after="0" w:line="256" w:lineRule="auto"/>
        <w:rPr>
          <w:sz w:val="20"/>
          <w:szCs w:val="20"/>
          <w:color w:val="auto"/>
        </w:rPr>
      </w:pPr>
      <w:r>
        <w:rPr>
          <w:rFonts w:ascii="Times New Roman" w:cs="Times New Roman" w:eastAsia="Times New Roman" w:hAnsi="Times New Roman"/>
          <w:sz w:val="18"/>
          <w:szCs w:val="18"/>
          <w:color w:val="auto"/>
        </w:rPr>
        <w:t>market price of our Class B common stock. If the market price of our Class B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spacing w:after="0" w:line="183" w:lineRule="exact"/>
        <w:rPr>
          <w:sz w:val="20"/>
          <w:szCs w:val="20"/>
          <w:color w:val="auto"/>
        </w:rPr>
      </w:pPr>
    </w:p>
    <w:p>
      <w:pPr>
        <w:ind w:left="14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public market for our Class B common stock prior to this offering, and you may not be able to resell our shares at or above the price you paid, or at all. In addition, the limited public float of our Class B common stock following this offering could adversely impact the trading price of our Class B common stock.</w:t>
      </w:r>
    </w:p>
    <w:p>
      <w:pPr>
        <w:spacing w:after="0" w:line="67"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capital stock. We have applied to list our Class B common stock on The Nasdaq Global Select Market. However, we can give no assurances that The Nasdaq Global Select Market will grant our application for listing. If an active trading market for our Class B common stock does not develop after this offering, the market price and liquidity of our common stock will be materially and adversely affected. The initial public offering price for our Class B common stock will be determined by negotiations between us and the underwriters and may bear no relationship to the market price for our Class B common stock after this offering. The market price of our Class B common stock may decline below the initial public offering price.</w:t>
      </w:r>
    </w:p>
    <w:p>
      <w:pPr>
        <w:spacing w:after="0" w:line="8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of our Class B common stock sold in this offering is relatively small compared to the total number of our outstanding shares of common stock, which will result in a limited number of shares of our Class B common stock publicly owned and available for trading, or a limited “public float.” The limited “public float” of our Class B common stock following this offering could result in a limited number of shares that are available to be traded at any given time, thereby adversely impacting the liquidity, trading volume and trading price of our Class B common stock. These factors could have an adverse impact on your ability to sell any Class B common stock that you may purchase.</w:t>
      </w:r>
    </w:p>
    <w:p>
      <w:pPr>
        <w:spacing w:after="0" w:line="81" w:lineRule="exact"/>
        <w:rPr>
          <w:sz w:val="20"/>
          <w:szCs w:val="20"/>
          <w:color w:val="auto"/>
        </w:rPr>
      </w:pPr>
    </w:p>
    <w:p>
      <w:pPr>
        <w:ind w:left="140" w:right="299" w:firstLine="324"/>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we intend to evaluate opportunities to undertake a primary offering of shares of our Class B common stock by the Company, subject to the lock-up agreement entered into with the underwriters in this offering, prevailing market conditions and applicable securities laws. We have not engaged in any formal discussions regarding any such offering and we have not undertaken any steps to pursue such an offering. There is no guarantee that we will undertake such an offering or that such an offering will be consummated within the anticipated timeframe. If we do not, or are otherwise unable to, complete such an offering, the continued limited public float for our Class B common stock could result in negative pricing pressure on, and increase volatility of, the trading price for our Class B common stock. In addition, if we issue shares of capital stock in a public offering following this offering, Siemens has the right to purchase, for the price per share used in such public offering, additional shares as are necessary so that Siemens’ percentage ownership on a fully diluted basis at the time of such public offering, is unchanged as a result of such public offering. See “Certain Relationships and Related Party Transactions—Our Relationship with Siemens AG—Common Stock Purchase Agreement—Rights in a Public Offering.”</w:t>
      </w:r>
    </w:p>
    <w:p>
      <w:pPr>
        <w:spacing w:after="0" w:line="186" w:lineRule="exact"/>
        <w:rPr>
          <w:sz w:val="20"/>
          <w:szCs w:val="20"/>
          <w:color w:val="auto"/>
        </w:rPr>
      </w:pPr>
    </w:p>
    <w:p>
      <w:pPr>
        <w:ind w:left="14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or if our actual results differ significantly from our guidance, our stock price and trading volume could decline.</w:t>
      </w:r>
    </w:p>
    <w:p>
      <w:pPr>
        <w:spacing w:after="0" w:line="67" w:lineRule="exact"/>
        <w:rPr>
          <w:sz w:val="20"/>
          <w:szCs w:val="20"/>
          <w:color w:val="auto"/>
        </w:rPr>
      </w:pPr>
    </w:p>
    <w:p>
      <w:pPr>
        <w:ind w:left="140" w:right="299" w:firstLine="324"/>
        <w:spacing w:after="0" w:line="255" w:lineRule="auto"/>
        <w:rPr>
          <w:sz w:val="20"/>
          <w:szCs w:val="20"/>
          <w:color w:val="auto"/>
        </w:rPr>
      </w:pPr>
      <w:r>
        <w:rPr>
          <w:rFonts w:ascii="Times New Roman" w:cs="Times New Roman" w:eastAsia="Times New Roman" w:hAnsi="Times New Roman"/>
          <w:sz w:val="18"/>
          <w:szCs w:val="18"/>
          <w:color w:val="auto"/>
        </w:rPr>
        <w:t>The trading market for our Class B common stock will depend in part on the research and reports that securities or industry analysts publish about us or our business. If few securities analysts commence coverage of us, or if industry analysts cease coverage of us, the trading price for our Class B common stock could be negatively affected. If one or more of the analysts who cover us downgrade our Class B common stock or publish inaccurate or unfavorable research about our business, the price of our Class B common stock would likely decline. If one or more of these analysts cease coverage of us or fail to publish reports on us regularly, demand for our Class B common stock could decrease, which might cause our Class B common stock price and trading volume to decline.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paid dividends in periods preceding this offering, there can be no assurance that we will pay dividends on our Class B common stock in the future. As a result, any return on investment may be limited to the value of our Class B common stock.</w:t>
      </w:r>
    </w:p>
    <w:p>
      <w:pPr>
        <w:spacing w:after="0" w:line="67"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In 2019, we paid quarterly dividends of $0.025 per share of common stock, and in the first two quarters of 2020, we paid quarterly dividends of $0.03 per share of common stock. While we intend to continue paying quarterly dividends following the consummation of this offering, there can be no assurance that we will pay such dividends in the amounts described herein or at all in the future. Any determination to pay dividends in the future will be at the discretion of our board of directors. The payment of dividends on our Class B common stock is restricted by Delaware law and the agreement governing the Credit Facility, and will, in all cases, depend on our earnings, financial condition, and other business and economic factors as our board of directors may consider relevant. If we do not pay dividends in future periods, our Class B common stock may be less valuable to you as an investor and investors must rely on sales of their Class B common stock after price appreciation, which may never occur, as the only way to realize any future gains on their investments. See the section titled “Dividend Policy” for more information.</w:t>
      </w:r>
    </w:p>
    <w:p>
      <w:pPr>
        <w:spacing w:after="0" w:line="190" w:lineRule="exact"/>
        <w:rPr>
          <w:sz w:val="20"/>
          <w:szCs w:val="20"/>
          <w:color w:val="auto"/>
        </w:rPr>
      </w:pPr>
    </w:p>
    <w:p>
      <w:pPr>
        <w:ind w:left="140" w:right="2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Substantial blocks of our total outstanding shares may be sold into the market when the lock-up period ends. If there are substantial sales of shares of our Class B common stock, the price of our Class B common stock could decline.</w:t>
      </w:r>
    </w:p>
    <w:p>
      <w:pPr>
        <w:spacing w:after="0" w:line="28" w:lineRule="exact"/>
        <w:rPr>
          <w:sz w:val="20"/>
          <w:szCs w:val="20"/>
          <w:color w:val="auto"/>
        </w:rPr>
      </w:pPr>
    </w:p>
    <w:p>
      <w:pPr>
        <w:ind w:left="140" w:right="159" w:firstLine="324"/>
        <w:spacing w:after="0" w:line="269" w:lineRule="auto"/>
        <w:rPr>
          <w:sz w:val="20"/>
          <w:szCs w:val="20"/>
          <w:color w:val="auto"/>
        </w:rPr>
      </w:pPr>
      <w:r>
        <w:rPr>
          <w:rFonts w:ascii="Times New Roman" w:cs="Times New Roman" w:eastAsia="Times New Roman" w:hAnsi="Times New Roman"/>
          <w:sz w:val="17"/>
          <w:szCs w:val="17"/>
          <w:color w:val="auto"/>
        </w:rPr>
        <w:t>The price of our Class B common stock could decline if there are substantial sales of our Class B common stock, particularly sales by our directors, executive officers, the selling stockholders, and other significant stockholders, if there is a perception that sales might occur or if there is a large number of shares of our Class B common stock available for sale. After this offering and after giving effect to 994,912 total shares of restricted Class B common stock and restricted stock units issued in July 2020 that will vest automatically upon the consummation of this offering, reduced by 32,238 of</w:t>
      </w:r>
    </w:p>
    <w:p>
      <w:pPr>
        <w:spacing w:after="0" w:line="3" w:lineRule="exact"/>
        <w:rPr>
          <w:sz w:val="20"/>
          <w:szCs w:val="20"/>
          <w:color w:val="auto"/>
        </w:rPr>
      </w:pPr>
    </w:p>
    <w:p>
      <w:pPr>
        <w:ind w:left="140" w:right="559"/>
        <w:spacing w:after="0" w:line="250" w:lineRule="auto"/>
        <w:rPr>
          <w:sz w:val="20"/>
          <w:szCs w:val="20"/>
          <w:color w:val="auto"/>
        </w:rPr>
      </w:pPr>
      <w:r>
        <w:rPr>
          <w:rFonts w:ascii="Times New Roman" w:cs="Times New Roman" w:eastAsia="Times New Roman" w:hAnsi="Times New Roman"/>
          <w:sz w:val="18"/>
          <w:szCs w:val="18"/>
          <w:color w:val="auto"/>
        </w:rPr>
        <w:t>such restricted stock units that will be settled in cash, and shares of Class B common stock to be sold in this offering following the exercise of stock options for such shares, we will have outstanding shares of our Class B</w:t>
      </w:r>
    </w:p>
    <w:p>
      <w:pPr>
        <w:spacing w:after="0" w:line="1" w:lineRule="exact"/>
        <w:rPr>
          <w:sz w:val="20"/>
          <w:szCs w:val="20"/>
          <w:color w:val="auto"/>
        </w:rPr>
      </w:pPr>
    </w:p>
    <w:p>
      <w:pPr>
        <w:ind w:left="140" w:right="179"/>
        <w:spacing w:after="0" w:line="250" w:lineRule="auto"/>
        <w:rPr>
          <w:sz w:val="20"/>
          <w:szCs w:val="20"/>
          <w:color w:val="auto"/>
        </w:rPr>
      </w:pPr>
      <w:r>
        <w:rPr>
          <w:rFonts w:ascii="Times New Roman" w:cs="Times New Roman" w:eastAsia="Times New Roman" w:hAnsi="Times New Roman"/>
          <w:sz w:val="18"/>
          <w:szCs w:val="18"/>
          <w:color w:val="auto"/>
        </w:rPr>
        <w:t>common stock and 11,601,757 shares of our Class A common stock based on shares outstanding as of June 30, 2020. All of the shares of Class B common stock sold in this offering will be freely tradeable without restrictions or further registration under the Securities Act, except for any shares held by our affiliates as defined in Rule 144 under the Securities Act. A substantial portion of our shares of Class B common stock and Class A common stock, other than shares of Class B common stock issued in this offering, are subject to restrictions on resale because our directors, officers, the selling stockholders, and certain other stockholders have entered into lock-up agreements with the representatives of the underwriters. These shares will become available to be sold 181 days after the date of this prospectus, with earlier sales permitted at the discretion of Goldman Sachs. The lock-up restrictions in the lock-up agreements are more fully described in the sections titled “Shares Eligible for Future Sale” and “Underwriting.” Shares held by directors, executive officers, and other affiliates will be subject to volume limitations under Rule 144 under the</w:t>
      </w:r>
    </w:p>
    <w:p>
      <w:pPr>
        <w:spacing w:after="0" w:line="4" w:lineRule="exact"/>
        <w:rPr>
          <w:sz w:val="20"/>
          <w:szCs w:val="20"/>
          <w:color w:val="auto"/>
        </w:rPr>
      </w:pPr>
    </w:p>
    <w:p>
      <w:pPr>
        <w:ind w:left="140" w:right="359"/>
        <w:spacing w:after="0" w:line="252" w:lineRule="auto"/>
        <w:rPr>
          <w:sz w:val="20"/>
          <w:szCs w:val="20"/>
          <w:color w:val="auto"/>
        </w:rPr>
      </w:pPr>
      <w:r>
        <w:rPr>
          <w:rFonts w:ascii="Times New Roman" w:cs="Times New Roman" w:eastAsia="Times New Roman" w:hAnsi="Times New Roman"/>
          <w:sz w:val="18"/>
          <w:szCs w:val="18"/>
          <w:color w:val="auto"/>
        </w:rPr>
        <w:t>Securities Act. In addition, as of June 30, 2020, we had options outstanding that, if fully exercised, would result in the issuance of shares of Class B common stock. The shares of Class B common stock subject to outstanding options under our equity incentive plans and the shares reserved for future issuance under our equity incentive plans may become eligible for sale to the public, subject to certain legal and contractual limitations. The market price of the shares of our Class B common stock could decline as a result of the sale of a substantial number of our shares of common stock in the public market or the perception in the market that the holders of a large number of shares intend to sell their shares.</w:t>
      </w:r>
    </w:p>
    <w:p>
      <w:pPr>
        <w:spacing w:after="0" w:line="184" w:lineRule="exact"/>
        <w:rPr>
          <w:sz w:val="20"/>
          <w:szCs w:val="20"/>
          <w:color w:val="auto"/>
        </w:rPr>
      </w:pPr>
    </w:p>
    <w:p>
      <w:pPr>
        <w:ind w:left="1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Bentley Control Group.</w:t>
      </w:r>
    </w:p>
    <w:p>
      <w:pPr>
        <w:spacing w:after="0" w:line="5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our Class A common stock will have 29 votes per share, and our Class B common stock, which is the stock we are selling in this offering, will have one vote per share. The beneficial owners of our Class A common stock will together hold approximately % of the voting power of our outstanding capital stock following this offering. Moreover, as a result of the 29 to one voting ratio between our Class A and Class B common stock, the Bentley Control Group will control a majority of the combined voting power of our common stock and therefore be able to control all matters submitted to our stockholders for approval, subject to the occurrence of certain events that would reduce the voting power of our Class A common stock or cause the conversion thereof. See the section titled “Description of Capital Stock.” This concentrated control will limit or preclude your ability to influence corporate matters for the foreseeable future and may have the effect of delaying, deferring or preventing a change in control, impeding a merger, consolidation, takeover or other business combination involving us, or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79"/>
        <w:spacing w:after="0" w:line="256" w:lineRule="auto"/>
        <w:rPr>
          <w:sz w:val="20"/>
          <w:szCs w:val="20"/>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our business, even if such a transaction would benefit other stockholders. The Bentley Control Group may also have interests that differ from yours and may vote in a way with which you disagree and which may be adverse to your interests. Furthermore, upon the consummation of this offering, certain members of the Bentley Control Group will be subject to a stockholders agreement, whereby the parties thereto agree to vote all their shares in an agreed upon manner. See the section titled “Certain Relationships and Related Party Transactions—Stockholders Agreement.”</w:t>
      </w:r>
    </w:p>
    <w:p>
      <w:pPr>
        <w:spacing w:after="0" w:line="79"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In addition, we expect to be a “controlled company” for the purposes of Nasdaq Listing Rules, which will provide us with exemptions from certain of the corporate governance standards imposed by the rules of The Nasdaq Global Select Market. These provisions will further allow the Bentley Control Group to exercise significant control over our corporate decisions and limit the ability of the public stockholders to influence our decision making. See “—We will be a ‘controlled company’ within the meaning of the Nasdaq Listing Rules and, as a result, will be exempt from certain corporate governance requirements.”</w:t>
      </w:r>
    </w:p>
    <w:p>
      <w:pPr>
        <w:spacing w:after="0" w:line="79"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Future transfers by holders of Class A common stock will generally result in those shares converting to Class B common stock, subject to limited exceptions, including certain transfers to family members and transfers effected for estate planning purposes. The conversion of Class A common stock to Class B common stock will have the effect, over time, of increasing the relative voting power of those holders of Class A common stock who retain their shares in the long term. As directors and executive officers, Barry J. Bentley, Gregory S. Bentley, Keith A. Bentley and Raymond B. Bentley owe a fiduciary duty to our stockholders and must act in good faith in a manner they reasonably believe to be in the best interests of our stockholders. As stockholders, however, each of Barry J. Bentley, Gregory S. Bentley, Keith A. Bentley and Raymond B. Bentley is entitled to vote his shares in his own interests, which may not always be in the interests of our stockholders generally. For a description of the dual class structure, see the section titled “Description of Capital Stock.”</w:t>
      </w:r>
    </w:p>
    <w:p>
      <w:pPr>
        <w:spacing w:after="0" w:line="86"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A common stock following this offering, any future issuances of Class A common stock would be dilutive to holders of Class B common stock.</w:t>
      </w:r>
    </w:p>
    <w:p>
      <w:pPr>
        <w:spacing w:after="0" w:line="158" w:lineRule="exact"/>
        <w:rPr>
          <w:sz w:val="20"/>
          <w:szCs w:val="20"/>
          <w:color w:val="auto"/>
        </w:rPr>
      </w:pPr>
    </w:p>
    <w:p>
      <w:pPr>
        <w:ind w:left="14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Siemens will not pursue contractual claims challenging the voting power of our Class A common stock.</w:t>
      </w:r>
    </w:p>
    <w:p>
      <w:pPr>
        <w:spacing w:after="0" w:line="159" w:lineRule="exact"/>
        <w:rPr>
          <w:sz w:val="20"/>
          <w:szCs w:val="20"/>
          <w:color w:val="auto"/>
        </w:rPr>
      </w:pPr>
    </w:p>
    <w:p>
      <w:pPr>
        <w:ind w:left="140" w:right="159" w:firstLine="324"/>
        <w:spacing w:after="0" w:line="251" w:lineRule="auto"/>
        <w:rPr>
          <w:sz w:val="20"/>
          <w:szCs w:val="20"/>
          <w:color w:val="auto"/>
        </w:rPr>
      </w:pPr>
      <w:r>
        <w:rPr>
          <w:rFonts w:ascii="Times New Roman" w:cs="Times New Roman" w:eastAsia="Times New Roman" w:hAnsi="Times New Roman"/>
          <w:sz w:val="18"/>
          <w:szCs w:val="18"/>
          <w:color w:val="auto"/>
        </w:rPr>
        <w:t>The Common Stock Purchase Agreement with Siemens provides that upon our initial public offering, our certificate of incorporation shall reflect a voting structure consistent with that described in a previously contemplated offering, immediately prior to which we would have had 11,601,757 shares of Class A common stock, each with 15 votes, and 108,308,714 shares of Class B common stock, each with one vote. The Common Stock Purchase Agreement provides that we will not deviate from such structure in any manner adverse to Siemens in any material respect in its capacity as a holder of our Class B common stock without Siemens’ prior written consent, which may not be unreasonably withheld, conditioned or delayed. On May 1, 2018, we paid a dividend to all stockholders that had the economic effect of a 2-for-1 stock split, in which one share of Class B common stock was issued in respect of each outstanding share of our Class A common stock and Class B common stock (the “Split”). The Split did not impact the number of outstanding shares of Class A common stock, but increased the number of outstanding shares of Class B common stock to two times the number of pre-Split Class B shares plus the number of outstanding shares of Class A common stock. As a result and in connection with this offering where the Class B shares will first obtain voting power, we determined it was necessary to make a corresponding adjustment to the voting power of Class A common stock to 29 votes per share in order to preserve the voting structure contemplated by the Common Stock Purchase Agreement and avoid dilution of the voting power of the Class A common stock. Siemens has asserted that the Class A common stock should have 15 votes per share, notwithstanding the impact of the Split on our capital structure and the fact that this would result in a significant decrease, solely as a result of the Split, in the voting power of the holders of our Class A common stock contemplated in the Common Stock Purchase Agreement. We believe the adjustment of the voting ratio is consistent with the terms of the Common Stock Purchase Agreement, and that Siemens’ assertions are without merit; however, any claims or proceedings that Siemens may bring against us, regardless of whether meritorious, could be time consuming, may result in costly litigation, the outcome of which is uncertain, and could require significant amounts of management time, result in the diversion of significant resources, any of which could harm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market price of our Class B common stock.</w:t>
      </w:r>
    </w:p>
    <w:p>
      <w:pPr>
        <w:spacing w:after="0" w:line="121"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B common stock, in adverse publicity, or other adverse consequences. For example, certain index providers have announced restrictions on including companies with multiple-class share structures in certain of their indices. In</w:t>
      </w:r>
    </w:p>
    <w:p>
      <w:pPr>
        <w:spacing w:after="0" w:line="1" w:lineRule="exact"/>
        <w:rPr>
          <w:sz w:val="20"/>
          <w:szCs w:val="20"/>
          <w:color w:val="auto"/>
        </w:rPr>
      </w:pPr>
    </w:p>
    <w:p>
      <w:pPr>
        <w:ind w:left="140" w:right="179"/>
        <w:spacing w:after="0" w:line="251" w:lineRule="auto"/>
        <w:rPr>
          <w:sz w:val="20"/>
          <w:szCs w:val="20"/>
          <w:color w:val="auto"/>
        </w:rPr>
      </w:pPr>
      <w:r>
        <w:rPr>
          <w:rFonts w:ascii="Times New Roman" w:cs="Times New Roman" w:eastAsia="Times New Roman" w:hAnsi="Times New Roman"/>
          <w:sz w:val="18"/>
          <w:szCs w:val="18"/>
          <w:color w:val="auto"/>
        </w:rPr>
        <w:t>July 2017, FTSE Russell (whose indices include the Russell 2000)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B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B common stock less attractive to other investors. As a result, the market price of our Class B common stock could be adversely affected.</w:t>
      </w:r>
    </w:p>
    <w:p>
      <w:pPr>
        <w:spacing w:after="0" w:line="185" w:lineRule="exact"/>
        <w:rPr>
          <w:sz w:val="20"/>
          <w:szCs w:val="20"/>
          <w:color w:val="auto"/>
        </w:rPr>
      </w:pPr>
    </w:p>
    <w:p>
      <w:pPr>
        <w:ind w:left="14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Nasdaq Listing Rules and, as a result, will be exempt from certain corporate governance requirements.</w:t>
      </w:r>
    </w:p>
    <w:p>
      <w:pPr>
        <w:spacing w:after="0" w:line="51" w:lineRule="exact"/>
        <w:rPr>
          <w:sz w:val="20"/>
          <w:szCs w:val="20"/>
          <w:color w:val="auto"/>
        </w:rPr>
      </w:pPr>
    </w:p>
    <w:p>
      <w:pPr>
        <w:ind w:left="140" w:right="239" w:firstLine="324"/>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Bentley Control Group will hold capital stock representing a majority of our outstanding voting power. So long as the Bentley Control Group maintains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is held by an individual, group or another company is a “controlled company” and may elect not to comply with certain Nasdaq corporate governance requirements, including:</w:t>
      </w:r>
    </w:p>
    <w:p>
      <w:pPr>
        <w:spacing w:after="0" w:line="79" w:lineRule="exact"/>
        <w:rPr>
          <w:sz w:val="20"/>
          <w:szCs w:val="20"/>
          <w:color w:val="auto"/>
        </w:rPr>
      </w:pPr>
    </w:p>
    <w:p>
      <w:pPr>
        <w:ind w:left="1120" w:right="599" w:hanging="328"/>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Nasdaq rules;</w:t>
      </w:r>
    </w:p>
    <w:p>
      <w:pPr>
        <w:spacing w:after="0" w:line="53" w:lineRule="exact"/>
        <w:rPr>
          <w:rFonts w:ascii="Times New Roman" w:cs="Times New Roman" w:eastAsia="Times New Roman" w:hAnsi="Times New Roman"/>
          <w:sz w:val="18"/>
          <w:szCs w:val="18"/>
          <w:color w:val="auto"/>
        </w:rPr>
      </w:pPr>
    </w:p>
    <w:p>
      <w:pPr>
        <w:ind w:left="1120" w:right="199" w:hanging="328"/>
        <w:spacing w:after="0" w:line="282"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jc w:val="both"/>
        <w:ind w:left="1120" w:right="259" w:hanging="328"/>
        <w:spacing w:after="0" w:line="266"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or otherwise have director nominees selected by vote of a majority of the independent directors.</w:t>
      </w:r>
    </w:p>
    <w:p>
      <w:pPr>
        <w:spacing w:after="0" w:line="68"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We intend to use these exemptions following this offering. As a result, we will not have a majority of independent directors on our board of directors. Additionally, following this offering, we do not intend to have a compensation committee, nor do we intend to have a nominating and corporate governance committee or an independent nominating function. Instead, our full board of directors will be directly responsible for reviewing and approving compensation and benefit arrangements for our executive officers and directors, as well as for nominating members of our board.</w:t>
      </w:r>
    </w:p>
    <w:p>
      <w:pPr>
        <w:spacing w:after="0" w:line="75"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Even as a controlled company, we will remain subject to the rules of Sarbanes-Oxley as well as the rules of the Nasdaq Listing Rules that require us to have an audit committee composed entirely of independent directors, subject to permitted phase-in rules. Under these phase-in rules, we are required to have one independent audit committee member upon the listing date of our Class B common stock, a majority of independent audit committee members within 90 days from the listing date and all independent audit committee members within one year from the listing date. Upon our listing, we expect that our audit committee will be comprised of three members, two of whom will be independent.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99" w:firstLine="324"/>
        <w:spacing w:after="0" w:line="281" w:lineRule="auto"/>
        <w:rPr>
          <w:sz w:val="20"/>
          <w:szCs w:val="20"/>
          <w:color w:val="auto"/>
        </w:rPr>
      </w:pPr>
      <w:r>
        <w:rPr>
          <w:rFonts w:ascii="Times New Roman" w:cs="Times New Roman" w:eastAsia="Times New Roman" w:hAnsi="Times New Roman"/>
          <w:sz w:val="17"/>
          <w:szCs w:val="17"/>
          <w:color w:val="auto"/>
        </w:rPr>
        <w:t>If we are no longer eligible to rely on the “controlled company” exceptions,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60" w:lineRule="exact"/>
        <w:rPr>
          <w:sz w:val="20"/>
          <w:szCs w:val="20"/>
          <w:color w:val="auto"/>
        </w:rPr>
      </w:pPr>
    </w:p>
    <w:p>
      <w:pPr>
        <w:ind w:left="14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B common stock.</w:t>
      </w:r>
    </w:p>
    <w:p>
      <w:pPr>
        <w:spacing w:after="0" w:line="67" w:lineRule="exact"/>
        <w:rPr>
          <w:sz w:val="20"/>
          <w:szCs w:val="20"/>
          <w:color w:val="auto"/>
        </w:rPr>
      </w:pPr>
    </w:p>
    <w:p>
      <w:pPr>
        <w:jc w:val="both"/>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120" w:right="539" w:hanging="328"/>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120" w:right="159" w:hanging="328"/>
        <w:spacing w:after="0" w:line="266" w:lineRule="auto"/>
        <w:tabs>
          <w:tab w:leader="none" w:pos="11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after such time as the Bentley Family no longer possess a majority of our outstanding voting power, any action to be taken by our stockholders be effected at a duly called annual or special meeting and not by written consent;</w:t>
      </w:r>
    </w:p>
    <w:p>
      <w:pPr>
        <w:spacing w:after="0" w:line="67" w:lineRule="exact"/>
        <w:rPr>
          <w:rFonts w:ascii="Times New Roman" w:cs="Times New Roman" w:eastAsia="Times New Roman" w:hAnsi="Times New Roman"/>
          <w:sz w:val="18"/>
          <w:szCs w:val="18"/>
          <w:color w:val="auto"/>
        </w:rPr>
      </w:pPr>
    </w:p>
    <w:p>
      <w:pPr>
        <w:ind w:left="1120" w:right="179" w:hanging="328"/>
        <w:spacing w:after="0" w:line="266"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or president (in the absence of a chief executive officer);</w:t>
      </w:r>
    </w:p>
    <w:p>
      <w:pPr>
        <w:spacing w:after="0" w:line="67"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120" w:right="199" w:hanging="328"/>
        <w:spacing w:after="0" w:line="282"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two classes of common stock, as discussed in the section titled “Description of Capital Stock.”</w:t>
      </w:r>
    </w:p>
    <w:p>
      <w:pPr>
        <w:spacing w:after="0" w:line="117"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intend to opt out of Section 203 of the Delaware General Corporation Law (the “DGCL”), which generally prohibits a Delaware corporation from engaging in any of a broad range of business combinations with a stockholder owning 15% or more of our outstanding voting stock, unless the stockholder has held the stock for a period of at least three years or, among other things, the board of directors has approved the transaction that resulted in the stockholder owning 15% or more of our outstanding voting stock. However, our amended and restated certificate of incorporation will provide that, subject to certain exceptions (including with respect to certain transactions with the Bentley Family),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See the section titled “Description of Capital Stock—Anti-Takeover Provisions.”</w:t>
      </w:r>
    </w:p>
    <w:p>
      <w:pPr>
        <w:spacing w:after="0" w:line="183" w:lineRule="exact"/>
        <w:rPr>
          <w:sz w:val="20"/>
          <w:szCs w:val="20"/>
          <w:color w:val="auto"/>
        </w:rPr>
      </w:pPr>
    </w:p>
    <w:p>
      <w:pPr>
        <w:ind w:left="1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51"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the DGCL, our amended and restated certificate of incorporation or amended and restated by 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19"/>
        <w:spacing w:after="0" w:line="255" w:lineRule="auto"/>
        <w:rPr>
          <w:sz w:val="20"/>
          <w:szCs w:val="20"/>
          <w:color w:val="auto"/>
        </w:rPr>
      </w:pPr>
      <w:r>
        <w:rPr>
          <w:rFonts w:ascii="Times New Roman" w:cs="Times New Roman" w:eastAsia="Times New Roman" w:hAnsi="Times New Roman"/>
          <w:sz w:val="18"/>
          <w:szCs w:val="18"/>
          <w:color w:val="auto"/>
        </w:rPr>
        <w:t>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85" w:lineRule="exact"/>
        <w:rPr>
          <w:sz w:val="20"/>
          <w:szCs w:val="20"/>
          <w:color w:val="auto"/>
        </w:rPr>
      </w:pPr>
    </w:p>
    <w:p>
      <w:pPr>
        <w:ind w:left="14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dilution of the percentage ownership of our stockholders and could cause our stock price to decline.</w:t>
      </w:r>
    </w:p>
    <w:p>
      <w:pPr>
        <w:spacing w:after="0" w:line="51" w:lineRule="exact"/>
        <w:rPr>
          <w:sz w:val="20"/>
          <w:szCs w:val="20"/>
          <w:color w:val="auto"/>
        </w:rPr>
      </w:pPr>
    </w:p>
    <w:p>
      <w:pPr>
        <w:ind w:left="140" w:right="279" w:firstLine="324"/>
        <w:spacing w:after="0" w:line="254" w:lineRule="auto"/>
        <w:rPr>
          <w:sz w:val="20"/>
          <w:szCs w:val="20"/>
          <w:color w:val="auto"/>
        </w:rPr>
      </w:pPr>
      <w:r>
        <w:rPr>
          <w:rFonts w:ascii="Times New Roman" w:cs="Times New Roman" w:eastAsia="Times New Roman" w:hAnsi="Times New Roman"/>
          <w:sz w:val="18"/>
          <w:szCs w:val="18"/>
          <w:color w:val="auto"/>
        </w:rPr>
        <w:t>We may issue additional securities following the completion of this offering. Upon the completion of this offering, our amended and restated certificate of incorporation will authorize us to issue up to 1,800,000,000 shares of Class B common stock and up to 100,000,000 shares of preferred stock. Future sales and issuances of our capital stock or rights to purchase our capital stock could result in substantial dilution to our existing stockholders. We may sell Class B common stock, preferred stock, convertible securities, and other equity securities in one or more transactions at prices and in a manner as we may determine from time to time. If we sell any such securities in subsequent transactions, investors may be materially diluted and the per share value of our Class B common stock could decline. New investors in subsequent transactions could gain rights, preferences, and privileges senior to those of holders of our Class B common stock.</w:t>
      </w:r>
    </w:p>
    <w:p>
      <w:pPr>
        <w:spacing w:after="0" w:line="76" w:lineRule="exact"/>
        <w:rPr>
          <w:sz w:val="20"/>
          <w:szCs w:val="20"/>
          <w:color w:val="auto"/>
        </w:rPr>
      </w:pPr>
    </w:p>
    <w:p>
      <w:pPr>
        <w:ind w:left="14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51" w:lineRule="exact"/>
        <w:rPr>
          <w:sz w:val="20"/>
          <w:szCs w:val="20"/>
          <w:color w:val="auto"/>
        </w:rPr>
      </w:pPr>
    </w:p>
    <w:p>
      <w:pPr>
        <w:ind w:left="140" w:right="179" w:firstLine="324"/>
        <w:spacing w:after="0" w:line="268" w:lineRule="auto"/>
        <w:rPr>
          <w:sz w:val="20"/>
          <w:szCs w:val="20"/>
          <w:color w:val="auto"/>
        </w:rPr>
      </w:pPr>
      <w:r>
        <w:rPr>
          <w:rFonts w:ascii="Times New Roman" w:cs="Times New Roman" w:eastAsia="Times New Roman" w:hAnsi="Times New Roman"/>
          <w:sz w:val="17"/>
          <w:szCs w:val="17"/>
          <w:color w:val="auto"/>
        </w:rPr>
        <w:t>As a public company, we will incur significant legal, accounting, and other expenses that we did not incur as a private company. For example, we will be subject to the reporting requirements of the Exchange Act, and will be required to comply with the applicable requirements of the Sarbanes-Oxley Act and the Dodd-Frank Act, as well as rules and regulations subsequently implemented by the SEC and the Nasdaq,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results of operations. We expect to incur significant expenses and devote substantial management effort toward ensuring compliance with the auditor attestation requirements of Section 404 of the Sarbanes-Oxley Act, which will increase when we are no longer an “emerging growth company,” as defined by the JOBS Act.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 As a result, management’s attention may be diverted from other business concerns, which could adversely affect our business and results of operations.</w:t>
      </w:r>
    </w:p>
    <w:p>
      <w:pPr>
        <w:spacing w:after="0" w:line="76"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These factors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could be adversely affected.</w:t>
      </w:r>
    </w:p>
    <w:p>
      <w:pPr>
        <w:spacing w:after="0" w:line="84"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as a public company, our business and financial condition have become more visible, which may result in threatened or actual litigation, including by competitors and other third parties. If the claims are successful, our business operations and financial results could be adversely affected, and even if the claims do not result in litigation or are resolved in our favor, these claims, and the time and resources necessary to resolve them, could divert the resources of our management and adversely affect our business operations and financial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spacing w:after="0" w:line="282" w:lineRule="auto"/>
        <w:rPr>
          <w:sz w:val="20"/>
          <w:szCs w:val="20"/>
          <w:color w:val="auto"/>
        </w:rPr>
      </w:pPr>
      <w:r>
        <w:rPr>
          <w:rFonts w:ascii="Times New Roman" w:cs="Times New Roman" w:eastAsia="Times New Roman" w:hAnsi="Times New Roman"/>
          <w:sz w:val="18"/>
          <w:szCs w:val="18"/>
          <w:color w:val="auto"/>
        </w:rPr>
        <w:t>results. These factors could also make it more difficult for us to attract and retain qualified colleagues, executive officers and members of our board of directors.</w:t>
      </w:r>
    </w:p>
    <w:p>
      <w:pPr>
        <w:spacing w:after="0" w:line="54" w:lineRule="exact"/>
        <w:rPr>
          <w:sz w:val="20"/>
          <w:szCs w:val="20"/>
          <w:color w:val="auto"/>
        </w:rPr>
      </w:pPr>
    </w:p>
    <w:p>
      <w:pPr>
        <w:ind w:left="140" w:right="339" w:firstLine="324"/>
        <w:spacing w:after="0" w:line="289" w:lineRule="auto"/>
        <w:rPr>
          <w:sz w:val="20"/>
          <w:szCs w:val="20"/>
          <w:color w:val="auto"/>
        </w:rPr>
      </w:pPr>
      <w:r>
        <w:rPr>
          <w:rFonts w:ascii="Times New Roman" w:cs="Times New Roman" w:eastAsia="Times New Roman" w:hAnsi="Times New Roman"/>
          <w:sz w:val="17"/>
          <w:szCs w:val="17"/>
          <w:color w:val="auto"/>
        </w:rPr>
        <w:t>We also expect that operating as a public company will make it more difficult and more expensive for us to obtain director and officer liability insurance on the terms that we would like. As a result, it may be more difficult for us to attract and retain qualified people to serve on our board of directors, our board committees or as executive officers.</w:t>
      </w:r>
    </w:p>
    <w:p>
      <w:pPr>
        <w:spacing w:after="0" w:line="154" w:lineRule="exact"/>
        <w:rPr>
          <w:sz w:val="20"/>
          <w:szCs w:val="20"/>
          <w:color w:val="auto"/>
        </w:rPr>
      </w:pPr>
    </w:p>
    <w:p>
      <w:pPr>
        <w:ind w:left="1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harm our business and stock price.</w:t>
      </w:r>
    </w:p>
    <w:p>
      <w:pPr>
        <w:spacing w:after="0" w:line="67"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As a privately held company, we have not been required to maintain internal control over financial reporting in a manner that meets the standards of publicly traded companies as required by Section 404(a) of the Sarbanes-Oxley Act (“Section 404(a)”). As a public company, we will be required to provide an annual management report on the effectiveness of our internal control over financial reporting commencing with our second annual report on Form 10-K. Additionally,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w:t>
      </w:r>
    </w:p>
    <w:p>
      <w:pPr>
        <w:spacing w:after="0" w:line="84" w:lineRule="exact"/>
        <w:rPr>
          <w:sz w:val="20"/>
          <w:szCs w:val="20"/>
          <w:color w:val="auto"/>
        </w:rPr>
      </w:pPr>
    </w:p>
    <w:p>
      <w:pPr>
        <w:ind w:left="140" w:right="279" w:firstLine="324"/>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in accordance with U.S. GAAP. We are currently in the process of reviewing, documenting and testing our internal control over financial reporting, but we are not currently in compliance with, and we cannot be certain when we will be able to implement the requirements of, Section 404(a). We may encounter problems or delays in implementing any changes necessary to make a favorable assessment of our internal control over financial reporting. In addition, we may encounter problems or delays in completing the implementation of any requested improvements and receiving a favorable attestation in connection with the attestation provided by our independent registered public accounting firm. If we cannot favorably assess the effectiveness of our internal control over financial reporting, or if our independent registered public accounting firm is unable to provide an unqualified attestation report on our internal controls, investors could lose confidence in our financial information and the price of our Class B common stock could decline.</w:t>
      </w:r>
    </w:p>
    <w:p>
      <w:pPr>
        <w:spacing w:after="0" w:line="84" w:lineRule="exact"/>
        <w:rPr>
          <w:sz w:val="20"/>
          <w:szCs w:val="20"/>
          <w:color w:val="auto"/>
        </w:rPr>
      </w:pPr>
    </w:p>
    <w:p>
      <w:pPr>
        <w:ind w:left="140" w:right="299" w:firstLine="324"/>
        <w:spacing w:after="0" w:line="255"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financial condition, and results of operations, and could cause a decline in the price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140" w:right="179" w:firstLine="324"/>
        <w:spacing w:after="0" w:line="252" w:lineRule="auto"/>
        <w:rPr>
          <w:sz w:val="20"/>
          <w:szCs w:val="20"/>
          <w:color w:val="auto"/>
        </w:rPr>
      </w:pPr>
      <w:r>
        <w:rPr>
          <w:rFonts w:ascii="Times New Roman" w:cs="Times New Roman" w:eastAsia="Times New Roman" w:hAnsi="Times New Roman"/>
          <w:sz w:val="18"/>
          <w:szCs w:val="18"/>
          <w:color w:val="auto"/>
        </w:rPr>
        <w:t>This prospectus includes forward-looking statements. All statements contained in this prospectus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projections and assumptions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The forward-looking statements, as well as our prospects as a whole, are subject to risks and uncertainties, including the following:</w:t>
      </w:r>
    </w:p>
    <w:p>
      <w:pPr>
        <w:spacing w:after="0" w:line="87" w:lineRule="exact"/>
        <w:rPr>
          <w:sz w:val="20"/>
          <w:szCs w:val="20"/>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market, political, economic and business conditions;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our business model and revenue streams;</w:t>
      </w:r>
    </w:p>
    <w:p>
      <w:pPr>
        <w:spacing w:after="0" w:line="117" w:lineRule="exact"/>
        <w:rPr>
          <w:rFonts w:ascii="Times New Roman" w:cs="Times New Roman" w:eastAsia="Times New Roman" w:hAnsi="Times New Roman"/>
          <w:sz w:val="18"/>
          <w:szCs w:val="18"/>
          <w:color w:val="auto"/>
        </w:rPr>
      </w:pPr>
    </w:p>
    <w:p>
      <w:pPr>
        <w:ind w:left="1120" w:right="739" w:hanging="32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changes in foreign exchange rates and interest rates and the success of our foreign currency hedging program;</w:t>
      </w:r>
    </w:p>
    <w:p>
      <w:pPr>
        <w:spacing w:after="0" w:line="53" w:lineRule="exact"/>
        <w:rPr>
          <w:rFonts w:ascii="Times New Roman" w:cs="Times New Roman" w:eastAsia="Times New Roman" w:hAnsi="Times New Roman"/>
          <w:sz w:val="18"/>
          <w:szCs w:val="18"/>
          <w:color w:val="auto"/>
        </w:rPr>
      </w:pPr>
    </w:p>
    <w:p>
      <w:pPr>
        <w:ind w:left="1120" w:right="399" w:hanging="32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future software solutions and services and for enhancements of existing software solutions and services;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fully comply with data protection and privacy laws;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revenues and profitability;</w:t>
      </w:r>
    </w:p>
    <w:p>
      <w:pPr>
        <w:spacing w:after="0" w:line="117" w:lineRule="exact"/>
        <w:rPr>
          <w:rFonts w:ascii="Times New Roman" w:cs="Times New Roman" w:eastAsia="Times New Roman" w:hAnsi="Times New Roman"/>
          <w:sz w:val="18"/>
          <w:szCs w:val="18"/>
          <w:color w:val="auto"/>
        </w:rPr>
      </w:pPr>
    </w:p>
    <w:p>
      <w:pPr>
        <w:ind w:left="1120" w:right="1179" w:hanging="32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future expenses, including research and development, sales and marketing and general and administrative expenses;</w:t>
      </w:r>
    </w:p>
    <w:p>
      <w:pPr>
        <w:spacing w:after="0" w:line="53" w:lineRule="exact"/>
        <w:rPr>
          <w:rFonts w:ascii="Times New Roman" w:cs="Times New Roman" w:eastAsia="Times New Roman" w:hAnsi="Times New Roman"/>
          <w:sz w:val="18"/>
          <w:szCs w:val="18"/>
          <w:color w:val="auto"/>
        </w:rPr>
      </w:pPr>
    </w:p>
    <w:p>
      <w:pPr>
        <w:ind w:left="1120" w:right="979" w:hanging="32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governments in jurisdictions where we do business to meet their financial and debt obligations and finance infrastructure projects;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recent global coronavirus outbreak;</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net proceeds from this offering;</w:t>
      </w:r>
    </w:p>
    <w:p>
      <w:pPr>
        <w:spacing w:after="0" w:line="117" w:lineRule="exact"/>
        <w:rPr>
          <w:rFonts w:ascii="Times New Roman" w:cs="Times New Roman" w:eastAsia="Times New Roman" w:hAnsi="Times New Roman"/>
          <w:sz w:val="18"/>
          <w:szCs w:val="18"/>
          <w:color w:val="auto"/>
        </w:rPr>
      </w:pPr>
    </w:p>
    <w:p>
      <w:pPr>
        <w:ind w:left="1120" w:right="199" w:hanging="328"/>
        <w:spacing w:after="0" w:line="282" w:lineRule="auto"/>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fail to accurately estimate our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accounts and colleagues;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ineffective implementation or upgrades;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changes in our industry and relevant markets;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revenues and anticipated revenues;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sanctions and export control laws on our ability to operate in certain geographical locations;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existing tax laws;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phase-out of LIBOR;</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accounting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 w:name="page56"/>
    <w:bookmarkEnd w:id="5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difficulties encountered in integrating acquisitions;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limited “public float” on the liquidity and price of our Class B common stock;</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17"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in the section titled “Risk Factors” and elsewhere in this prospectus. You should not rely upon forward-looking statements as predictions of future events.</w:t>
      </w:r>
    </w:p>
    <w:p>
      <w:pPr>
        <w:spacing w:after="0" w:line="75" w:lineRule="exact"/>
        <w:rPr>
          <w:sz w:val="20"/>
          <w:szCs w:val="20"/>
          <w:color w:val="auto"/>
        </w:rPr>
      </w:pPr>
    </w:p>
    <w:p>
      <w:pPr>
        <w:ind w:left="140" w:right="199" w:firstLine="324"/>
        <w:spacing w:after="0" w:line="281" w:lineRule="auto"/>
        <w:rPr>
          <w:sz w:val="20"/>
          <w:szCs w:val="20"/>
          <w:color w:val="auto"/>
        </w:rPr>
      </w:pPr>
      <w:r>
        <w:rPr>
          <w:rFonts w:ascii="Times New Roman" w:cs="Times New Roman" w:eastAsia="Times New Roman" w:hAnsi="Times New Roman"/>
          <w:sz w:val="17"/>
          <w:szCs w:val="17"/>
          <w:color w:val="auto"/>
        </w:rPr>
        <w:t>Although we believe that the expectations reflected in the forward-looking statements are reasonable, we cannot guarantee future results, levels of activity, performance, achievements, events, or circumstances reflected in the forward-looking statements will occur. Except as required by law, we undertake no obligation to update any of these forward-looking statements after the date of this prospectus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contained throughout this prospectus from our own internal estimates and research as well as from industry publications and studies conducted by third parties. This information involves a number of assumptions and limitations, and you are cautioned not to give undue weight to these estimates. The industry publications and third-party studies generally state that the information that they contain has been obtained from sources believed to be reliable, although they do not guarantee the accuracy or completeness of such information. While we believe that these publications and third-party studies and our internal data are reliable as of their respective dates,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w:t>
      </w:r>
    </w:p>
    <w:p>
      <w:pPr>
        <w:spacing w:after="0" w:line="80" w:lineRule="exact"/>
        <w:rPr>
          <w:sz w:val="20"/>
          <w:szCs w:val="20"/>
          <w:color w:val="auto"/>
        </w:rPr>
      </w:pPr>
    </w:p>
    <w:p>
      <w:pPr>
        <w:ind w:left="140" w:right="879" w:firstLine="324"/>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4" w:lineRule="exact"/>
        <w:rPr>
          <w:sz w:val="20"/>
          <w:szCs w:val="20"/>
          <w:color w:val="auto"/>
        </w:rPr>
      </w:pPr>
    </w:p>
    <w:p>
      <w:pPr>
        <w:ind w:left="1120" w:hanging="328"/>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prepared by Oxford Economics;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analyses performed by ARC Advisory Group; and</w:t>
      </w:r>
    </w:p>
    <w:p>
      <w:pPr>
        <w:spacing w:after="0" w:line="117" w:lineRule="exact"/>
        <w:rPr>
          <w:rFonts w:ascii="Times New Roman" w:cs="Times New Roman" w:eastAsia="Times New Roman" w:hAnsi="Times New Roman"/>
          <w:sz w:val="18"/>
          <w:szCs w:val="18"/>
          <w:color w:val="auto"/>
        </w:rPr>
      </w:pPr>
    </w:p>
    <w:p>
      <w:pPr>
        <w:ind w:left="1120" w:right="459" w:hanging="328"/>
        <w:spacing w:after="0" w:line="266" w:lineRule="auto"/>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market study conducted by Cambashi, which was commissioned by us. Cambashi has consented to the references to its study and the use of its name in this prospectus and publicly-available reports.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shares of our Class B common stock in this offering. We will not receive any proceeds from the sale of shares by the selling stockholders. The selling stockholders will not be responsible for any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40" w:right="339" w:firstLine="324"/>
        <w:spacing w:after="0" w:line="253"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$0.02 per share of common stock in 2018, quarterly dividends of $0.025 per share of common stock in 2019, and quarterly dividends of $0.03 per share of common stock in the first three quarters of 2020. In addition, we paid the Special Dividend of $1.50 per share of common stock on September 2, 2020.While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 See the section titled “Management’s Discussion and Analysis of Financial Conditions and Results of Operations—Liquidity and Capital Resources” for a summary of the material terms of the agreement governing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2020 on:</w:t>
      </w:r>
    </w:p>
    <w:p>
      <w:pPr>
        <w:spacing w:after="0" w:line="117" w:lineRule="exact"/>
        <w:rPr>
          <w:sz w:val="20"/>
          <w:szCs w:val="20"/>
          <w:color w:val="auto"/>
        </w:rPr>
      </w:pPr>
    </w:p>
    <w:p>
      <w:pPr>
        <w:ind w:left="1120" w:hanging="328"/>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225" w:lineRule="exact"/>
        <w:rPr>
          <w:rFonts w:ascii="Times New Roman" w:cs="Times New Roman" w:eastAsia="Times New Roman" w:hAnsi="Times New Roman"/>
          <w:sz w:val="18"/>
          <w:szCs w:val="18"/>
          <w:color w:val="auto"/>
        </w:rPr>
      </w:pPr>
    </w:p>
    <w:p>
      <w:pPr>
        <w:ind w:left="1120" w:right="199" w:hanging="328"/>
        <w:spacing w:after="0" w:line="261" w:lineRule="auto"/>
        <w:tabs>
          <w:tab w:leader="none" w:pos="11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to give effect to (i) the payment of the Special Dividend and the funding of such Special Dividend with borrowings under the New Term Loan and under the revolving facility under the Credit Facility and (ii) the accrual of the Special Dividend on 2,204,572 shares of outstanding restricted stock and restricted stock units; and</w:t>
      </w:r>
    </w:p>
    <w:p>
      <w:pPr>
        <w:spacing w:after="0" w:line="71" w:lineRule="exact"/>
        <w:rPr>
          <w:rFonts w:ascii="Times New Roman" w:cs="Times New Roman" w:eastAsia="Times New Roman" w:hAnsi="Times New Roman"/>
          <w:sz w:val="18"/>
          <w:szCs w:val="18"/>
          <w:color w:val="auto"/>
        </w:rPr>
      </w:pPr>
    </w:p>
    <w:p>
      <w:pPr>
        <w:ind w:left="1120" w:right="179" w:hanging="328"/>
        <w:spacing w:after="0" w:line="268" w:lineRule="auto"/>
        <w:tabs>
          <w:tab w:leader="none" w:pos="112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forma as adjusted basis to give effect to the Special Dividend and the funding of such Special Dividend as described in the immediately preceding bullet and to further (i) give effect to (A) 994,912 total shares of restricted Class B common stock and restricted stock units issued in July 2020 that will vest automatically upon the consummation of this offering, reduced by 32,238 of such restricted stock units that will be settled in cash, (B) approximately $14.9 million in additional stock-based compensation expense in connection with such July 2020 grant (excluding restricted stock units that will settle in cash) and (C)</w:t>
      </w:r>
    </w:p>
    <w:p>
      <w:pPr>
        <w:spacing w:after="0" w:line="4" w:lineRule="exact"/>
        <w:rPr>
          <w:rFonts w:ascii="Times New Roman" w:cs="Times New Roman" w:eastAsia="Times New Roman" w:hAnsi="Times New Roman"/>
          <w:sz w:val="17"/>
          <w:szCs w:val="17"/>
          <w:color w:val="auto"/>
        </w:rPr>
      </w:pPr>
    </w:p>
    <w:p>
      <w:pPr>
        <w:ind w:left="1120" w:right="179" w:firstLine="7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shares of Class B common stock to be sold in this offering following the exercise of stock options for such shares, at an assumed initial public offering price of the Class B common stock of $ per share, the midpoint of the range set forth on the cover page of this prospectus, as if such exercise had occurred on June 30, 2020, (ii) reflect the payment of certain expenses in connection with this offering by the Company, including those paid on behalf of the selling stockholders and the underwriting discounts and commissions and (iii) reflect the payment in cash of the Special Dividend on 994,912 shares of outstanding restricted stock and restricted stock units that vest automatically upon the consummation of this offering, using additional borrowings under the revolving facility under the Credit Facility.</w:t>
      </w:r>
    </w:p>
    <w:p>
      <w:pPr>
        <w:spacing w:after="0" w:line="86"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The information in this table is illustrative only and our capitalization following the closing of this offering will be adjusted based on the actual initial public offering price and other terms of this offering determined at pricing. 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the filing and effectiveness of our Charter Amendments.</w:t>
      </w:r>
    </w:p>
    <w:p>
      <w:pPr>
        <w:spacing w:after="0" w:line="3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0"/>
                <w:szCs w:val="10"/>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2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3"/>
        </w:trPr>
        <w:tc>
          <w:tcPr>
            <w:tcW w:w="3520" w:type="dxa"/>
            <w:vAlign w:val="bottom"/>
            <w:gridSpan w:val="2"/>
            <w:vMerge w:val="continue"/>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3520" w:type="dxa"/>
            <w:vAlign w:val="bottom"/>
            <w:tcBorders>
              <w:top w:val="single" w:sz="8" w:color="auto"/>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236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$ 125,516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23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2"/>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$ 207,000</w:t>
            </w:r>
          </w:p>
        </w:tc>
        <w:tc>
          <w:tcPr>
            <w:tcW w:w="1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596,583</w:t>
            </w:r>
          </w:p>
        </w:tc>
        <w:tc>
          <w:tcPr>
            <w:tcW w:w="14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$ 598,075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0" w:type="dxa"/>
            <w:vAlign w:val="bottom"/>
            <w:gridSpan w:val="5"/>
          </w:tcPr>
          <w:p>
            <w:pPr>
              <w:ind w:left="2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per share; 320,000,000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authorized, 11,601,757 shares issued and outstanding, actual and pro forma;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100,000,000 shares authorized, 11,601,757 shares issued and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 forma as adjusted</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6800" w:type="dxa"/>
            <w:vAlign w:val="bottom"/>
            <w:gridSpan w:val="5"/>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per share; 600,000,000 shares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247,607,598 shares issued and outstanding, actual and pro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forma; 1,800,000,000 shares authorized,</w:t>
            </w:r>
          </w:p>
        </w:tc>
        <w:tc>
          <w:tcPr>
            <w:tcW w:w="3280" w:type="dxa"/>
            <w:vAlign w:val="bottom"/>
            <w:gridSpan w:val="3"/>
            <w:shd w:val="clear" w:color="auto" w:fill="CCEEFF"/>
          </w:tcPr>
          <w:p>
            <w:pPr>
              <w:jc w:val="right"/>
              <w:ind w:right="1674"/>
              <w:spacing w:after="0"/>
              <w:rPr>
                <w:sz w:val="20"/>
                <w:szCs w:val="20"/>
                <w:color w:val="auto"/>
              </w:rPr>
            </w:pPr>
            <w:r>
              <w:rPr>
                <w:rFonts w:ascii="Times New Roman" w:cs="Times New Roman" w:eastAsia="Times New Roman" w:hAnsi="Times New Roman"/>
                <w:sz w:val="18"/>
                <w:szCs w:val="18"/>
                <w:color w:val="auto"/>
              </w:rPr>
              <w:t>shares issued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3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2,476</w:t>
            </w: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2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415,883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(28,404)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0" w:type="dxa"/>
            <w:vAlign w:val="bottom"/>
          </w:tcPr>
          <w:p>
            <w:pPr>
              <w:spacing w:after="0"/>
              <w:rPr>
                <w:sz w:val="1"/>
                <w:szCs w:val="1"/>
                <w:color w:val="auto"/>
              </w:rPr>
            </w:pPr>
          </w:p>
        </w:tc>
      </w:tr>
      <w:tr>
        <w:trPr>
          <w:trHeight w:val="216"/>
        </w:trPr>
        <w:tc>
          <w:tcPr>
            <w:tcW w:w="35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Accumulated deficit</w:t>
            </w:r>
            <w:r>
              <w:rPr>
                <w:rFonts w:ascii="Times New Roman" w:cs="Times New Roman" w:eastAsia="Times New Roman" w:hAnsi="Times New Roman"/>
                <w:sz w:val="25"/>
                <w:szCs w:val="25"/>
                <w:color w:val="auto"/>
                <w:vertAlign w:val="superscript"/>
              </w:rPr>
              <w:t>(1)</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(403,099)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$ 586,744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583,555</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319" w:hanging="316"/>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amount does not include $ of stock-based compensation expense for 32,238 restricted stock units that will vest automatically upon the consummation of this offering and be settled in cash at the initial public offering price.</w:t>
      </w:r>
    </w:p>
    <w:p>
      <w:pPr>
        <w:spacing w:after="0" w:line="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Except as otherwise indicated, the number of outstanding shares of Class B common stock on a pro forma as</w:t>
      </w:r>
    </w:p>
    <w:p>
      <w:pPr>
        <w:spacing w:after="0" w:line="27" w:lineRule="exact"/>
        <w:rPr>
          <w:sz w:val="20"/>
          <w:szCs w:val="20"/>
          <w:color w:val="auto"/>
        </w:rPr>
      </w:pPr>
    </w:p>
    <w:p>
      <w:pPr>
        <w:ind w:left="140" w:right="399"/>
        <w:spacing w:after="0" w:line="250" w:lineRule="auto"/>
        <w:rPr>
          <w:sz w:val="20"/>
          <w:szCs w:val="20"/>
          <w:color w:val="auto"/>
        </w:rPr>
      </w:pPr>
      <w:r>
        <w:rPr>
          <w:rFonts w:ascii="Times New Roman" w:cs="Times New Roman" w:eastAsia="Times New Roman" w:hAnsi="Times New Roman"/>
          <w:sz w:val="18"/>
          <w:szCs w:val="18"/>
          <w:color w:val="auto"/>
        </w:rPr>
        <w:t>adjusted basis excludes, as of June 30, 2020: (i) shares of Class B common stock issuable upon exercise of stock options outstanding as of the date of this prospectus at a weighted average exercise price of $ per share of</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Class B common stock, (ii) 45,151 shares of Class B common stock issuable upon the settlement of fully-vested</w:t>
      </w:r>
    </w:p>
    <w:p>
      <w:pPr>
        <w:spacing w:after="0" w:line="9" w:lineRule="exact"/>
        <w:rPr>
          <w:sz w:val="20"/>
          <w:szCs w:val="20"/>
          <w:color w:val="auto"/>
        </w:rPr>
      </w:pPr>
    </w:p>
    <w:p>
      <w:pPr>
        <w:ind w:left="140" w:right="199"/>
        <w:spacing w:after="0" w:line="253" w:lineRule="auto"/>
        <w:rPr>
          <w:sz w:val="20"/>
          <w:szCs w:val="20"/>
          <w:color w:val="auto"/>
        </w:rPr>
      </w:pPr>
      <w:r>
        <w:rPr>
          <w:rFonts w:ascii="Times New Roman" w:cs="Times New Roman" w:eastAsia="Times New Roman" w:hAnsi="Times New Roman"/>
          <w:sz w:val="18"/>
          <w:szCs w:val="18"/>
          <w:color w:val="auto"/>
        </w:rPr>
        <w:t>restricted stock units outstanding as of June 30, 2020, (iii) shares of unvested restricted Class B common stock and restricted stock units outstanding as of the date of this prospectus that will not vest upon consummation of this offering; (iv) 27,941,520 shares of Class B common stock held by colleagues and directors as phantom shares under our nonqualified deferred compensation plans as of June 30, 2020; (v) 25,000,000 shares to be reserved for issuance under our 2020 Incentive Award Plan; and (vi) 25,000,000 shares to be reserved for issuance under our Global ESPP.</w:t>
      </w:r>
    </w:p>
    <w:p>
      <w:pPr>
        <w:spacing w:after="0" w:line="79" w:lineRule="exact"/>
        <w:rPr>
          <w:sz w:val="20"/>
          <w:szCs w:val="20"/>
          <w:color w:val="auto"/>
        </w:rPr>
      </w:pPr>
    </w:p>
    <w:p>
      <w:pPr>
        <w:ind w:left="140" w:right="499" w:firstLine="324"/>
        <w:spacing w:after="0" w:line="282" w:lineRule="auto"/>
        <w:rPr>
          <w:sz w:val="20"/>
          <w:szCs w:val="20"/>
          <w:color w:val="auto"/>
        </w:rPr>
      </w:pPr>
      <w:r>
        <w:rPr>
          <w:rFonts w:ascii="Times New Roman" w:cs="Times New Roman" w:eastAsia="Times New Roman" w:hAnsi="Times New Roman"/>
          <w:sz w:val="18"/>
          <w:szCs w:val="18"/>
          <w:color w:val="auto"/>
        </w:rPr>
        <w:t>The as adjusted information discussed above is illustrative only and will adjust based on the actual initial public offering price and other terms of this offering determined at pricing.</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117" w:lineRule="exact"/>
        <w:rPr>
          <w:sz w:val="20"/>
          <w:szCs w:val="20"/>
          <w:color w:val="auto"/>
        </w:rPr>
      </w:pPr>
    </w:p>
    <w:p>
      <w:pPr>
        <w:ind w:left="1120" w:hanging="328"/>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Charter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1" w:name="page62"/>
    <w:bookmarkEnd w:id="6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21" w:lineRule="exact"/>
        <w:rPr>
          <w:sz w:val="20"/>
          <w:szCs w:val="20"/>
          <w:color w:val="auto"/>
        </w:rPr>
      </w:pPr>
    </w:p>
    <w:p>
      <w:pPr>
        <w:ind w:left="140" w:right="179" w:firstLine="324"/>
        <w:spacing w:after="0" w:line="252"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data. The selected consolidated statement of operations data for the years ended December 31, 2018 and 2019 and the consolidated balance sheet data as of December 31, 2018 and 2019 have been derived from our audited consolidated financial statements included elsewhere in this prospectus. The selected consolidated statement of operations data for the year ended December 31, 2017 has been derived from our audited consolidated financial statements not included in this prospectus, which were audited in accordance with the auditing standards of the American Institute of Certified Public Accountants rather than the auditing standards of the Public Company Accounting Oversight Board. The consolidated statements of operations data for the six months ended June 30, 2019 and 2020 and the consolidated balance sheet data as of June 30, 2020 have been derived from our unaudited consolidated financial statements included elsewhere in this prospectus. The unaudited consolidated financial statements include all adjustments, consisting of normal recurring accruals, that we consider necessary for a fair presentation of the financial position and the results of operations for these periods. You should read this selected consolidated financial data in conjunction with the section titled “Management’s Discussion and Analysis of Financial Condition and Results of Operations” and our consolidated financial statements and related notes included elsewhere in this prospectus. Our historical results are not necessarily indicative of the results to be expected in the future, and our results of operations for the six months ended June 30, 2020 are not necessarily indicative of the results that may be expected for the entire year ending December 31, 2020 or any other period.</w:t>
      </w:r>
    </w:p>
    <w:p>
      <w:pPr>
        <w:spacing w:after="0" w:line="87" w:lineRule="exact"/>
        <w:rPr>
          <w:sz w:val="20"/>
          <w:szCs w:val="20"/>
          <w:color w:val="auto"/>
        </w:rPr>
      </w:pPr>
    </w:p>
    <w:p>
      <w:pPr>
        <w:ind w:left="140" w:right="159" w:firstLine="324"/>
        <w:spacing w:after="0" w:line="312" w:lineRule="auto"/>
        <w:rPr>
          <w:sz w:val="20"/>
          <w:szCs w:val="20"/>
          <w:color w:val="auto"/>
        </w:rPr>
      </w:pPr>
      <w:r>
        <w:rPr>
          <w:rFonts w:ascii="Times New Roman" w:cs="Times New Roman" w:eastAsia="Times New Roman" w:hAnsi="Times New Roman"/>
          <w:sz w:val="17"/>
          <w:szCs w:val="17"/>
          <w:color w:val="auto"/>
        </w:rPr>
        <w:t>All amounts presented in this selected consolidated financial data, except share and per share amounts, are presented in thousands. Additionally, many of the amounts and percentages have been rounded for convenience of presentation.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28"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500"/>
              <w:spacing w:after="0" w:line="129" w:lineRule="exact"/>
              <w:rPr>
                <w:sz w:val="20"/>
                <w:szCs w:val="20"/>
                <w:color w:val="auto"/>
              </w:rPr>
            </w:pPr>
            <w:r>
              <w:rPr>
                <w:rFonts w:ascii="Times New Roman" w:cs="Times New Roman" w:eastAsia="Times New Roman" w:hAnsi="Times New Roman"/>
                <w:sz w:val="13"/>
                <w:szCs w:val="13"/>
                <w:b w:val="1"/>
                <w:bCs w:val="1"/>
                <w:color w:val="auto"/>
                <w:w w:val="75"/>
              </w:rPr>
              <w:t>Topic</w:t>
            </w:r>
          </w:p>
        </w:tc>
        <w:tc>
          <w:tcPr>
            <w:tcW w:w="1000" w:type="dxa"/>
            <w:vAlign w:val="bottom"/>
            <w:tcBorders>
              <w:bottom w:val="single" w:sz="8" w:color="auto"/>
            </w:tcBorders>
            <w:gridSpan w:val="2"/>
          </w:tcPr>
          <w:p>
            <w:pPr>
              <w:jc w:val="right"/>
              <w:ind w:right="588"/>
              <w:spacing w:after="0" w:line="129" w:lineRule="exact"/>
              <w:rPr>
                <w:sz w:val="20"/>
                <w:szCs w:val="20"/>
                <w:color w:val="auto"/>
              </w:rPr>
            </w:pPr>
            <w:r>
              <w:rPr>
                <w:rFonts w:ascii="Times New Roman" w:cs="Times New Roman" w:eastAsia="Times New Roman" w:hAnsi="Times New Roman"/>
                <w:sz w:val="14"/>
                <w:szCs w:val="14"/>
                <w:b w:val="1"/>
                <w:bCs w:val="1"/>
                <w:color w:val="auto"/>
              </w:rPr>
              <w:t>605</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Topic 605</w:t>
            </w:r>
            <w:r>
              <w:rPr>
                <w:rFonts w:ascii="Times New Roman" w:cs="Times New Roman" w:eastAsia="Times New Roman" w:hAnsi="Times New Roman"/>
                <w:sz w:val="10"/>
                <w:szCs w:val="10"/>
                <w:b w:val="1"/>
                <w:bCs w:val="1"/>
                <w:color w:val="auto"/>
              </w:rPr>
              <w:t>(1)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Subscriptions</w:t>
            </w:r>
          </w:p>
        </w:tc>
        <w:tc>
          <w:tcPr>
            <w:tcW w:w="2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501,098</w:t>
            </w:r>
          </w:p>
        </w:tc>
        <w:tc>
          <w:tcPr>
            <w:tcW w:w="2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557,421</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613,925</w:t>
            </w:r>
          </w:p>
        </w:tc>
        <w:tc>
          <w:tcPr>
            <w:tcW w:w="3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608,300</w:t>
            </w: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290,147</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327,837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Perpetual licenses</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61,661</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61,065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59,693</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Subscriptions and licenses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562,759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618,486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666,444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667,993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314,615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66,164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68,405</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68,661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32,529</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628,923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691,710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734,849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736,654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347,144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378,980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Cost of revenues: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Cost of subscriptions and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71,439</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71,578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licenses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66,928</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76,211</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72,572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72,572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38,367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120,590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144,150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69,198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508,333</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560,386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590,838</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592,504</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277,946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175,032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91,861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Selling and marketing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155,294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Amortization of purchased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intangibles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386,934</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438,995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450,619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450,639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220,188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214,464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121,391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141,865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57,758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90,552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(5,773)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126,463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128,109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 in loss of joint venture, net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59,165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142,112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103,426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103,096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46,418</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Less: Net income attributable to</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60" w:type="dxa"/>
            <w:vAlign w:val="bottom"/>
          </w:tcPr>
          <w:p>
            <w:pPr>
              <w:ind w:left="200"/>
              <w:spacing w:after="0" w:line="106" w:lineRule="exact"/>
              <w:rPr>
                <w:sz w:val="20"/>
                <w:szCs w:val="20"/>
                <w:color w:val="auto"/>
              </w:rPr>
            </w:pPr>
            <w:r>
              <w:rPr>
                <w:rFonts w:ascii="Times New Roman" w:cs="Times New Roman" w:eastAsia="Times New Roman" w:hAnsi="Times New Roman"/>
                <w:sz w:val="12"/>
                <w:szCs w:val="12"/>
                <w:color w:val="auto"/>
              </w:rPr>
              <w:t>Net income per share</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attributable to Class A and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142,108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103,418</w:t>
            </w:r>
          </w:p>
        </w:tc>
        <w:tc>
          <w:tcPr>
            <w:tcW w:w="3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103,088</w:t>
            </w:r>
          </w:p>
        </w:tc>
        <w:tc>
          <w:tcPr>
            <w:tcW w:w="30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ind w:left="340"/>
              <w:spacing w:after="0" w:line="158" w:lineRule="exact"/>
              <w:rPr>
                <w:sz w:val="20"/>
                <w:szCs w:val="20"/>
                <w:color w:val="auto"/>
              </w:rPr>
            </w:pPr>
            <w:r>
              <w:rPr>
                <w:rFonts w:ascii="Times New Roman" w:cs="Times New Roman" w:eastAsia="Times New Roman" w:hAnsi="Times New Roman"/>
                <w:sz w:val="14"/>
                <w:szCs w:val="14"/>
                <w:color w:val="auto"/>
              </w:rPr>
              <w:t>Class B common shares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income per share:</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3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30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vMerge w:val="restart"/>
          </w:tcPr>
          <w:p>
            <w:pPr>
              <w:ind w:left="200"/>
              <w:spacing w:after="0" w:line="119" w:lineRule="exact"/>
              <w:rPr>
                <w:sz w:val="20"/>
                <w:szCs w:val="20"/>
                <w:color w:val="auto"/>
              </w:rPr>
            </w:pPr>
            <w:r>
              <w:rPr>
                <w:rFonts w:ascii="Times New Roman" w:cs="Times New Roman" w:eastAsia="Times New Roman" w:hAnsi="Times New Roman"/>
                <w:sz w:val="13"/>
                <w:szCs w:val="13"/>
                <w:color w:val="auto"/>
              </w:rPr>
              <w:t>Weighted average shares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285,805,096</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284,625,642</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284,625,642</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285,529,476</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286,068,766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Borders>
              <w:bottom w:val="single" w:sz="8" w:color="CCEEFF"/>
            </w:tcBorders>
          </w:tcPr>
          <w:p>
            <w:pPr>
              <w:ind w:left="340"/>
              <w:spacing w:after="0" w:line="158" w:lineRule="exact"/>
              <w:rPr>
                <w:sz w:val="20"/>
                <w:szCs w:val="20"/>
                <w:color w:val="auto"/>
              </w:rPr>
            </w:pPr>
            <w:r>
              <w:rPr>
                <w:rFonts w:ascii="Times New Roman" w:cs="Times New Roman" w:eastAsia="Times New Roman" w:hAnsi="Times New Roman"/>
                <w:sz w:val="14"/>
                <w:szCs w:val="14"/>
                <w:color w:val="auto"/>
              </w:rPr>
              <w:t>outstanding, basic</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060" w:type="dxa"/>
            <w:vAlign w:val="bottom"/>
            <w:shd w:val="clear" w:color="auto" w:fill="CCEEFF"/>
          </w:tcPr>
          <w:p>
            <w:pPr>
              <w:ind w:left="200"/>
              <w:spacing w:after="0" w:line="79" w:lineRule="exact"/>
              <w:rPr>
                <w:sz w:val="20"/>
                <w:szCs w:val="20"/>
                <w:color w:val="auto"/>
              </w:rPr>
            </w:pPr>
            <w:r>
              <w:rPr>
                <w:rFonts w:ascii="Times New Roman" w:cs="Times New Roman" w:eastAsia="Times New Roman" w:hAnsi="Times New Roman"/>
                <w:sz w:val="9"/>
                <w:szCs w:val="9"/>
                <w:color w:val="auto"/>
              </w:rPr>
              <w:t>Weighted average shares</w:t>
            </w: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292,624,496</w:t>
            </w: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293,796,707</w:t>
            </w: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293,796,707</w:t>
            </w: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293,633,255</w:t>
            </w: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295,595,234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Borders>
              <w:bottom w:val="single" w:sz="8" w:color="CCEEFF"/>
            </w:tcBorders>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outstanding, diluted</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179" w:hanging="316"/>
        <w:spacing w:after="0" w:line="261"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Revenue Comparison—Topic 605 versus Topic 606:</w:t>
      </w:r>
    </w:p>
    <w:p>
      <w:pPr>
        <w:spacing w:after="0" w:line="121"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deficit </w:t>
      </w:r>
      <w:r>
        <w:rPr>
          <w:rFonts w:ascii="Times New Roman" w:cs="Times New Roman" w:eastAsia="Times New Roman" w:hAnsi="Times New Roman"/>
          <w:sz w:val="18"/>
          <w:szCs w:val="18"/>
          <w:color w:val="auto"/>
        </w:rPr>
        <w:t>of $125,464 ($101,489, net of tax) as of January 1, 2019. We applied the standard only to contracts that were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as of the date of initial application. The comparative information in our consolidated financial statements included elsewhere in this prospectus has not been adjusted and continues to be reported under Topic 605.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The below table presents a comparison of our revenues as recognized under Topic 605 and Topic 606. We believe that an understanding of the impact of the revenue recognition guidance under Topic 606 on our revenues and revenue trends is useful in evaluating our operating performance.</w:t>
      </w:r>
    </w:p>
    <w:p>
      <w:pPr>
        <w:spacing w:after="0" w:line="7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Topic 605:</w:t>
            </w:r>
            <w:r>
              <w:rPr>
                <w:rFonts w:ascii="Times New Roman" w:cs="Times New Roman" w:eastAsia="Times New Roman" w:hAnsi="Times New Roman"/>
                <w:sz w:val="24"/>
                <w:szCs w:val="24"/>
                <w:color w:val="auto"/>
                <w:vertAlign w:val="superscript"/>
              </w:rPr>
              <w:t>(1)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$ 501,098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$ 557,421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$ 613,925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Perpetual licenses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$ 628,923</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$ 691,710</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$ 734,849</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26"/>
                <w:szCs w:val="26"/>
                <w:color w:val="auto"/>
                <w:vertAlign w:val="superscript"/>
              </w:rPr>
              <w:t>(2)</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$ 505,720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$ 560,485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$ 608,300</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Perpetual licenses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09"/>
        </w:trPr>
        <w:tc>
          <w:tcPr>
            <w:tcW w:w="6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$ 621,867</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$ 691,062</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$ 736,654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179" w:hanging="316"/>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71" w:lineRule="exact"/>
        <w:rPr>
          <w:rFonts w:ascii="Times New Roman" w:cs="Times New Roman" w:eastAsia="Times New Roman" w:hAnsi="Times New Roman"/>
          <w:sz w:val="18"/>
          <w:szCs w:val="18"/>
          <w:color w:val="auto"/>
        </w:rPr>
      </w:pPr>
    </w:p>
    <w:p>
      <w:pPr>
        <w:ind w:left="460" w:right="159" w:hanging="316"/>
        <w:spacing w:after="0" w:line="258"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“—Non-GAAP Financial Measures” below.</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37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r>
      <w:tr>
        <w:trPr>
          <w:trHeight w:val="19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521,923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586,466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631,097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606,411</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$ 665,659</w:t>
            </w:r>
          </w:p>
        </w:tc>
        <w:tc>
          <w:tcPr>
            <w:tcW w:w="14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523,502</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583,402</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636,899</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604,043</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$ 670,825</w:t>
            </w:r>
          </w:p>
        </w:tc>
        <w:tc>
          <w:tcPr>
            <w:tcW w:w="140" w:type="dxa"/>
            <w:vAlign w:val="bottom"/>
          </w:tcPr>
          <w:p>
            <w:pPr>
              <w:spacing w:after="0"/>
              <w:rPr>
                <w:sz w:val="17"/>
                <w:szCs w:val="17"/>
                <w:color w:val="auto"/>
              </w:rPr>
            </w:pPr>
          </w:p>
        </w:tc>
      </w:tr>
    </w:tbl>
    <w:p>
      <w:pPr>
        <w:spacing w:after="0" w:line="1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Constant Currency:</w:t>
            </w: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ARR growth rate</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10 %</w:t>
            </w: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11 %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 retention rate</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98 %</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98 %</w:t>
            </w:r>
          </w:p>
        </w:tc>
        <w:tc>
          <w:tcPr>
            <w:tcW w:w="10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98 %</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98 %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Recurring revenues dollar-based net retention rate</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105 %</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107 %</w:t>
            </w: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108 %</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106 %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bl>
    <w:p>
      <w:pPr>
        <w:spacing w:after="0" w:line="186" w:lineRule="exact"/>
        <w:rPr>
          <w:sz w:val="20"/>
          <w:szCs w:val="20"/>
          <w:color w:val="auto"/>
        </w:rPr>
      </w:pPr>
    </w:p>
    <w:p>
      <w:pPr>
        <w:ind w:left="140" w:right="2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72" w:lineRule="exact"/>
        <w:rPr>
          <w:sz w:val="20"/>
          <w:szCs w:val="20"/>
          <w:color w:val="auto"/>
        </w:rPr>
      </w:pPr>
    </w:p>
    <w:p>
      <w:pPr>
        <w:ind w:left="140" w:right="219" w:firstLine="324"/>
        <w:spacing w:after="0" w:line="274" w:lineRule="auto"/>
        <w:rPr>
          <w:sz w:val="20"/>
          <w:szCs w:val="20"/>
          <w:color w:val="auto"/>
        </w:rPr>
      </w:pPr>
      <w:r>
        <w:rPr>
          <w:rFonts w:ascii="Times New Roman" w:cs="Times New Roman" w:eastAsia="Times New Roman" w:hAnsi="Times New Roman"/>
          <w:sz w:val="17"/>
          <w:szCs w:val="17"/>
          <w:color w:val="auto"/>
        </w:rPr>
        <w:t>Last twelve-months recurring revenues is presented using revenues recognized pursuant to Topic 606 as well as Topic 605 for all periods in order to enhance comparability during our transition to Topic 606. 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“—Non-GAAP Financial Measures.”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 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“Management’s Discussion and Analysis of Financial Condition and Results of Operations—Key Factors Impacting Comparability and Performance.”</w:t>
      </w:r>
    </w:p>
    <w:p>
      <w:pPr>
        <w:spacing w:after="0" w:line="84"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183" w:lineRule="exact"/>
        <w:rPr>
          <w:sz w:val="20"/>
          <w:szCs w:val="20"/>
          <w:color w:val="auto"/>
        </w:rPr>
      </w:pPr>
    </w:p>
    <w:p>
      <w:pPr>
        <w:ind w:left="14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73"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 is defined as the sum of the annualized value of our portfolio of contracts that produce recurring revenue as of the last day of the reporting period, and the annualized value of the last three months of recognized revenues for our contractually recurring consumption-based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w:t>
      </w:r>
    </w:p>
    <w:p>
      <w:pPr>
        <w:spacing w:after="0" w:line="84"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75"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long-term value of our account relationships and our ability to retain our account base. We believe that our consistent and high account retention rates illustrate our ability to retain and cultivate long-term relationships with our accounts.</w:t>
      </w:r>
    </w:p>
    <w:p>
      <w:pPr>
        <w:spacing w:after="0" w:line="80"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81"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117"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key metrics, see the section titled “Management’s Discussion and Analysis of Financial Condition and Results of Operations—Key Business Metrics.”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88"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169"/>
        </w:trPr>
        <w:tc>
          <w:tcPr>
            <w:tcW w:w="5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2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Topic 605:</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160,886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171,768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186,598</w:t>
            </w: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115,389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132,246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135,471</w:t>
            </w:r>
          </w:p>
        </w:tc>
      </w:tr>
      <w:tr>
        <w:trPr>
          <w:trHeight w:val="216"/>
        </w:trPr>
        <w:tc>
          <w:tcPr>
            <w:tcW w:w="5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Topic 606:</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153,830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171,120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188,129</w:t>
            </w:r>
          </w:p>
        </w:tc>
      </w:tr>
      <w:tr>
        <w:trPr>
          <w:trHeight w:val="234"/>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109,398</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131,697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57150</wp:posOffset>
            </wp:positionV>
            <wp:extent cx="13887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59" w:lineRule="exact"/>
        <w:rPr>
          <w:sz w:val="20"/>
          <w:szCs w:val="20"/>
          <w:color w:val="auto"/>
        </w:rPr>
      </w:pPr>
    </w:p>
    <w:p>
      <w:pPr>
        <w:ind w:left="460" w:right="179" w:hanging="316"/>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6" w:name="page67"/>
    <w:bookmarkEnd w:id="6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right="159" w:hanging="316"/>
        <w:spacing w:after="0" w:line="28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adjustments as if the adoption of Topic 606 had occurred as of January 1, 2017 rather than January 1, 2019.</w:t>
      </w:r>
    </w:p>
    <w:p>
      <w:pPr>
        <w:spacing w:after="0" w:line="61"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Topic 606: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79,384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115,506</w:t>
            </w:r>
          </w:p>
        </w:tc>
      </w:tr>
      <w:tr>
        <w:trPr>
          <w:trHeight w:val="21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89,203</w:t>
            </w:r>
          </w:p>
        </w:tc>
      </w:tr>
    </w:tbl>
    <w:p>
      <w:pPr>
        <w:spacing w:after="0" w:line="196" w:lineRule="exact"/>
        <w:rPr>
          <w:sz w:val="20"/>
          <w:szCs w:val="20"/>
          <w:color w:val="auto"/>
        </w:rPr>
      </w:pPr>
    </w:p>
    <w:p>
      <w:pPr>
        <w:ind w:left="140" w:right="3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define Adjusted EBITDA as net income adjusted for interest expense, net,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depreciation and amortization, equity-based compensation, acquisition expenses, realignment expenses, other non-operating income and expense, net, and equity in loss of joint venture, net of tax.</w:t>
      </w:r>
    </w:p>
    <w:p>
      <w:pPr>
        <w:spacing w:after="0" w:line="65" w:lineRule="exact"/>
        <w:rPr>
          <w:sz w:val="20"/>
          <w:szCs w:val="20"/>
          <w:color w:val="auto"/>
        </w:rPr>
      </w:pPr>
    </w:p>
    <w:p>
      <w:pPr>
        <w:ind w:left="140" w:right="2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We define Adjusted Net Income as net income adjusted for the following: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intangibles and developed technologies, equity-based compensation, acquisition expenses, realignment expenses, other non-operating income and expense, net, the tax effect of the above adjustments to net income, non-recurring income tax expense and benefit, and equity in loss of joint venture, net of tax. The tax effect of adjustments to net income is based on the estimated marginal effective tax rates in the jurisdictions impacted by such adjustments.</w:t>
      </w:r>
    </w:p>
    <w:p>
      <w:pPr>
        <w:spacing w:after="0" w:line="77"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80"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605):</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4"/>
                <w:szCs w:val="24"/>
                <w:color w:val="auto"/>
                <w:vertAlign w:val="superscript"/>
              </w:rPr>
              <w:t>(1)</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$ 142,112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$ 103,426</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(3)(a)</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Equity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w:t>
            </w:r>
            <w:r>
              <w:rPr>
                <w:rFonts w:ascii="Times New Roman" w:cs="Times New Roman" w:eastAsia="Times New Roman" w:hAnsi="Times New Roman"/>
                <w:sz w:val="25"/>
                <w:szCs w:val="25"/>
                <w:color w:val="auto"/>
                <w:vertAlign w:val="superscript"/>
              </w:rPr>
              <w:t>(3)(c)</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Acquisition expenses</w:t>
            </w:r>
            <w:r>
              <w:rPr>
                <w:rFonts w:ascii="Times New Roman" w:cs="Times New Roman" w:eastAsia="Times New Roman" w:hAnsi="Times New Roman"/>
                <w:sz w:val="25"/>
                <w:szCs w:val="25"/>
                <w:color w:val="auto"/>
                <w:vertAlign w:val="superscript"/>
              </w:rPr>
              <w:t>(3)(d)</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Realignment expenses</w:t>
            </w:r>
            <w:r>
              <w:rPr>
                <w:rFonts w:ascii="Times New Roman" w:cs="Times New Roman" w:eastAsia="Times New Roman" w:hAnsi="Times New Roman"/>
                <w:sz w:val="25"/>
                <w:szCs w:val="25"/>
                <w:color w:val="auto"/>
                <w:vertAlign w:val="superscript"/>
              </w:rPr>
              <w:t>(3)(e)</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Other (income) expense, net</w:t>
            </w:r>
            <w:r>
              <w:rPr>
                <w:rFonts w:ascii="Times New Roman" w:cs="Times New Roman" w:eastAsia="Times New Roman" w:hAnsi="Times New Roman"/>
                <w:sz w:val="25"/>
                <w:szCs w:val="25"/>
                <w:color w:val="auto"/>
                <w:vertAlign w:val="superscript"/>
              </w:rPr>
              <w:t>(3)(f)</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$ 171,768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$ 186,598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32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67" w:name="page68"/>
    <w:bookmarkEnd w:id="6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605):</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Borders>
              <w:bottom w:val="single" w:sz="8" w:color="auto"/>
            </w:tcBorders>
            <w:gridSpan w:val="8"/>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59,165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prior to income taxes: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6"/>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Amortization of purchased intangibles and developed technologies</w:t>
            </w:r>
            <w:r>
              <w:rPr>
                <w:rFonts w:ascii="Times New Roman" w:cs="Times New Roman" w:eastAsia="Times New Roman" w:hAnsi="Times New Roman"/>
                <w:sz w:val="25"/>
                <w:szCs w:val="25"/>
                <w:color w:val="auto"/>
                <w:vertAlign w:val="superscript"/>
              </w:rPr>
              <w:t>(3)(b)</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line="216" w:lineRule="exact"/>
              <w:rPr>
                <w:sz w:val="20"/>
                <w:szCs w:val="20"/>
                <w:color w:val="auto"/>
              </w:rPr>
            </w:pPr>
            <w:r>
              <w:rPr>
                <w:rFonts w:ascii="Times New Roman" w:cs="Times New Roman" w:eastAsia="Times New Roman" w:hAnsi="Times New Roman"/>
                <w:sz w:val="17"/>
                <w:szCs w:val="17"/>
                <w:color w:val="auto"/>
              </w:rPr>
              <w:t>Equity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w:t>
            </w:r>
            <w:r>
              <w:rPr>
                <w:rFonts w:ascii="Times New Roman" w:cs="Times New Roman" w:eastAsia="Times New Roman" w:hAnsi="Times New Roman"/>
                <w:sz w:val="25"/>
                <w:szCs w:val="25"/>
                <w:color w:val="auto"/>
                <w:vertAlign w:val="superscript"/>
              </w:rPr>
              <w:t>(3)(c)</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Acquisition expenses</w:t>
            </w:r>
            <w:r>
              <w:rPr>
                <w:rFonts w:ascii="Times New Roman" w:cs="Times New Roman" w:eastAsia="Times New Roman" w:hAnsi="Times New Roman"/>
                <w:sz w:val="25"/>
                <w:szCs w:val="25"/>
                <w:color w:val="auto"/>
                <w:vertAlign w:val="superscript"/>
              </w:rPr>
              <w:t>(3)(d)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line="216" w:lineRule="exact"/>
              <w:rPr>
                <w:sz w:val="20"/>
                <w:szCs w:val="20"/>
                <w:color w:val="auto"/>
              </w:rPr>
            </w:pPr>
            <w:r>
              <w:rPr>
                <w:rFonts w:ascii="Times New Roman" w:cs="Times New Roman" w:eastAsia="Times New Roman" w:hAnsi="Times New Roman"/>
                <w:sz w:val="17"/>
                <w:szCs w:val="17"/>
                <w:color w:val="auto"/>
              </w:rPr>
              <w:t>Realignment expenses</w:t>
            </w:r>
            <w:r>
              <w:rPr>
                <w:rFonts w:ascii="Times New Roman" w:cs="Times New Roman" w:eastAsia="Times New Roman" w:hAnsi="Times New Roman"/>
                <w:sz w:val="25"/>
                <w:szCs w:val="25"/>
                <w:color w:val="auto"/>
                <w:vertAlign w:val="superscript"/>
              </w:rPr>
              <w:t>(3)(e)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Other (income) expense, net</w:t>
            </w:r>
            <w:r>
              <w:rPr>
                <w:rFonts w:ascii="Times New Roman" w:cs="Times New Roman" w:eastAsia="Times New Roman" w:hAnsi="Times New Roman"/>
                <w:sz w:val="25"/>
                <w:szCs w:val="25"/>
                <w:color w:val="auto"/>
                <w:vertAlign w:val="superscript"/>
              </w:rPr>
              <w:t>(3)(f)</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09"/>
        </w:trPr>
        <w:tc>
          <w:tcPr>
            <w:tcW w:w="406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 prior to income taxes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20"/>
              <w:spacing w:after="0" w:line="207" w:lineRule="exact"/>
              <w:rPr>
                <w:sz w:val="20"/>
                <w:szCs w:val="20"/>
                <w:color w:val="auto"/>
              </w:rPr>
            </w:pPr>
            <w:r>
              <w:rPr>
                <w:rFonts w:ascii="Times New Roman" w:cs="Times New Roman" w:eastAsia="Times New Roman" w:hAnsi="Times New Roman"/>
                <w:sz w:val="18"/>
                <w:szCs w:val="18"/>
                <w:color w:val="auto"/>
              </w:rPr>
              <w:t>Income tax effect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6"/>
        </w:trPr>
        <w:tc>
          <w:tcPr>
            <w:tcW w:w="5920" w:type="dxa"/>
            <w:vAlign w:val="bottom"/>
            <w:gridSpan w:val="6"/>
          </w:tcPr>
          <w:p>
            <w:pPr>
              <w:ind w:left="320"/>
              <w:spacing w:after="0" w:line="21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recurring income tax expense related to Tax Cuts and Jobs Act</w:t>
            </w:r>
            <w:r>
              <w:rPr>
                <w:rFonts w:ascii="Times New Roman" w:cs="Times New Roman" w:eastAsia="Times New Roman" w:hAnsi="Times New Roman"/>
                <w:sz w:val="25"/>
                <w:szCs w:val="25"/>
                <w:color w:val="auto"/>
                <w:vertAlign w:val="superscript"/>
              </w:rPr>
              <w:t>(3)(g)</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6"/>
            <w:shd w:val="clear" w:color="auto" w:fill="CCEEFF"/>
          </w:tcPr>
          <w:p>
            <w:pPr>
              <w:ind w:left="320"/>
              <w:spacing w:after="0" w:line="21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recurring income tax benefit related to intercompany transactions</w:t>
            </w:r>
            <w:r>
              <w:rPr>
                <w:rFonts w:ascii="Times New Roman" w:cs="Times New Roman" w:eastAsia="Times New Roman" w:hAnsi="Times New Roman"/>
                <w:sz w:val="25"/>
                <w:szCs w:val="25"/>
                <w:color w:val="auto"/>
                <w:vertAlign w:val="superscript"/>
              </w:rPr>
              <w:t>(3)(h)</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$ 115,389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135,471</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606):</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0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6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$ 141,563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$ 103,096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(29,349)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(3)(a)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Equity-based compensation</w:t>
            </w:r>
            <w:r>
              <w:rPr>
                <w:rFonts w:ascii="Times New Roman" w:cs="Times New Roman" w:eastAsia="Times New Roman" w:hAnsi="Times New Roman"/>
                <w:sz w:val="25"/>
                <w:szCs w:val="25"/>
                <w:color w:val="auto"/>
                <w:vertAlign w:val="superscript"/>
              </w:rPr>
              <w:t>(3)(c)</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Acquisition expenses</w:t>
            </w:r>
            <w:r>
              <w:rPr>
                <w:rFonts w:ascii="Times New Roman" w:cs="Times New Roman" w:eastAsia="Times New Roman" w:hAnsi="Times New Roman"/>
                <w:sz w:val="25"/>
                <w:szCs w:val="25"/>
                <w:color w:val="auto"/>
                <w:vertAlign w:val="superscript"/>
              </w:rPr>
              <w:t>(3)(d)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Realignment expenses</w:t>
            </w:r>
            <w:r>
              <w:rPr>
                <w:rFonts w:ascii="Times New Roman" w:cs="Times New Roman" w:eastAsia="Times New Roman" w:hAnsi="Times New Roman"/>
                <w:sz w:val="25"/>
                <w:szCs w:val="25"/>
                <w:color w:val="auto"/>
                <w:vertAlign w:val="superscript"/>
              </w:rPr>
              <w:t>(3)(e)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Other (income) expense, net</w:t>
            </w:r>
            <w:r>
              <w:rPr>
                <w:rFonts w:ascii="Times New Roman" w:cs="Times New Roman" w:eastAsia="Times New Roman" w:hAnsi="Times New Roman"/>
                <w:sz w:val="25"/>
                <w:szCs w:val="25"/>
                <w:color w:val="auto"/>
                <w:vertAlign w:val="superscript"/>
              </w:rPr>
              <w:t>(3)(f)</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$ 171,120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$ 188,129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115,506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606):</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9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3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Net income</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68,745</w:t>
            </w:r>
          </w:p>
        </w:tc>
      </w:tr>
      <w:tr>
        <w:trPr>
          <w:trHeight w:val="203"/>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Non-GAAP adjustments, prior to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8"/>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developed</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7"/>
        </w:trPr>
        <w:tc>
          <w:tcPr>
            <w:tcW w:w="3900" w:type="dxa"/>
            <w:vAlign w:val="bottom"/>
            <w:shd w:val="clear" w:color="auto" w:fill="CCEEFF"/>
          </w:tcPr>
          <w:p>
            <w:pPr>
              <w:ind w:left="340"/>
              <w:spacing w:after="0" w:line="217" w:lineRule="exact"/>
              <w:rPr>
                <w:sz w:val="20"/>
                <w:szCs w:val="20"/>
                <w:color w:val="auto"/>
              </w:rPr>
            </w:pPr>
            <w:r>
              <w:rPr>
                <w:rFonts w:ascii="Times New Roman" w:cs="Times New Roman" w:eastAsia="Times New Roman" w:hAnsi="Times New Roman"/>
                <w:sz w:val="16"/>
                <w:szCs w:val="16"/>
                <w:color w:val="auto"/>
              </w:rPr>
              <w:t>technologies</w:t>
            </w:r>
            <w:r>
              <w:rPr>
                <w:rFonts w:ascii="Times New Roman" w:cs="Times New Roman" w:eastAsia="Times New Roman" w:hAnsi="Times New Roman"/>
                <w:sz w:val="24"/>
                <w:szCs w:val="24"/>
                <w:color w:val="auto"/>
                <w:vertAlign w:val="superscript"/>
              </w:rPr>
              <w:t>(3)(b)</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w:t>
            </w:r>
          </w:p>
        </w:tc>
      </w:tr>
      <w:tr>
        <w:trPr>
          <w:trHeight w:val="203"/>
        </w:trPr>
        <w:tc>
          <w:tcPr>
            <w:tcW w:w="3900" w:type="dxa"/>
            <w:vAlign w:val="bottom"/>
          </w:tcPr>
          <w:p>
            <w:pPr>
              <w:ind w:left="200"/>
              <w:spacing w:after="0" w:line="202" w:lineRule="exact"/>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3"/>
                <w:szCs w:val="23"/>
                <w:color w:val="auto"/>
                <w:vertAlign w:val="superscript"/>
              </w:rPr>
              <w:t>(3)(c)</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r>
      <w:tr>
        <w:trPr>
          <w:trHeight w:val="203"/>
        </w:trPr>
        <w:tc>
          <w:tcPr>
            <w:tcW w:w="390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Acquisition expenses</w:t>
            </w:r>
            <w:r>
              <w:rPr>
                <w:rFonts w:ascii="Times New Roman" w:cs="Times New Roman" w:eastAsia="Times New Roman" w:hAnsi="Times New Roman"/>
                <w:sz w:val="23"/>
                <w:szCs w:val="23"/>
                <w:color w:val="auto"/>
                <w:vertAlign w:val="superscript"/>
              </w:rPr>
              <w:t>(3)(d)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w:t>
            </w:r>
          </w:p>
        </w:tc>
      </w:tr>
      <w:tr>
        <w:trPr>
          <w:trHeight w:val="203"/>
        </w:trPr>
        <w:tc>
          <w:tcPr>
            <w:tcW w:w="3900" w:type="dxa"/>
            <w:vAlign w:val="bottom"/>
          </w:tcPr>
          <w:p>
            <w:pPr>
              <w:ind w:left="200"/>
              <w:spacing w:after="0" w:line="202" w:lineRule="exact"/>
              <w:rPr>
                <w:sz w:val="20"/>
                <w:szCs w:val="20"/>
                <w:color w:val="auto"/>
              </w:rPr>
            </w:pPr>
            <w:r>
              <w:rPr>
                <w:rFonts w:ascii="Times New Roman" w:cs="Times New Roman" w:eastAsia="Times New Roman" w:hAnsi="Times New Roman"/>
                <w:sz w:val="16"/>
                <w:szCs w:val="16"/>
                <w:color w:val="auto"/>
              </w:rPr>
              <w:t>Realignment expenses</w:t>
            </w:r>
            <w:r>
              <w:rPr>
                <w:rFonts w:ascii="Times New Roman" w:cs="Times New Roman" w:eastAsia="Times New Roman" w:hAnsi="Times New Roman"/>
                <w:sz w:val="23"/>
                <w:szCs w:val="23"/>
                <w:color w:val="auto"/>
                <w:vertAlign w:val="superscript"/>
              </w:rPr>
              <w:t>(3)(e)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390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Other (income) expense, net</w:t>
            </w:r>
            <w:r>
              <w:rPr>
                <w:rFonts w:ascii="Times New Roman" w:cs="Times New Roman" w:eastAsia="Times New Roman" w:hAnsi="Times New Roman"/>
                <w:sz w:val="23"/>
                <w:szCs w:val="23"/>
                <w:color w:val="auto"/>
                <w:vertAlign w:val="superscript"/>
              </w:rPr>
              <w:t>(3)(f)</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r>
      <w:tr>
        <w:trPr>
          <w:trHeight w:val="19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non-GAAP adjustments, prior to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w:t>
            </w:r>
          </w:p>
        </w:tc>
      </w:tr>
      <w:tr>
        <w:trPr>
          <w:trHeight w:val="203"/>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(5,141)</w:t>
            </w:r>
          </w:p>
        </w:tc>
      </w:tr>
      <w:tr>
        <w:trPr>
          <w:trHeight w:val="188"/>
        </w:trPr>
        <w:tc>
          <w:tcPr>
            <w:tcW w:w="3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Non-recurring income tax expense related to Tax Cuts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7"/>
        </w:trPr>
        <w:tc>
          <w:tcPr>
            <w:tcW w:w="3900" w:type="dxa"/>
            <w:vAlign w:val="bottom"/>
          </w:tcPr>
          <w:p>
            <w:pPr>
              <w:ind w:left="340"/>
              <w:spacing w:after="0" w:line="217" w:lineRule="exact"/>
              <w:rPr>
                <w:sz w:val="20"/>
                <w:szCs w:val="20"/>
                <w:color w:val="auto"/>
              </w:rPr>
            </w:pPr>
            <w:r>
              <w:rPr>
                <w:rFonts w:ascii="Times New Roman" w:cs="Times New Roman" w:eastAsia="Times New Roman" w:hAnsi="Times New Roman"/>
                <w:sz w:val="16"/>
                <w:szCs w:val="16"/>
                <w:color w:val="auto"/>
              </w:rPr>
              <w:t>and Jobs Act</w:t>
            </w:r>
            <w:r>
              <w:rPr>
                <w:rFonts w:ascii="Times New Roman" w:cs="Times New Roman" w:eastAsia="Times New Roman" w:hAnsi="Times New Roman"/>
                <w:sz w:val="24"/>
                <w:szCs w:val="24"/>
                <w:color w:val="auto"/>
                <w:vertAlign w:val="superscript"/>
              </w:rPr>
              <w:t>(3)(g)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Non-recurring income tax benefit related to</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7"/>
        </w:trPr>
        <w:tc>
          <w:tcPr>
            <w:tcW w:w="3900" w:type="dxa"/>
            <w:vAlign w:val="bottom"/>
            <w:shd w:val="clear" w:color="auto" w:fill="CCEEFF"/>
          </w:tcPr>
          <w:p>
            <w:pPr>
              <w:ind w:left="340"/>
              <w:spacing w:after="0" w:line="217" w:lineRule="exact"/>
              <w:rPr>
                <w:sz w:val="20"/>
                <w:szCs w:val="20"/>
                <w:color w:val="auto"/>
              </w:rPr>
            </w:pPr>
            <w:r>
              <w:rPr>
                <w:rFonts w:ascii="Times New Roman" w:cs="Times New Roman" w:eastAsia="Times New Roman" w:hAnsi="Times New Roman"/>
                <w:sz w:val="16"/>
                <w:szCs w:val="16"/>
                <w:color w:val="auto"/>
              </w:rPr>
              <w:t>intercompany transactions</w:t>
            </w:r>
            <w:r>
              <w:rPr>
                <w:rFonts w:ascii="Times New Roman" w:cs="Times New Roman" w:eastAsia="Times New Roman" w:hAnsi="Times New Roman"/>
                <w:sz w:val="24"/>
                <w:szCs w:val="24"/>
                <w:color w:val="auto"/>
                <w:vertAlign w:val="superscript"/>
              </w:rPr>
              <w:t>(3)(h)</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Equity in loss of joint venture, net of tax</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196"/>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131,697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89,203</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317500</wp:posOffset>
            </wp:positionV>
            <wp:extent cx="13887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right="179" w:hanging="316"/>
        <w:spacing w:after="0" w:line="261"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71" w:lineRule="exact"/>
        <w:rPr>
          <w:rFonts w:ascii="Times New Roman" w:cs="Times New Roman" w:eastAsia="Times New Roman" w:hAnsi="Times New Roman"/>
          <w:sz w:val="18"/>
          <w:szCs w:val="18"/>
          <w:color w:val="auto"/>
        </w:rPr>
      </w:pPr>
    </w:p>
    <w:p>
      <w:pPr>
        <w:ind w:left="460" w:right="159" w:hanging="316"/>
        <w:spacing w:after="0" w:line="253"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years ended December 31, 2017 and 2018 give effect to revenue and income tax adjustments as if the adoption of Topic 606 had occurred as of January 1, 2017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as well as our accounting for costs to obtain a contract with a customer, remained substantially unchanged and were not adjusted. See Note 2 to our consolidated financial statements included elsewhere in this prospectus for additional information regarding the adoption of Topic 606.</w:t>
      </w:r>
    </w:p>
    <w:p>
      <w:pPr>
        <w:spacing w:after="0" w:line="8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Topic 605 to Topic 606:</w:t>
      </w:r>
    </w:p>
    <w:p>
      <w:pPr>
        <w:spacing w:after="0" w:line="124"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60" w:type="dxa"/>
            <w:vAlign w:val="bottom"/>
            <w:tcBorders>
              <w:bottom w:val="single" w:sz="8" w:color="auto"/>
            </w:tcBorders>
            <w:gridSpan w:val="7"/>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0"/>
                <w:szCs w:val="10"/>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$ 501,098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$ 505,720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45,076</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59,165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 w:type="dxa"/>
            <w:vAlign w:val="bottom"/>
            <w:tcBorders>
              <w:bottom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53,174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60" w:type="dxa"/>
            <w:vAlign w:val="bottom"/>
            <w:tcBorders>
              <w:bottom w:val="single" w:sz="8" w:color="auto"/>
            </w:tcBorders>
            <w:gridSpan w:val="7"/>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0"/>
                <w:szCs w:val="10"/>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$ 557,421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$ 560,485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57,353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(29,250)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Borders>
              <w:bottom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141,563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299" w:hanging="316"/>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51" w:lineRule="exact"/>
        <w:rPr>
          <w:rFonts w:ascii="Times New Roman" w:cs="Times New Roman" w:eastAsia="Times New Roman" w:hAnsi="Times New Roman"/>
          <w:sz w:val="18"/>
          <w:szCs w:val="18"/>
          <w:color w:val="auto"/>
        </w:rPr>
      </w:pPr>
    </w:p>
    <w:p>
      <w:pPr>
        <w:ind w:left="800" w:right="199" w:hanging="332"/>
        <w:spacing w:after="0" w:line="261" w:lineRule="auto"/>
        <w:tabs>
          <w:tab w:leader="none" w:pos="8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amortization of $1,617, $2,052,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$3,516 for the years ended December 31, 2017, 2018, and 2019, respectively, and $1,448 and $2,022 for the six months ended June 30, 2019 and 2020, respectively, related to certain projects under our Accelerated Commercial Development Program (“ACDP”).</w:t>
      </w:r>
    </w:p>
    <w:p>
      <w:pPr>
        <w:spacing w:after="0" w:line="71" w:lineRule="exact"/>
        <w:rPr>
          <w:rFonts w:ascii="Times New Roman" w:cs="Times New Roman" w:eastAsia="Times New Roman" w:hAnsi="Times New Roman"/>
          <w:sz w:val="18"/>
          <w:szCs w:val="18"/>
          <w:color w:val="auto"/>
        </w:rPr>
      </w:pPr>
    </w:p>
    <w:p>
      <w:pPr>
        <w:ind w:left="800" w:right="219" w:hanging="332"/>
        <w:spacing w:after="0" w:line="254" w:lineRule="auto"/>
        <w:tabs>
          <w:tab w:leader="none" w:pos="82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Amortization of purchased intangibles and developed technologies. </w:t>
      </w:r>
      <w:r>
        <w:rPr>
          <w:rFonts w:ascii="Times New Roman" w:cs="Times New Roman" w:eastAsia="Times New Roman" w:hAnsi="Times New Roman"/>
          <w:sz w:val="18"/>
          <w:szCs w:val="18"/>
          <w:color w:val="auto"/>
        </w:rPr>
        <w:t>Amortization of purchased intangibles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varies in amount and frequency and is significantly impacted by the timing and size of our acquisitions. For the years ended December 31, 2017, 2018, and 2019 and the six months ended June 30, 2019 and 2020, amortization of acquisition related developed technologies under our ACDP was $359, $375, $723, $363, and $182, respectively. Management finds it useful to exclude these variable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800" w:right="179" w:hanging="332"/>
        <w:spacing w:after="0" w:line="273" w:lineRule="auto"/>
        <w:tabs>
          <w:tab w:leader="none" w:pos="81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Equity-based compensation</w:t>
      </w:r>
      <w:r>
        <w:rPr>
          <w:rFonts w:ascii="Times New Roman" w:cs="Times New Roman" w:eastAsia="Times New Roman" w:hAnsi="Times New Roman"/>
          <w:sz w:val="17"/>
          <w:szCs w:val="17"/>
          <w:color w:val="auto"/>
        </w:rPr>
        <w:t>. We exclude equity-based compensation expenses from our non-GAAP measures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Times New Roman" w:cs="Times New Roman" w:eastAsia="Times New Roman" w:hAnsi="Times New Roman"/>
          <w:sz w:val="17"/>
          <w:szCs w:val="17"/>
          <w:i w:val="1"/>
          <w:iCs w:val="1"/>
          <w:color w:val="auto"/>
        </w:rPr>
        <w:t>Compensation—Stock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we believe excluding equity-based compensation expenses allows investors to make meaningful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comparisons between our recurring core business results of operations and those of other companies.</w:t>
      </w:r>
    </w:p>
    <w:p>
      <w:pPr>
        <w:spacing w:after="0" w:line="63" w:lineRule="exact"/>
        <w:rPr>
          <w:rFonts w:ascii="Times New Roman" w:cs="Times New Roman" w:eastAsia="Times New Roman" w:hAnsi="Times New Roman"/>
          <w:sz w:val="17"/>
          <w:szCs w:val="17"/>
          <w:color w:val="auto"/>
        </w:rPr>
      </w:pPr>
    </w:p>
    <w:p>
      <w:pPr>
        <w:ind w:left="800" w:right="199" w:hanging="332"/>
        <w:spacing w:after="0" w:line="254" w:lineRule="auto"/>
        <w:tabs>
          <w:tab w:leader="none" w:pos="8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expenses. </w:t>
      </w:r>
      <w:r>
        <w:rPr>
          <w:rFonts w:ascii="Times New Roman" w:cs="Times New Roman" w:eastAsia="Times New Roman" w:hAnsi="Times New Roman"/>
          <w:sz w:val="18"/>
          <w:szCs w:val="18"/>
          <w:color w:val="auto"/>
        </w:rPr>
        <w:t>We incur expenses for professional services rendered in connection with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 which are included in our 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w:t>
      </w:r>
    </w:p>
    <w:p>
      <w:pPr>
        <w:spacing w:after="0" w:line="80" w:lineRule="exact"/>
        <w:rPr>
          <w:rFonts w:ascii="Times New Roman" w:cs="Times New Roman" w:eastAsia="Times New Roman" w:hAnsi="Times New Roman"/>
          <w:sz w:val="18"/>
          <w:szCs w:val="18"/>
          <w:color w:val="auto"/>
        </w:rPr>
      </w:pPr>
    </w:p>
    <w:p>
      <w:pPr>
        <w:ind w:left="800" w:right="199" w:hanging="332"/>
        <w:spacing w:after="0" w:line="275" w:lineRule="auto"/>
        <w:tabs>
          <w:tab w:leader="none" w:pos="81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Realignment expenses. </w:t>
      </w:r>
      <w:r>
        <w:rPr>
          <w:rFonts w:ascii="Times New Roman" w:cs="Times New Roman" w:eastAsia="Times New Roman" w:hAnsi="Times New Roman"/>
          <w:sz w:val="17"/>
          <w:szCs w:val="17"/>
          <w:color w:val="auto"/>
        </w:rPr>
        <w:t>These expenses are associated with realigning our business strategies to better serve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accounts and to better align resources with the evolving needs of the business. In connection with these actions, we recognize costs related to termination benefits for former colleagues whose positions were eliminated. We exclude these charges because they are not reflective of our ongoing business and results of operation. We believe it is useful for investors to understand the effects of these items on our total operating expenses. In the ordinary course of operating our business, we incur severance expenses that are not included in this adjustment.</w:t>
      </w:r>
    </w:p>
    <w:p>
      <w:pPr>
        <w:spacing w:after="0" w:line="60" w:lineRule="exact"/>
        <w:rPr>
          <w:rFonts w:ascii="Times New Roman" w:cs="Times New Roman" w:eastAsia="Times New Roman" w:hAnsi="Times New Roman"/>
          <w:sz w:val="17"/>
          <w:szCs w:val="17"/>
          <w:color w:val="auto"/>
        </w:rPr>
      </w:pPr>
    </w:p>
    <w:p>
      <w:pPr>
        <w:ind w:left="800" w:right="159" w:hanging="332"/>
        <w:spacing w:after="0" w:line="252" w:lineRule="auto"/>
        <w:tabs>
          <w:tab w:leader="none" w:pos="7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Primarily consists of foreign currency translation losses of $6,294, $418,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$5,591 for the years ended December 31, 2017, 2018, and 2019, respectively, and $1,588 and $4,263 for the six months ended June 30, 2019 and 2020, respectively. The foreign currency translation losses derive primarily from U.S. Dollar denominated intercompany balances, cash and cash equivalents, and accounts receivable held by foreign subsidiaries with non-U.S. Dollar functional currencies. In 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are fully eliminated in consolidation. The gains and losses from such translations are included in Other income (expense), net. For the year ended December 31, 2019 and the six months ended June 30, 2019 and 2020, intercompany loan balances resulted in unrealized foreign currency translation losses of $5,270, $1,680, and $1,765, respectively. Foreign currency translation gain and losses are driven by the volume of foreign currency transactions and the foreign currency exchange rates for the year. A significant amount of such gains and losses is derived from the translation of intercompany balances which eliminate in consolidation and are unrealized. Other (income) expense, net also includes the loss from the change in fair value of our interest rate swap of $4,174 for the six months ended June 30, 2020. We exclude these charges because they are not reflective of ongoing business and results of operation. We believe it is useful for investors to understand the effects of these items on our total operating expenses.</w:t>
      </w:r>
    </w:p>
    <w:p>
      <w:pPr>
        <w:spacing w:after="0" w:line="83" w:lineRule="exact"/>
        <w:rPr>
          <w:rFonts w:ascii="Times New Roman" w:cs="Times New Roman" w:eastAsia="Times New Roman" w:hAnsi="Times New Roman"/>
          <w:sz w:val="18"/>
          <w:szCs w:val="18"/>
          <w:color w:val="auto"/>
        </w:rPr>
      </w:pPr>
    </w:p>
    <w:p>
      <w:pPr>
        <w:ind w:left="800" w:right="379" w:hanging="332"/>
        <w:spacing w:after="0" w:line="258" w:lineRule="auto"/>
        <w:tabs>
          <w:tab w:leader="none" w:pos="8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expense related to Tax Cuts and Jobs Act</w:t>
      </w:r>
      <w:r>
        <w:rPr>
          <w:rFonts w:ascii="Times New Roman" w:cs="Times New Roman" w:eastAsia="Times New Roman" w:hAnsi="Times New Roman"/>
          <w:sz w:val="18"/>
          <w:szCs w:val="18"/>
          <w:color w:val="auto"/>
        </w:rPr>
        <w:t>. The U.S. Tax Cuts and Jobs Act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on December 22, 2017 and resulted in a provisional tax expense of $30,273 in 2017 primarily due to the one-time transition tax on accumulated foreign subsidiary earnings and deferred tax impacts. For the year ended December 31, 2018, we recorded a $4,318 increase to tax expense related to provisional amounts recorded in 2017.</w:t>
      </w:r>
    </w:p>
    <w:p>
      <w:pPr>
        <w:spacing w:after="0" w:line="75" w:lineRule="exact"/>
        <w:rPr>
          <w:rFonts w:ascii="Times New Roman" w:cs="Times New Roman" w:eastAsia="Times New Roman" w:hAnsi="Times New Roman"/>
          <w:sz w:val="18"/>
          <w:szCs w:val="18"/>
          <w:color w:val="auto"/>
        </w:rPr>
      </w:pPr>
    </w:p>
    <w:p>
      <w:pPr>
        <w:ind w:left="800" w:right="159" w:hanging="332"/>
        <w:spacing w:after="0" w:line="267" w:lineRule="auto"/>
        <w:tabs>
          <w:tab w:leader="none" w:pos="8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benefit related to intercompany transactions</w:t>
      </w:r>
      <w:r>
        <w:rPr>
          <w:rFonts w:ascii="Times New Roman" w:cs="Times New Roman" w:eastAsia="Times New Roman" w:hAnsi="Times New Roman"/>
          <w:sz w:val="18"/>
          <w:szCs w:val="18"/>
          <w:color w:val="auto"/>
        </w:rPr>
        <w:t>. For the year ended December 31,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intercompany sales of certain intangible operating assets between our foreign subsidiaries, which resulted in a non-recurring net tax benefit of $46,369.</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121"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consolidated balance sheet data as of December 31, 2018 and 2019 and June 30, 2020:</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121,101</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125,516</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104,275</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1,059,169</w:t>
            </w:r>
          </w:p>
        </w:tc>
      </w:tr>
      <w:tr>
        <w:trPr>
          <w:trHeight w:val="216"/>
        </w:trPr>
        <w:tc>
          <w:tcPr>
            <w:tcW w:w="20" w:type="dxa"/>
            <w:vAlign w:val="bottom"/>
          </w:tcPr>
          <w:p>
            <w:pPr>
              <w:spacing w:after="0"/>
              <w:rPr>
                <w:sz w:val="18"/>
                <w:szCs w:val="18"/>
                <w:color w:val="auto"/>
              </w:rPr>
            </w:pPr>
          </w:p>
        </w:tc>
        <w:tc>
          <w:tcPr>
            <w:tcW w:w="37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Deferred revenues,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213,145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186,456</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379,744</w:t>
            </w:r>
          </w:p>
        </w:tc>
      </w:tr>
      <w:tr>
        <w:trPr>
          <w:trHeight w:val="6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71" w:name="page72"/>
    <w:bookmarkEnd w:id="7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7" w:lineRule="exact"/>
        <w:rPr>
          <w:sz w:val="20"/>
          <w:szCs w:val="20"/>
          <w:color w:val="auto"/>
        </w:rPr>
      </w:pPr>
    </w:p>
    <w:p>
      <w:pPr>
        <w:ind w:left="140" w:right="2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section titled “Selected Consolidated Financial Data” and our consolidated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“Cautionary Note Regarding Forward-Looking Statements” and “Risk Factors.”</w:t>
      </w:r>
    </w:p>
    <w:p>
      <w:pPr>
        <w:spacing w:after="0" w:line="76" w:lineRule="exact"/>
        <w:rPr>
          <w:sz w:val="20"/>
          <w:szCs w:val="20"/>
          <w:color w:val="auto"/>
        </w:rPr>
      </w:pPr>
    </w:p>
    <w:p>
      <w:pPr>
        <w:jc w:val="both"/>
        <w:ind w:left="140" w:right="779" w:firstLine="324"/>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78" w:lineRule="exact"/>
        <w:rPr>
          <w:sz w:val="20"/>
          <w:szCs w:val="20"/>
          <w:color w:val="auto"/>
        </w:rPr>
      </w:pPr>
    </w:p>
    <w:p>
      <w:pPr>
        <w:ind w:left="1120" w:right="199" w:hanging="328"/>
        <w:spacing w:after="0" w:line="258"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 /</w:t>
      </w:r>
      <w:r>
        <w:rPr>
          <w:rFonts w:ascii="Times New Roman" w:cs="Times New Roman" w:eastAsia="Times New Roman" w:hAnsi="Times New Roman"/>
          <w:sz w:val="18"/>
          <w:szCs w:val="18"/>
          <w:i w:val="1"/>
          <w:iCs w:val="1"/>
          <w:color w:val="auto"/>
        </w:rPr>
        <w:t xml:space="preserve">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5" w:lineRule="exact"/>
        <w:rPr>
          <w:rFonts w:ascii="Times New Roman" w:cs="Times New Roman" w:eastAsia="Times New Roman" w:hAnsi="Times New Roman"/>
          <w:sz w:val="18"/>
          <w:szCs w:val="18"/>
          <w:color w:val="auto"/>
        </w:rPr>
      </w:pPr>
    </w:p>
    <w:p>
      <w:pPr>
        <w:jc w:val="both"/>
        <w:ind w:left="1120" w:right="279" w:hanging="328"/>
        <w:spacing w:after="0" w:line="267"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 plants) /</w:t>
      </w:r>
      <w:r>
        <w:rPr>
          <w:rFonts w:ascii="Times New Roman" w:cs="Times New Roman" w:eastAsia="Times New Roman" w:hAnsi="Times New Roman"/>
          <w:sz w:val="18"/>
          <w:szCs w:val="18"/>
          <w:i w:val="1"/>
          <w:iCs w:val="1"/>
          <w:color w:val="auto"/>
        </w:rPr>
        <w:t xml:space="preserve"> resources </w:t>
      </w:r>
      <w:r>
        <w:rPr>
          <w:rFonts w:ascii="Times New Roman" w:cs="Times New Roman" w:eastAsia="Times New Roman" w:hAnsi="Times New Roman"/>
          <w:sz w:val="18"/>
          <w:szCs w:val="18"/>
          <w:color w:val="auto"/>
        </w:rPr>
        <w:t>(including oil and gas, mining, and offshore). We estimate that this sector represents 38%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ind w:left="1120" w:right="479" w:hanging="328"/>
        <w:spacing w:after="0" w:line="284"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10% of the global top 500 infrastructure owners’ net infrastructure asset value.</w:t>
      </w:r>
    </w:p>
    <w:p>
      <w:pPr>
        <w:spacing w:after="0" w:line="52" w:lineRule="exact"/>
        <w:rPr>
          <w:sz w:val="20"/>
          <w:szCs w:val="20"/>
          <w:color w:val="auto"/>
        </w:rPr>
      </w:pPr>
    </w:p>
    <w:p>
      <w:pPr>
        <w:ind w:left="140" w:right="519" w:firstLine="324"/>
        <w:spacing w:after="0" w:line="258"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w:t>
      </w:r>
    </w:p>
    <w:p>
      <w:pPr>
        <w:spacing w:after="0" w:line="75"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75"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2019 revenues.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559" w:firstLine="324"/>
        <w:spacing w:after="0" w:line="261" w:lineRule="auto"/>
        <w:rPr>
          <w:sz w:val="20"/>
          <w:szCs w:val="20"/>
          <w:color w:val="auto"/>
        </w:rPr>
      </w:pPr>
      <w:r>
        <w:rPr>
          <w:rFonts w:ascii="Times New Roman" w:cs="Times New Roman" w:eastAsia="Times New Roman" w:hAnsi="Times New Roman"/>
          <w:sz w:val="18"/>
          <w:szCs w:val="18"/>
          <w:color w:val="auto"/>
        </w:rPr>
        <w:t>Since its founding, Bentley Systems has remained focused on our mission to provide software in support of the professional needs of those responsible for creating and managing the world’s infrastructure. We have methodically grown through periods of global expansion, periods of expansion in our portfolio of solutions, and periods of rapid technological change. The following provides key corporate milestones over our 35-year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57150</wp:posOffset>
            </wp:positionV>
            <wp:extent cx="5434965" cy="3522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34965"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2019, under Topic 606, subscriptions represented 83% of our revenues, and together with certain professional services revenues that are recurring in nature and represented 3% of our revenues, bring the proportion of our recurring revenues to 86% of total revenues. The remaining 14% of our revenues were generated from the sale of perpetual licenses and the delivery of non-recurring professional services. We have a highly-diversified account base, with our largest account representing no more than 2.5% of total revenues in 2019. Our 2019 revenues were also diversified by account type, size, and geography. Additionally, we believe that we have a loyal account base, with 80% of our 2019 revenues from organizations that have been our accounts for over ten years. Between 2000 and 2019, our revenues had an approximately 8% compound annual growth 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121" w:lineRule="exact"/>
        <w:rPr>
          <w:sz w:val="20"/>
          <w:szCs w:val="20"/>
          <w:color w:val="auto"/>
        </w:rPr>
      </w:pPr>
    </w:p>
    <w:p>
      <w:pPr>
        <w:ind w:left="140" w:right="279" w:firstLine="324"/>
        <w:spacing w:after="0" w:line="273" w:lineRule="auto"/>
        <w:rPr>
          <w:sz w:val="20"/>
          <w:szCs w:val="20"/>
          <w:color w:val="auto"/>
        </w:rPr>
      </w:pPr>
      <w:r>
        <w:rPr>
          <w:rFonts w:ascii="Times New Roman" w:cs="Times New Roman" w:eastAsia="Times New Roman" w:hAnsi="Times New Roman"/>
          <w:sz w:val="17"/>
          <w:szCs w:val="17"/>
          <w:color w:val="auto"/>
        </w:rPr>
        <w:t>Our solutions are made available to our accounts in a broad range of commercial offerings designed to accommodate the diverse preferences of our accounts, which range from owned versus subscribed, short-term subscriptions versus longer term annual subscriptions, and fee-certain arrangements versus variable or consumption-based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52070</wp:posOffset>
            </wp:positionV>
            <wp:extent cx="5434965" cy="2322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3496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40" w:right="4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 accompanies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 previously purchased perpetual license. We believe that the SELECT benefits summarized below support our favorable rates of account retention and growth:</w:t>
      </w:r>
    </w:p>
    <w:p>
      <w:pPr>
        <w:spacing w:after="0" w:line="67" w:lineRule="exact"/>
        <w:rPr>
          <w:sz w:val="20"/>
          <w:szCs w:val="20"/>
          <w:color w:val="auto"/>
        </w:rPr>
      </w:pPr>
    </w:p>
    <w:p>
      <w:pPr>
        <w:ind w:left="1120" w:hanging="32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117" w:lineRule="exact"/>
        <w:rPr>
          <w:rFonts w:ascii="Times New Roman" w:cs="Times New Roman" w:eastAsia="Times New Roman" w:hAnsi="Times New Roman"/>
          <w:sz w:val="18"/>
          <w:szCs w:val="18"/>
          <w:color w:val="auto"/>
        </w:rPr>
      </w:pPr>
    </w:p>
    <w:p>
      <w:pPr>
        <w:ind w:left="1120" w:right="479" w:hanging="328"/>
        <w:spacing w:after="0" w:line="282"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Azure-based cloud collaboration services, and mobility advantages; and</w:t>
      </w:r>
    </w:p>
    <w:p>
      <w:pPr>
        <w:spacing w:after="0" w:line="117" w:lineRule="exact"/>
        <w:rPr>
          <w:rFonts w:ascii="Times New Roman" w:cs="Times New Roman" w:eastAsia="Times New Roman" w:hAnsi="Times New Roman"/>
          <w:sz w:val="18"/>
          <w:szCs w:val="18"/>
          <w:color w:val="auto"/>
        </w:rPr>
      </w:pPr>
    </w:p>
    <w:p>
      <w:pPr>
        <w:ind w:left="1120" w:right="379" w:hanging="328"/>
        <w:spacing w:after="0" w:line="312" w:lineRule="auto"/>
        <w:tabs>
          <w:tab w:leader="none" w:pos="11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to our entire application portfolio with usage of licenses not previously purchased monetized quarterly in arrears based on consumption. See the section titled “—Term License Subscriptions” below.</w:t>
      </w:r>
    </w:p>
    <w:p>
      <w:pPr>
        <w:spacing w:after="0" w:line="30" w:lineRule="exact"/>
        <w:rPr>
          <w:sz w:val="20"/>
          <w:szCs w:val="20"/>
          <w:color w:val="auto"/>
        </w:rPr>
      </w:pPr>
    </w:p>
    <w:p>
      <w:pPr>
        <w:ind w:left="140" w:right="5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largest accounts with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unlimited global access to our comprehensive portfolio of solutions.</w:t>
      </w:r>
    </w:p>
    <w:p>
      <w:pPr>
        <w:spacing w:after="0" w:line="50" w:lineRule="exact"/>
        <w:rPr>
          <w:sz w:val="20"/>
          <w:szCs w:val="20"/>
          <w:color w:val="auto"/>
        </w:rPr>
      </w:pPr>
    </w:p>
    <w:p>
      <w:pPr>
        <w:ind w:left="1120" w:right="279" w:hanging="328"/>
        <w:spacing w:after="0" w:line="258"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Our ELS offering provides access to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solutions for a fixed annual fee. Subsequent annual renewals are based on the account’s usage of software in the preceding year, effectively an annual consumption-based arrangement. The majority of our ELS subscribers were historically SELECT subscribers that have grown into a position to take full advantage of our ELS offering.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120" w:right="179" w:hanging="328"/>
        <w:spacing w:after="0" w:line="253" w:lineRule="auto"/>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participating accounts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access to our comprehensive software portfolio, similar to ELS, however they are charged based upon daily usage, effectively a daily consumption-based arrangement. The daily usage fee also includes maintenance and Success Plan services, which are designed to achieve business outcomes through more efficient and effective use of our software. The E365 subscription offering was introduced in 2018. Prospectively, we plan to prioritize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under Topic 606 we would recognize a greater proportion of our revenues on a quarterly basis rather than substantially upfront. See the section titled “—Key Factors Impacting Comparability and Performance.”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117" w:lineRule="exact"/>
        <w:rPr>
          <w:sz w:val="20"/>
          <w:szCs w:val="20"/>
          <w:color w:val="auto"/>
        </w:rPr>
      </w:pPr>
    </w:p>
    <w:p>
      <w:pPr>
        <w:ind w:left="140" w:right="1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 named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specific products and include our newly introduced Practitioner Licenses. Annual term licenses are also used to monetize site or enterprise wide access for certain of our AssetWise solutions within given usage bands.</w:t>
      </w:r>
    </w:p>
    <w:p>
      <w:pPr>
        <w:spacing w:after="0" w:line="65" w:lineRule="exact"/>
        <w:rPr>
          <w:sz w:val="20"/>
          <w:szCs w:val="20"/>
          <w:color w:val="auto"/>
        </w:rPr>
      </w:pPr>
    </w:p>
    <w:p>
      <w:pPr>
        <w:ind w:left="140" w:right="2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 quarterly in arrears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licenses they have used representing usage beyond their contracted quantities. Much like our Enterprise subscription programs, a QTL allows smaller and medium-sized accounts to match usage to ongoing project requirements.</w:t>
      </w:r>
    </w:p>
    <w:p>
      <w:pPr>
        <w:spacing w:after="0" w:line="65" w:lineRule="exact"/>
        <w:rPr>
          <w:sz w:val="20"/>
          <w:szCs w:val="20"/>
          <w:color w:val="auto"/>
        </w:rPr>
      </w:pPr>
    </w:p>
    <w:p>
      <w:pPr>
        <w:ind w:left="140" w:right="2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 subscriptions,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 of the license, and the manner in which they are monetized. MTL subscriptions require a Cloud Services Subscription, which is discussed below.</w:t>
      </w:r>
    </w:p>
    <w:p>
      <w:pPr>
        <w:spacing w:after="0" w:line="65"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 access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or enterprise information and entitle certain functionality of our ProjectWise and AssetWise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74" w:lineRule="exact"/>
        <w:rPr>
          <w:sz w:val="20"/>
          <w:szCs w:val="20"/>
          <w:color w:val="auto"/>
        </w:rPr>
      </w:pPr>
    </w:p>
    <w:p>
      <w:pPr>
        <w:ind w:left="140" w:right="319" w:firstLine="324"/>
        <w:spacing w:after="0" w:line="282"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52"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Cloud Services Subscription (“CSS”). </w:t>
      </w:r>
      <w:r>
        <w:rPr>
          <w:rFonts w:ascii="Times New Roman" w:cs="Times New Roman" w:eastAsia="Times New Roman" w:hAnsi="Times New Roman"/>
          <w:sz w:val="18"/>
          <w:szCs w:val="18"/>
          <w:color w:val="auto"/>
        </w:rPr>
        <w:t>CSS is designed to streamline the procurement, administration, and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for us and our accounts. A 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19"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revenues using subscription and subscription-like contractual structures to make up a greater proportion of our professional services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Examples of Typical Commercial Offering Combinations</w:t>
      </w:r>
    </w:p>
    <w:p>
      <w:pPr>
        <w:spacing w:after="0" w:line="119" w:lineRule="exact"/>
        <w:rPr>
          <w:sz w:val="20"/>
          <w:szCs w:val="20"/>
          <w:color w:val="auto"/>
        </w:rPr>
      </w:pPr>
    </w:p>
    <w:p>
      <w:pPr>
        <w:jc w:val="both"/>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under Topic 606, 25% of our revenues derive from ELS or E365 offerings, and 36% of our revenues derive from SELECT subscriptions. Our users often add further sources of revenue upon each of these foundational subscription offerings. Typical examples are as follows:</w:t>
      </w:r>
    </w:p>
    <w:p>
      <w:pPr>
        <w:spacing w:after="0" w:line="68" w:lineRule="exact"/>
        <w:rPr>
          <w:sz w:val="20"/>
          <w:szCs w:val="20"/>
          <w:color w:val="auto"/>
        </w:rPr>
      </w:pPr>
    </w:p>
    <w:p>
      <w:pPr>
        <w:ind w:left="1120" w:right="239" w:hanging="328"/>
        <w:spacing w:after="0" w:line="255"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contracts for its application solutions under its ELS or E365 as described above. In addition, if the account also utilizes our ProjectWise enterprise solution, it will estimate its prospective annual usage and make an incremental deposit into its CSS account. The CSS account will be drawn down quarterly based on actual usage and consumption of Passports and Visas. We deliver professional services for E365 accounts via the embedded Success Plan. An ELS account may contract for professional services under fixed fee or “days and rates” episodic arrangements billed separately, or it may contract for professional services in the form of Success Plans, which it pays for via its CSS.</w:t>
      </w:r>
    </w:p>
    <w:p>
      <w:pPr>
        <w:spacing w:after="0" w:line="80" w:lineRule="exact"/>
        <w:rPr>
          <w:rFonts w:ascii="Times New Roman" w:cs="Times New Roman" w:eastAsia="Times New Roman" w:hAnsi="Times New Roman"/>
          <w:sz w:val="18"/>
          <w:szCs w:val="18"/>
          <w:color w:val="auto"/>
        </w:rPr>
      </w:pPr>
    </w:p>
    <w:p>
      <w:pPr>
        <w:ind w:left="1120" w:right="219" w:hanging="328"/>
        <w:spacing w:after="0" w:line="253"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 subscription account pays a fixed annual subscription fee based on the number of perpetual licenses for applications which it owns. The account may purchase additional perpetual licenses to which an additional annual SELECT subscription fee will apply for each. Alternatively, the account may grow its application use via term licenses, which will be billed quarterly in arrears based on actual term license consumption. Alternatively, the account may estimate its annual term license requirements and make a deposit into its CSS account, with quarterly draw down based on actual usage and consumption. Contracting for term license usage via the CSS provides the account a slight economic advantage. Similar to the ELS or E365 subscriber, if the SELECT subscriber also utilizes our ProjectWise enterprise system, prospective annual usage will be estimated and a deposit made into a CSS account. The CSS account will be drawn down quarterly based on actual usage and consumption of Passports and Visas. For any professional services, the account may contract for professional services under fixed fee or “days and rates” episodic arrangements billed separately, or it may contract for professional services in the form of Success Plans, which it will pay for via its CSS.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r>
      <w:tr>
        <w:trPr>
          <w:trHeight w:val="19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521,923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586,466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631,097</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$ 606,411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665,659</w:t>
            </w:r>
          </w:p>
        </w:tc>
        <w:tc>
          <w:tcPr>
            <w:tcW w:w="14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Last twelve-months recurring revenues (Topic 605)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523,502</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583,402</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$ 604,043</w:t>
            </w:r>
          </w:p>
        </w:tc>
        <w:tc>
          <w:tcPr>
            <w:tcW w:w="5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670,825</w:t>
            </w:r>
          </w:p>
        </w:tc>
        <w:tc>
          <w:tcPr>
            <w:tcW w:w="140" w:type="dxa"/>
            <w:vAlign w:val="bottom"/>
          </w:tcPr>
          <w:p>
            <w:pPr>
              <w:spacing w:after="0"/>
              <w:rPr>
                <w:sz w:val="17"/>
                <w:szCs w:val="17"/>
                <w:color w:val="auto"/>
              </w:rPr>
            </w:pPr>
          </w:p>
        </w:tc>
      </w:tr>
    </w:tbl>
    <w:p>
      <w:pPr>
        <w:spacing w:after="0" w:line="19"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Constant Currency:</w:t>
            </w: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3"/>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ARR growth rate</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9 %</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3"/>
        </w:trPr>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 retention rate</w:t>
            </w:r>
          </w:p>
        </w:tc>
        <w:tc>
          <w:tcPr>
            <w:tcW w:w="11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98 %</w:t>
            </w:r>
          </w:p>
        </w:tc>
        <w:tc>
          <w:tcPr>
            <w:tcW w:w="10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98 %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98 %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0"/>
        </w:trPr>
        <w:tc>
          <w:tcPr>
            <w:tcW w:w="3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Recurring revenues dollar-based net retention rate</w:t>
            </w: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105 %</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106 %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bl>
    <w:p>
      <w:pPr>
        <w:spacing w:after="0" w:line="186" w:lineRule="exact"/>
        <w:rPr>
          <w:sz w:val="20"/>
          <w:szCs w:val="20"/>
          <w:color w:val="auto"/>
        </w:rPr>
      </w:pPr>
    </w:p>
    <w:p>
      <w:pPr>
        <w:ind w:left="140" w:right="2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Last twelve-months recurring revenues. </w:t>
      </w:r>
      <w:r>
        <w:rPr>
          <w:rFonts w:ascii="Times New Roman" w:cs="Times New Roman" w:eastAsia="Times New Roman" w:hAnsi="Times New Roman"/>
          <w:sz w:val="18"/>
          <w:szCs w:val="18"/>
          <w:color w:val="auto"/>
        </w:rPr>
        <w:t>Last twelve-months recurring revenues is calculated as recurring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over the preceding twelve-month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72"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Last twelve-months recurring revenues is presented using revenues recognized pursuant to Topic 606 as well as Topic 605 for all periods in order to enhance comparability during our transition to Topic 606. The Topic 606 unaudited amounts presented for the years ended December 31, 2017 and 2018 give effect to revenue adjustments as if the adoption of Topic 606 had occurred as of January 1, 2017 rather than January 1, 2019. For a reconciliation of the impact of adopting Topic 606 as if it had occurred as of January 1, 2017 on our audited consolidated statements of operations data for the years ended December 31, 2017 and 2018, see the section titled “Selected Consolidated Financial Data— Non-GAAP Financial Measures.”</w:t>
      </w:r>
    </w:p>
    <w:p>
      <w:pPr>
        <w:spacing w:after="0" w:line="8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On an annual and trailing twelve-month basis, we expect our recurring revenues recognized under Topic 606 to be comparable to such revenues recognized under Topic 605. This expectation is attributable to the annual, recurring nature of our subscription agreements. However, the conversion of our existing subscription users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79"/>
        <w:spacing w:after="0" w:line="255" w:lineRule="auto"/>
        <w:rPr>
          <w:sz w:val="20"/>
          <w:szCs w:val="20"/>
          <w:color w:val="auto"/>
        </w:rPr>
      </w:pPr>
      <w:r>
        <w:rPr>
          <w:rFonts w:ascii="Times New Roman" w:cs="Times New Roman" w:eastAsia="Times New Roman" w:hAnsi="Times New Roman"/>
          <w:sz w:val="18"/>
          <w:szCs w:val="18"/>
          <w:color w:val="auto"/>
        </w:rPr>
        <w:t>consumption-based offerings with consumption measurement durations of less than one year, such as our E365 program, as well as the term start date of new annual term license subscriptions, will introduce some volatility between annual and trailing twelve-month periods and impact period over period comparability. Specifically, in 2019, the conversion of existing ELS subscriptions to consumption-based E365 subscriptions resulted in a reduction of Topic 606 Enterprise subscriptions revenues of $11,248 when compared to Topic 605. This impact was partly offset by higher annual term license subscriptions revenues under Topic 606 of $5,714 due to the upfront recognition of license revenues of new subscriptions. See the section titled “Key Factors Impacting Comparability and Performance.”</w:t>
      </w:r>
    </w:p>
    <w:p>
      <w:pPr>
        <w:spacing w:after="0" w:line="8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We believe that last twelve-months recurring revenues is an important indicator of our performance during the immediately preceding twelve-month time period. We believe that we will continue to experience favorable growth in recurring revenues due to our strong account retention and recurring revenues dollar-based net retention rates as well as the addition of new accounts with recurring revenues. The last twelve-months recurring revenues under Topic 606 for the periods ended December 31, 2018, December 31, 2019, and June 30, 2020 compared to the last twelve-months of the preceding twelve-month period increased by $64,543 (or $59,900 under Topic 605), $44,631 (or $53,497 under Topic 605), and $59,248 (or $66,782 under Topic 605), respectively. These increases were primarily due to growth in ARR during the prior and current periods, which is primarily the result of consistent performance in our account retention rate and in our recurring revenues dollar-based net retention rate, as well as additional recurring revenues resulting from new accounts and acquisitions. For the twelve months ended December 31, 2019, 86% of our total revenues under Topic 606 (or 87% under Topic 605) were recurring revenues. For the twelve months ended June 30, 2020, 87% of our revenues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75" w:lineRule="exact"/>
        <w:rPr>
          <w:sz w:val="20"/>
          <w:szCs w:val="20"/>
          <w:color w:val="auto"/>
        </w:rPr>
      </w:pPr>
    </w:p>
    <w:p>
      <w:pPr>
        <w:ind w:left="14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Constant currency metrics. </w:t>
      </w:r>
      <w:r>
        <w:rPr>
          <w:rFonts w:ascii="Times New Roman" w:cs="Times New Roman" w:eastAsia="Times New Roman" w:hAnsi="Times New Roman"/>
          <w:sz w:val="18"/>
          <w:szCs w:val="18"/>
          <w:color w:val="auto"/>
        </w:rPr>
        <w:t>In reporting period-over-period results, we calculate the effects of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73"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 is defined as the sum of the annualized value of our portfolio of contracts that produce recurring revenue as of the last day of the reporting period, and the annualized value of the last three months of recognized revenues for our contractually recurring consumption-based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9%, 15%, and 25% as of December 31, 2017, 2018, and 2019, respectively, and 18% and 29% as of June 30, 2019 and 2020, respectively. Within our consumption-measured ARR, the successful uptake of our new E365 subscription offering has introduced daily consumption-measured ARR, representing 16% of total ARR as of June 30, 2020.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dollar-based net retention rate, is a leading indicator of revenue growth. Our ARR as of June 30, 2020 was $697,682, calculated using the spot foreign exchange rates as of June 30, 2020.</w:t>
      </w:r>
    </w:p>
    <w:p>
      <w:pPr>
        <w:spacing w:after="0" w:line="89"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There was no impact to our ARR growth rate from acquisitions for the year ended December 31, 2017. Our ARR growth rate was favorably impacted from acquisitions by 3% and 1% for the years ended December 31, 2018 and 2019, respectively, and by 1% and 2% for the twelve months ended June 30, 2019 and 2020, respectively.</w:t>
      </w:r>
    </w:p>
    <w:p>
      <w:pPr>
        <w:spacing w:after="0" w:line="66"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for the 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long-term value of our account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79"/>
        <w:spacing w:after="0" w:line="282" w:lineRule="auto"/>
        <w:rPr>
          <w:sz w:val="20"/>
          <w:szCs w:val="20"/>
          <w:color w:val="auto"/>
        </w:rPr>
      </w:pPr>
      <w:r>
        <w:rPr>
          <w:rFonts w:ascii="Times New Roman" w:cs="Times New Roman" w:eastAsia="Times New Roman" w:hAnsi="Times New Roman"/>
          <w:sz w:val="18"/>
          <w:szCs w:val="18"/>
          <w:color w:val="auto"/>
        </w:rPr>
        <w:t>relationships and our ability to retain our account base. We believe that our consistent and high account retention rates illustrate our ability to retain and cultivate long-term relationships with our accounts.</w:t>
      </w:r>
    </w:p>
    <w:p>
      <w:pPr>
        <w:spacing w:after="0" w:line="52"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Recurring revenues dollar-based net retention rate. </w:t>
      </w:r>
      <w:r>
        <w:rPr>
          <w:rFonts w:ascii="Times New Roman" w:cs="Times New Roman" w:eastAsia="Times New Roman" w:hAnsi="Times New Roman"/>
          <w:sz w:val="18"/>
          <w:szCs w:val="18"/>
          <w:color w:val="auto"/>
        </w:rPr>
        <w:t>Our recurring revenues dollar-based net retention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dollar-based net retention rate is calculated using revenues recognized pursuant to Topic 605 for all periods in order to enhance comparability during our transition to Topic 606 as we do not have all information available to us necessary to present recurring revenues dollar-based net retention rate pursuant to Topic 606 for any period prior to January 1, 2019. We believe our recurring revenues dollar-based net retention rate is a key indicator of our success in growing our revenues within our existing accounts. Given that for the twelve months ended December 31, 2019 recurring revenues represented 86% of our total revenues under Topic 606, this metric helps explain our revenue performance as primarily growth into existing accounts. We believe that our consistent and high recurring revenues dollar-based net retention rate illustrates our ability to consistently retain accounts and grow them.</w:t>
      </w:r>
    </w:p>
    <w:p>
      <w:pPr>
        <w:spacing w:after="0" w:line="81"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As discussed above, we expect annual and trailing twelve-month recurring revenues recognized under Topic 606 to be comparable to such revenues recognized under Topic 605 due to the annual, recurring nature of our subscription agreements. We, therefore, also expect, that our account retention rate and our recurring revenue dollar-based net retention rate under Topic 606 will be comparable to such metrics under Topic 605. However, under Topic 606, the conversion of our existing subscription users to consumption-based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“Key Factors Impacting Comparability and Performance.”</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similarly-titled metrics.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the below non-GAAP measures are useful in evaluating our operating performance. We use the below non-GAAP financial information, collectively, to evaluate our ongoing operations and for internal planning and forecasting purposes.</w:t>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2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6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9"/>
        </w:trPr>
        <w:tc>
          <w:tcPr>
            <w:tcW w:w="28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4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6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7"/>
              </w:rPr>
              <w:t>$ 171,768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$ 186,598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$ 188,129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79,384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115,506</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$ 132,246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$ 135,471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$ 135,049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59,978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89,203</w:t>
            </w:r>
          </w:p>
        </w:tc>
      </w:tr>
    </w:tbl>
    <w:p>
      <w:pPr>
        <w:spacing w:after="0" w:line="179"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Data—Non-GAAP Financial Measures.”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119"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Topics 606 and 340-40. </w:t>
      </w:r>
      <w:r>
        <w:rPr>
          <w:rFonts w:ascii="Times New Roman" w:cs="Times New Roman" w:eastAsia="Times New Roman" w:hAnsi="Times New Roman"/>
          <w:sz w:val="18"/>
          <w:szCs w:val="18"/>
          <w:color w:val="auto"/>
        </w:rPr>
        <w:t>On January 1, 2019, we adopted Topic 606, which supersedes substantially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has not been adjusted and continues to be reported under Topic 605.</w:t>
      </w:r>
    </w:p>
    <w:p>
      <w:pPr>
        <w:spacing w:after="0" w:line="76" w:lineRule="exact"/>
        <w:rPr>
          <w:sz w:val="20"/>
          <w:szCs w:val="20"/>
          <w:color w:val="auto"/>
        </w:rPr>
      </w:pPr>
    </w:p>
    <w:p>
      <w:pPr>
        <w:ind w:left="140" w:right="379" w:firstLine="324"/>
        <w:spacing w:after="0" w:line="274" w:lineRule="auto"/>
        <w:rPr>
          <w:sz w:val="20"/>
          <w:szCs w:val="20"/>
          <w:color w:val="auto"/>
        </w:rPr>
      </w:pPr>
      <w:r>
        <w:rPr>
          <w:rFonts w:ascii="Times New Roman" w:cs="Times New Roman" w:eastAsia="Times New Roman" w:hAnsi="Times New Roman"/>
          <w:sz w:val="17"/>
          <w:szCs w:val="17"/>
          <w:color w:val="auto"/>
        </w:rPr>
        <w:t>The most significant impact from the adoption of Topic 606 relates to timing of revenue recognition for perpetual licenses and the accounting for certain of our subscription arrangements that include term-based software licenses bundled with support. Under Topic 605,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Revenue recognition related to support, hosting, usage-based offerings, and services is substantially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39"/>
        <w:spacing w:after="0" w:line="282" w:lineRule="auto"/>
        <w:rPr>
          <w:sz w:val="20"/>
          <w:szCs w:val="20"/>
          <w:color w:val="auto"/>
        </w:rPr>
      </w:pPr>
      <w:r>
        <w:rPr>
          <w:rFonts w:ascii="Times New Roman" w:cs="Times New Roman" w:eastAsia="Times New Roman" w:hAnsi="Times New Roman"/>
          <w:sz w:val="18"/>
          <w:szCs w:val="18"/>
          <w:color w:val="auto"/>
        </w:rPr>
        <w:t>unchanged, with support and hosting revenue recorded ratably over the contract term, usage-based revenue recognized upon usage or delivery, and services revenue as delivered.</w:t>
      </w:r>
    </w:p>
    <w:p>
      <w:pPr>
        <w:spacing w:after="0" w:line="54"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On an annual and trailing twelve-month basis, we expect our subscriptions revenues recognized under Topic 606 to be comparable to such revenues recognized under Topic 605. This expectation is attributable to the annual, recurring nature of our subscription agreements. However, quarterly subscription revenue and profitability trends will be impacted by the subscription term as well as the term start date of new and renewals subscriptions, due to the upfront revenue recognition of the associated term-license component. See the sections titled “—Quarterly Results of Operations” and “—Quarterly Trends” below.</w:t>
      </w:r>
    </w:p>
    <w:p>
      <w:pPr>
        <w:spacing w:after="0" w:line="79" w:lineRule="exact"/>
        <w:rPr>
          <w:sz w:val="20"/>
          <w:szCs w:val="20"/>
          <w:color w:val="auto"/>
        </w:rPr>
      </w:pPr>
    </w:p>
    <w:p>
      <w:pPr>
        <w:ind w:left="140" w:right="399" w:firstLine="324"/>
        <w:spacing w:after="0" w:line="266" w:lineRule="auto"/>
        <w:rPr>
          <w:sz w:val="20"/>
          <w:szCs w:val="20"/>
          <w:color w:val="auto"/>
        </w:rPr>
      </w:pPr>
      <w:r>
        <w:rPr>
          <w:rFonts w:ascii="Times New Roman" w:cs="Times New Roman" w:eastAsia="Times New Roman" w:hAnsi="Times New Roman"/>
          <w:sz w:val="18"/>
          <w:szCs w:val="18"/>
          <w:color w:val="auto"/>
        </w:rPr>
        <w:t>Under Topic 605, our perpetual licenses revenues were recognized over a three-year period due to the portfolio balancing feature users obtain through their SELECT subscriptions. Under Topic 606, our perpetual licenses revenues are recognized upon delivery and will closely align with the respective license sales of the period.</w:t>
      </w:r>
    </w:p>
    <w:p>
      <w:pPr>
        <w:spacing w:after="0" w:line="68"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Further, under Topic 606, the conversion of our existing subscription users to consumption-based offerings with consumption measurement durations of less than one year, such as our E365 program, will introduce some volatility between annual, quarterly, and trailing twelve-month periods and impact period over period comparability. This effect is because the term-based software license is recognized upfront upon delivery for prepaid subscription-based offerings, but upon usage for consumption-based offerings. For example, if an account renews an annual ELS at the beginning of July 2019, then we will recognize in 2019 the term-based software license of the annual subscription upon renewal for the twelve-month period from July 1, 2019 to June 30, 2020. However, if such account instead switches from our ELS offering to our consumption based E365 offering, then we will only recognize the distinct license component for the consumption period from July 1, 2019 to December 31, 2019 in 2019.</w:t>
      </w:r>
    </w:p>
    <w:p>
      <w:pPr>
        <w:spacing w:after="0" w:line="80" w:lineRule="exact"/>
        <w:rPr>
          <w:sz w:val="20"/>
          <w:szCs w:val="20"/>
          <w:color w:val="auto"/>
        </w:rPr>
      </w:pPr>
    </w:p>
    <w:p>
      <w:pPr>
        <w:jc w:val="both"/>
        <w:ind w:left="140" w:right="779" w:firstLine="324"/>
        <w:spacing w:after="0" w:line="266"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for the year ended December 31, 2019 included elsewhere in this prospectus for further information on the impact upon adoption of Topics 606 and 340-40 as of January 1, 2019.</w:t>
      </w:r>
    </w:p>
    <w:p>
      <w:pPr>
        <w:spacing w:after="0" w:line="66"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foreign currency. </w:t>
      </w:r>
      <w:r>
        <w:rPr>
          <w:rFonts w:ascii="Times New Roman" w:cs="Times New Roman" w:eastAsia="Times New Roman" w:hAnsi="Times New Roman"/>
          <w:sz w:val="18"/>
          <w:szCs w:val="18"/>
          <w:color w:val="auto"/>
        </w:rPr>
        <w:t>A portion of our revenues and operating expenses were derived from outside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as such, were denominated in various foreign currencies, including most significantly: Euros, British Pounds, Australian Dollars, Canadian Dollars, and Chinese Yuan Renminbi. Our financial results are therefore affected by changes in foreign currency rates. In 2019, 47% of our revenues were denominated in various foreign currencies. Correspondingly, in 2019, 46%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7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82"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Historically, we have enhanced our business with acquisitions of businesses, software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Going forward, we plan to selectively acquire adjacent software solutions that can be sold broadly across our account base, as well as to acquire new technologies that we can leverage across our existing software solution portfolio. We completed seven, four, two, and three acquisitions during the years ended December 31, 2018 and December 31, 2019 and the six months ended June 30, 2019 and 2020, respectively.</w:t>
      </w:r>
    </w:p>
    <w:p>
      <w:pPr>
        <w:spacing w:after="0" w:line="77" w:lineRule="exact"/>
        <w:rPr>
          <w:sz w:val="20"/>
          <w:szCs w:val="20"/>
          <w:color w:val="auto"/>
        </w:rPr>
      </w:pPr>
    </w:p>
    <w:p>
      <w:pPr>
        <w:ind w:left="140" w:right="679"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Rule 3-05 of Regulation S-X, separate financial statements are not required for any of our acquisitions individually or in the aggregate.</w:t>
      </w:r>
    </w:p>
    <w:p>
      <w:pPr>
        <w:spacing w:after="0" w:line="52"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U.S. Tax Cuts and Jobs Act was enacted on December 22, 2017 and resulted in a provisional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primarily due to the one-time transition tax on accumulated foreign subsidiary earnings and deferred tax impacts. We completed the accounting for the effects of the U.S. Tax Cuts and Jobs Act in the year ended December 31, 2018 and recorded a $4,318 increase to tax expense related to provisional amounts recorded in 2017. In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9" w:name="page80"/>
    <w:bookmarkEnd w:id="7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59"/>
        <w:spacing w:after="0" w:line="282" w:lineRule="auto"/>
        <w:rPr>
          <w:sz w:val="20"/>
          <w:szCs w:val="20"/>
          <w:color w:val="auto"/>
        </w:rPr>
      </w:pPr>
      <w:r>
        <w:rPr>
          <w:rFonts w:ascii="Times New Roman" w:cs="Times New Roman" w:eastAsia="Times New Roman" w:hAnsi="Times New Roman"/>
          <w:sz w:val="18"/>
          <w:szCs w:val="18"/>
          <w:color w:val="auto"/>
        </w:rPr>
        <w:t>October 2018, we had intercompany sales of certain intangible operating assets between our foreign subsidiaries, which resulted in a non-recurring net tax benefit of $46,369.</w:t>
      </w:r>
    </w:p>
    <w:p>
      <w:pPr>
        <w:spacing w:after="0" w:line="52" w:lineRule="exact"/>
        <w:rPr>
          <w:sz w:val="20"/>
          <w:szCs w:val="20"/>
          <w:color w:val="auto"/>
        </w:rPr>
      </w:pPr>
    </w:p>
    <w:p>
      <w:pPr>
        <w:ind w:left="140" w:right="4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In March 2020, the World Health Organization declared a global pandemic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w:t>
      </w:r>
    </w:p>
    <w:p>
      <w:pPr>
        <w:spacing w:after="0" w:line="74"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on-demand learning and support to our colleagues throughout the transition period. Based on a May 2020 internal survey, a majority of our colleagues are confident in the decisions that Bentley leadership is making regarding employee well-being and safety during this pandemic, and a majority of our colleagues believe that Bentley’s response to and communication regarding COVID-19 has been timely and helpful.</w:t>
      </w:r>
    </w:p>
    <w:p>
      <w:pPr>
        <w:spacing w:after="0" w:line="82" w:lineRule="exact"/>
        <w:rPr>
          <w:sz w:val="20"/>
          <w:szCs w:val="20"/>
          <w:color w:val="auto"/>
        </w:rPr>
      </w:pPr>
    </w:p>
    <w:p>
      <w:pPr>
        <w:ind w:left="140" w:right="379" w:firstLine="324"/>
        <w:spacing w:after="0" w:line="255" w:lineRule="auto"/>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For the months of March and April, our accounts’ usage of our applications was down approximately 3-5% when compared to levels from the same periods in 2019; however, these metrics returned to pre-COVID-19 levels in June 2020. The modest and temporary dip in usage had limited impact on our recurring revenues, which are comprised primarily of longer term contracts. The growth of our revenues from perpetual licenses and professional services has been impacted as selected accounts have shifted spend to subscription solutions or delayed new projects.</w:t>
      </w:r>
    </w:p>
    <w:p>
      <w:pPr>
        <w:spacing w:after="0" w:line="81"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self-help documents, 20 webinars, and several messages guiding users on various topics including how Bentley’s solutions should be configured when working with limited bandwidth, how to use a SmartTV as a monitor, and how to leverage specific offerings such as ProjectWise to facilitate collaboration in their own businesses in remote working environments. This guidance and assistance was well received by accounts and we believe helped maximize usage during the observed trough in March and April.</w:t>
      </w:r>
    </w:p>
    <w:p>
      <w:pPr>
        <w:spacing w:after="0" w:line="8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 Much of those resulting savings have been or will be re-invested in a portfolio of businesses outside of our core software business, with the objective of cultivating an ecosystem of digital integrator businesses.</w:t>
      </w:r>
    </w:p>
    <w:p>
      <w:pPr>
        <w:spacing w:after="0" w:line="68"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June 30, 2020, we had $126 million of cash and cash equivalents, and $293 million was available under the Credit Facility.</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0" w:name="page81"/>
    <w:bookmarkEnd w:id="8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7"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annual recurring subscriptions that accounts can elect to add to a new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subscriptions revenues are recognized as distinct performance obligations are satisfied. Under Topic 605, SELECT subscriptions revenue was recognized on a ratable basis, over the subscription term.</w:t>
      </w:r>
    </w:p>
    <w:p>
      <w:pPr>
        <w:spacing w:after="0" w:line="7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that provides our largest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unlimited global access to our comprehensive portfolio of solutions. ELS provides access for a prepaid annual fee. E365, which was introduced during the fourth quarter of 2018, provides unrestricted access to our comprehensive software portfolio, similar to ELS, however is charged based upon daily usage. The daily usage fee also includes maintenance and Success Plan services, which are designed to achieve business outcomes through more efficient and effective use of our software. The ELS and E365 programs both contain a distinct term license component. Under Topic 606, ELS revenue is recognized as the distinct performance obligations are satisfied. Under Topic 605, ELS revenue was recognized on a ratable basis, over the subscription term. E365 revenue is recognized based upon usage incurred by the account under both Topic 606 and 605.</w:t>
      </w:r>
    </w:p>
    <w:p>
      <w:pPr>
        <w:spacing w:after="0" w:line="80" w:lineRule="exact"/>
        <w:rPr>
          <w:sz w:val="20"/>
          <w:szCs w:val="20"/>
          <w:color w:val="auto"/>
        </w:rPr>
      </w:pPr>
    </w:p>
    <w:p>
      <w:pPr>
        <w:ind w:left="140" w:right="3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We provide annual, quarterly, and monthly term licenses for our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ATL subscriptions are generally 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77"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accounts to access specific project or enterprise information and entitle certain functionality of our ProjectWise and AssetWise systems. Our standard offerings are usage based with monetization through our CSS program. Under Topic 606, annual, quarterly, and monthly term licenses revenues are recognized as the distinct performance obligations for each are satisfied.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the subscriptions revenues were recognized on a ratable basis, over the subscription term. QTL, MTL, Visas and Passports subscriptions are recognized based upon usage incurred by the account under both Topic 606 and 605.</w:t>
      </w:r>
    </w:p>
    <w:p>
      <w:pPr>
        <w:spacing w:after="0" w:line="8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Software and services consumed under CSS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pursuant to the applicable revenue recognition guidance for the respective software or service and classified as subscriptions or services based on their respective nature.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19" w:lineRule="exact"/>
        <w:rPr>
          <w:sz w:val="20"/>
          <w:szCs w:val="20"/>
          <w:color w:val="auto"/>
        </w:rPr>
      </w:pPr>
    </w:p>
    <w:p>
      <w:pPr>
        <w:ind w:left="140" w:right="379" w:firstLine="324"/>
        <w:spacing w:after="0" w:line="258"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 under Topic 606. Under Topic 605, we recognized perpetual licenses revenues ratably over a three-year term due to the portfolio balancing feature users obtain through their SELECT subscriptions.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services in the form of subscription-like,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 under both Topic 606 and 605.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1" w:name="page82"/>
    <w:bookmarkEnd w:id="8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21"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travel-related costs. Our headcount-related costs are variable in nature. We actively manage these costs to align to our trending run rate of revenue performance, with the objective of enhancing visibility and predictability of resulting operating profit margins.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Cost of subscriptions, licenses, and services</w:t>
      </w:r>
    </w:p>
    <w:p>
      <w:pPr>
        <w:spacing w:after="0" w:line="119"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Cost of subscriptions and licenses includes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accounts using cloud deployed hosted solutions and our license administration platform.</w:t>
      </w:r>
    </w:p>
    <w:p>
      <w:pPr>
        <w:spacing w:after="0" w:line="75"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Cost of services includes salaries for internal and third-party personnel and related overhead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depreciation of property and equipment, for providing training, implementation, configuration, and customization services to accounts, amortization of capitalized software costs, and related out-of-pocket expenses incurred.</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which are generally expensed as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 of personnel and related costs of our research and development staff, including salaries, benefits, bonuses, stock-based compensation, and costs of certain third-party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77"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capitalize certain development costs related to certain projects under our ACDP (our structured approach to an in-house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high-risk development issues. Once the software is ready for its intended use, amortization is recorded over the software’s estimated useful life (generally three years). During the years ended December 31, 2018 and December 31, 2019 and the six months ended June 30, 2019 and June 30, 2020, total costs capitalized under the ACDP were $5,735, $6,060, $2,181 and $4,260, respectively. Additionally, during the years ended December 31, 2018 and December 31, 2019 and the six months ended June 30, 2019 and June 30, 2020, total ACDP related amortization recorded in </w:t>
      </w:r>
      <w:r>
        <w:rPr>
          <w:rFonts w:ascii="Times New Roman" w:cs="Times New Roman" w:eastAsia="Times New Roman" w:hAnsi="Times New Roman"/>
          <w:sz w:val="18"/>
          <w:szCs w:val="18"/>
          <w:i w:val="1"/>
          <w:iCs w:val="1"/>
          <w:color w:val="auto"/>
        </w:rPr>
        <w:t>Costs of subscriptions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licenses </w:t>
      </w:r>
      <w:r>
        <w:rPr>
          <w:rFonts w:ascii="Times New Roman" w:cs="Times New Roman" w:eastAsia="Times New Roman" w:hAnsi="Times New Roman"/>
          <w:sz w:val="18"/>
          <w:szCs w:val="18"/>
          <w:color w:val="auto"/>
        </w:rPr>
        <w:t>was $2,052, $3,516, $1,448 and $2,022, respectively.</w:t>
      </w:r>
    </w:p>
    <w:p>
      <w:pPr>
        <w:spacing w:after="0" w:line="84"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include salaries, benefits,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for our selling and marketing colleagues, the expense of travel, entertainment and training for such personnel, online marketing, product marketing and other brand-building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Topic 340-40 requires the capitalization of certain incremental costs of obtaining a contract, which impacts the period in which we record sales commission expense. Historically, under Topic 605, we recognized commissions expense as incurred. Under Topic 340-40, we are required to recognize these expenses over the period of benefit associated with these costs, resulting in a deferral of certain contract costs each period. The contract costs are amortized based on the economic life of the goods and services to which the contract costs relate. We have determined that certain sales incentive programs meet the requirements to be capitalized. We apply a practical expedient to expense costs as incurred for costs to obtain a contract with a customer when the amortization period would have been one year or less. These costs include our internal sales force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82" w:lineRule="auto"/>
        <w:rPr>
          <w:sz w:val="20"/>
          <w:szCs w:val="20"/>
          <w:color w:val="auto"/>
        </w:rPr>
      </w:pPr>
      <w:r>
        <w:rPr>
          <w:rFonts w:ascii="Times New Roman" w:cs="Times New Roman" w:eastAsia="Times New Roman" w:hAnsi="Times New Roman"/>
          <w:sz w:val="18"/>
          <w:szCs w:val="18"/>
          <w:color w:val="auto"/>
        </w:rPr>
        <w:t>program and certain channel partner sales incentive programs for which the annual compensation is commensurate with annual sales activities.</w:t>
      </w:r>
    </w:p>
    <w:p>
      <w:pPr>
        <w:spacing w:after="0" w:line="52"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salaries, bonuses, benefits, and stock-based compensation expense for our finance, human resources, and legal colleagues, the expense of travel, entertainment, and training for such personnel, professional fees for legal and accounting services, and costs of computer equipment and facilities used in general and administrative activities.</w:t>
      </w:r>
    </w:p>
    <w:p>
      <w:pPr>
        <w:spacing w:after="0" w:line="74" w:lineRule="exact"/>
        <w:rPr>
          <w:sz w:val="20"/>
          <w:szCs w:val="20"/>
          <w:color w:val="auto"/>
        </w:rPr>
      </w:pPr>
    </w:p>
    <w:p>
      <w:pPr>
        <w:ind w:left="140" w:right="199" w:firstLine="324"/>
        <w:spacing w:after="0" w:line="276" w:lineRule="auto"/>
        <w:rPr>
          <w:sz w:val="20"/>
          <w:szCs w:val="20"/>
          <w:color w:val="auto"/>
        </w:rPr>
      </w:pPr>
      <w:r>
        <w:rPr>
          <w:rFonts w:ascii="Times New Roman" w:cs="Times New Roman" w:eastAsia="Times New Roman" w:hAnsi="Times New Roman"/>
          <w:sz w:val="17"/>
          <w:szCs w:val="17"/>
          <w:color w:val="auto"/>
        </w:rPr>
        <w:t>We expect to recognize certain non-recurring costs as part of our transition to a publicly-traded company, consisting of professional fees and other expenses. These fees are being expensed in the period incurred. We expect to incur $</w:t>
      </w:r>
    </w:p>
    <w:p>
      <w:pPr>
        <w:spacing w:after="0" w:line="1" w:lineRule="exact"/>
        <w:rPr>
          <w:sz w:val="20"/>
          <w:szCs w:val="20"/>
          <w:color w:val="auto"/>
        </w:rPr>
      </w:pPr>
    </w:p>
    <w:p>
      <w:pPr>
        <w:ind w:left="140" w:right="159"/>
        <w:spacing w:after="0" w:line="251" w:lineRule="auto"/>
        <w:rPr>
          <w:sz w:val="20"/>
          <w:szCs w:val="20"/>
          <w:color w:val="auto"/>
        </w:rPr>
      </w:pPr>
      <w:r>
        <w:rPr>
          <w:rFonts w:ascii="Times New Roman" w:cs="Times New Roman" w:eastAsia="Times New Roman" w:hAnsi="Times New Roman"/>
          <w:sz w:val="18"/>
          <w:szCs w:val="18"/>
          <w:color w:val="auto"/>
        </w:rPr>
        <w:t>in audit fees, $ in legal fees and expenses and $ in underwriting discounts and commissions applicable to the sale of shares by the selling stockholders in connection with this offering. Following the completion of this offering,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83" w:lineRule="exact"/>
        <w:rPr>
          <w:sz w:val="20"/>
          <w:szCs w:val="20"/>
          <w:color w:val="auto"/>
        </w:rPr>
      </w:pPr>
    </w:p>
    <w:p>
      <w:pPr>
        <w:ind w:left="1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the amortization of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non-product related intangible assets, primarily customer relationships, trademarks, and non-compete agreements recorded in connection with completed acquisitions.</w:t>
      </w:r>
    </w:p>
    <w:p>
      <w:pPr>
        <w:spacing w:after="0" w:line="65" w:lineRule="exact"/>
        <w:rPr>
          <w:sz w:val="20"/>
          <w:szCs w:val="20"/>
          <w:color w:val="auto"/>
        </w:rPr>
      </w:pPr>
    </w:p>
    <w:p>
      <w:pPr>
        <w:ind w:left="140" w:right="919"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Interest expense, net. </w:t>
      </w:r>
      <w:r>
        <w:rPr>
          <w:rFonts w:ascii="Times New Roman" w:cs="Times New Roman" w:eastAsia="Times New Roman" w:hAnsi="Times New Roman"/>
          <w:sz w:val="17"/>
          <w:szCs w:val="17"/>
          <w:color w:val="auto"/>
        </w:rPr>
        <w:t>Interest expense, net primarily represents interest associated with the Credit Facility,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amortization of deferred financing costs, and interest income from our investments in money market funds.</w:t>
      </w:r>
    </w:p>
    <w:p>
      <w:pPr>
        <w:spacing w:after="0" w:line="27" w:lineRule="exact"/>
        <w:rPr>
          <w:sz w:val="20"/>
          <w:szCs w:val="20"/>
          <w:color w:val="auto"/>
        </w:rPr>
      </w:pPr>
    </w:p>
    <w:p>
      <w:pPr>
        <w:ind w:left="140" w:right="3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primarily consists of foreign currency translation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derived primarily from U.S. Dollar denominated intercompany balances, cash and cash equivalents, and accounts receivable held by foreign subsidiaries with non-U.S. Dollar functional currencies.</w:t>
      </w:r>
    </w:p>
    <w:p>
      <w:pPr>
        <w:spacing w:after="0" w:line="65" w:lineRule="exact"/>
        <w:rPr>
          <w:sz w:val="20"/>
          <w:szCs w:val="20"/>
          <w:color w:val="auto"/>
        </w:rPr>
      </w:pPr>
    </w:p>
    <w:p>
      <w:pPr>
        <w:ind w:left="140" w:right="2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includes the aggregate consolidated income tax expense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domestic and foreign income taxes.</w:t>
      </w:r>
    </w:p>
    <w:p>
      <w:pPr>
        <w:spacing w:after="0" w:line="50" w:lineRule="exact"/>
        <w:rPr>
          <w:sz w:val="20"/>
          <w:szCs w:val="20"/>
          <w:color w:val="auto"/>
        </w:rPr>
      </w:pPr>
    </w:p>
    <w:p>
      <w:pPr>
        <w:ind w:left="140" w:right="3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 loss of joint venture, net of tax. </w:t>
      </w:r>
      <w:r>
        <w:rPr>
          <w:rFonts w:ascii="Times New Roman" w:cs="Times New Roman" w:eastAsia="Times New Roman" w:hAnsi="Times New Roman"/>
          <w:sz w:val="18"/>
          <w:szCs w:val="18"/>
          <w:color w:val="auto"/>
        </w:rPr>
        <w:t>Equity in loss of joint venture includes our proportional share of loss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venture accounted for under the equity method.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3" w:name="page84"/>
    <w:bookmarkEnd w:id="8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Subscriptions</w:t>
            </w:r>
          </w:p>
        </w:tc>
        <w:tc>
          <w:tcPr>
            <w:tcW w:w="3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557,421</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608,300</w:t>
            </w:r>
          </w:p>
        </w:tc>
        <w:tc>
          <w:tcPr>
            <w:tcW w:w="3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290,147</w:t>
            </w:r>
          </w:p>
        </w:tc>
        <w:tc>
          <w:tcPr>
            <w:tcW w:w="5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327,837</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Perpetual licenses</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59,693</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24,468</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23,193</w:t>
            </w:r>
          </w:p>
        </w:tc>
        <w:tc>
          <w:tcPr>
            <w:tcW w:w="0" w:type="dxa"/>
            <w:vAlign w:val="bottom"/>
          </w:tcPr>
          <w:p>
            <w:pPr>
              <w:spacing w:after="0"/>
              <w:rPr>
                <w:sz w:val="1"/>
                <w:szCs w:val="1"/>
                <w:color w:val="auto"/>
              </w:rPr>
            </w:pPr>
          </w:p>
        </w:tc>
      </w:tr>
      <w:tr>
        <w:trPr>
          <w:trHeight w:val="169"/>
        </w:trPr>
        <w:tc>
          <w:tcPr>
            <w:tcW w:w="3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Subscriptions and licenses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618,486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667,993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314,615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351,030</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73,224</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68,661</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32,529</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691,710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736,654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347,144</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378,980</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subscriptions and licenses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71,578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30,831</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43,128</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76,211</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72,572</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38,367</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0" w:type="dxa"/>
            <w:vAlign w:val="bottom"/>
          </w:tcPr>
          <w:p>
            <w:pPr>
              <w:spacing w:after="0"/>
              <w:rPr>
                <w:sz w:val="1"/>
                <w:szCs w:val="1"/>
                <w:color w:val="auto"/>
              </w:rPr>
            </w:pPr>
          </w:p>
        </w:tc>
      </w:tr>
      <w:tr>
        <w:trPr>
          <w:trHeight w:val="169"/>
        </w:trPr>
        <w:tc>
          <w:tcPr>
            <w:tcW w:w="3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 of revenues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131,324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144,150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69,198</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73,964</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560,386</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592,504</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277,946</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305,016</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175,032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183,552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91,861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89,353</w:t>
            </w:r>
          </w:p>
        </w:tc>
        <w:tc>
          <w:tcPr>
            <w:tcW w:w="0" w:type="dxa"/>
            <w:vAlign w:val="bottom"/>
          </w:tcPr>
          <w:p>
            <w:pPr>
              <w:spacing w:after="0"/>
              <w:rPr>
                <w:sz w:val="1"/>
                <w:szCs w:val="1"/>
                <w:color w:val="auto"/>
              </w:rPr>
            </w:pPr>
          </w:p>
        </w:tc>
      </w:tr>
      <w:tr>
        <w:trPr>
          <w:trHeight w:val="175"/>
        </w:trPr>
        <w:tc>
          <w:tcPr>
            <w:tcW w:w="3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and marketing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160,635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155,294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65,727</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89,328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97,580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46,307</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52,269</w:t>
            </w:r>
          </w:p>
        </w:tc>
        <w:tc>
          <w:tcPr>
            <w:tcW w:w="0" w:type="dxa"/>
            <w:vAlign w:val="bottom"/>
          </w:tcPr>
          <w:p>
            <w:pPr>
              <w:spacing w:after="0"/>
              <w:rPr>
                <w:sz w:val="1"/>
                <w:szCs w:val="1"/>
                <w:color w:val="auto"/>
              </w:rPr>
            </w:pPr>
          </w:p>
        </w:tc>
      </w:tr>
      <w:tr>
        <w:trPr>
          <w:trHeight w:val="176"/>
        </w:trPr>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6,852</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438,995</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450,639</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220,188</w:t>
            </w:r>
          </w:p>
        </w:tc>
        <w:tc>
          <w:tcPr>
            <w:tcW w:w="1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214,464</w:t>
            </w:r>
          </w:p>
        </w:tc>
        <w:tc>
          <w:tcPr>
            <w:tcW w:w="0" w:type="dxa"/>
            <w:vAlign w:val="bottom"/>
          </w:tcPr>
          <w:p>
            <w:pPr>
              <w:spacing w:after="0"/>
              <w:rPr>
                <w:sz w:val="1"/>
                <w:szCs w:val="1"/>
                <w:color w:val="auto"/>
              </w:rPr>
            </w:pPr>
          </w:p>
        </w:tc>
      </w:tr>
      <w:tr>
        <w:trPr>
          <w:trHeight w:val="169"/>
        </w:trPr>
        <w:tc>
          <w:tcPr>
            <w:tcW w:w="3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from operations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121,391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141,865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90,552</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0" w:type="dxa"/>
            <w:vAlign w:val="bottom"/>
          </w:tcPr>
          <w:p>
            <w:pPr>
              <w:spacing w:after="0"/>
              <w:rPr>
                <w:sz w:val="1"/>
                <w:szCs w:val="1"/>
                <w:color w:val="auto"/>
              </w:rPr>
            </w:pPr>
          </w:p>
        </w:tc>
      </w:tr>
      <w:tr>
        <w:trPr>
          <w:trHeight w:val="169"/>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112,862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51,537</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81,051</w:t>
            </w:r>
          </w:p>
        </w:tc>
        <w:tc>
          <w:tcPr>
            <w:tcW w:w="0" w:type="dxa"/>
            <w:vAlign w:val="bottom"/>
          </w:tcPr>
          <w:p>
            <w:pPr>
              <w:spacing w:after="0"/>
              <w:rPr>
                <w:sz w:val="1"/>
                <w:szCs w:val="1"/>
                <w:color w:val="auto"/>
              </w:rPr>
            </w:pPr>
          </w:p>
        </w:tc>
      </w:tr>
      <w:tr>
        <w:trPr>
          <w:trHeight w:val="17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11,440</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loss of joint venture, net of tax</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69"/>
        </w:trPr>
        <w:tc>
          <w:tcPr>
            <w:tcW w:w="3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142,112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income attributable to participating securities</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68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Net income per share attributable to Class A and Class B</w:t>
            </w:r>
          </w:p>
        </w:tc>
        <w:tc>
          <w:tcPr>
            <w:tcW w:w="3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142,108</w:t>
            </w:r>
          </w:p>
        </w:tc>
        <w:tc>
          <w:tcPr>
            <w:tcW w:w="32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103,088</w:t>
            </w:r>
          </w:p>
        </w:tc>
        <w:tc>
          <w:tcPr>
            <w:tcW w:w="3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46,406</w:t>
            </w:r>
          </w:p>
        </w:tc>
        <w:tc>
          <w:tcPr>
            <w:tcW w:w="52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211"/>
        </w:trPr>
        <w:tc>
          <w:tcPr>
            <w:tcW w:w="3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common shares</w:t>
            </w:r>
          </w:p>
        </w:tc>
        <w:tc>
          <w:tcPr>
            <w:tcW w:w="3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income per share:</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32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3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5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56"/>
        </w:trPr>
        <w:tc>
          <w:tcPr>
            <w:tcW w:w="3680" w:type="dxa"/>
            <w:vAlign w:val="bottom"/>
            <w:tcBorders>
              <w:top w:val="single" w:sz="8" w:color="CCEEFF"/>
              <w:bottom w:val="single" w:sz="8" w:color="CCEEFF"/>
            </w:tcBorders>
            <w:shd w:val="clear" w:color="auto" w:fill="CCEEFF"/>
          </w:tcPr>
          <w:p>
            <w:pPr>
              <w:ind w:left="200"/>
              <w:spacing w:after="0" w:line="156" w:lineRule="exact"/>
              <w:rPr>
                <w:sz w:val="20"/>
                <w:szCs w:val="20"/>
                <w:color w:val="auto"/>
              </w:rPr>
            </w:pPr>
            <w:r>
              <w:rPr>
                <w:rFonts w:ascii="Times New Roman" w:cs="Times New Roman" w:eastAsia="Times New Roman" w:hAnsi="Times New Roman"/>
                <w:sz w:val="14"/>
                <w:szCs w:val="14"/>
                <w:color w:val="auto"/>
              </w:rPr>
              <w:t>Diluted</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0.35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center"/>
              <w:ind w:right="2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285,805,096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284,625,642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285,529,476</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286,068,766</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CCEEFF"/>
            </w:tcBorders>
            <w:shd w:val="clear" w:color="auto" w:fill="CCEEFF"/>
          </w:tcPr>
          <w:p>
            <w:pPr>
              <w:ind w:left="200"/>
              <w:spacing w:after="0" w:line="156" w:lineRule="exact"/>
              <w:rPr>
                <w:sz w:val="20"/>
                <w:szCs w:val="20"/>
                <w:color w:val="auto"/>
              </w:rPr>
            </w:pPr>
            <w:r>
              <w:rPr>
                <w:rFonts w:ascii="Times New Roman" w:cs="Times New Roman" w:eastAsia="Times New Roman" w:hAnsi="Times New Roman"/>
                <w:sz w:val="14"/>
                <w:szCs w:val="14"/>
                <w:color w:val="auto"/>
              </w:rPr>
              <w:t>Weighted average shares outstanding, diluted</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292,624,496</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293,796,707</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293,633,255</w:t>
            </w: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295,595,234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June 30, 2020</w:t>
      </w:r>
    </w:p>
    <w:p>
      <w:pPr>
        <w:spacing w:after="0" w:line="121" w:lineRule="exact"/>
        <w:rPr>
          <w:sz w:val="20"/>
          <w:szCs w:val="20"/>
          <w:color w:val="auto"/>
        </w:rPr>
      </w:pPr>
    </w:p>
    <w:p>
      <w:pPr>
        <w:ind w:left="140" w:right="419" w:firstLine="324"/>
        <w:spacing w:after="0" w:line="258"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4" w:name="page85"/>
    <w:bookmarkEnd w:id="8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Subscriptions</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13.0 %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Perpetual licenses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36,415</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11.6 %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9"/>
        </w:trPr>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9.2 %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Total revenues increased by $31,836, or 9.2%, to $378,980 for the six months ended June 30, 2020. This increase was driven primarily by improvements in our organic performance of $25,182, and to a lesser extent, the impact from acquisitions of $11,384, partially offset by negative foreign currency effects due to a stronger U.S. Dollar relative to our other functional currencies of $4,730. On a constant currency basis, our revenues increased by 10.5% for the six months ended June 30, 2020 as compared to the prior period.</w:t>
      </w:r>
    </w:p>
    <w:p>
      <w:pPr>
        <w:spacing w:after="0" w:line="73" w:lineRule="exact"/>
        <w:rPr>
          <w:sz w:val="20"/>
          <w:szCs w:val="20"/>
          <w:color w:val="auto"/>
        </w:rPr>
      </w:pPr>
    </w:p>
    <w:p>
      <w:pPr>
        <w:ind w:left="1120" w:right="259" w:hanging="328"/>
        <w:spacing w:after="0" w:line="257" w:lineRule="auto"/>
        <w:tabs>
          <w:tab w:leader="none" w:pos="11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Subscriptions revenues increased by $37,690, or 13.0%,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$35,510, and to a lesser extent, the impact from acquisitions of $5,980, partially offset by negative foreign currency effects due to a stronger U.S. Dollar relative to our other functional currencies of $3,800. On a constant currency basis, our subscriptions revenues increased by 14.3%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3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110%. Approximately 3% of the increase was attributed to new accounts. Approximately 50% of our organic performance expansion was driven by ProjectWise and civil design products.</w:t>
      </w:r>
    </w:p>
    <w:p>
      <w:pPr>
        <w:spacing w:after="0" w:line="177" w:lineRule="exact"/>
        <w:rPr>
          <w:rFonts w:ascii="Times New Roman" w:cs="Times New Roman" w:eastAsia="Times New Roman" w:hAnsi="Times New Roman"/>
          <w:sz w:val="18"/>
          <w:szCs w:val="18"/>
          <w:color w:val="auto"/>
        </w:rPr>
      </w:pPr>
    </w:p>
    <w:p>
      <w:pPr>
        <w:ind w:left="1120" w:right="159" w:hanging="328"/>
        <w:spacing w:after="0" w:line="257" w:lineRule="auto"/>
        <w:tabs>
          <w:tab w:leader="none" w:pos="11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Perpetual licenses revenues decreased by $1,275, or 5.2%,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2020 as compared to the six months ended June 30, 2019. This decrease was driven by a reduction in our organic performance of $1,893, as well as by negative foreign currency effects due to a stronger U.S. Dollar relative to our other functional currencies of $570, partially offset by the impact from acquisitions of $1,188. On a constant currency basis, our perpetual licenses revenues decreased by 2.9%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45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observed a decrease in organic performance during the three months ended June 30, 2020 as certain accounts delayed purchase decisions or shifted spend to subscription solutions due to COVID-19.</w:t>
      </w:r>
    </w:p>
    <w:p>
      <w:pPr>
        <w:spacing w:after="0" w:line="137" w:lineRule="exact"/>
        <w:rPr>
          <w:rFonts w:ascii="Times New Roman" w:cs="Times New Roman" w:eastAsia="Times New Roman" w:hAnsi="Times New Roman"/>
          <w:sz w:val="18"/>
          <w:szCs w:val="18"/>
          <w:color w:val="auto"/>
        </w:rPr>
      </w:pPr>
    </w:p>
    <w:p>
      <w:pPr>
        <w:ind w:left="1120" w:right="159" w:hanging="328"/>
        <w:spacing w:after="0" w:line="257" w:lineRule="auto"/>
        <w:tabs>
          <w:tab w:leader="none" w:pos="11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Services revenues decreased by $4,579, or 14.1%, for the six months ended June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2019. This decrease was driven primarily by a reduction in our organic performance of $8,435, as well as by negative foreign currency effects due to a stronger U.S. Dollar relative to our other functional currencies of $360, partially offset by the impact from acquisitions of $4,216. On a constant currency basis, our services revenues decreased by 13.0%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2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organic performance was primarily due to the winding down or completion of several larger services projects during 2019 and early 2020, COVID-19 related delays of new projects while social distancing measures are in place, the inclusion of learning benefits in our subscription offerings, and the partial redeployment of our services colleagues to support Success Plan services of our E365 subscription offering.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227"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5.0 %</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APAC</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88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12.0 %</w:t>
            </w:r>
          </w:p>
        </w:tc>
        <w:tc>
          <w:tcPr>
            <w:tcW w:w="10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 by geographic area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9.2 %</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120" w:right="199" w:hanging="328"/>
        <w:spacing w:after="0" w:line="257" w:lineRule="auto"/>
        <w:tabs>
          <w:tab w:leader="none" w:pos="11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Revenues from the Americas increased by $18,398, or 11.0%,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six months ended June 30, 2019. This increase was driven primarily by improvements in our organic performance of $12,274 and, to a lesser extent, the impact from acquisitions of $6,789, partially offset by negative foreign currency effects due to a stronger U.S. Dollar relative to our other functional currencies of $665. On a constant currency basis, our revenues from the Americas increased by 11.4%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w:t>
      </w:r>
    </w:p>
    <w:p>
      <w:pPr>
        <w:spacing w:after="0" w:line="173" w:lineRule="exact"/>
        <w:rPr>
          <w:rFonts w:ascii="Times New Roman" w:cs="Times New Roman" w:eastAsia="Times New Roman" w:hAnsi="Times New Roman"/>
          <w:sz w:val="18"/>
          <w:szCs w:val="18"/>
          <w:color w:val="auto"/>
        </w:rPr>
      </w:pPr>
    </w:p>
    <w:p>
      <w:pPr>
        <w:ind w:left="1120" w:right="319" w:hanging="328"/>
        <w:spacing w:after="0" w:line="257" w:lineRule="auto"/>
        <w:tabs>
          <w:tab w:leader="none" w:pos="11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Revenues from EMEA increased by $5,767, or 5.0%, for the six months ended June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2019. This increase was driven primarily by improvements in our organic performance of $4,350 and, to a lesser extent, the impact from acquisitions of $4,113, partly offset by negative foreign currency effects due to a stronger U.S. Dollar relative to our other functional currencies of $2,696. On a constant currency basis, our revenues from EMEA increased by 7.3%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25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increase in organic performance was primarily due to expansion of our recurring revenues throughout the region. Approximately 60% of our organic performance expansion was driven by ProjectWise.</w:t>
      </w:r>
    </w:p>
    <w:p>
      <w:pPr>
        <w:spacing w:after="0" w:line="137" w:lineRule="exact"/>
        <w:rPr>
          <w:rFonts w:ascii="Times New Roman" w:cs="Times New Roman" w:eastAsia="Times New Roman" w:hAnsi="Times New Roman"/>
          <w:sz w:val="18"/>
          <w:szCs w:val="18"/>
          <w:color w:val="auto"/>
        </w:rPr>
      </w:pPr>
    </w:p>
    <w:p>
      <w:pPr>
        <w:ind w:left="1120" w:right="319" w:hanging="328"/>
        <w:spacing w:after="0" w:line="257" w:lineRule="auto"/>
        <w:tabs>
          <w:tab w:leader="none" w:pos="11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Revenues from APAC increased by $7,671, or 12.0%, for the six months ended June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2019. This increase was driven primarily by improvements in our organic performance of $8,558 and, to a lesser extent, the impact from acquisitions of $482, partially offset by negative foreign currency effects due to a stronger U.S. Dollar relative to our other functional currencies of $1,369. On a constant currency basis, our revenues from APAC increased by 14.1% for the six months ended June 30, 2020 as compared to the prior period.</w:t>
      </w:r>
    </w:p>
    <w:p>
      <w:pPr>
        <w:spacing w:after="0" w:line="76" w:lineRule="exact"/>
        <w:rPr>
          <w:rFonts w:ascii="Times New Roman" w:cs="Times New Roman" w:eastAsia="Times New Roman" w:hAnsi="Times New Roman"/>
          <w:sz w:val="18"/>
          <w:szCs w:val="18"/>
          <w:color w:val="auto"/>
        </w:rPr>
      </w:pPr>
    </w:p>
    <w:p>
      <w:pPr>
        <w:ind w:left="112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Offshore Structural Analysis products.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700" w:type="dxa"/>
            <w:vAlign w:val="bottom"/>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30,831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Pr>
          <w:p>
            <w:pPr>
              <w:spacing w:after="0"/>
              <w:rPr>
                <w:sz w:val="18"/>
                <w:szCs w:val="18"/>
                <w:color w:val="auto"/>
              </w:rPr>
            </w:pPr>
          </w:p>
        </w:tc>
        <w:tc>
          <w:tcPr>
            <w:tcW w:w="76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rPr>
              <w:t>38,367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69,198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9"/>
              </w:rPr>
              <w:t>82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86" w:name="page87"/>
    <w:bookmarkEnd w:id="8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419" w:firstLine="324"/>
        <w:spacing w:after="0" w:line="261" w:lineRule="auto"/>
        <w:rPr>
          <w:sz w:val="20"/>
          <w:szCs w:val="20"/>
          <w:color w:val="auto"/>
        </w:rPr>
      </w:pPr>
      <w:r>
        <w:rPr>
          <w:rFonts w:ascii="Times New Roman" w:cs="Times New Roman" w:eastAsia="Times New Roman" w:hAnsi="Times New Roman"/>
          <w:sz w:val="18"/>
          <w:szCs w:val="18"/>
          <w:color w:val="auto"/>
        </w:rPr>
        <w:t>Cost of revenues increased by $4,766, or 6.9%, to $73,964 for the six months ended June 30, 2020. This increase was driven primarily by an increase in cost of subscriptions and licenses, partially offset by lower cost of services relative to the prior period. On a constant currency basis, total cost of revenues increased by 8.7% for the six months ended June 30, 2020 as compared to the prior period.</w:t>
      </w:r>
    </w:p>
    <w:p>
      <w:pPr>
        <w:spacing w:after="0" w:line="72" w:lineRule="exact"/>
        <w:rPr>
          <w:sz w:val="20"/>
          <w:szCs w:val="20"/>
          <w:color w:val="auto"/>
        </w:rPr>
      </w:pPr>
    </w:p>
    <w:p>
      <w:pPr>
        <w:ind w:left="140" w:right="359" w:firstLine="324"/>
        <w:spacing w:after="0" w:line="261" w:lineRule="auto"/>
        <w:rPr>
          <w:sz w:val="20"/>
          <w:szCs w:val="20"/>
          <w:color w:val="auto"/>
        </w:rPr>
      </w:pPr>
      <w:r>
        <w:rPr>
          <w:rFonts w:ascii="Times New Roman" w:cs="Times New Roman" w:eastAsia="Times New Roman" w:hAnsi="Times New Roman"/>
          <w:sz w:val="18"/>
          <w:szCs w:val="18"/>
          <w:color w:val="auto"/>
        </w:rPr>
        <w:t>Cost of subscriptions and licenses increased 39.9%, or 41.9% in constant currency, as compared to the six months ended June 30, 2019. On a constant currency basis, this increase was primarily due to an increase in hosting costs of approximately $5,600, an increase in salaries, incentive compensation, and other headcount-related costs of approximately $5,000, and an increase in amortization expense of approximately $1,100 for software and technology.</w:t>
      </w:r>
    </w:p>
    <w:p>
      <w:pPr>
        <w:spacing w:after="0" w:line="72"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Cost of services decreased by 19.6%, or 17.9% in constant currency, as compared to the six months ended June 30, 2019. On a constant currency basis, the decrease was primarily due to a decrease in salaries, incentive compensation, and other headcount-related costs of approximately $2,600 as well as a decrease in the recognition of previously capitalized costs related to certain professional services projects of approximately $3,700.</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12.9 %</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3.8 %</w:t>
            </w:r>
          </w:p>
        </w:tc>
        <w:tc>
          <w:tcPr>
            <w:tcW w:w="10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2.7%, or 1.3% in constant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2019. On a constant currency basis, the decrease was primarily due to COVID-19 related modification to employee travel and variable compensation plans resulting in a net decrease in salaries, incentive compensation, and other headcount-related costs of approximately $700, as well as a decrease in facility-related costs of approximately $600.</w:t>
      </w:r>
    </w:p>
    <w:p>
      <w:pPr>
        <w:spacing w:after="0" w:line="75" w:lineRule="exact"/>
        <w:rPr>
          <w:sz w:val="20"/>
          <w:szCs w:val="20"/>
          <w:color w:val="auto"/>
        </w:rPr>
      </w:pPr>
    </w:p>
    <w:p>
      <w:pPr>
        <w:ind w:left="140" w:right="3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12.6%, or 10.6% in constant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2019. The decrease is primarily caused by COVID-19 related modification to employee travel and variable compensation plans resulting in a net decrease in salaries, incentive compensation, and other headcount-related costs of approximately $6,000, as well as a reduction in promotional costs of $1,100, substantially from rationalizing our marketing spend and shifting to virtual events given the evolving business environment as a result of COVID-19.</w:t>
      </w:r>
    </w:p>
    <w:p>
      <w:pPr>
        <w:spacing w:after="0" w:line="74"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12.9%, or 13.7% in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six months ended June 30, 2019. On a constant currency basis, the increase was primarily caused by an increase in salaries, incentive compensation, and other headcount-related costs of approximately $4,300, as well as approximately $1,600 related to acquisition and integration costs and other corporate initiatives.</w:t>
      </w:r>
    </w:p>
    <w:p>
      <w:pPr>
        <w:spacing w:after="0" w:line="72" w:lineRule="exact"/>
        <w:rPr>
          <w:sz w:val="20"/>
          <w:szCs w:val="20"/>
          <w:color w:val="auto"/>
        </w:rPr>
      </w:pPr>
    </w:p>
    <w:p>
      <w:pPr>
        <w:jc w:val="both"/>
        <w:ind w:left="140" w:right="7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3.8%, or 5.3%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six months ended June 30, 2019. The increase was primarily attributable to acquisitions that closed in the last six months of 2019 and the first six months of 2020.</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26"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8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87" w:name="page88"/>
    <w:bookmarkEnd w:id="8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Our net interest expense for the six months ended June 30, 2020 decreased from the prior year period primarily due to a lower outstanding balance on the Credit Facility combined with a lower average interest rate.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9"/>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Other income (expense), net for the six months ended June 30, 2019 and 2020 primarily consists of foreign currency translation losses of $1,588 and $4,263, respectively. The foreign currency translation losses derive primarily from U.S. Dollar denominated intercompany balances, cash and cash equivalents, and accounts receivable held by foreign subsidiaries with non-U.S. Dollar functional currencies.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For the six months ended June 30, 2019 and 2020, intercompany loan balances resulted in unrealized foreign currency translation losses of $1,680 and $1,765, respectively.</w:t>
      </w:r>
    </w:p>
    <w:p>
      <w:pPr>
        <w:spacing w:after="0" w:line="84" w:lineRule="exact"/>
        <w:rPr>
          <w:sz w:val="20"/>
          <w:szCs w:val="20"/>
          <w:color w:val="auto"/>
        </w:rPr>
      </w:pPr>
    </w:p>
    <w:p>
      <w:pPr>
        <w:jc w:val="both"/>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also includes a loss from the change in fair value of the Company’s interest rate swap of $4,174, partly offset by a gain from the change in fair value of an acquisition contingent consideration of $1,390 for the six months ended June 30, 2020.</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we recognized an aggregate consolidated income tax expense of $5,119 and $11,440, respectively, for U.S. domestic and foreign income taxes. During the six months ended June 30, 2019 and 2020, we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19" w:lineRule="exact"/>
        <w:rPr>
          <w:sz w:val="20"/>
          <w:szCs w:val="20"/>
          <w:color w:val="auto"/>
        </w:rPr>
      </w:pPr>
    </w:p>
    <w:p>
      <w:pPr>
        <w:ind w:left="140" w:right="679" w:firstLine="324"/>
        <w:spacing w:after="0" w:line="266"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DCW. DCW’s focus is to transform the construction industry from its legacy document-centric paradigm by simplifying and enabling digital automated workflows and processes, technology integration, and digital twinning services for infrastructure.</w:t>
      </w:r>
    </w:p>
    <w:p>
      <w:pPr>
        <w:spacing w:after="0" w:line="68"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 six months ended June 30, 2020, the equity in loss, net of tax, related to the investment was $866.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8" w:name="page89"/>
    <w:bookmarkEnd w:id="8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7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46,418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r>
    </w:tbl>
    <w:p>
      <w:pPr>
        <w:spacing w:after="0" w:line="90" w:lineRule="exact"/>
        <w:rPr>
          <w:sz w:val="20"/>
          <w:szCs w:val="20"/>
          <w:color w:val="auto"/>
        </w:rPr>
      </w:pPr>
    </w:p>
    <w:p>
      <w:pPr>
        <w:ind w:left="140" w:right="519"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2020, net income increased by $22,327, or 48%, compared to the six months ended June 30, 2019. The change is due to the factors stated above.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1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115,506</w:t>
            </w: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Net Income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89,203</w:t>
            </w:r>
          </w:p>
        </w:tc>
      </w:tr>
    </w:tbl>
    <w:p>
      <w:pPr>
        <w:spacing w:after="0" w:line="179"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EBITDA increased by $36,122 compared to the six months ended June 30, 2019. These increases were primarily due to an increase in income from operations, net of adjustments discussed in the section titled “Selected Consolidated Financial Data.”</w:t>
      </w:r>
    </w:p>
    <w:p>
      <w:pPr>
        <w:spacing w:after="0" w:line="68"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Adjusted EBITDA as a percentage of revenue was 23% and 30% for the six months ended June 30, 2019 and 2020, respectively.</w:t>
      </w:r>
    </w:p>
    <w:p>
      <w:pPr>
        <w:spacing w:after="0" w:line="54" w:lineRule="exact"/>
        <w:rPr>
          <w:sz w:val="20"/>
          <w:szCs w:val="20"/>
          <w:color w:val="auto"/>
        </w:rPr>
      </w:pPr>
    </w:p>
    <w:p>
      <w:pPr>
        <w:jc w:val="both"/>
        <w:ind w:left="140" w:right="41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2020, Adjusted Net Income increased by $29,225 compared to the six months ended June 30, 2019. These increases were primarily due to an increase in income from operations net of adjustments discussed in the section titled “Selected Consolidated Financial Data.”</w:t>
      </w:r>
    </w:p>
    <w:p>
      <w:pPr>
        <w:spacing w:after="0" w:line="68" w:lineRule="exact"/>
        <w:rPr>
          <w:sz w:val="20"/>
          <w:szCs w:val="20"/>
          <w:color w:val="auto"/>
        </w:rPr>
      </w:pPr>
    </w:p>
    <w:p>
      <w:pPr>
        <w:ind w:left="140" w:right="499" w:firstLine="324"/>
        <w:spacing w:after="0" w:line="282" w:lineRule="auto"/>
        <w:rPr>
          <w:sz w:val="20"/>
          <w:szCs w:val="20"/>
          <w:color w:val="auto"/>
        </w:rPr>
      </w:pPr>
      <w:r>
        <w:rPr>
          <w:rFonts w:ascii="Times New Roman" w:cs="Times New Roman" w:eastAsia="Times New Roman" w:hAnsi="Times New Roman"/>
          <w:sz w:val="18"/>
          <w:szCs w:val="18"/>
          <w:color w:val="auto"/>
        </w:rPr>
        <w:t>Adjusted Net Income as a percentage of revenue was 17% and 24% for the six months ended June 30, 2019 and 2020, respectively.</w:t>
      </w:r>
    </w:p>
    <w:p>
      <w:pPr>
        <w:spacing w:after="0" w:line="54"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Data—Non-GAAP Financial Measures.”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21" w:lineRule="exact"/>
        <w:rPr>
          <w:sz w:val="20"/>
          <w:szCs w:val="20"/>
          <w:color w:val="auto"/>
        </w:rPr>
      </w:pPr>
    </w:p>
    <w:p>
      <w:pPr>
        <w:ind w:left="140" w:right="419" w:firstLine="324"/>
        <w:spacing w:after="0" w:line="258"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8"/>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2320" w:type="dxa"/>
            <w:vAlign w:val="bottom"/>
          </w:tcPr>
          <w:p>
            <w:pPr>
              <w:spacing w:after="0"/>
              <w:rPr>
                <w:sz w:val="16"/>
                <w:szCs w:val="16"/>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Constant</w:t>
            </w:r>
          </w:p>
        </w:tc>
      </w:tr>
      <w:tr>
        <w:trPr>
          <w:trHeight w:val="158"/>
        </w:trPr>
        <w:tc>
          <w:tcPr>
            <w:tcW w:w="232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3"/>
                <w:szCs w:val="13"/>
                <w:color w:val="auto"/>
              </w:rPr>
            </w:pPr>
          </w:p>
        </w:tc>
        <w:tc>
          <w:tcPr>
            <w:tcW w:w="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of Topic</w:t>
            </w:r>
          </w:p>
        </w:tc>
        <w:tc>
          <w:tcPr>
            <w:tcW w:w="100" w:type="dxa"/>
            <w:vAlign w:val="bottom"/>
          </w:tcPr>
          <w:p>
            <w:pPr>
              <w:spacing w:after="0"/>
              <w:rPr>
                <w:sz w:val="13"/>
                <w:szCs w:val="13"/>
                <w:color w:val="auto"/>
              </w:rPr>
            </w:pPr>
          </w:p>
        </w:tc>
        <w:tc>
          <w:tcPr>
            <w:tcW w:w="8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r>
      <w:tr>
        <w:trPr>
          <w:trHeight w:val="187"/>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10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606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r>
      <w:tr>
        <w:trPr>
          <w:trHeight w:val="196"/>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557,421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608,300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$ 50,879</w:t>
            </w:r>
          </w:p>
        </w:tc>
        <w:tc>
          <w:tcPr>
            <w:tcW w:w="1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(5,625)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56,504</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12.9 %</w:t>
            </w:r>
          </w:p>
        </w:tc>
      </w:tr>
      <w:tr>
        <w:trPr>
          <w:trHeight w:val="203"/>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Perpetual licenses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(1,372)</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(8,546)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r>
      <w:tr>
        <w:trPr>
          <w:trHeight w:val="196"/>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618,486</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667,993</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49,507</w:t>
            </w:r>
          </w:p>
        </w:tc>
        <w:tc>
          <w:tcPr>
            <w:tcW w:w="1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47,958</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10.5 %</w:t>
            </w:r>
          </w:p>
        </w:tc>
      </w:tr>
      <w:tr>
        <w:trPr>
          <w:trHeight w:val="203"/>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(4,563)</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(4,819)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r>
      <w:tr>
        <w:trPr>
          <w:trHeight w:val="196"/>
        </w:trPr>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691,710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736,654</w:t>
            </w:r>
          </w:p>
        </w:tc>
        <w:tc>
          <w:tcPr>
            <w:tcW w:w="1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$ 44,944</w:t>
            </w:r>
          </w:p>
        </w:tc>
        <w:tc>
          <w:tcPr>
            <w:tcW w:w="1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43,139</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219" w:firstLine="324"/>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2019, revenues as reported under Topic 606 increased by $44,944, or 6.5%, to $736,654 as compared to $691,710 under Topic 605 for the year ended December 31, 2018, with subscriptions revenues increasing by 9.1%, perpetual licenses revenues decreasing by 2.2%, and services revenues decreasing by 6.2%.</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The change in revenues was significantly impacted by the adoption of Topic 606, which impacted the timing, allocation, and presentation of subscriptions, perpetual licenses, and services revenues. The most significant impact from the adoption of Topic 606 relates to timing of revenue recognition for perpetual licenses and the accounting for certain of our subscription arrangements that include term-based software licenses bundled with support. Under Topic 606, both perpetual license and prepaid term-based software license revenues are recognized upfront upon delivery of the software license. Under Topic 605, revenue for perpetual licenses was recognized over a three-year period, while revenue attributable to the term-based software licenses was recognized ratably over the term. Revenue recognition related to support, hosting, usage-based offerings, and services is substantially unchanged, with support and hosting revenue recorded ratably over the contract term, usage-based revenue recognized upon usage or delivery, and services revenue recognized as delivered. The adoption of Topic 606 resulted in a net reduction in subscriptions revenues of $5,625, and a net increase in perpetual licenses revenues of $7,174 for the year ended December 31, 2019. The Company’s services revenues have not been significantly impacted by the adoption of Topic 606. On an annual basis, we expect our subscriptions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consumption-based offerings with consumption measurement durations of less than one year, such as our E365 program, as well as the term start date of new annual term license subscriptions, introduces some volatility between periods and impacts period-over-period comparability. For additional information, see the section titled “Key Factors Impacting Comparability and Performance.” For additional information on the impact of adoption of Topic 606 on our results, see Note 2 to the audited consolidated financial statements included elsewhere in the prospectus.</w:t>
      </w:r>
    </w:p>
    <w:p>
      <w:pPr>
        <w:spacing w:after="0" w:line="81"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Net of the impact from adopting Topic 606 of $1,805, total revenues increased by $43,139, or 6.2%, for the year ended December 31, 2019. This increase was driven primarily by improvements in our organic performance of $53,827, and to a lesser extent, the impact from acquisitions of $7,597, partially offset by negative foreign currency effects due to a stronger U.S. Dollar relative to our other functional currencies of $18,285. On a constant currency basis and net of the impact from adopting Topic 606, our revenues increased by 8.9% for the year ended December 31, 2019 as compared to the prior period.</w:t>
      </w:r>
    </w:p>
    <w:p>
      <w:pPr>
        <w:spacing w:after="0" w:line="77" w:lineRule="exact"/>
        <w:rPr>
          <w:sz w:val="20"/>
          <w:szCs w:val="20"/>
          <w:color w:val="auto"/>
        </w:rPr>
      </w:pPr>
    </w:p>
    <w:p>
      <w:pPr>
        <w:ind w:left="1120" w:right="159" w:hanging="328"/>
        <w:spacing w:after="0" w:line="256" w:lineRule="auto"/>
        <w:tabs>
          <w:tab w:leader="none" w:pos="11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Net of the decrease from adopting Topic 606 of $5,625, subscriptions revenues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$56,504, or 10.1%, for the year ended December 31, 2019 as compared to the year ended December 31, 2018. This increase was driven primarily by improvements in our organic performance of $61,325, and to a lesser extent, the impact from acquisitions of $10,448, partially offset by negative foreign currency effects due to a stronger U.S. Dollar relative to our other functional currencies of $15,269. On a constant currency basis and net of the impact from adopting Topic 606, our subscriptions revenues increased by 12.9% for the year ended December 31, 2019 as compared to the prior period.</w:t>
      </w:r>
    </w:p>
    <w:p>
      <w:pPr>
        <w:spacing w:after="0" w:line="76" w:lineRule="exact"/>
        <w:rPr>
          <w:rFonts w:ascii="Times New Roman" w:cs="Times New Roman" w:eastAsia="Times New Roman" w:hAnsi="Times New Roman"/>
          <w:sz w:val="18"/>
          <w:szCs w:val="18"/>
          <w:color w:val="auto"/>
        </w:rPr>
      </w:pPr>
    </w:p>
    <w:p>
      <w:pPr>
        <w:ind w:left="1120" w:right="3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dollar-based net retention rate of 108%. Approximately 2% of the increase was attributed to new accounts. Approximately 50% of our organic performance expansion was driven by ProjectWise and civil design products.</w:t>
      </w:r>
    </w:p>
    <w:p>
      <w:pPr>
        <w:spacing w:after="0" w:line="177" w:lineRule="exact"/>
        <w:rPr>
          <w:rFonts w:ascii="Times New Roman" w:cs="Times New Roman" w:eastAsia="Times New Roman" w:hAnsi="Times New Roman"/>
          <w:sz w:val="18"/>
          <w:szCs w:val="18"/>
          <w:color w:val="auto"/>
        </w:rPr>
      </w:pPr>
    </w:p>
    <w:p>
      <w:pPr>
        <w:ind w:left="1120" w:right="199" w:hanging="328"/>
        <w:spacing w:after="0" w:line="256" w:lineRule="auto"/>
        <w:tabs>
          <w:tab w:leader="none" w:pos="11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Net of the increase from adopting Topic 606 of $7,174, perpetual licenses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$8,546, or 14.0%, for the year ended December 31, 2019 as compared to the year ended December 31, 2018. This decrease was driven by a reduction in our organic performance of $2,735, the net negative impact from acquisitions and acquisition integration of $4,069, as well as by negative foreign currency effects due to a stronger U.S. Dollar relative to our other functional currencies of $1,742. On a constant currency basis and net of the impact from adopting Topic 606, our perpetual licenses revenues decreased by 11.1% for the year ended December 31, 2019 as compared to the prior period.</w:t>
      </w:r>
    </w:p>
    <w:p>
      <w:pPr>
        <w:spacing w:after="0" w:line="76" w:lineRule="exact"/>
        <w:rPr>
          <w:rFonts w:ascii="Times New Roman" w:cs="Times New Roman" w:eastAsia="Times New Roman" w:hAnsi="Times New Roman"/>
          <w:sz w:val="18"/>
          <w:szCs w:val="18"/>
          <w:color w:val="auto"/>
        </w:rPr>
      </w:pPr>
    </w:p>
    <w:p>
      <w:pPr>
        <w:ind w:left="1120" w:right="1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of $4,498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0" w:name="page91"/>
    <w:bookmarkEnd w:id="9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339"/>
        <w:spacing w:after="0" w:line="282" w:lineRule="auto"/>
        <w:rPr>
          <w:sz w:val="20"/>
          <w:szCs w:val="20"/>
          <w:color w:val="auto"/>
        </w:rPr>
      </w:pPr>
      <w:r>
        <w:rPr>
          <w:rFonts w:ascii="Times New Roman" w:cs="Times New Roman" w:eastAsia="Times New Roman" w:hAnsi="Times New Roman"/>
          <w:sz w:val="18"/>
          <w:szCs w:val="18"/>
          <w:color w:val="auto"/>
        </w:rPr>
        <w:t>which $823 was ratably recognized in 2019 and the balance of $5,494 was deferred under Topic 605. For comparison purposes, under Topic 606, revenue of $6,317 was recognized upon delivery in 2019.</w:t>
      </w:r>
    </w:p>
    <w:p>
      <w:pPr>
        <w:spacing w:after="0" w:line="160" w:lineRule="exact"/>
        <w:rPr>
          <w:sz w:val="20"/>
          <w:szCs w:val="20"/>
          <w:color w:val="auto"/>
        </w:rPr>
      </w:pPr>
    </w:p>
    <w:p>
      <w:pPr>
        <w:ind w:left="1120" w:right="259" w:hanging="328"/>
        <w:spacing w:after="0" w:line="256" w:lineRule="auto"/>
        <w:tabs>
          <w:tab w:leader="none" w:pos="11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Net of the increase from adopting Topic 606 of $256, services revenues decreased by $4,819,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6.6%, for the year ended December 31, 2019 as compared to the year ended December 31, 2018. This decrease was driven primarily by a reduction in our organic performance of $4,763, as well as by negative foreign currency effects due to a stronger U.S. Dollar relative to our other functional currencies of $1,274, partially offset by the impact from acquisitions of $1,218. On a constant currency basis and net of the impact from adopting Topic 606, our services revenues decreased by 4.8% for the year ended December 31, 2019 as compared to the prior period.</w:t>
      </w:r>
    </w:p>
    <w:p>
      <w:pPr>
        <w:spacing w:after="0" w:line="76" w:lineRule="exact"/>
        <w:rPr>
          <w:rFonts w:ascii="Times New Roman" w:cs="Times New Roman" w:eastAsia="Times New Roman" w:hAnsi="Times New Roman"/>
          <w:sz w:val="18"/>
          <w:szCs w:val="18"/>
          <w:color w:val="auto"/>
        </w:rPr>
      </w:pPr>
    </w:p>
    <w:p>
      <w:pPr>
        <w:ind w:left="1120" w:right="6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organic performance was primarily due to the completion of several larger services projects during 2018 and the partial redeployment of our services colleagues to support Success Plan services of our E365 subscription offering.</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19"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8"/>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Constant</w:t>
            </w:r>
          </w:p>
        </w:tc>
      </w:tr>
      <w:tr>
        <w:trPr>
          <w:trHeight w:val="158"/>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of Topic</w:t>
            </w:r>
          </w:p>
        </w:tc>
        <w:tc>
          <w:tcPr>
            <w:tcW w:w="100" w:type="dxa"/>
            <w:vAlign w:val="bottom"/>
          </w:tcPr>
          <w:p>
            <w:pPr>
              <w:spacing w:after="0"/>
              <w:rPr>
                <w:sz w:val="13"/>
                <w:szCs w:val="13"/>
                <w:color w:val="auto"/>
              </w:rPr>
            </w:pPr>
          </w:p>
        </w:tc>
        <w:tc>
          <w:tcPr>
            <w:tcW w:w="820" w:type="dxa"/>
            <w:vAlign w:val="bottom"/>
            <w:gridSpan w:val="3"/>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r>
      <w:tr>
        <w:trPr>
          <w:trHeight w:val="187"/>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8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606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Difference</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r>
      <w:tr>
        <w:trPr>
          <w:trHeight w:val="196"/>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 by Geographic Area</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Americas</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328,749</w:t>
            </w: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356,331</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$ 27,582</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32,185</w:t>
            </w:r>
          </w:p>
        </w:tc>
        <w:tc>
          <w:tcPr>
            <w:tcW w:w="16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10.8 %</w:t>
            </w:r>
          </w:p>
        </w:tc>
      </w:tr>
      <w:tr>
        <w:trPr>
          <w:trHeight w:val="203"/>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EMEA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236,602</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r>
      <w:tr>
        <w:trPr>
          <w:trHeight w:val="202"/>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APAC</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143,721</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9.1 %</w:t>
            </w:r>
          </w:p>
        </w:tc>
      </w:tr>
      <w:tr>
        <w:trPr>
          <w:trHeight w:val="196"/>
        </w:trPr>
        <w:tc>
          <w:tcPr>
            <w:tcW w:w="2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revenues by geographic area</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691,710</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736,654</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$ 44,944</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43,139</w:t>
            </w:r>
          </w:p>
        </w:tc>
        <w:tc>
          <w:tcPr>
            <w:tcW w:w="16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4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revenues reported under Topic 606 for our Americas, EMEA and APAC geographic areas, as compared to the revenues reported under Topic 605 for the year ended December 31, 2018, increased by $27,582, or 8.4%, $5,116, or 2.2%, and $12,246, or 9.3%, respectively.</w:t>
      </w:r>
    </w:p>
    <w:p>
      <w:pPr>
        <w:spacing w:after="0" w:line="66" w:lineRule="exact"/>
        <w:rPr>
          <w:sz w:val="20"/>
          <w:szCs w:val="20"/>
          <w:color w:val="auto"/>
        </w:rPr>
      </w:pPr>
    </w:p>
    <w:p>
      <w:pPr>
        <w:ind w:left="1120" w:right="159" w:hanging="328"/>
        <w:spacing w:after="0" w:line="256" w:lineRule="auto"/>
        <w:tabs>
          <w:tab w:leader="none" w:pos="11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Net of the decrease from adopting Topic 606 of $4,603, revenues from the Americas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$32,185, or 9.8%, for the year ended December 31, 2019 as compared to the year ended December 31, 2018. This increase was driven primarily by improvements in our organic performance of $30,993 and, to a lesser extent, the impact from acquisitions of $4,527, partially offset by negative foreign currency effects due to a stronger U.S. Dollar relative to our other functional currencies of $3,335. On a constant currency basis and net of the impact from adopting Topic 606, our revenues from the Americas increased by 10.8% for the year ended December 31, 2019 as compared to the prior period.</w:t>
      </w:r>
    </w:p>
    <w:p>
      <w:pPr>
        <w:spacing w:after="0" w:line="76" w:lineRule="exact"/>
        <w:rPr>
          <w:rFonts w:ascii="Times New Roman" w:cs="Times New Roman" w:eastAsia="Times New Roman" w:hAnsi="Times New Roman"/>
          <w:sz w:val="18"/>
          <w:szCs w:val="18"/>
          <w:color w:val="auto"/>
        </w:rPr>
      </w:pPr>
    </w:p>
    <w:p>
      <w:pPr>
        <w:ind w:left="112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the United States and Canada. Approximately 50% of our organic performance expansion was driven by ProjectWise and civil design products.</w:t>
      </w:r>
    </w:p>
    <w:p>
      <w:pPr>
        <w:spacing w:after="0" w:line="173" w:lineRule="exact"/>
        <w:rPr>
          <w:rFonts w:ascii="Times New Roman" w:cs="Times New Roman" w:eastAsia="Times New Roman" w:hAnsi="Times New Roman"/>
          <w:sz w:val="18"/>
          <w:szCs w:val="18"/>
          <w:color w:val="auto"/>
        </w:rPr>
      </w:pPr>
    </w:p>
    <w:p>
      <w:pPr>
        <w:ind w:left="1120" w:right="179" w:hanging="328"/>
        <w:spacing w:after="0" w:line="255" w:lineRule="auto"/>
        <w:tabs>
          <w:tab w:leader="none" w:pos="112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Net of the increase from adopting Topic 606 of $1,348, revenues from EMEA increased by $3,768,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1.6%, for the year ended December 31, 2019 as compared to the year ended December 31, 2018. This increase was driven primarily by improvements in our organic performance of $11,665 and, to a lesser extent, the impact from acquisitions of $6,818, partly offset by the negative impact from acquisition integration of $4,498 and by negative foreign currency effects due to a stronger U.S. Dollar relative to our other functional currencies of $10,217. On a constant currency basis and net of the impact from adopting Topic 606, our revenues from EMEA increased by 6.0% for the year ended December 31, 2019 as compared to the prior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1" w:name="page92"/>
    <w:bookmarkEnd w:id="9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259"/>
        <w:spacing w:after="0" w:line="266" w:lineRule="auto"/>
        <w:rPr>
          <w:sz w:val="20"/>
          <w:szCs w:val="20"/>
          <w:color w:val="auto"/>
        </w:rPr>
      </w:pPr>
      <w:r>
        <w:rPr>
          <w:rFonts w:ascii="Times New Roman" w:cs="Times New Roman" w:eastAsia="Times New Roman" w:hAnsi="Times New Roman"/>
          <w:sz w:val="18"/>
          <w:szCs w:val="18"/>
          <w:color w:val="auto"/>
        </w:rPr>
        <w:t>The increase in organic performance was primarily due to expansion of our recurring revenues throughout the region. Approximately 50% of our organic performance expansion was driven by ProjectWise and Offshore Structural Analysis products.</w:t>
      </w:r>
    </w:p>
    <w:p>
      <w:pPr>
        <w:spacing w:after="0" w:line="68" w:lineRule="exact"/>
        <w:rPr>
          <w:sz w:val="20"/>
          <w:szCs w:val="20"/>
          <w:color w:val="auto"/>
        </w:rPr>
      </w:pPr>
    </w:p>
    <w:p>
      <w:pPr>
        <w:ind w:left="1120" w:right="179"/>
        <w:spacing w:after="0" w:line="254" w:lineRule="auto"/>
        <w:rPr>
          <w:sz w:val="20"/>
          <w:szCs w:val="20"/>
          <w:color w:val="auto"/>
        </w:rPr>
      </w:pPr>
      <w:r>
        <w:rPr>
          <w:rFonts w:ascii="Times New Roman" w:cs="Times New Roman" w:eastAsia="Times New Roman" w:hAnsi="Times New Roman"/>
          <w:sz w:val="18"/>
          <w:szCs w:val="18"/>
          <w:color w:val="auto"/>
        </w:rPr>
        <w:t>The negative impact from acquisition integration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190" w:lineRule="exact"/>
        <w:rPr>
          <w:sz w:val="20"/>
          <w:szCs w:val="20"/>
          <w:color w:val="auto"/>
        </w:rPr>
      </w:pPr>
    </w:p>
    <w:p>
      <w:pPr>
        <w:ind w:left="1120" w:right="219" w:hanging="328"/>
        <w:spacing w:after="0" w:line="256" w:lineRule="auto"/>
        <w:tabs>
          <w:tab w:leader="none" w:pos="11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APAC</w:t>
      </w:r>
      <w:r>
        <w:rPr>
          <w:rFonts w:ascii="Times New Roman" w:cs="Times New Roman" w:eastAsia="Times New Roman" w:hAnsi="Times New Roman"/>
          <w:sz w:val="18"/>
          <w:szCs w:val="18"/>
          <w:color w:val="auto"/>
        </w:rPr>
        <w:t>. Net of the increase from adopting Topic 606 of $5,060, revenues from APAC increased by $7,186,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5.5%, for the year ended December 31, 2019 as compared to the year ended December 31, 2018. This increase was driven primarily by improvements in our organic performance of $11,169 and, to a lesser extent, the impact from acquisitions of $750, partially offset by negative foreign currency effects due to a stronger U.S. Dollar relative to our other functional currencies of $4,733. On a constant currency basis and net of the impact from adopting Topic 606, our revenues from APAC increased by 9.1% for the year ended December 31, 2019 as compared to the prior period.</w:t>
      </w:r>
    </w:p>
    <w:p>
      <w:pPr>
        <w:spacing w:after="0" w:line="76" w:lineRule="exact"/>
        <w:rPr>
          <w:rFonts w:ascii="Times New Roman" w:cs="Times New Roman" w:eastAsia="Times New Roman" w:hAnsi="Times New Roman"/>
          <w:sz w:val="18"/>
          <w:szCs w:val="18"/>
          <w:color w:val="auto"/>
        </w:rPr>
      </w:pPr>
    </w:p>
    <w:p>
      <w:pPr>
        <w:ind w:left="1120" w:right="3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revenues from our existing accounts in Australia and China. Approximately 50% of our organic performance expansion was driven by ProjectWise and civil design products.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8"/>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jc w:val="center"/>
              <w:ind w:right="160"/>
              <w:spacing w:after="0" w:line="158" w:lineRule="exact"/>
              <w:rPr>
                <w:sz w:val="20"/>
                <w:szCs w:val="20"/>
                <w:color w:val="auto"/>
              </w:rPr>
            </w:pPr>
            <w:r>
              <w:rPr>
                <w:rFonts w:ascii="Times New Roman" w:cs="Times New Roman" w:eastAsia="Times New Roman" w:hAnsi="Times New Roman"/>
                <w:sz w:val="14"/>
                <w:szCs w:val="14"/>
                <w:b w:val="1"/>
                <w:bCs w:val="1"/>
                <w:color w:val="auto"/>
              </w:rPr>
              <w:t>Impact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7"/>
        </w:trPr>
        <w:tc>
          <w:tcPr>
            <w:tcW w:w="2640" w:type="dxa"/>
            <w:vAlign w:val="bottom"/>
          </w:tcPr>
          <w:p>
            <w:pPr>
              <w:spacing w:after="0"/>
              <w:rPr>
                <w:sz w:val="16"/>
                <w:szCs w:val="16"/>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6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Constant</w:t>
            </w:r>
          </w:p>
        </w:tc>
      </w:tr>
      <w:tr>
        <w:trPr>
          <w:trHeight w:val="158"/>
        </w:trPr>
        <w:tc>
          <w:tcPr>
            <w:tcW w:w="26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3"/>
                <w:szCs w:val="13"/>
                <w:color w:val="auto"/>
              </w:rPr>
            </w:pPr>
          </w:p>
        </w:tc>
        <w:tc>
          <w:tcPr>
            <w:tcW w:w="7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As reported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of Topic</w:t>
            </w:r>
          </w:p>
        </w:tc>
        <w:tc>
          <w:tcPr>
            <w:tcW w:w="82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ind w:right="59"/>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r>
      <w:tr>
        <w:trPr>
          <w:trHeight w:val="187"/>
        </w:trPr>
        <w:tc>
          <w:tcPr>
            <w:tcW w:w="264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606</w:t>
            </w:r>
          </w:p>
        </w:tc>
        <w:tc>
          <w:tcPr>
            <w:tcW w:w="1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r>
      <w:tr>
        <w:trPr>
          <w:trHeight w:val="196"/>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subscriptions and licenses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71,578</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$ 16,465</w:t>
            </w: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72,572</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(3,639)</w:t>
            </w:r>
          </w:p>
        </w:tc>
        <w:tc>
          <w:tcPr>
            <w:tcW w:w="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(3,639)</w:t>
            </w:r>
          </w:p>
        </w:tc>
        <w:tc>
          <w:tcPr>
            <w:tcW w:w="6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6"/>
        </w:trPr>
        <w:tc>
          <w:tcPr>
            <w:tcW w:w="2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$ 12,826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9.7 %</w:t>
            </w:r>
          </w:p>
        </w:tc>
        <w:tc>
          <w:tcPr>
            <w:tcW w:w="7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cost of revenues reported under Topic 606 increased by $12,826, or 9.8%, to $144,150 as compared to cost of revenues reported under Topic 605 for the year ended December 31, 2018. This increase was driven primarily by an increase in cost of subscriptions and licenses, partially offset by lower cost of services relative to the prior period. Cost of revenues has not been significantly impacted by the adoption of Topic 606.</w:t>
      </w:r>
    </w:p>
    <w:p>
      <w:pPr>
        <w:spacing w:after="0" w:line="72"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Net of the increase from adopting Topic 606 of $139, cost of subscriptions and licenses increased 29.6%, or 32.8% in constant currency, as compared to the year ended December 31, 2018. On a constant currency basis, this increase was primarily due to an increase in hosting costs of approximately $6,600, an increase in salaries, incentive compensation, and other headcount-related costs of approximately $6,000, an increase in amortization expense of approximately $1,500 related to certain projects under our Accelerated Commercial Development Program, an increase in reseller costs of approximately $1,900 and an increase in amortization expense of approximately $1,000 for software and technology.</w:t>
      </w:r>
    </w:p>
    <w:p>
      <w:pPr>
        <w:spacing w:after="0" w:line="79" w:lineRule="exact"/>
        <w:rPr>
          <w:sz w:val="20"/>
          <w:szCs w:val="20"/>
          <w:color w:val="auto"/>
        </w:rPr>
      </w:pPr>
    </w:p>
    <w:p>
      <w:pPr>
        <w:ind w:left="140" w:right="459" w:firstLine="324"/>
        <w:spacing w:after="0" w:line="261" w:lineRule="auto"/>
        <w:rPr>
          <w:sz w:val="20"/>
          <w:szCs w:val="20"/>
          <w:color w:val="auto"/>
        </w:rPr>
      </w:pPr>
      <w:r>
        <w:rPr>
          <w:rFonts w:ascii="Times New Roman" w:cs="Times New Roman" w:eastAsia="Times New Roman" w:hAnsi="Times New Roman"/>
          <w:sz w:val="18"/>
          <w:szCs w:val="18"/>
          <w:color w:val="auto"/>
        </w:rPr>
        <w:t>Cost of services decreased by 4.8%, or 2.2% in constant currency, as compared to the year ended December 31, 2018. On a constant currency basis, the decrease was primarily due to a decrease in salaries, incentive compensation, and other headcount-related costs of approximately $1,100 as well as a decrease in the recognition of previously capitalized costs related to certain professional services projects of approximately $500.</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2" w:name="page93"/>
    <w:bookmarkEnd w:id="9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53"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Comparison</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8"/>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Impact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7"/>
        </w:trPr>
        <w:tc>
          <w:tcPr>
            <w:tcW w:w="2760" w:type="dxa"/>
            <w:vAlign w:val="bottom"/>
          </w:tcPr>
          <w:p>
            <w:pPr>
              <w:spacing w:after="0"/>
              <w:rPr>
                <w:sz w:val="16"/>
                <w:szCs w:val="16"/>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Constant</w:t>
            </w:r>
          </w:p>
        </w:tc>
      </w:tr>
      <w:tr>
        <w:trPr>
          <w:trHeight w:val="158"/>
        </w:trPr>
        <w:tc>
          <w:tcPr>
            <w:tcW w:w="276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3"/>
                <w:szCs w:val="13"/>
                <w:color w:val="auto"/>
              </w:rPr>
            </w:pPr>
          </w:p>
        </w:tc>
        <w:tc>
          <w:tcPr>
            <w:tcW w:w="74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of Topic</w:t>
            </w:r>
          </w:p>
        </w:tc>
        <w:tc>
          <w:tcPr>
            <w:tcW w:w="840" w:type="dxa"/>
            <w:vAlign w:val="bottom"/>
            <w:gridSpan w:val="3"/>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59"/>
              <w:spacing w:after="0" w:line="158" w:lineRule="exact"/>
              <w:rPr>
                <w:sz w:val="20"/>
                <w:szCs w:val="20"/>
                <w:color w:val="auto"/>
              </w:rPr>
            </w:pPr>
            <w:r>
              <w:rPr>
                <w:rFonts w:ascii="Times New Roman" w:cs="Times New Roman" w:eastAsia="Times New Roman" w:hAnsi="Times New Roman"/>
                <w:sz w:val="14"/>
                <w:szCs w:val="14"/>
                <w:b w:val="1"/>
                <w:bCs w:val="1"/>
                <w:color w:val="auto"/>
              </w:rPr>
              <w:t>Currency</w:t>
            </w:r>
          </w:p>
        </w:tc>
      </w:tr>
      <w:tr>
        <w:trPr>
          <w:trHeight w:val="187"/>
        </w:trPr>
        <w:tc>
          <w:tcPr>
            <w:tcW w:w="2760" w:type="dxa"/>
            <w:vAlign w:val="bottom"/>
          </w:tcPr>
          <w:p>
            <w:pPr>
              <w:spacing w:after="0"/>
              <w:rPr>
                <w:sz w:val="16"/>
                <w:szCs w:val="16"/>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40" w:type="dxa"/>
            <w:vAlign w:val="bottom"/>
          </w:tcPr>
          <w:p>
            <w:pPr>
              <w:spacing w:after="0"/>
              <w:rPr>
                <w:sz w:val="16"/>
                <w:szCs w:val="16"/>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606</w:t>
            </w:r>
          </w:p>
        </w:tc>
        <w:tc>
          <w:tcPr>
            <w:tcW w:w="16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6"/>
                <w:szCs w:val="16"/>
                <w:color w:val="auto"/>
              </w:rPr>
            </w:pPr>
          </w:p>
        </w:tc>
      </w:tr>
      <w:tr>
        <w:trPr>
          <w:trHeight w:val="196"/>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175,032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Borders>
              <w:top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(5,341)</w:t>
            </w:r>
          </w:p>
        </w:tc>
        <w:tc>
          <w:tcPr>
            <w:tcW w:w="6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6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7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0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60" w:type="dxa"/>
            <w:vAlign w:val="bottom"/>
            <w:tcBorders>
              <w:bottom w:val="single" w:sz="8" w:color="CCEEFF"/>
            </w:tcBorders>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740" w:type="dxa"/>
            <w:vAlign w:val="bottom"/>
            <w:tcBorders>
              <w:bottom w:val="single" w:sz="8" w:color="CCEEFF"/>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1.5 %</w:t>
            </w:r>
          </w:p>
        </w:tc>
        <w:tc>
          <w:tcPr>
            <w:tcW w:w="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196"/>
        </w:trPr>
        <w:tc>
          <w:tcPr>
            <w:tcW w:w="2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438,995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450,639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11,644</w:t>
            </w:r>
          </w:p>
        </w:tc>
        <w:tc>
          <w:tcPr>
            <w:tcW w:w="66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11,624</w:t>
            </w:r>
          </w:p>
        </w:tc>
        <w:tc>
          <w:tcPr>
            <w:tcW w:w="7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2.6 %</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140" w:right="3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4.9%, or 7.2% in constant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2018. On a constant currency basis, the increase was primarily due to an increase in salaries, incentive compensation, and other headcount-related costs of approximately $8,800, as well as an increase in facility-related costs of approximately $3,300.</w:t>
      </w:r>
    </w:p>
    <w:p>
      <w:pPr>
        <w:spacing w:after="0" w:line="72" w:lineRule="exact"/>
        <w:rPr>
          <w:sz w:val="20"/>
          <w:szCs w:val="20"/>
          <w:color w:val="auto"/>
        </w:rPr>
      </w:pPr>
    </w:p>
    <w:p>
      <w:pPr>
        <w:jc w:val="both"/>
        <w:ind w:left="140" w:right="1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3.3%, or 1.0% in constant currency,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December 31, 2018. The decrease is primarily caused by a reduction in sales incentives, which were at an elevated level for the year ended December 31, 2018.</w:t>
      </w:r>
    </w:p>
    <w:p>
      <w:pPr>
        <w:spacing w:after="0" w:line="65"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9.2%, or 10.6% in constant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2018. On a constant currency basis, the increase was primarily caused by an increase in salaries, incentive compensation, and other headcount-related costs of approximately $8,600, as well as approximately $900 related to incremental accounting costs associated with this offering.</w:t>
      </w:r>
    </w:p>
    <w:p>
      <w:pPr>
        <w:spacing w:after="0" w:line="72" w:lineRule="exact"/>
        <w:rPr>
          <w:sz w:val="20"/>
          <w:szCs w:val="20"/>
          <w:color w:val="auto"/>
        </w:rPr>
      </w:pPr>
    </w:p>
    <w:p>
      <w:pPr>
        <w:jc w:val="both"/>
        <w:ind w:left="140" w:right="7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increased by 1.5%, or 4.4%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year ended December 31, 2018. The increase was primarily attributable to acquisitions that closed in 2018.</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2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10"/>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(8,765)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r>
      <w:tr>
        <w:trPr>
          <w:trHeight w:val="334"/>
        </w:trPr>
        <w:tc>
          <w:tcPr>
            <w:tcW w:w="5420" w:type="dxa"/>
            <w:vAlign w:val="bottom"/>
          </w:tcPr>
          <w:p>
            <w:pPr>
              <w:spacing w:after="0"/>
              <w:rPr>
                <w:sz w:val="24"/>
                <w:szCs w:val="24"/>
                <w:color w:val="auto"/>
              </w:rPr>
            </w:pPr>
          </w:p>
        </w:tc>
        <w:tc>
          <w:tcPr>
            <w:tcW w:w="154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42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4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10"/>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(8,765)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319" w:firstLine="324"/>
        <w:spacing w:after="0" w:line="282" w:lineRule="auto"/>
        <w:rPr>
          <w:sz w:val="20"/>
          <w:szCs w:val="20"/>
          <w:color w:val="auto"/>
        </w:rPr>
      </w:pPr>
      <w:r>
        <w:rPr>
          <w:rFonts w:ascii="Times New Roman" w:cs="Times New Roman" w:eastAsia="Times New Roman" w:hAnsi="Times New Roman"/>
          <w:sz w:val="18"/>
          <w:szCs w:val="18"/>
          <w:color w:val="auto"/>
        </w:rPr>
        <w:t>Our net interest expense for the year ended December 31, 2019 decreased from the prior year period primarily due to an offsetting increase in interest income from our investments in money market funds.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2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Other income (expense), net for the years ended December 31, 2018 and 2019 primarily consists of foreign currency translation losses of $418 and $5,591, respectively. The foreign currency translation losses derive primarily from U.S. Dollar denominated intercompany balances, cash and cash equivalents, and accounts receivable held by foreign subsidiaries with non-U.S. Dollar functional currencies. In October 2018, we had intercompany sales of certain intangible operating assets between our foreign subsidiaries, which resulted in significant U.S. Dollar denominated intercompany liabilities at foreign subsidiaries with a non-U.S. Dollar functional currency (mainly Euro).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For the year ended December 31, 2019, such intercompany balances resulted in unrealized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translation losses of $5,270.</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years ended December 31, 2018 and 2019 were based on the effective income tax rates applicable for those periods. During the years ended December 31, 2018 and 2019, we recognized an aggregate consolidated income tax (benefit) expense of $(29,250) and $23,738, respectively, for U.S. domestic and foreign income taxes. The effective income tax rate of (25.9)% for the year ended December 31, 2018 was primarily impacted by a non-recurring tax benefit of $46,369 resulting from an intercompany sale of certain intangible operating assets. The effective income tax rate of 18.5% for the year ended December 31, 2019 was primarily a result of the timing and mix of U.S. and foreign income. The provision for income tax under Topic 605 would have been $21,762 for the year ended December 31, 2019.</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Equity in Loss of Joint Venture, Net of Tax</w:t>
      </w:r>
    </w:p>
    <w:p>
      <w:pPr>
        <w:spacing w:after="0" w:line="119"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In September 2019, we and Topcon Positioning Systems, Inc. formed Digital Construction Works, Inc. (“DCW”), a joint venture that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72"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Under the equity method, we recorded our initial investment in the joint venture at cost and subsequently adjust that investment by our proportional share of income or losses in DCW. For the year ended December 31, 2019, the equity in loss, net of tax, related to the investment was $1,275.</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42"/>
        </w:trPr>
        <w:tc>
          <w:tcPr>
            <w:tcW w:w="25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Topic 605</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Topic 606</w:t>
            </w:r>
          </w:p>
        </w:tc>
      </w:tr>
      <w:tr>
        <w:trPr>
          <w:trHeight w:val="20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$ 142,112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$ 103,426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$ 103,096</w:t>
            </w:r>
          </w:p>
        </w:tc>
      </w:tr>
    </w:tbl>
    <w:p>
      <w:pPr>
        <w:spacing w:after="0" w:line="198"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income under Topic 606 decreased by $39,016, or 27.5% ($38,686, or 27.2%, under Topic 605), compared to the year ended December 31, 2018 under Topic 605. The change is due to the factors stated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4" w:name="page95"/>
    <w:bookmarkEnd w:id="9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60" w:type="dxa"/>
            <w:vAlign w:val="bottom"/>
            <w:tcBorders>
              <w:bottom w:val="single" w:sz="8" w:color="auto"/>
            </w:tcBorders>
            <w:gridSpan w:val="5"/>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6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42"/>
        </w:trPr>
        <w:tc>
          <w:tcPr>
            <w:tcW w:w="29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Topic 606</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$ 171,768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$ 186,598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$ 188,129</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$ 132,246</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$ 135,471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$ 135,049</w:t>
            </w:r>
          </w:p>
        </w:tc>
      </w:tr>
    </w:tbl>
    <w:p>
      <w:pPr>
        <w:spacing w:after="0" w:line="179"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Adjusted EBITDA under Topic 606 increased by $16,361 (or $14,830 under Topic 605) compared to the year ended December 31, 2018 under Topic 605. These increases were primarily due to an increase in income from operations, net of adjustments discussed in the section titled “Selected Consolidated Financial Data.” The larger increase under Topic 606 is primarily driven by the upfront recognition of perpetual license revenue under Topic 606 as compared to ratable recognition over a three-year period under Topic 605, partially offset by lower subscription revenue due to ELS to E365 conversions. For additional information, see the section titled “—Key Factors Impacting Comparability and Performance.”</w:t>
      </w:r>
    </w:p>
    <w:p>
      <w:pPr>
        <w:spacing w:after="0" w:line="81"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Under Topic 605, Adjusted EBITDA as a percentage of revenue was 24.8% and 25.4% for the years ended December 31, 2018 and 2019, respectively. Under Topic 606, Adjusted EBITDA as a percentage of revenue was 25.5% for the year ended December 31, 2019.</w:t>
      </w:r>
    </w:p>
    <w:p>
      <w:pPr>
        <w:spacing w:after="0" w:line="68"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2019, Adjusted Net Income under Topic 606 increased by $2,803 (or $3,225 under Topic 605) compared to the year ended December 31, 2018 under Topic 605. These increases were primarily due to an increase in income from operations net of adjustments discussed in the section titled “Selected Consolidated Financial Data.” The increase in Adjusted Net Income under Topic 606, when compared to Topic 605, was positively impacted by the upfront recognition of perpetual license revenue as compared to ratable recognition over a three-year period under Topic 605. This increase was offset by lower subscription revenue due to ELS to E365 conversions and a slightly higher provision for income taxes under Topic 606 when compared to Topic 605.</w:t>
      </w:r>
    </w:p>
    <w:p>
      <w:pPr>
        <w:spacing w:after="0" w:line="81" w:lineRule="exact"/>
        <w:rPr>
          <w:sz w:val="20"/>
          <w:szCs w:val="20"/>
          <w:color w:val="auto"/>
        </w:rPr>
      </w:pPr>
    </w:p>
    <w:p>
      <w:pPr>
        <w:jc w:val="both"/>
        <w:ind w:left="140" w:right="599" w:firstLine="324"/>
        <w:spacing w:after="0" w:line="266" w:lineRule="auto"/>
        <w:rPr>
          <w:sz w:val="20"/>
          <w:szCs w:val="20"/>
          <w:color w:val="auto"/>
        </w:rPr>
      </w:pPr>
      <w:r>
        <w:rPr>
          <w:rFonts w:ascii="Times New Roman" w:cs="Times New Roman" w:eastAsia="Times New Roman" w:hAnsi="Times New Roman"/>
          <w:sz w:val="18"/>
          <w:szCs w:val="18"/>
          <w:color w:val="auto"/>
        </w:rPr>
        <w:t>Under Topic 605, Adjusted Net Income as a percentage of revenue was 19.1% and 18.4% for the years ended December 31, 2018 and 2019, respectively. Under Topic 606, Adjusted Net Income as a percentage of revenue was 18.3% for the year ended December 31, 2019.</w:t>
      </w:r>
    </w:p>
    <w:p>
      <w:pPr>
        <w:spacing w:after="0" w:line="68"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including the limitations of using non-GAAP financial measures, and reconciliations of the non-GAAP financial measures to the most directly comparable financial measures stated in accordance with U.S. GAAP, see the section titled “Selected Consolidated Financial Data—Non-GAAP Financial Measures.”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08" w:lineRule="exact"/>
        <w:rPr>
          <w:sz w:val="20"/>
          <w:szCs w:val="20"/>
          <w:color w:val="auto"/>
        </w:rPr>
      </w:pPr>
    </w:p>
    <w:p>
      <w:pPr>
        <w:ind w:left="140" w:right="159" w:firstLine="324"/>
        <w:spacing w:after="0" w:line="224" w:lineRule="auto"/>
        <w:rPr>
          <w:sz w:val="20"/>
          <w:szCs w:val="20"/>
          <w:color w:val="auto"/>
        </w:rPr>
      </w:pPr>
      <w:r>
        <w:rPr>
          <w:rFonts w:ascii="Times New Roman" w:cs="Times New Roman" w:eastAsia="Times New Roman" w:hAnsi="Times New Roman"/>
          <w:sz w:val="18"/>
          <w:szCs w:val="18"/>
          <w:color w:val="auto"/>
        </w:rPr>
        <w:t>The following table sets forth our quarterly unaudited consolidated statements of operations for each of the quarters in the ten-quarter period ended June 30, 2020. Our quarterly results of operations have been prepared on the same basis as our audited consolidated financial statements, and we believe they reflect all normal recurring adjustments necessary for the fair presentation of our results of operations for these periods. This information should be read in conjunction with our consolidated financial statements and related notes included elsewhere in the prospectus. These quarterly results of operations are not necessarily indicative of our results of operations for a full year or any future period. Results of operations for the four quarters in the year ended December 31, 2018 are presented under Topic 605 while the four quarters in the year ended December 31, 2019 and the two quarters in the period ended June 30, 2020 are presented under Topic 606.</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Q1 2018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Q2 2018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Q3 2018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Q4 2018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Q1 2019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Q2 2019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Q3 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Q4 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Q1 2020</w:t>
            </w: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Q2 2020</w:t>
            </w:r>
          </w:p>
        </w:tc>
      </w:tr>
      <w:tr>
        <w:trPr>
          <w:trHeight w:val="144"/>
        </w:trPr>
        <w:tc>
          <w:tcPr>
            <w:tcW w:w="17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Revenues:</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r>
      <w:tr>
        <w:trPr>
          <w:trHeight w:val="148"/>
        </w:trPr>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Subscriptions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139,013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137,881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142,720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152,309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137,838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155,191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170,182</w:t>
            </w:r>
          </w:p>
        </w:tc>
        <w:tc>
          <w:tcPr>
            <w:tcW w:w="12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157,655</w:t>
            </w:r>
          </w:p>
        </w:tc>
      </w:tr>
      <w:tr>
        <w:trPr>
          <w:trHeight w:val="148"/>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Perpetual licenses</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15,443</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9,409</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15,059</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13,787</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21,438</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12,379</w:t>
            </w:r>
          </w:p>
        </w:tc>
      </w:tr>
      <w:tr>
        <w:trPr>
          <w:trHeight w:val="142"/>
        </w:trPr>
        <w:tc>
          <w:tcPr>
            <w:tcW w:w="170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auto"/>
              </w:rPr>
              <w:t>Subscriptions and licenses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152,667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154,859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153,324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157,636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161,718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152,897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168,978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184,400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180,996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170,034</w:t>
            </w:r>
          </w:p>
        </w:tc>
      </w:tr>
      <w:tr>
        <w:trPr>
          <w:trHeight w:val="148"/>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Services</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19,114</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15,821</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16,708</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17,610</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14,256</w:t>
            </w:r>
          </w:p>
        </w:tc>
      </w:tr>
      <w:tr>
        <w:trPr>
          <w:trHeight w:val="142"/>
        </w:trPr>
        <w:tc>
          <w:tcPr>
            <w:tcW w:w="17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revenues</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169,417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174,059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171,484</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176,750</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177,539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169,605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186,588</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202,922</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194,690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184,290</w:t>
            </w: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Cost of revenues:</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30"/>
        </w:trPr>
        <w:tc>
          <w:tcPr>
            <w:tcW w:w="170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Cost of subscriptions and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7"/>
        </w:trPr>
        <w:tc>
          <w:tcPr>
            <w:tcW w:w="1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licenses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14,317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21,801</w:t>
            </w:r>
          </w:p>
        </w:tc>
      </w:tr>
      <w:tr>
        <w:trPr>
          <w:trHeight w:val="148"/>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Cost of services</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17,267</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22,432</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17,768</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18,744</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18,225</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20,142</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17,681</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16,524</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14,904</w:t>
            </w:r>
          </w:p>
        </w:tc>
      </w:tr>
      <w:tr>
        <w:trPr>
          <w:trHeight w:val="142"/>
        </w:trPr>
        <w:tc>
          <w:tcPr>
            <w:tcW w:w="170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3"/>
                <w:szCs w:val="13"/>
                <w:color w:val="auto"/>
              </w:rPr>
              <w:t>Total cost of revenues</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30,159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34,886</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33,218</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33,061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32,567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36,631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35,051</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39,901</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37,259</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36,705</w:t>
            </w:r>
          </w:p>
        </w:tc>
      </w:tr>
      <w:tr>
        <w:trPr>
          <w:trHeight w:val="142"/>
        </w:trPr>
        <w:tc>
          <w:tcPr>
            <w:tcW w:w="17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139,258</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139,173</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138,266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143,689</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144,972</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132,974</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151,537</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163,021</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157,431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147,585</w:t>
            </w:r>
          </w:p>
        </w:tc>
      </w:tr>
      <w:tr>
        <w:trPr>
          <w:trHeight w:val="142"/>
        </w:trPr>
        <w:tc>
          <w:tcPr>
            <w:tcW w:w="17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8"/>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43,822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44,477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47,384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44,756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44,218</w:t>
            </w:r>
          </w:p>
        </w:tc>
      </w:tr>
      <w:tr>
        <w:trPr>
          <w:trHeight w:val="149"/>
        </w:trPr>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Selling and marketing</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39,047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38,235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47,467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29,632</w:t>
            </w:r>
          </w:p>
        </w:tc>
      </w:tr>
      <w:tr>
        <w:trPr>
          <w:trHeight w:val="148"/>
        </w:trPr>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25,465</w:t>
            </w:r>
          </w:p>
        </w:tc>
      </w:tr>
      <w:tr>
        <w:trPr>
          <w:trHeight w:val="130"/>
        </w:trPr>
        <w:tc>
          <w:tcPr>
            <w:tcW w:w="1700" w:type="dxa"/>
            <w:vAlign w:val="bottom"/>
          </w:tcPr>
          <w:p>
            <w:pPr>
              <w:ind w:left="100"/>
              <w:spacing w:after="0" w:line="131" w:lineRule="exact"/>
              <w:rPr>
                <w:sz w:val="20"/>
                <w:szCs w:val="20"/>
                <w:color w:val="auto"/>
              </w:rPr>
            </w:pPr>
            <w:r>
              <w:rPr>
                <w:rFonts w:ascii="Times New Roman" w:cs="Times New Roman" w:eastAsia="Times New Roman" w:hAnsi="Times New Roman"/>
                <w:sz w:val="13"/>
                <w:szCs w:val="13"/>
                <w:color w:val="auto"/>
              </w:rPr>
              <w:t>Amortization of purchased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7"/>
        </w:trPr>
        <w:tc>
          <w:tcPr>
            <w:tcW w:w="1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intangibles</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3,958</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4,039</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3,811</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3,679</w:t>
            </w:r>
          </w:p>
        </w:tc>
      </w:tr>
      <w:tr>
        <w:trPr>
          <w:trHeight w:val="142"/>
        </w:trPr>
        <w:tc>
          <w:tcPr>
            <w:tcW w:w="17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100,116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109,945</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107,157</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121,777</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106,682</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113,506</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110,135</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120,316</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111,470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4"/>
              </w:rPr>
              <w:t>102,994</w:t>
            </w:r>
          </w:p>
        </w:tc>
      </w:tr>
      <w:tr>
        <w:trPr>
          <w:trHeight w:val="142"/>
        </w:trPr>
        <w:tc>
          <w:tcPr>
            <w:tcW w:w="17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39,142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29,228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31,109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21,912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38,290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19,468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41,402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42,705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45,961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44,591</w:t>
            </w:r>
          </w:p>
        </w:tc>
      </w:tr>
      <w:tr>
        <w:trPr>
          <w:trHeight w:val="148"/>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r>
      <w:tr>
        <w:trPr>
          <w:trHeight w:val="148"/>
        </w:trPr>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(12,306)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10"/>
        </w:trPr>
        <w:tc>
          <w:tcPr>
            <w:tcW w:w="1700" w:type="dxa"/>
            <w:vAlign w:val="bottom"/>
            <w:shd w:val="clear" w:color="auto" w:fill="CCEEFF"/>
          </w:tcPr>
          <w:p>
            <w:pPr>
              <w:ind w:left="320"/>
              <w:spacing w:after="0" w:line="110" w:lineRule="exact"/>
              <w:rPr>
                <w:sz w:val="20"/>
                <w:szCs w:val="20"/>
                <w:color w:val="auto"/>
              </w:rPr>
            </w:pPr>
            <w:r>
              <w:rPr>
                <w:rFonts w:ascii="Times New Roman" w:cs="Times New Roman" w:eastAsia="Times New Roman" w:hAnsi="Times New Roman"/>
                <w:sz w:val="12"/>
                <w:szCs w:val="12"/>
                <w:color w:val="auto"/>
              </w:rPr>
              <w:t>Income before income</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67"/>
        </w:trPr>
        <w:tc>
          <w:tcPr>
            <w:tcW w:w="1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taxes</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26,735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28,356</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49,505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37,183</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43,868</w:t>
            </w:r>
          </w:p>
        </w:tc>
      </w:tr>
      <w:tr>
        <w:trPr>
          <w:trHeight w:val="149"/>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4,264</w:t>
            </w:r>
          </w:p>
        </w:tc>
      </w:tr>
      <w:tr>
        <w:trPr>
          <w:trHeight w:val="130"/>
        </w:trPr>
        <w:tc>
          <w:tcPr>
            <w:tcW w:w="170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Equity in loss of joint venture,</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67"/>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of tax</w:t>
            </w:r>
          </w:p>
        </w:tc>
        <w:tc>
          <w:tcPr>
            <w:tcW w:w="1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r>
      <w:tr>
        <w:trPr>
          <w:trHeight w:val="142"/>
        </w:trPr>
        <w:tc>
          <w:tcPr>
            <w:tcW w:w="17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31,279</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25,192</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23,304</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62,337</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26,437</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19,981</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20,427</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36,251</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29,669</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39,076</w:t>
            </w: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40" w:right="339" w:firstLine="324"/>
        <w:spacing w:after="0" w:line="227" w:lineRule="auto"/>
        <w:rPr>
          <w:sz w:val="20"/>
          <w:szCs w:val="20"/>
          <w:color w:val="auto"/>
        </w:rPr>
      </w:pPr>
      <w:r>
        <w:rPr>
          <w:rFonts w:ascii="Times New Roman" w:cs="Times New Roman" w:eastAsia="Times New Roman" w:hAnsi="Times New Roman"/>
          <w:sz w:val="18"/>
          <w:szCs w:val="18"/>
          <w:color w:val="auto"/>
        </w:rPr>
        <w:t xml:space="preserve">On January 1, 2019, we adopted Topic 606, which supersedes substantially all existing revenue recognition guidance 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deficit </w:t>
      </w:r>
      <w:r>
        <w:rPr>
          <w:rFonts w:ascii="Times New Roman" w:cs="Times New Roman" w:eastAsia="Times New Roman" w:hAnsi="Times New Roman"/>
          <w:sz w:val="18"/>
          <w:szCs w:val="18"/>
          <w:color w:val="auto"/>
        </w:rPr>
        <w:t>as of January 1, 2019. We applied the standard only to contracts that were not completed as of the date of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The comparative information for each of the four quarters in the year ended December 31, 2018 has not been adjusted and continues to be reported under Topic 605.</w:t>
      </w:r>
    </w:p>
    <w:p>
      <w:pPr>
        <w:spacing w:after="0" w:line="106" w:lineRule="exact"/>
        <w:rPr>
          <w:sz w:val="20"/>
          <w:szCs w:val="20"/>
          <w:color w:val="auto"/>
        </w:rPr>
      </w:pPr>
    </w:p>
    <w:tbl>
      <w:tblPr>
        <w:tblLayout w:type="fixed"/>
        <w:tblInd w:w="140" w:type="dxa"/>
        <w:tblCellMar>
          <w:top w:w="0" w:type="dxa"/>
          <w:left w:w="0" w:type="dxa"/>
          <w:bottom w:w="0" w:type="dxa"/>
          <w:right w:w="0" w:type="dxa"/>
        </w:tblCellMar>
      </w:tblPr>
      <w:tr>
        <w:trPr>
          <w:trHeight w:val="167"/>
        </w:trPr>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Q1 2018</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Q2 2018</w:t>
            </w: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Q3 2018</w:t>
            </w: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Q4 2018</w:t>
            </w:r>
          </w:p>
        </w:tc>
        <w:tc>
          <w:tcPr>
            <w:tcW w:w="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Q1 2019</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Q2 2019</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Q3 2019</w:t>
            </w:r>
          </w:p>
        </w:tc>
        <w:tc>
          <w:tcPr>
            <w:tcW w:w="10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Q4 2019</w:t>
            </w:r>
          </w:p>
        </w:tc>
      </w:tr>
      <w:tr>
        <w:trPr>
          <w:trHeight w:val="143"/>
        </w:trPr>
        <w:tc>
          <w:tcPr>
            <w:tcW w:w="2240" w:type="dxa"/>
            <w:vAlign w:val="bottom"/>
            <w:tcBorders>
              <w:top w:val="single" w:sz="8" w:color="CCEE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1"/>
                <w:szCs w:val="11"/>
                <w:color w:val="auto"/>
              </w:rPr>
              <w:t>Revenues (Topic 605):</w:t>
            </w:r>
            <w:r>
              <w:rPr>
                <w:rFonts w:ascii="Times New Roman" w:cs="Times New Roman" w:eastAsia="Times New Roman" w:hAnsi="Times New Roman"/>
                <w:sz w:val="16"/>
                <w:szCs w:val="16"/>
                <w:color w:val="auto"/>
                <w:vertAlign w:val="superscript"/>
              </w:rPr>
              <w:t>(1)</w:t>
            </w: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r>
      <w:tr>
        <w:trPr>
          <w:trHeight w:val="148"/>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137,807</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139,013</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137,881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142,720</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146,372</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149,360</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154,225</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163,968</w:t>
            </w:r>
          </w:p>
        </w:tc>
      </w:tr>
      <w:tr>
        <w:trPr>
          <w:trHeight w:val="149"/>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Perpetual licenses</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12,857</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13,088</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13,620</w:t>
            </w:r>
          </w:p>
        </w:tc>
      </w:tr>
      <w:tr>
        <w:trPr>
          <w:trHeight w:val="142"/>
        </w:trPr>
        <w:tc>
          <w:tcPr>
            <w:tcW w:w="22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rPr>
              <w:t>Subscriptions and licenses</w:t>
            </w: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152,667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154,859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153,324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157,636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159,326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162,217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167,313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177,588</w:t>
            </w:r>
          </w:p>
        </w:tc>
      </w:tr>
      <w:tr>
        <w:trPr>
          <w:trHeight w:val="148"/>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19,114</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16,963</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19,161</w:t>
            </w:r>
          </w:p>
        </w:tc>
      </w:tr>
      <w:tr>
        <w:trPr>
          <w:trHeight w:val="182"/>
        </w:trPr>
        <w:tc>
          <w:tcPr>
            <w:tcW w:w="224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169,417</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174,059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171,484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176,750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175,177</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179,180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183,743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196,749</w:t>
            </w:r>
          </w:p>
        </w:tc>
      </w:tr>
      <w:tr>
        <w:trPr>
          <w:trHeight w:val="129"/>
        </w:trPr>
        <w:tc>
          <w:tcPr>
            <w:tcW w:w="22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0"/>
                <w:szCs w:val="10"/>
                <w:color w:val="auto"/>
              </w:rPr>
              <w:t>Revenues (Topic 606):</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49"/>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Subscriptions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141,902</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133,141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138,194</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147,248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152,309</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137,838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155,191</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162,962</w:t>
            </w:r>
          </w:p>
        </w:tc>
      </w:tr>
      <w:tr>
        <w:trPr>
          <w:trHeight w:val="148"/>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Perpetual licenses</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13,787</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21,438</w:t>
            </w:r>
          </w:p>
        </w:tc>
      </w:tr>
      <w:tr>
        <w:trPr>
          <w:trHeight w:val="142"/>
        </w:trPr>
        <w:tc>
          <w:tcPr>
            <w:tcW w:w="22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rPr>
              <w:t>Subscriptions and licenses</w:t>
            </w: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154,541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147,257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149,876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166,164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161,718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152,897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168,978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184,400</w:t>
            </w:r>
          </w:p>
        </w:tc>
      </w:tr>
      <w:tr>
        <w:trPr>
          <w:trHeight w:val="148"/>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19,114</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16,708</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18,522</w:t>
            </w:r>
          </w:p>
        </w:tc>
      </w:tr>
      <w:tr>
        <w:trPr>
          <w:trHeight w:val="142"/>
        </w:trPr>
        <w:tc>
          <w:tcPr>
            <w:tcW w:w="22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171,291</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166,457</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168,036</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185,278</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177,539</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169,605</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186,588</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202,922</w:t>
            </w: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42"/>
        </w:trPr>
        <w:tc>
          <w:tcPr>
            <w:tcW w:w="2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bl>
    <w:p>
      <w:pPr>
        <w:spacing w:after="0" w:line="22" w:lineRule="exact"/>
        <w:rPr>
          <w:sz w:val="20"/>
          <w:szCs w:val="20"/>
          <w:color w:val="auto"/>
        </w:rPr>
      </w:pPr>
    </w:p>
    <w:p>
      <w:pPr>
        <w:ind w:left="460" w:right="399" w:hanging="316"/>
        <w:spacing w:after="0" w:line="261"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ended December 31, 2019 give effect to revenue adjustment as if the adoption of Topic 606 had not occurred on January 1, 2019. For a reconciliation of the impact of adopting Topic 606 on our audited consolidated financial statements for the year ended December 31, 2019, see Note 2 to our consolidated financial statements included elsewhere in this prospectus.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right="159" w:hanging="316"/>
        <w:spacing w:after="0" w:line="253"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presented for the four quarters in the year ended December 31, 2018 are unaudited and give effect to revenue adjustments as if the adoption of Topic 606 had occurred as of January 1, 2018 rather than January 1, 2019. The most significant impact from the adoption of Topic 606 relates to timing of revenue recognition for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Our revenue recognition for services remained substantially unchanged and was not adjusted. See Note 2 to our consolidated financial statements included elsewhere in this prospectus for additional information regarding the adoption of Topic 606.</w:t>
      </w:r>
    </w:p>
    <w:p>
      <w:pPr>
        <w:spacing w:after="0" w:line="19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Topic 605 to Topic 606:</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Borders>
              <w:bottom w:val="single" w:sz="8" w:color="auto"/>
            </w:tcBorders>
            <w:gridSpan w:val="1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$ 137,807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141,902</w:t>
            </w: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Borders>
              <w:bottom w:val="single" w:sz="8" w:color="auto"/>
            </w:tcBorders>
            <w:gridSpan w:val="1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$ 139,013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133,141</w:t>
            </w: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2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20" w:type="dxa"/>
            <w:vAlign w:val="bottom"/>
          </w:tcPr>
          <w:p>
            <w:pPr>
              <w:spacing w:after="0"/>
              <w:rPr>
                <w:sz w:val="10"/>
                <w:szCs w:val="10"/>
                <w:color w:val="auto"/>
              </w:rPr>
            </w:pPr>
          </w:p>
        </w:tc>
        <w:tc>
          <w:tcPr>
            <w:tcW w:w="9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20" w:type="dxa"/>
            <w:vAlign w:val="bottom"/>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$ 137,881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 2018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As reported</w:t>
            </w:r>
          </w:p>
        </w:tc>
        <w:tc>
          <w:tcPr>
            <w:tcW w:w="120" w:type="dxa"/>
            <w:vAlign w:val="bottom"/>
          </w:tcPr>
          <w:p>
            <w:pPr>
              <w:spacing w:after="0"/>
              <w:rPr>
                <w:sz w:val="10"/>
                <w:szCs w:val="10"/>
                <w:color w:val="auto"/>
              </w:rPr>
            </w:pPr>
          </w:p>
        </w:tc>
        <w:tc>
          <w:tcPr>
            <w:tcW w:w="9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120" w:type="dxa"/>
            <w:vAlign w:val="bottom"/>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$ 142,720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147,248</w:t>
            </w: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21" w:lineRule="exact"/>
        <w:rPr>
          <w:sz w:val="20"/>
          <w:szCs w:val="20"/>
          <w:color w:val="auto"/>
        </w:rPr>
      </w:pPr>
    </w:p>
    <w:p>
      <w:pPr>
        <w:ind w:left="140" w:right="279" w:firstLine="324"/>
        <w:spacing w:after="0" w:line="254" w:lineRule="auto"/>
        <w:rPr>
          <w:sz w:val="20"/>
          <w:szCs w:val="20"/>
          <w:color w:val="auto"/>
        </w:rPr>
      </w:pPr>
      <w:r>
        <w:rPr>
          <w:rFonts w:ascii="Times New Roman" w:cs="Times New Roman" w:eastAsia="Times New Roman" w:hAnsi="Times New Roman"/>
          <w:sz w:val="18"/>
          <w:szCs w:val="18"/>
          <w:color w:val="auto"/>
        </w:rPr>
        <w:t>A portion of our revenues and operating expenses were derived from outside the United States and as such, were denominated in various foreign currencies, including most significantly: Euros, British Pounds, Australian Dollars, Canadian Dollars, and Chinese Yuan Renminbi. Our quarterly results are therefore impacted by changes in foreign currency rates. Starting in the quarter ended March 31, 2018, and continuing into the quarter ended June 30, 2020, the U.S. Dollar strengthened relative to other foreign currencies in which we generate revenues and incur expenses. However, towards the end of the quarter ended June 30, 2020, the U.S. Dollar began to weaken relative to other foreign currencies in which we generate revenues and incur expenses Accordingly, our results of operations have been, and in the future will be, affected by changes in foreign exchange rates. See the section titled “Key Factors Impacting Comparability and Performance—Impact of foreign currency.”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Our revenues are primarily comprised of recurring subscription revenues. Historically, we have experienced growth in subscription revenues within existing accounts when their contracts renew, and typically, we have a higher level of renewals occur in the first and fourth quarter of each year. This renewal cycle is primarily based on the timing of when accounts first entered into their subscription contracts. Under Topic 605, subscription revenues were recognized on a ratable basis over the subscription term and generally showed an increase in each period presented. Under Topic 606, our quarterly subscriptions revenues and profitability are impacted by the subscription term as well as the term start date of new and renewals subscriptions, due to the upfront revenue recognition of the associated term license component. Topic 606 therefore introduces volatility between quarters with our first and fourth quarter generally showing higher subscription revenues. However, on an annual and trailing twelve-month basis, we generally expect our subscription revenues recognized under Topic 606 to be comparable to such revenues recognized under Topic 605. This is attributable to the annual, recurring nature of our subscription agreements.</w:t>
      </w:r>
    </w:p>
    <w:p>
      <w:pPr>
        <w:spacing w:after="0" w:line="84"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The conversion of our existing subscription users to consumption-based offerings with consumption measurement durations of less than one year, such as our E365 program, will further introduce some volatility between annual, quarterly, and trailing twelve-month periods and impact period over period comparability under Topic 606. This is because the term-based software license is recognized upfront upon delivery for subscription-based offerings, but upon usage for prepaid consumption-based offerings. See the section titled “—Key Factors Impacting Comparability and Performance.”</w:t>
      </w:r>
    </w:p>
    <w:p>
      <w:pPr>
        <w:spacing w:after="0" w:line="79" w:lineRule="exact"/>
        <w:rPr>
          <w:sz w:val="20"/>
          <w:szCs w:val="20"/>
          <w:color w:val="auto"/>
        </w:rPr>
      </w:pPr>
    </w:p>
    <w:p>
      <w:pPr>
        <w:ind w:left="140" w:right="319" w:firstLine="324"/>
        <w:spacing w:after="0" w:line="261" w:lineRule="auto"/>
        <w:rPr>
          <w:sz w:val="20"/>
          <w:szCs w:val="20"/>
          <w:color w:val="auto"/>
        </w:rPr>
      </w:pPr>
      <w:r>
        <w:rPr>
          <w:rFonts w:ascii="Times New Roman" w:cs="Times New Roman" w:eastAsia="Times New Roman" w:hAnsi="Times New Roman"/>
          <w:sz w:val="18"/>
          <w:szCs w:val="18"/>
          <w:color w:val="auto"/>
        </w:rPr>
        <w:t>Under Topic 605, revenue for perpetual licenses was recognized over a three-year period, due to the portfolio balancing feature users obtain through their SELECT subscriptions. Under Topic 606, our perpetual licenses revenues are recognized upon delivery and will closely align with the respective license sales of the period. Typically, we have a higher level of perpetual license sales in the fourth quarter of each year.</w:t>
      </w:r>
    </w:p>
    <w:p>
      <w:pPr>
        <w:spacing w:after="0" w:line="72" w:lineRule="exact"/>
        <w:rPr>
          <w:sz w:val="20"/>
          <w:szCs w:val="20"/>
          <w:color w:val="auto"/>
        </w:rPr>
      </w:pPr>
    </w:p>
    <w:p>
      <w:pPr>
        <w:ind w:left="140" w:right="199" w:firstLine="324"/>
        <w:spacing w:after="0" w:line="282" w:lineRule="auto"/>
        <w:rPr>
          <w:sz w:val="20"/>
          <w:szCs w:val="20"/>
          <w:color w:val="auto"/>
        </w:rPr>
      </w:pPr>
      <w:r>
        <w:rPr>
          <w:rFonts w:ascii="Times New Roman" w:cs="Times New Roman" w:eastAsia="Times New Roman" w:hAnsi="Times New Roman"/>
          <w:sz w:val="18"/>
          <w:szCs w:val="18"/>
          <w:color w:val="auto"/>
        </w:rPr>
        <w:t>Our quarterly revenue for professional services may also fluctuate depending on the timing of our accounts requests for additional services and the related implementation cycles.</w:t>
      </w:r>
    </w:p>
    <w:p>
      <w:pPr>
        <w:spacing w:after="0" w:line="54" w:lineRule="exact"/>
        <w:rPr>
          <w:sz w:val="20"/>
          <w:szCs w:val="20"/>
          <w:color w:val="auto"/>
        </w:rPr>
      </w:pPr>
    </w:p>
    <w:p>
      <w:pPr>
        <w:ind w:left="140" w:right="299" w:firstLine="324"/>
        <w:spacing w:after="0" w:line="282" w:lineRule="auto"/>
        <w:rPr>
          <w:sz w:val="20"/>
          <w:szCs w:val="20"/>
          <w:color w:val="auto"/>
        </w:rPr>
      </w:pPr>
      <w:r>
        <w:rPr>
          <w:rFonts w:ascii="Times New Roman" w:cs="Times New Roman" w:eastAsia="Times New Roman" w:hAnsi="Times New Roman"/>
          <w:sz w:val="18"/>
          <w:szCs w:val="18"/>
          <w:color w:val="auto"/>
        </w:rPr>
        <w:t>Increases in organic revenues over the ten quarters presented were offset by negative foreign currency impacts due to a stronger U.S. Dollar relative to our other functional currencies.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121"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travel-related costs. Our headcount-related costs are variable in nature. We actively manage these costs to align to our trending run rate of revenue performance, with the objective of enhancing visibility to better predict the resulting operating profit margins.</w:t>
      </w:r>
    </w:p>
    <w:p>
      <w:pPr>
        <w:spacing w:after="0" w:line="79" w:lineRule="exact"/>
        <w:rPr>
          <w:sz w:val="20"/>
          <w:szCs w:val="20"/>
          <w:color w:val="auto"/>
        </w:rPr>
      </w:pPr>
    </w:p>
    <w:p>
      <w:pPr>
        <w:ind w:left="140" w:right="379" w:firstLine="324"/>
        <w:spacing w:after="0" w:line="256" w:lineRule="auto"/>
        <w:rPr>
          <w:sz w:val="20"/>
          <w:szCs w:val="20"/>
          <w:color w:val="auto"/>
        </w:rPr>
      </w:pPr>
      <w:r>
        <w:rPr>
          <w:rFonts w:ascii="Times New Roman" w:cs="Times New Roman" w:eastAsia="Times New Roman" w:hAnsi="Times New Roman"/>
          <w:sz w:val="18"/>
          <w:szCs w:val="18"/>
          <w:color w:val="auto"/>
        </w:rPr>
        <w:t>Our quarterly operating expenses are impacted by the timing of headcount adjustments including additions from acquisitions and realignment programs, the timing of annual raises and variable compensation, product development cycles, and sales and marketing programs. We experience some seasonality in spending related to sales and marketing based on the timing of our participation in certain trade shows and conferences. Typically, we incur higher sales and marketing expenses during the fourth quarter of each year. We cannot assure you, however, that these trends will continue.</w:t>
      </w:r>
    </w:p>
    <w:p>
      <w:pPr>
        <w:spacing w:after="0" w:line="79" w:lineRule="exact"/>
        <w:rPr>
          <w:sz w:val="20"/>
          <w:szCs w:val="20"/>
          <w:color w:val="auto"/>
        </w:rPr>
      </w:pPr>
    </w:p>
    <w:p>
      <w:pPr>
        <w:ind w:left="140" w:right="239" w:firstLine="324"/>
        <w:spacing w:after="0" w:line="266" w:lineRule="auto"/>
        <w:rPr>
          <w:sz w:val="20"/>
          <w:szCs w:val="20"/>
          <w:color w:val="auto"/>
        </w:rPr>
      </w:pPr>
      <w:r>
        <w:rPr>
          <w:rFonts w:ascii="Times New Roman" w:cs="Times New Roman" w:eastAsia="Times New Roman" w:hAnsi="Times New Roman"/>
          <w:sz w:val="18"/>
          <w:szCs w:val="18"/>
          <w:color w:val="auto"/>
        </w:rPr>
        <w:t>Our aggregate cost of revenues, research and development, selling and marketing, and general and administrative costs increased over the ten quarters presented and were partly offset by foreign currency impacts due to a stronger U.S. Dollar relative to our other functional currencies.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8" w:name="page99"/>
    <w:bookmarkEnd w:id="9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United States. As of December 31, 2018 and 2019, 95% and 98%, respectively, of our total cash and cash equivalents were located outside of the United States. As of June 30, 2020, 72% of our total cash and cash equivalents were located outside of the United States. Under the Tax Cuts and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84"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 See the section titled “Risk Factors—Risks Related to Our Business— We may need to raise additional capital, which may not be available to us.”</w:t>
      </w:r>
    </w:p>
    <w:p>
      <w:pPr>
        <w:spacing w:after="0" w:line="77" w:lineRule="exact"/>
        <w:rPr>
          <w:sz w:val="20"/>
          <w:szCs w:val="20"/>
          <w:color w:val="auto"/>
        </w:rPr>
      </w:pPr>
    </w:p>
    <w:p>
      <w:pPr>
        <w:ind w:left="14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 consider all highly liquid investments with an original maturity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94"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5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 domestically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Held by foreign subsidiaries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118,810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90,863</w:t>
            </w: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125,516</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The amount of cash and cash equivalents held by foreign subsidiaries is subject to translation adjustments caused by changes in foreign currency exchange rates as of the end of each respective reporting period, the offset to which is recorded in accumulated other comprehensive loss on our consolidated balance sheet.</w:t>
      </w:r>
    </w:p>
    <w:p>
      <w:pPr>
        <w:spacing w:after="0" w:line="66" w:lineRule="exact"/>
        <w:rPr>
          <w:sz w:val="20"/>
          <w:szCs w:val="20"/>
          <w:color w:val="auto"/>
        </w:rPr>
      </w:pPr>
    </w:p>
    <w:p>
      <w:pPr>
        <w:ind w:left="140" w:right="3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December 19, 2017, we entered into the Credit Facility, which matures on December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Upon entry into this agreement, we obtained a $500,000 senior secured revolving facility and refinanced all indebtedness outstanding under our prior facility.</w:t>
      </w:r>
    </w:p>
    <w:p>
      <w:pPr>
        <w:spacing w:after="0" w:line="67"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sub-facility. We had $631, $546, and $150 of letters of credit and surety bonds outstanding as of December 31, 2018, December 31, 2019, and June 30, 2020, respectively. We had $240,619, $265,704, and $292,850 available under the Credit Facility as of December 31, 2018, December 31, 2019, and June 30, 2020, respectively.</w:t>
      </w:r>
    </w:p>
    <w:p>
      <w:pPr>
        <w:spacing w:after="0" w:line="79"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Under the Credit Facility, we may make either Euro currency or non-Euro currency interest rate elections. Interest on the Euro currency borrowings is at the one-month LIBOR plus a spread ranging from 100 basis points (“bps”) to 225 bps as determined by our net leverage ratio. Under the non-Euro currency elections, Credit Facility borrowings bear a base interest rate of the greater of (i) the prime rate, (ii) the overnight bank funding effective rate plus 50 bps, or (iii) LIBOR plus 100 bps, plus a spread ranging from 0 bps to 125 bps as determined by our leverage ratio.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779"/>
        <w:spacing w:after="0" w:line="282" w:lineRule="auto"/>
        <w:rPr>
          <w:sz w:val="20"/>
          <w:szCs w:val="20"/>
          <w:color w:val="auto"/>
        </w:rPr>
      </w:pPr>
      <w:r>
        <w:rPr>
          <w:rFonts w:ascii="Times New Roman" w:cs="Times New Roman" w:eastAsia="Times New Roman" w:hAnsi="Times New Roman"/>
          <w:sz w:val="18"/>
          <w:szCs w:val="18"/>
          <w:color w:val="auto"/>
        </w:rPr>
        <w:t>addition, a commitment fee for the unused Credit Facility ranges from 15 bps to 30 bps as determined by our net leverage ratio.</w:t>
      </w:r>
    </w:p>
    <w:p>
      <w:pPr>
        <w:spacing w:after="0" w:line="54"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first-tier domestic subsidiaries and are secured by a first priority security interest in substantially all of our and the guarantors’ U.S. assets and 65% of the stock of their directly owned foreign subsidiaries. The agreement governing the Credit Facility contains both affirmative and negative covenants, including maximum leverage ratios. At December 31, 2018, December 31, 2019, and June 30, 2020, we were in compliance with all covenants in our Credit Facility.</w:t>
      </w:r>
    </w:p>
    <w:p>
      <w:pPr>
        <w:spacing w:after="0" w:line="75"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Interest rate risk associated with the Credit Facility is managed through an interest rate swap that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balance sheet and carry the derivative at fair value. Gains and losses from the change in fair value are recognized in Other income (expense), net, in the consolidated statements of operations. At June 30, 2020, the fair value of the swap was $4,174.</w:t>
      </w:r>
    </w:p>
    <w:p>
      <w:pPr>
        <w:spacing w:after="0" w:line="81" w:lineRule="exact"/>
        <w:rPr>
          <w:sz w:val="20"/>
          <w:szCs w:val="20"/>
          <w:color w:val="auto"/>
        </w:rPr>
      </w:pPr>
    </w:p>
    <w:p>
      <w:pPr>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As of December 31, 2018, accrued interest and fees were $31. Interest expense was $8,800 and $8,971 for the years ended December 31, 2018 and 2019, respectively.</w:t>
      </w:r>
    </w:p>
    <w:p>
      <w:pPr>
        <w:spacing w:after="0" w:line="68" w:lineRule="exact"/>
        <w:rPr>
          <w:sz w:val="20"/>
          <w:szCs w:val="20"/>
          <w:color w:val="auto"/>
        </w:rPr>
      </w:pPr>
    </w:p>
    <w:p>
      <w:pPr>
        <w:jc w:val="both"/>
        <w:ind w:left="140" w:right="33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As of June 30, 2020, accrued interest and fees were $33. Interest expense was $4,600 and $2,544 for the six months ended June 30, 2019 and 2020, respectively.</w:t>
      </w:r>
    </w:p>
    <w:p>
      <w:pPr>
        <w:spacing w:after="0" w:line="68" w:lineRule="exact"/>
        <w:rPr>
          <w:sz w:val="20"/>
          <w:szCs w:val="20"/>
          <w:color w:val="auto"/>
        </w:rPr>
      </w:pPr>
    </w:p>
    <w:p>
      <w:pPr>
        <w:ind w:left="140" w:right="219" w:firstLine="324"/>
        <w:spacing w:after="0" w:line="282"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 respectively and $277 for each of the six months ended June 30, 2019 and 2020.</w:t>
      </w:r>
    </w:p>
    <w:p>
      <w:pPr>
        <w:spacing w:after="0" w:line="54" w:lineRule="exact"/>
        <w:rPr>
          <w:sz w:val="20"/>
          <w:szCs w:val="20"/>
          <w:color w:val="auto"/>
        </w:rPr>
      </w:pPr>
    </w:p>
    <w:p>
      <w:pPr>
        <w:ind w:left="140" w:right="219" w:firstLine="324"/>
        <w:spacing w:after="0" w:line="281" w:lineRule="auto"/>
        <w:rPr>
          <w:sz w:val="20"/>
          <w:szCs w:val="20"/>
          <w:color w:val="auto"/>
        </w:rPr>
      </w:pPr>
      <w:r>
        <w:rPr>
          <w:rFonts w:ascii="Times New Roman" w:cs="Times New Roman" w:eastAsia="Times New Roman" w:hAnsi="Times New Roman"/>
          <w:sz w:val="17"/>
          <w:szCs w:val="17"/>
          <w:color w:val="auto"/>
        </w:rPr>
        <w:t>The agreement governing the Credit Facility contains customary events of default, including, without limitation, payment defaults, breaches of representations and warranties, covenants defaults, cross-defaults to certain other indebtedness in excess of $10,000, certain events of bankruptcy and insolvency, judgment defaults in excess of $10,000, failure of any security document supporting the Credit Facility to be in full force and effect, and a change of control.</w:t>
      </w:r>
    </w:p>
    <w:p>
      <w:pPr>
        <w:spacing w:after="0" w:line="56" w:lineRule="exact"/>
        <w:rPr>
          <w:sz w:val="20"/>
          <w:szCs w:val="20"/>
          <w:color w:val="auto"/>
        </w:rPr>
      </w:pPr>
    </w:p>
    <w:p>
      <w:pPr>
        <w:ind w:left="140" w:right="399" w:firstLine="324"/>
        <w:spacing w:after="0" w:line="261" w:lineRule="auto"/>
        <w:rPr>
          <w:sz w:val="20"/>
          <w:szCs w:val="20"/>
          <w:color w:val="auto"/>
        </w:rPr>
      </w:pPr>
      <w:r>
        <w:rPr>
          <w:rFonts w:ascii="Times New Roman" w:cs="Times New Roman" w:eastAsia="Times New Roman" w:hAnsi="Times New Roman"/>
          <w:sz w:val="18"/>
          <w:szCs w:val="18"/>
          <w:color w:val="auto"/>
        </w:rPr>
        <w:t>Voluntary prepayments of amounts outstanding under the Credit Facility, in whole or in part, are permitted at any time, so long as we give notice as required by the Credit Facility. However, if prepayment is made with respect to a LIBOR-based loan and the prepayment is made on a date other than an interest payment date, we must pay customary breakage costs.</w:t>
      </w:r>
    </w:p>
    <w:p>
      <w:pPr>
        <w:spacing w:after="0" w:line="72"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This summary of the terms of the Credit Facility is qualified in its entirety by reference to the agreement, which is filed as an exhibit to the registration statement of which this prospectus forms a part.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six months ended June 30, 2019 and 2020:</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87"/>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69"/>
        </w:trPr>
        <w:tc>
          <w:tcPr>
            <w:tcW w:w="6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82,758</w:t>
            </w:r>
          </w:p>
        </w:tc>
        <w:tc>
          <w:tcPr>
            <w:tcW w:w="240" w:type="dxa"/>
            <w:vAlign w:val="bottom"/>
          </w:tcPr>
          <w:p>
            <w:pPr>
              <w:spacing w:after="0"/>
              <w:rPr>
                <w:sz w:val="18"/>
                <w:szCs w:val="18"/>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136,182</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(18,157)</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(78,979)</w:t>
            </w:r>
          </w:p>
        </w:tc>
      </w:tr>
      <w:tr>
        <w:trPr>
          <w:trHeight w:val="234"/>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(42,004)</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(52,556)</w:t>
            </w:r>
          </w:p>
        </w:tc>
      </w:tr>
    </w:tbl>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provided by operating activities were $82,758 primarily due to net income of $46,418 increased by $22,024 of non-cash adjustments and $14,316 from changes in operating assets and liabilities.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$136,182 during the six months ended June 30, 2020. Compared to the prior year comparative period, net cash from operating activities was higher by $53,424 due to an increase in net income of $22,327, a net increase in non-cash adjustments of $12,527, and an increase in net cash flows from the change in operating assets and liabilities of $18,570. The net increase in non-cash adjustments primarily related to a $1,298 increase in depreciation and amortization, an increase of $7,638 in deferred income taxes, an increase of $4,015 related to the change in the fair value of the interest rate swap, and an increase of $2,308 related to foreign currency remeasurement losses. The net increase in cash flows from changes in operating assets and liabilities of $18,570 was due to increased cash flows related to the collection of accounts receivable, net of $4,407, an increase from the change in prepaid and other assets of $16,586, and an increase from the change in income taxes payable of $9,990, offset by a decrease from the change in accounts payable, accruals and other liabilities of $8,239 and a decrease from the change in deferred revenues of $4,174.</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used in investing activities was $18,157, primarily due to $8,123 related to purchases of property and equipment and investment in capitalized software and $9,662 in acquisition related payments, net of cash acquired.</w:t>
      </w:r>
    </w:p>
    <w:p>
      <w:pPr>
        <w:spacing w:after="0" w:line="68"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$78,979 during the six months ended June 30, 2020, primarily due to $9,419 related to purchases of property and equipment and investment in capitalized software and $67,595 in acquisition related payments, net of cash acquired.</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left="140" w:right="559"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used in financing activities was $42,004, primarily due to net payments under the Credit Facility of $11,750, payment of a contingent acquisition liability of $8,273, payments of dividends of $12,641, and net payments for shares acquired of $11,517.</w:t>
      </w:r>
    </w:p>
    <w:p>
      <w:pPr>
        <w:spacing w:after="0" w:line="68"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$52,556 during the six months ended June 30, 2020. Compared to the prior year comparative period, net cash used in financing activities increased by $10,552, primarily due to an increase in net repayments of $15,000 under the Credit Facility and an increase in payments for dividends of $3,260, partly offset by a decrease in the payment of acquisition debt and other consideration of $7,182, and a decrease in net payments for share repurchases of $559.</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26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r>
      <w:tr>
        <w:trPr>
          <w:trHeight w:val="234"/>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(77,048)</w:t>
            </w:r>
          </w:p>
        </w:tc>
      </w:tr>
    </w:tbl>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40" w:right="23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cash provided by operating activities was $161,465, due to net income of $142,112 increased by $43,464 of non-cash adjustments and $35,949 from changes in operating assets and liabilities, offset by $60,060 of non-cash tax benefits.</w:t>
      </w:r>
    </w:p>
    <w:p>
      <w:pPr>
        <w:spacing w:after="0" w:line="68"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$170,773 during the year ended December 31, 2019. Compared to the prior year comparative period, net cash from operating activities was higher by $9,308 due to a net increase in non-cash adjustments of $69,795, offset by a decrease in net income of $39,016 and a decrease from changes in operating assets and liabilities of $21,471. The net increase in non-cash adjustments primarily related to a $60,792 increase in deferred income taxes as well as an increase of $6,956 related to foreign currency remeasurement losses. The net decrease in cash flows from changes in operating assets and liabilities of $21,471 was primarily due to decrease in deferred revenues of $21,515, a decrease from the changes in income taxes payable of $21,723, partially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459"/>
        <w:spacing w:after="0" w:line="282" w:lineRule="auto"/>
        <w:rPr>
          <w:sz w:val="20"/>
          <w:szCs w:val="20"/>
          <w:color w:val="auto"/>
        </w:rPr>
      </w:pPr>
      <w:r>
        <w:rPr>
          <w:rFonts w:ascii="Times New Roman" w:cs="Times New Roman" w:eastAsia="Times New Roman" w:hAnsi="Times New Roman"/>
          <w:sz w:val="18"/>
          <w:szCs w:val="18"/>
          <w:color w:val="auto"/>
        </w:rPr>
        <w:t>offset by the decreased collection of accounts receivable, net of $20,635 and an increase from the change in accounts payable, accruals and other liabilities of $4,631.</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cash used in investing activities was $154,757, primarily due to $18,616 related to purchases of property and equipment and investment in capitalized software and $135,264 in acquisition related payments, net of cash acquired.</w:t>
      </w:r>
    </w:p>
    <w:p>
      <w:pPr>
        <w:spacing w:after="0" w:line="68" w:lineRule="exact"/>
        <w:rPr>
          <w:sz w:val="20"/>
          <w:szCs w:val="20"/>
          <w:color w:val="auto"/>
        </w:rPr>
      </w:pPr>
    </w:p>
    <w:p>
      <w:pPr>
        <w:ind w:left="140" w:right="699"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$53,693 during the year ended December 31, 2019, primarily due to $15,804 related to purchases of property and equipment and investment in capitalized software and $34,054 in acquisition related payments, net of cash acquired.</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40" w:right="61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cash used in financing activities was $58,799, primarily due to net repayments under the Credit Facility of $11,250, payments of dividends of $20,059, and net payments for shares acquired of $30,231.</w:t>
      </w:r>
    </w:p>
    <w:p>
      <w:pPr>
        <w:spacing w:after="0" w:line="68"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$77,048 during the year ended December 31, 2019. Compared to the prior year comparative period, net cash used in financing activities increased by $18,249, primarily due to an increase in net repayments of $13,750 under the Credit Facility, an increase in the payment of acquisition debt and other consideration of $11,038, and an increase in payments for dividends of $4,930, partially offset by a decrease in net payments for share repurchases of $10,575.</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our contractual commitments as of December 31, 2019. The information presented in the table below reflects management’s estimates of the contractual maturities of our obligations. These maturities may differ from the actual maturities of these obligations.</w:t>
      </w:r>
    </w:p>
    <w:p>
      <w:pPr>
        <w:spacing w:after="0" w:line="7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Within</w:t>
            </w:r>
          </w:p>
        </w:tc>
        <w:tc>
          <w:tcPr>
            <w:tcW w:w="92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3 Years</w:t>
            </w:r>
          </w:p>
        </w:tc>
        <w:tc>
          <w:tcPr>
            <w:tcW w:w="840" w:type="dxa"/>
            <w:vAlign w:val="bottom"/>
            <w:gridSpan w:val="3"/>
            <w:vMerge w:val="restart"/>
          </w:tcPr>
          <w:p>
            <w:pPr>
              <w:ind w:left="60"/>
              <w:spacing w:after="0" w:line="161" w:lineRule="exact"/>
              <w:rPr>
                <w:sz w:val="20"/>
                <w:szCs w:val="20"/>
                <w:color w:val="auto"/>
              </w:rPr>
            </w:pPr>
            <w:r>
              <w:rPr>
                <w:rFonts w:ascii="Times New Roman" w:cs="Times New Roman" w:eastAsia="Times New Roman" w:hAnsi="Times New Roman"/>
                <w:sz w:val="14"/>
                <w:szCs w:val="14"/>
                <w:b w:val="1"/>
                <w:bCs w:val="1"/>
                <w:color w:val="auto"/>
              </w:rPr>
              <w:t>3</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 Years</w:t>
            </w:r>
          </w:p>
        </w:tc>
        <w:tc>
          <w:tcPr>
            <w:tcW w:w="120" w:type="dxa"/>
            <w:vAlign w:val="bottom"/>
          </w:tcPr>
          <w:p>
            <w:pPr>
              <w:spacing w:after="0"/>
              <w:rPr>
                <w:sz w:val="12"/>
                <w:szCs w:val="12"/>
                <w:color w:val="auto"/>
              </w:rPr>
            </w:pPr>
          </w:p>
        </w:tc>
        <w:tc>
          <w:tcPr>
            <w:tcW w:w="500" w:type="dxa"/>
            <w:vAlign w:val="bottom"/>
          </w:tcPr>
          <w:p>
            <w:pPr>
              <w:jc w:val="right"/>
              <w:ind w:right="52"/>
              <w:spacing w:after="0" w:line="145"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2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w:t>
            </w:r>
            <w:r>
              <w:rPr>
                <w:rFonts w:ascii="Times New Roman" w:cs="Times New Roman" w:eastAsia="Times New Roman" w:hAnsi="Times New Roman"/>
                <w:sz w:val="24"/>
                <w:szCs w:val="24"/>
                <w:color w:val="auto"/>
                <w:vertAlign w:val="superscript"/>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$ 233,750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$ 233,750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Interest on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debt</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Deferred compensation obligations</w:t>
            </w:r>
            <w:r>
              <w:rPr>
                <w:rFonts w:ascii="Times New Roman" w:cs="Times New Roman" w:eastAsia="Times New Roman" w:hAnsi="Times New Roman"/>
                <w:sz w:val="25"/>
                <w:szCs w:val="25"/>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Contingent obligations</w:t>
            </w:r>
            <w:r>
              <w:rPr>
                <w:rFonts w:ascii="Times New Roman" w:cs="Times New Roman" w:eastAsia="Times New Roman" w:hAnsi="Times New Roman"/>
                <w:sz w:val="25"/>
                <w:szCs w:val="25"/>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contingent obligations</w:t>
            </w:r>
            <w:r>
              <w:rPr>
                <w:rFonts w:ascii="Times New Roman" w:cs="Times New Roman" w:eastAsia="Times New Roman" w:hAnsi="Times New Roman"/>
                <w:sz w:val="25"/>
                <w:szCs w:val="25"/>
                <w:color w:val="auto"/>
                <w:vertAlign w:val="superscript"/>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$ 319,875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$ 275,133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679" w:hanging="316"/>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represents the outstanding balance of $233,750 related to the Credit Facility with an effective interest rate of 3.47%.</w:t>
      </w:r>
    </w:p>
    <w:p>
      <w:pPr>
        <w:spacing w:after="0" w:line="53" w:lineRule="exact"/>
        <w:rPr>
          <w:rFonts w:ascii="Times New Roman" w:cs="Times New Roman" w:eastAsia="Times New Roman" w:hAnsi="Times New Roman"/>
          <w:sz w:val="18"/>
          <w:szCs w:val="18"/>
          <w:color w:val="auto"/>
        </w:rPr>
      </w:pPr>
    </w:p>
    <w:p>
      <w:pPr>
        <w:ind w:left="460" w:right="179" w:hanging="316"/>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include non-cancellable operating lease commitments for our domestic and international facilities, cars, and equipment.</w:t>
      </w:r>
    </w:p>
    <w:p>
      <w:pPr>
        <w:spacing w:after="0" w:line="53" w:lineRule="exact"/>
        <w:rPr>
          <w:rFonts w:ascii="Times New Roman" w:cs="Times New Roman" w:eastAsia="Times New Roman" w:hAnsi="Times New Roman"/>
          <w:sz w:val="18"/>
          <w:szCs w:val="18"/>
          <w:color w:val="auto"/>
        </w:rPr>
      </w:pPr>
    </w:p>
    <w:p>
      <w:pPr>
        <w:ind w:left="460" w:right="939" w:hanging="316"/>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obligations relate to the deferred portion of bonus compensation of certain former colleagues.</w:t>
      </w:r>
    </w:p>
    <w:p>
      <w:pPr>
        <w:spacing w:after="0" w:line="53"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from acquisitions.</w:t>
      </w:r>
    </w:p>
    <w:p>
      <w:pPr>
        <w:spacing w:after="0" w:line="117"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Non-contingent consideration from acquisitions.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left="140" w:right="419" w:firstLine="324"/>
        <w:spacing w:after="0" w:line="281" w:lineRule="auto"/>
        <w:rPr>
          <w:sz w:val="20"/>
          <w:szCs w:val="20"/>
          <w:color w:val="auto"/>
        </w:rPr>
      </w:pPr>
      <w:r>
        <w:rPr>
          <w:rFonts w:ascii="Times New Roman" w:cs="Times New Roman" w:eastAsia="Times New Roman" w:hAnsi="Times New Roman"/>
          <w:sz w:val="17"/>
          <w:szCs w:val="17"/>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2" w:name="page103"/>
    <w:bookmarkEnd w:id="10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39"/>
        <w:spacing w:after="0" w:line="281" w:lineRule="auto"/>
        <w:rPr>
          <w:sz w:val="20"/>
          <w:szCs w:val="20"/>
          <w:color w:val="auto"/>
        </w:rPr>
      </w:pPr>
      <w:r>
        <w:rPr>
          <w:rFonts w:ascii="Times New Roman" w:cs="Times New Roman" w:eastAsia="Times New Roman" w:hAnsi="Times New Roman"/>
          <w:sz w:val="17"/>
          <w:szCs w:val="17"/>
          <w:color w:val="auto"/>
        </w:rPr>
        <w:t>differ materially from these estimates under different assumptions or conditions. We regularly reevaluate our assumptions, judgments, and estimates. Our significant accounting policies are described in Note 1 to our consolidated financial statements included elsewhere in this prospectus. We believe that the following critical accounting policies affect the more significant judgments and estimates used in the preparation of our consolidated financial statements.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1, 2019, we adopted Topic 606, using the modified retrospective method, under which the cumulative effect of initially applying Topic 606 of $125,464 ($101,489 net of tax)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of perpetual licenses and the accounting for certain of our subscription arrangements that include term-based software licenses bundled with support. Under the prior guidance, revenue for perpetual licenses was recognized over a three-year period, while revenue attributable to the term-based software licenses was recognized ratably over the term. Under Topic 606, both perpetual license and prepaid term-based software license revenue will be recognized upfront upon delivery of the software license. The comparative information has not been adjusted and continues to be reported under Topic 605. Refer to Note 2, Recent Accounting Pronouncements, in our consolidated financial statements for a qualitative and quantitative discussion of the adoption impact.</w:t>
      </w:r>
    </w:p>
    <w:p>
      <w:pPr>
        <w:spacing w:after="0" w:line="86" w:lineRule="exact"/>
        <w:rPr>
          <w:sz w:val="20"/>
          <w:szCs w:val="20"/>
          <w:color w:val="auto"/>
        </w:rPr>
      </w:pPr>
    </w:p>
    <w:p>
      <w:pPr>
        <w:ind w:left="140" w:right="679" w:firstLine="324"/>
        <w:spacing w:after="0" w:line="282"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7"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We provide prepaid annual recurring subscriptions that accounts can elect to add to a new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80" w:lineRule="exact"/>
        <w:rPr>
          <w:sz w:val="20"/>
          <w:szCs w:val="20"/>
          <w:color w:val="auto"/>
        </w:rPr>
      </w:pPr>
    </w:p>
    <w:p>
      <w:pPr>
        <w:jc w:val="both"/>
        <w:ind w:left="140" w:right="4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We provide Enterprise subscription offerings which provide our largest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unlimited global access to our comprehensive portfolio of solutions. ELS provides access for a prepaid annual fee. ELS contains a term license component, SELECT maintenance and support, and performance</w:t>
      </w:r>
    </w:p>
    <w:p>
      <w:pPr>
        <w:spacing w:after="0" w:line="1" w:lineRule="exact"/>
        <w:rPr>
          <w:sz w:val="20"/>
          <w:szCs w:val="20"/>
          <w:color w:val="auto"/>
        </w:rPr>
      </w:pPr>
    </w:p>
    <w:p>
      <w:pPr>
        <w:ind w:left="140" w:right="159"/>
        <w:spacing w:after="0" w:line="252" w:lineRule="auto"/>
        <w:rPr>
          <w:sz w:val="20"/>
          <w:szCs w:val="20"/>
          <w:color w:val="auto"/>
        </w:rPr>
      </w:pPr>
      <w:r>
        <w:rPr>
          <w:rFonts w:ascii="Times New Roman" w:cs="Times New Roman" w:eastAsia="Times New Roman" w:hAnsi="Times New Roman"/>
          <w:sz w:val="18"/>
          <w:szCs w:val="18"/>
          <w:color w:val="auto"/>
        </w:rPr>
        <w:t xml:space="preserve">consulting days. The SELECT maintenance and support benefits under ELS do not include a portfolio balancing feature. Revenue is allocated to the various performance obligations based on their respective standalone selling prices.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82" w:lineRule="exact"/>
        <w:rPr>
          <w:sz w:val="20"/>
          <w:szCs w:val="20"/>
          <w:color w:val="auto"/>
        </w:rPr>
      </w:pPr>
    </w:p>
    <w:p>
      <w:pPr>
        <w:ind w:left="140" w:right="159" w:firstLine="324"/>
        <w:spacing w:after="0" w:line="274" w:lineRule="auto"/>
        <w:rPr>
          <w:sz w:val="20"/>
          <w:szCs w:val="20"/>
          <w:color w:val="auto"/>
        </w:rPr>
      </w:pPr>
      <w:r>
        <w:rPr>
          <w:rFonts w:ascii="Times New Roman" w:cs="Times New Roman" w:eastAsia="Times New Roman" w:hAnsi="Times New Roman"/>
          <w:sz w:val="17"/>
          <w:szCs w:val="17"/>
          <w:color w:val="auto"/>
        </w:rPr>
        <w:t>E365 subscriptions, which were introduced during the fourth quarter of 2018, provide unrestricted access to our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 606 and 605. Usage is defined as distinct user access on a daily basis. The term of E365 subscriptions aligns with calendar quarters and revenue is recognized based on actual usage.</w:t>
      </w:r>
    </w:p>
    <w:p>
      <w:pPr>
        <w:spacing w:after="0" w:line="63" w:lineRule="exact"/>
        <w:rPr>
          <w:sz w:val="20"/>
          <w:szCs w:val="20"/>
          <w:color w:val="auto"/>
        </w:rPr>
      </w:pPr>
    </w:p>
    <w:p>
      <w:pPr>
        <w:ind w:left="140" w:right="5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color w:val="auto"/>
        </w:rPr>
        <w:t>: We provide annual, quarterly, and monthly term licenses for our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license subscriptions contain a term license component and SELECT maintenance and support. Revenue is allocated to the various performance obligations based on their standalone selling price (“SSP”). ATL are generally prepaid annually for named user access to specific products. QTL subscriptions allow accounts to pay quarterly in arrears for license usage that is beyond their prepaid subscriptions. MTL subscriptions are identical to QTL subscriptions, except for the term of the license, and the manner in which they are monetized. MTL subscriptions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3" w:name="page104"/>
    <w:bookmarkEnd w:id="10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73" w:lineRule="auto"/>
        <w:rPr>
          <w:sz w:val="20"/>
          <w:szCs w:val="20"/>
          <w:color w:val="auto"/>
        </w:rPr>
      </w:pPr>
      <w:r>
        <w:rPr>
          <w:rFonts w:ascii="Times New Roman" w:cs="Times New Roman" w:eastAsia="Times New Roman" w:hAnsi="Times New Roman"/>
          <w:sz w:val="17"/>
          <w:szCs w:val="17"/>
          <w:color w:val="auto"/>
        </w:rPr>
        <w:t xml:space="preserve">require a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7"/>
          <w:szCs w:val="17"/>
          <w:i w:val="1"/>
          <w:iCs w:val="1"/>
          <w:color w:val="auto"/>
        </w:rPr>
        <w:t>Deferred revenues</w:t>
      </w:r>
      <w:r>
        <w:rPr>
          <w:rFonts w:ascii="Times New Roman" w:cs="Times New Roman" w:eastAsia="Times New Roman" w:hAnsi="Times New Roman"/>
          <w:sz w:val="17"/>
          <w:szCs w:val="17"/>
          <w:color w:val="auto"/>
        </w:rPr>
        <w:t xml:space="preserve"> in the consolidated balance sheets. Under Topic 605, 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63" w:lineRule="exact"/>
        <w:rPr>
          <w:sz w:val="20"/>
          <w:szCs w:val="20"/>
          <w:color w:val="auto"/>
        </w:rPr>
      </w:pPr>
    </w:p>
    <w:p>
      <w:pPr>
        <w:ind w:left="140" w:right="159" w:firstLine="324"/>
        <w:spacing w:after="0" w:line="266"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our ProjectWise and AssetWise systems. Our standard offerings are usage based with monetization through our CSS program.</w:t>
      </w:r>
    </w:p>
    <w:p>
      <w:pPr>
        <w:spacing w:after="0" w:line="68"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Software and services consumed under CSS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pursuant to the applicable revenue recognition guidance for the respective software or service and classified as subscriptions or services based on their respective nature.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119"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 606. Under Topic 605, the Company recognized perpetual licenses revenue ratably over a three-year term due to the portfolio balancing feature users obtain through their SELECT subscriptions.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19"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 (i) delivery of the services in the form of subscription-like, packaged offerings which are annually recurring in nature, and (ii) delivery of our growing portfolio of Success Plans. Success Plans are standard offerings which offer a level of subscription service above the standard technical support offered to all accounts as part of their SELECT or Enterprise agreement. Revenues are recognized as services are performed under both Topic 606 and 605.</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19" w:lineRule="exact"/>
        <w:rPr>
          <w:sz w:val="20"/>
          <w:szCs w:val="20"/>
          <w:color w:val="auto"/>
        </w:rPr>
      </w:pPr>
    </w:p>
    <w:p>
      <w:pPr>
        <w:ind w:left="140" w:right="219" w:firstLine="32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Our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67"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4" w:name="page105"/>
    <w:bookmarkEnd w:id="10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55" w:lineRule="auto"/>
        <w:rPr>
          <w:sz w:val="20"/>
          <w:szCs w:val="20"/>
          <w:color w:val="auto"/>
        </w:rPr>
      </w:pPr>
      <w:r>
        <w:rPr>
          <w:rFonts w:ascii="Times New Roman" w:cs="Times New Roman" w:eastAsia="Times New Roman" w:hAnsi="Times New Roman"/>
          <w:sz w:val="18"/>
          <w:szCs w:val="18"/>
          <w:color w:val="auto"/>
        </w:rPr>
        <w:t xml:space="preserve">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As of December 31, 2019, we had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 As of June 30, 2020, we have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79" w:lineRule="exact"/>
        <w:rPr>
          <w:sz w:val="20"/>
          <w:szCs w:val="20"/>
          <w:color w:val="auto"/>
        </w:rPr>
      </w:pPr>
    </w:p>
    <w:p>
      <w:pPr>
        <w:ind w:left="140" w:right="4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allocate the fair value of the consideration transferred to the assets acquired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assumed, including trademarks, customer relationships, in-process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77"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72" w:lineRule="exact"/>
        <w:rPr>
          <w:sz w:val="20"/>
          <w:szCs w:val="20"/>
          <w:color w:val="auto"/>
        </w:rPr>
      </w:pPr>
    </w:p>
    <w:p>
      <w:pPr>
        <w:ind w:left="1120" w:hanging="328"/>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maintenance agreements, and acquired developed technologies;</w:t>
      </w:r>
    </w:p>
    <w:p>
      <w:pPr>
        <w:spacing w:after="0" w:line="117" w:lineRule="exact"/>
        <w:rPr>
          <w:rFonts w:ascii="Times New Roman" w:cs="Times New Roman" w:eastAsia="Times New Roman" w:hAnsi="Times New Roman"/>
          <w:sz w:val="18"/>
          <w:szCs w:val="18"/>
          <w:color w:val="auto"/>
        </w:rPr>
      </w:pPr>
    </w:p>
    <w:p>
      <w:pPr>
        <w:jc w:val="both"/>
        <w:ind w:left="1120" w:right="279" w:hanging="328"/>
        <w:spacing w:after="0" w:line="312" w:lineRule="auto"/>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acquired company’s trade name and customer relationships as well as assumptions about the period of time the acquired trade name and customer relationships will continue to be used in our product portfolio;</w:t>
      </w:r>
    </w:p>
    <w:p>
      <w:pPr>
        <w:spacing w:after="0" w:line="31" w:lineRule="exact"/>
        <w:rPr>
          <w:rFonts w:ascii="Times New Roman" w:cs="Times New Roman" w:eastAsia="Times New Roman" w:hAnsi="Times New Roman"/>
          <w:sz w:val="17"/>
          <w:szCs w:val="17"/>
          <w:color w:val="auto"/>
        </w:rPr>
      </w:pPr>
    </w:p>
    <w:p>
      <w:pPr>
        <w:ind w:left="1120" w:right="279" w:hanging="328"/>
        <w:spacing w:after="0" w:line="282" w:lineRule="auto"/>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the in-process research and development into commercially viable software and estimated cash flows from the projects when completed; and</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117"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73"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Intangible assets arise from acquisitions and principally consist of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customer relationships, and acquired software and technology. Intangibles, other than goodwill, are amortized on a straight-line basis over their estimated useful lives, which range from three to ten years (see Note 6 to our consolidated financial statements included elsewhere in this prospectus).</w:t>
      </w:r>
    </w:p>
    <w:p>
      <w:pPr>
        <w:spacing w:after="0" w:line="74"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Instead, it is tested annually for impairment, or more frequently if events occur or circumstances change that would more likely than not reduce its fair value below its carrying amount. We operate as a single reporting unit.</w:t>
      </w:r>
    </w:p>
    <w:p>
      <w:pPr>
        <w:spacing w:after="0" w:line="72"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us to determine the reporting unit’s fair value and compare it to the carrying value, including goodwill, of such reporting unit. As part of the assessment, an entity may first qualitatively assess whether it is more likely than not (a likelihood of more than 50 percent) that a goodwill impairment exists. In evaluating whether it is more likely than not that a goodwill impairment exists, we consider the factors identified in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also consider whether there are significant differences between the carrying amount and the estimated fair value of its assets and liabilities, and the existence of significant unrecognized intangible assets. Based upon our most recent annual impairment assessment completed as of October 1, 2019, it is not more likely than not that a goodwill impairment exists. There was no impairment of goodwill as a result of our annual impairment assessments conducted during the years ended December 31, 2018 or 2019.</w:t>
      </w:r>
    </w:p>
    <w:p>
      <w:pPr>
        <w:spacing w:after="0" w:line="78"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Property and equipment are recorded at cost less accumulated depreciation.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19"/>
        <w:spacing w:after="0" w:line="282" w:lineRule="auto"/>
        <w:rPr>
          <w:sz w:val="20"/>
          <w:szCs w:val="20"/>
          <w:color w:val="auto"/>
        </w:rPr>
      </w:pPr>
      <w:r>
        <w:rPr>
          <w:rFonts w:ascii="Times New Roman" w:cs="Times New Roman" w:eastAsia="Times New Roman" w:hAnsi="Times New Roman"/>
          <w:sz w:val="18"/>
          <w:szCs w:val="18"/>
          <w:color w:val="auto"/>
        </w:rPr>
        <w:t>once it is placed in service and depreciation for buildings and leasehold improvements commences once they are ready for their intended use.</w:t>
      </w:r>
    </w:p>
    <w:p>
      <w:pPr>
        <w:spacing w:after="0" w:line="54"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66"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a lease at inception. Operating leases are included in</w:t>
      </w:r>
      <w:r>
        <w:rPr>
          <w:rFonts w:ascii="Times New Roman" w:cs="Times New Roman" w:eastAsia="Times New Roman" w:hAnsi="Times New Roman"/>
          <w:sz w:val="18"/>
          <w:szCs w:val="18"/>
          <w:i w:val="1"/>
          <w:iCs w:val="1"/>
          <w:color w:val="auto"/>
        </w:rPr>
        <w:t xml:space="preserve"> Operating lease right-of-use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Operating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Long-term operating lease liabilities </w:t>
      </w:r>
      <w:r>
        <w:rPr>
          <w:rFonts w:ascii="Times New Roman" w:cs="Times New Roman" w:eastAsia="Times New Roman" w:hAnsi="Times New Roman"/>
          <w:sz w:val="18"/>
          <w:szCs w:val="18"/>
          <w:color w:val="auto"/>
        </w:rPr>
        <w:t>in our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sheets. Operating lease right-of-use assets represent our right to use an underlying asset for the lease term and operating lease liabilities represent our obligation to make lease payments arising from the lease. Operating lease right-of-use assets and operating lease liabilities are recognized at the commencement date based on the present value of lease payments over the lease term. We use our incremental borrowing rate, if our leases do not provide an implicit rate, based on the information available at the commencement date in determining the present value of lease payments. The incremental borrowing rate is determined based on our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straight-line basis over the lease term. Our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 equipment, net, Accruals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liabilities </w:t>
      </w:r>
      <w:r>
        <w:rPr>
          <w:rFonts w:ascii="Times New Roman" w:cs="Times New Roman" w:eastAsia="Times New Roman" w:hAnsi="Times New Roman"/>
          <w:sz w:val="18"/>
          <w:szCs w:val="18"/>
          <w:color w:val="auto"/>
        </w:rPr>
        <w:t>in our consolidated balance sheet.</w:t>
      </w:r>
    </w:p>
    <w:p>
      <w:pPr>
        <w:spacing w:after="0" w:line="77" w:lineRule="exact"/>
        <w:rPr>
          <w:sz w:val="20"/>
          <w:szCs w:val="20"/>
          <w:color w:val="auto"/>
        </w:rPr>
      </w:pPr>
    </w:p>
    <w:p>
      <w:pPr>
        <w:ind w:left="140" w:right="2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establish an allowance for doubtful accounts for estimated losses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accounts receivable collection process. The allowance for doubtful accounts is presented separately in the consolidated balance sheet and reduces the accounts receivable balance to the net realizable value of the outstanding accounts and installment receivables. The development of the allowance for doubtful accounts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79"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We consider current economic trends when evaluating the adequacy of the allowance for doubtful accounts. If circumstances relating to specific customers change or unanticipated changes occur in the general business environment, our estimate of the recoverability of receivables could be further adjusted.</w:t>
      </w:r>
    </w:p>
    <w:p>
      <w:pPr>
        <w:spacing w:after="0" w:line="64"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31, 2020, we entered into an interest rate swap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notional amount of $200,000 and a ten-year term to reduce the interest rate risk associated with our Credit Facility.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 the consolidated statements of operations. The bank counterparty to the derivative potentially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exposes us to credit-related losses in the event of nonperformance. To mitigate that risk, we only contract with counterparties who meet our minimum requirements under our counterparty risk assessment process. We monitor counterparty risk on at least a quarterly basis and adjusts our exposure as necessary. We do not enter into derivative instrument transactions for trading or speculative purposes.</w:t>
      </w:r>
    </w:p>
    <w:p>
      <w:pPr>
        <w:spacing w:after="0" w:line="79"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under the asset and liability method, which requires the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and liabilities for the 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spacing w:after="0" w:line="77"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In the event we determine that we will not be able to realize deferred income tax assets in the future in excess of our net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559"/>
        <w:spacing w:after="0" w:line="282" w:lineRule="auto"/>
        <w:rPr>
          <w:sz w:val="20"/>
          <w:szCs w:val="20"/>
          <w:color w:val="auto"/>
        </w:rPr>
      </w:pPr>
      <w:r>
        <w:rPr>
          <w:rFonts w:ascii="Times New Roman" w:cs="Times New Roman" w:eastAsia="Times New Roman" w:hAnsi="Times New Roman"/>
          <w:sz w:val="18"/>
          <w:szCs w:val="18"/>
          <w:color w:val="auto"/>
        </w:rPr>
        <w:t>recorded amount, an adjustment to the valuation allowance would be recorded that would increase the provision for income taxes.</w:t>
      </w:r>
    </w:p>
    <w:p>
      <w:pPr>
        <w:spacing w:after="0" w:line="54"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December 22, 2017, the U.S. Tax Cuts and Jobs Act was enacted. This act,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We completed our accounting for the effects of this legislation in 2018 and have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accompanying consolidated statements of operations.</w:t>
      </w:r>
    </w:p>
    <w:p>
      <w:pPr>
        <w:spacing w:after="0" w:line="75"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We perform a quarterly assessment of the recoverability of the net deferred tax assets and believe that we will generate sufficient future taxable income in appropriate tax jurisdictions to realize the net deferred tax assets. Our judgment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92"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in numerous foreign jurisdictions. As part of the process of preparing our consolidated financial statements, we are required to calculate our income tax expense based on taxable income by jurisdiction. There are many transactions and calculations about which the ultimate tax outcome is uncertain. As a result, our calculations involve estimates by management. Some of these uncertainties arise as a consequence of revenue-sharing, cost-reimbursement and transfer pricing arrangements among related entities, and the differing tax treatment of revenue and cost items across various jurisdictions. If we were compelled to revise or to account differently for our arrangements, that revision could affect our tax liability. While we believe the positions we have taken are appropriate, we record reserves for taxes to address potential exposures involving tax positions that we believe could be challenged by taxing authorities. We record a benefit on a tax position when we determine that it is more likely than not that the position is sustainable upon examination, including resolution of any related appeals or litigation processes, based on the technical merits of the position. For tax positions that are more likely than not to be sustained, we measure the tax position at the largest amount of benefit that has a greater than 50 percent likelihood of being realized when it is effectively settled.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line in the consolidated statements of operations. Accrued interest and penalties are included within the related tax liability line in the consolidated balance sheets.</w:t>
      </w:r>
    </w:p>
    <w:p>
      <w:pPr>
        <w:spacing w:after="0" w:line="82"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record all stock-based compensation as an expense in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15 to our consolidated financial statements included elsewhere in this prospectus).</w:t>
      </w:r>
    </w:p>
    <w:p>
      <w:pPr>
        <w:spacing w:after="0" w:line="77"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The determination of the fair value of stock-based payment awards using an option pricing model is affected by our stock price as well as assumptions regarding a number of subjective variables. These variables include our estimated stock price, volatility over the term of the awards, expected term, risk-free interest rates, and expected dividends. The expected stock price volatility for our common stock is estimated by taking the average historic price volatility for industry peers based on daily price observations over a period equivalent to the expected term of the stock option grants. We intend to continue to consistently apply this process using the same or similar public companies until a sufficient amount of historical information regarding the volatility of our own common stock share price becomes available. The expected term is based on the simplified method, which represents the average period from vesting to the expiration of the award. The risk-free interest rate is based on the U.S. Treasury yield curve with a remaining term equal to the expected life assumed at grant date.</w:t>
      </w:r>
    </w:p>
    <w:p>
      <w:pPr>
        <w:spacing w:after="0" w:line="84" w:lineRule="exact"/>
        <w:rPr>
          <w:sz w:val="20"/>
          <w:szCs w:val="20"/>
          <w:color w:val="auto"/>
        </w:rPr>
      </w:pPr>
    </w:p>
    <w:p>
      <w:pPr>
        <w:ind w:left="140" w:right="3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We have historically been a privately held company with no active public market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We are required to estimate the fair value of the common stock underlying our stock-based awards. The fair value of the common stock underlying our equity-based awards was determined by our board 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699"/>
        <w:spacing w:after="0" w:line="282" w:lineRule="auto"/>
        <w:rPr>
          <w:sz w:val="20"/>
          <w:szCs w:val="20"/>
          <w:color w:val="auto"/>
        </w:rPr>
      </w:pPr>
      <w:r>
        <w:rPr>
          <w:rFonts w:ascii="Times New Roman" w:cs="Times New Roman" w:eastAsia="Times New Roman" w:hAnsi="Times New Roman"/>
          <w:sz w:val="18"/>
          <w:szCs w:val="18"/>
          <w:color w:val="auto"/>
        </w:rPr>
        <w:t>directors, with input from management and contemporaneous third-party valuations. We believe that our board of directors has the relevant experience and expertise to determine the fair value of our common stock.</w:t>
      </w:r>
    </w:p>
    <w:p>
      <w:pPr>
        <w:spacing w:after="0" w:line="54" w:lineRule="exact"/>
        <w:rPr>
          <w:sz w:val="20"/>
          <w:szCs w:val="20"/>
          <w:color w:val="auto"/>
        </w:rPr>
      </w:pPr>
    </w:p>
    <w:p>
      <w:pPr>
        <w:ind w:left="140" w:right="1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Prior to the offering, and given the absence of a public trading market for our common stock, and in accordance with the American Institute of Certified Public Accountants practice guide, </w:t>
      </w:r>
      <w:r>
        <w:rPr>
          <w:rFonts w:ascii="Times New Roman" w:cs="Times New Roman" w:eastAsia="Times New Roman" w:hAnsi="Times New Roman"/>
          <w:sz w:val="17"/>
          <w:szCs w:val="17"/>
          <w:i w:val="1"/>
          <w:iCs w:val="1"/>
          <w:color w:val="auto"/>
        </w:rPr>
        <w:t>Valuation of Privately-Held-Company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Securities Issued as Compensation</w:t>
      </w:r>
      <w:r>
        <w:rPr>
          <w:rFonts w:ascii="Times New Roman" w:cs="Times New Roman" w:eastAsia="Times New Roman" w:hAnsi="Times New Roman"/>
          <w:sz w:val="17"/>
          <w:szCs w:val="17"/>
          <w:color w:val="auto"/>
        </w:rPr>
        <w:t>, our board of directors exercised reasonable judgment and considered numerous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objective and subjective factors to determine the best estimate of the fair value of our common stock, including:</w:t>
      </w:r>
    </w:p>
    <w:p>
      <w:pPr>
        <w:spacing w:after="0" w:line="56" w:lineRule="exact"/>
        <w:rPr>
          <w:sz w:val="20"/>
          <w:szCs w:val="20"/>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valuations performed by an unrelated third-party valuation specialist;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and its history;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forecast;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estimated future cash flows;</w:t>
      </w:r>
    </w:p>
    <w:p>
      <w:pPr>
        <w:spacing w:after="0" w:line="117" w:lineRule="exact"/>
        <w:rPr>
          <w:rFonts w:ascii="Times New Roman" w:cs="Times New Roman" w:eastAsia="Times New Roman" w:hAnsi="Times New Roman"/>
          <w:sz w:val="18"/>
          <w:szCs w:val="18"/>
          <w:color w:val="auto"/>
        </w:rPr>
      </w:pPr>
    </w:p>
    <w:p>
      <w:pPr>
        <w:ind w:left="1120" w:right="759" w:hanging="328"/>
        <w:spacing w:after="0" w:line="282" w:lineRule="auto"/>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listing, or sale of our Company, given prevailing market condition and the nature and history of our business;</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necessary to recognize a lack of marketability for our common stock;</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117"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generally using the income approach and the market comparable approach valuation methods.</w:t>
      </w:r>
    </w:p>
    <w:p>
      <w:pPr>
        <w:spacing w:after="0" w:line="54"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75"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75"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 Changes in any or all of these estimates and assumptions or the relationships between those assumptions impacts our valuations as of each valuation date.</w:t>
      </w:r>
    </w:p>
    <w:p>
      <w:pPr>
        <w:spacing w:after="0" w:line="75"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grant date, all options awards since January 1, 2018 under our stockholder-approved plan. The estimated fair value per share of common stock in the table below represents the determination by our board of directors of the fair value of our common stock as of the date of grant, taking into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79"/>
        <w:spacing w:after="0" w:line="282" w:lineRule="auto"/>
        <w:rPr>
          <w:sz w:val="20"/>
          <w:szCs w:val="20"/>
          <w:color w:val="auto"/>
        </w:rPr>
      </w:pPr>
      <w:r>
        <w:rPr>
          <w:rFonts w:ascii="Times New Roman" w:cs="Times New Roman" w:eastAsia="Times New Roman" w:hAnsi="Times New Roman"/>
          <w:sz w:val="18"/>
          <w:szCs w:val="18"/>
          <w:color w:val="auto"/>
        </w:rPr>
        <w:t>consideration the various objective and subjective factors described above, including the conclusions, if applicable, of contemporaneous valuations of our common stock.</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per Share of</w:t>
            </w: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Underlying Options</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5,096,000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March 2019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March 2020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provided in Section 7(a)(2)(B) of the Securities Act, as amended by Section 102(b)(1) of the JOBS Act, for complying</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with new or revised accounting standards. This permits an “emerging growth company” to delay the adoption of new or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revised accounting standards that have different effective dates for public and private companies until those standards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would otherwise apply to private companies. We have elected to use the extended transition period provided in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Section 7(a)(2)(B) for complying with new or revised accounting standards that have different effective dates for public</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and private companies until the earlier of the date we (i) are no longer an “emerging growth company” or</w:t>
      </w:r>
    </w:p>
    <w:p>
      <w:pPr>
        <w:spacing w:after="0" w:line="9" w:lineRule="exact"/>
        <w:rPr>
          <w:sz w:val="20"/>
          <w:szCs w:val="20"/>
          <w:color w:val="auto"/>
        </w:rPr>
      </w:pPr>
    </w:p>
    <w:p>
      <w:pPr>
        <w:jc w:val="both"/>
        <w:ind w:left="140" w:right="399" w:firstLine="4"/>
        <w:spacing w:after="0" w:line="255" w:lineRule="auto"/>
        <w:tabs>
          <w:tab w:leader="none" w:pos="4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Section 7(a)(2)(B). As a result, our consolidated financial statements may not be comparable to those of companies that comply with public company effective dates.</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SEC regulations.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40" w:right="219"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guidance and the impact of this guidance on our consolidated financial statements, see Note 2 to our consolidated financial statements included elsewhere in this prospectus.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70"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revenue, earnings, cash flows, receivables, and payables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and Chinese Yuan Renminbi. For the year ended December 31, 2019, approximately 58% of our revenues are derived from outside of the United States and approximately 47% of our revenues are denominated in foreign currencies. In 2019, 53%, 14%, 7%, and 26% of our revenues were denominated in U.S. Dollars, Euros, British Pounds, and other currencies, respectively, and 54%, 17%, 8%, and 21% of our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2019 annual operating income by approximately $10,200.</w:t>
      </w:r>
    </w:p>
    <w:p>
      <w:pPr>
        <w:spacing w:after="0" w:line="82" w:lineRule="exact"/>
        <w:rPr>
          <w:sz w:val="20"/>
          <w:szCs w:val="20"/>
          <w:color w:val="auto"/>
        </w:rPr>
      </w:pPr>
    </w:p>
    <w:p>
      <w:pPr>
        <w:ind w:left="140" w:right="359"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Interest rate risk. </w:t>
      </w:r>
      <w:r>
        <w:rPr>
          <w:rFonts w:ascii="Times New Roman" w:cs="Times New Roman" w:eastAsia="Times New Roman" w:hAnsi="Times New Roman"/>
          <w:sz w:val="17"/>
          <w:szCs w:val="17"/>
          <w:color w:val="auto"/>
        </w:rPr>
        <w:t>We had cash and cash equivalents of $121,101 and $125,516 as of December 31, 2019 and June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 2020,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39"/>
        <w:spacing w:after="0" w:line="254" w:lineRule="auto"/>
        <w:rPr>
          <w:sz w:val="20"/>
          <w:szCs w:val="20"/>
          <w:color w:val="auto"/>
        </w:rPr>
      </w:pPr>
      <w:r>
        <w:rPr>
          <w:rFonts w:ascii="Times New Roman" w:cs="Times New Roman" w:eastAsia="Times New Roman" w:hAnsi="Times New Roman"/>
          <w:sz w:val="18"/>
          <w:szCs w:val="18"/>
          <w:color w:val="auto"/>
        </w:rPr>
        <w:t>increasing risk. The interest rates on the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swap, we fixed our LIBOR borrowing rate at 0.73% on a notional amount of $200,000 and for a period of ten years. We do not enter into investments or derivative instruments for trading or speculative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78" w:lineRule="exact"/>
        <w:rPr>
          <w:sz w:val="20"/>
          <w:szCs w:val="20"/>
          <w:color w:val="auto"/>
        </w:rPr>
      </w:pPr>
    </w:p>
    <w:p>
      <w:pPr>
        <w:ind w:left="140" w:right="6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risk. </w:t>
      </w:r>
      <w:r>
        <w:rPr>
          <w:rFonts w:ascii="Times New Roman" w:cs="Times New Roman" w:eastAsia="Times New Roman" w:hAnsi="Times New Roman"/>
          <w:sz w:val="18"/>
          <w:szCs w:val="18"/>
          <w:color w:val="auto"/>
        </w:rPr>
        <w:t>We do not believe that inflation has had a material effect on our business, financial condition,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FOUNDERS’ PERSPECTIVES: LETTER FROM GREG, BARRY, KEITH, AND RAY BENTLEY</w:t>
      </w:r>
    </w:p>
    <w:p>
      <w:pPr>
        <w:spacing w:after="0" w:line="121" w:lineRule="exact"/>
        <w:rPr>
          <w:sz w:val="20"/>
          <w:szCs w:val="20"/>
          <w:color w:val="auto"/>
        </w:rPr>
      </w:pPr>
    </w:p>
    <w:p>
      <w:pPr>
        <w:ind w:left="140" w:right="239" w:firstLine="648"/>
        <w:spacing w:after="0" w:line="256" w:lineRule="auto"/>
        <w:rPr>
          <w:sz w:val="20"/>
          <w:szCs w:val="20"/>
          <w:color w:val="auto"/>
        </w:rPr>
      </w:pPr>
      <w:r>
        <w:rPr>
          <w:rFonts w:ascii="Times New Roman" w:cs="Times New Roman" w:eastAsia="Times New Roman" w:hAnsi="Times New Roman"/>
          <w:sz w:val="18"/>
          <w:szCs w:val="18"/>
          <w:color w:val="auto"/>
        </w:rPr>
        <w:t>Thank you for your interest in purchasing shares of Bentley Systems, which would make us fellow investors in advancing infrastructure through going digital. As the majority owners and majority of Board members, we realize that this is our opportunity to help you understand our corporate philosophy, so that you can consider whether it aligns with your investment preferences. In a nutshell, we hope that our approach tolerably coincides with how you would make decisions in managing your own family’s company, but we want to best inform your investment choice by being direct and factual about our history and plans for the future.</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Bentley Systems: 1984 - 2020</w:t>
      </w:r>
    </w:p>
    <w:p>
      <w:pPr>
        <w:spacing w:after="0" w:line="121" w:lineRule="exact"/>
        <w:rPr>
          <w:sz w:val="20"/>
          <w:szCs w:val="20"/>
          <w:color w:val="auto"/>
        </w:rPr>
      </w:pPr>
    </w:p>
    <w:p>
      <w:pPr>
        <w:ind w:left="140" w:right="239" w:firstLine="648"/>
        <w:spacing w:after="0" w:line="261" w:lineRule="auto"/>
        <w:rPr>
          <w:sz w:val="20"/>
          <w:szCs w:val="20"/>
          <w:color w:val="auto"/>
        </w:rPr>
      </w:pPr>
      <w:r>
        <w:rPr>
          <w:rFonts w:ascii="Times New Roman" w:cs="Times New Roman" w:eastAsia="Times New Roman" w:hAnsi="Times New Roman"/>
          <w:sz w:val="18"/>
          <w:szCs w:val="18"/>
          <w:color w:val="auto"/>
        </w:rPr>
        <w:t>Barry, Keith, and Ray are respectively chemical, electrical, and mechanical engineers who have spent their entire careers in software. Even Greg, prior to joining the rest of us, was a successful developer of software for what he characterizes as “financial engineering.” Having engineer types in charge seems to have worked for us, perhaps because of the correspondence to our end market of infrastructure engineering.</w:t>
      </w:r>
    </w:p>
    <w:p>
      <w:pPr>
        <w:spacing w:after="0" w:line="72" w:lineRule="exact"/>
        <w:rPr>
          <w:sz w:val="20"/>
          <w:szCs w:val="20"/>
          <w:color w:val="auto"/>
        </w:rPr>
      </w:pPr>
    </w:p>
    <w:p>
      <w:pPr>
        <w:ind w:left="140" w:right="259" w:firstLine="648"/>
        <w:spacing w:after="0" w:line="261" w:lineRule="auto"/>
        <w:rPr>
          <w:sz w:val="20"/>
          <w:szCs w:val="20"/>
          <w:color w:val="auto"/>
        </w:rPr>
      </w:pPr>
      <w:r>
        <w:rPr>
          <w:rFonts w:ascii="Times New Roman" w:cs="Times New Roman" w:eastAsia="Times New Roman" w:hAnsi="Times New Roman"/>
          <w:sz w:val="18"/>
          <w:szCs w:val="18"/>
          <w:color w:val="auto"/>
        </w:rPr>
        <w:t>The four of us are not selling shares in this offering, nor do we contemplate any “exit” other than (as we are all aged in our early 60s) in due course following the example of Barry, who retired at the beginning of this year but remains active on our Board. We plan to continue our modest regular dividend, which will serve to encourage this orderly progression.</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From entrepreneurial experience, we are strong believers in the motivating “secret sauce” of equity ownership.</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realize that our own success in software correlates directly with our colleagues’ quality, motivation, and retention.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Genuinely shared commitment is contagious and powerful, leading ultimately to this public company destiny.</w:t>
      </w:r>
    </w:p>
    <w:p>
      <w:pPr>
        <w:spacing w:after="0" w:line="99" w:lineRule="exact"/>
        <w:rPr>
          <w:sz w:val="20"/>
          <w:szCs w:val="20"/>
          <w:color w:val="auto"/>
        </w:rPr>
      </w:pPr>
    </w:p>
    <w:p>
      <w:pPr>
        <w:ind w:left="140" w:right="219" w:firstLine="648"/>
        <w:spacing w:after="0" w:line="255" w:lineRule="auto"/>
        <w:rPr>
          <w:sz w:val="20"/>
          <w:szCs w:val="20"/>
          <w:color w:val="auto"/>
        </w:rPr>
      </w:pPr>
      <w:r>
        <w:rPr>
          <w:rFonts w:ascii="Times New Roman" w:cs="Times New Roman" w:eastAsia="Times New Roman" w:hAnsi="Times New Roman"/>
          <w:sz w:val="18"/>
          <w:szCs w:val="18"/>
          <w:color w:val="auto"/>
        </w:rPr>
        <w:t>Over 1,200 of our colleagues (and by now, some are retirees) have earned over one-third of our company’s ownership through our pervasive stock incentive programs. Facilitated by the NASDAQ Private Market since 2016, some have sold shares to our strategic alliance partner Siemens at pre-arranged share prices. This public listing fulfills our intention for our colleagues to be rewarded, for having devoted their prime working lives, with the deserved satisfaction of their equity being valued by the independent market, rather than by formula. To complete our goal of colleague ownership, we have preceded this IPO with grants of nearly one million shares distributed across every one of our approximately 4,000 colleagues.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BSY: 2020 - …</w:t>
      </w:r>
    </w:p>
    <w:p>
      <w:pPr>
        <w:spacing w:after="0" w:line="121" w:lineRule="exact"/>
        <w:rPr>
          <w:sz w:val="20"/>
          <w:szCs w:val="20"/>
          <w:color w:val="auto"/>
        </w:rPr>
      </w:pPr>
    </w:p>
    <w:p>
      <w:pPr>
        <w:ind w:left="140" w:right="179" w:firstLine="648"/>
        <w:spacing w:after="0" w:line="254" w:lineRule="auto"/>
        <w:rPr>
          <w:sz w:val="20"/>
          <w:szCs w:val="20"/>
          <w:color w:val="auto"/>
        </w:rPr>
      </w:pPr>
      <w:r>
        <w:rPr>
          <w:rFonts w:ascii="Times New Roman" w:cs="Times New Roman" w:eastAsia="Times New Roman" w:hAnsi="Times New Roman"/>
          <w:sz w:val="18"/>
          <w:szCs w:val="18"/>
          <w:color w:val="auto"/>
        </w:rPr>
        <w:t>Because the “no drama” continuity assured by family stewardship has proven to be a significant competitive advantage from the standpoint of our accounts and our colleagues, BSY will be structured to remain protected from hostile acquirors and/or activist investors with short-term agendas. Rather than compromising our focus, when public we intend to steadfastly adhere to the consistent long-term decision horizon which has guided us as a private company. We will prioritize proactive investments when we believe substantial opportunities will sufficiently benefit our future, even if that might jeopardize short-term expectations. So while we will continue to hold ourselves accountable to become more efficient as we consistently grow, and while our cumulative subscription preponderance and operating discipline enable relatively strong near-term visibility, we will not concentrate on quarterly performance metrics.</w:t>
      </w:r>
    </w:p>
    <w:p>
      <w:pPr>
        <w:spacing w:after="0" w:line="84" w:lineRule="exact"/>
        <w:rPr>
          <w:sz w:val="20"/>
          <w:szCs w:val="20"/>
          <w:color w:val="auto"/>
        </w:rPr>
      </w:pPr>
    </w:p>
    <w:p>
      <w:pPr>
        <w:ind w:left="140" w:right="379" w:firstLine="648"/>
        <w:spacing w:after="0" w:line="258" w:lineRule="auto"/>
        <w:rPr>
          <w:sz w:val="20"/>
          <w:szCs w:val="20"/>
          <w:color w:val="auto"/>
        </w:rPr>
      </w:pPr>
      <w:r>
        <w:rPr>
          <w:rFonts w:ascii="Times New Roman" w:cs="Times New Roman" w:eastAsia="Times New Roman" w:hAnsi="Times New Roman"/>
          <w:sz w:val="18"/>
          <w:szCs w:val="18"/>
          <w:color w:val="auto"/>
        </w:rPr>
        <w:t>Compounding short-term measurement issues, the noise from new revenue accounting rules creates, in our reported results, misleading volatility that doesn’t exist in economic reality. Therefore, to avoid the risks of misinterpretation by analysts and markets, we intend to refrain from providing quarterly financial guidance. However, we will undertake to update our annual financial guidance when that is merited, in transparent accordance with the metrics that we find most useful internally.</w:t>
      </w:r>
    </w:p>
    <w:p>
      <w:pPr>
        <w:spacing w:after="0" w:line="75" w:lineRule="exact"/>
        <w:rPr>
          <w:sz w:val="20"/>
          <w:szCs w:val="20"/>
          <w:color w:val="auto"/>
        </w:rPr>
      </w:pPr>
    </w:p>
    <w:p>
      <w:pPr>
        <w:ind w:left="140" w:right="259" w:firstLine="648"/>
        <w:spacing w:after="0" w:line="258" w:lineRule="auto"/>
        <w:rPr>
          <w:sz w:val="20"/>
          <w:szCs w:val="20"/>
          <w:color w:val="auto"/>
        </w:rPr>
      </w:pPr>
      <w:r>
        <w:rPr>
          <w:rFonts w:ascii="Times New Roman" w:cs="Times New Roman" w:eastAsia="Times New Roman" w:hAnsi="Times New Roman"/>
          <w:sz w:val="18"/>
          <w:szCs w:val="18"/>
          <w:color w:val="auto"/>
        </w:rPr>
        <w:t>In corporate governance, you can be assured of our alignment with shareholders at large, whom will always be well represented by independent directors of the highest quality. While continuing our established high standards of corporate citizenship, we believe all shareholders are best served by BSY’s undiluted attention to serving our users, our accounts, and our colleagues. It is generally not our business to advocate for causes beyond the self-evident virtues we depend upon: free markets, free trade and globalization, and (private as well as public) infrastructure investment.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59" w:firstLine="648"/>
        <w:spacing w:after="0" w:line="261" w:lineRule="auto"/>
        <w:rPr>
          <w:sz w:val="20"/>
          <w:szCs w:val="20"/>
          <w:color w:val="auto"/>
        </w:rPr>
      </w:pPr>
      <w:r>
        <w:rPr>
          <w:rFonts w:ascii="Times New Roman" w:cs="Times New Roman" w:eastAsia="Times New Roman" w:hAnsi="Times New Roman"/>
          <w:sz w:val="18"/>
          <w:szCs w:val="18"/>
          <w:color w:val="auto"/>
        </w:rPr>
        <w:t>By virtue of long experience we can conclude that for a software company, it is an advantage for key decisions to be made by those whom are literally “in software.” Our unique and trusted technical continuity across successive software generations has established a key competitive differentiator in BSY’s favor, for long-lived infrastructure projects and endless-lived infrastructure assets.</w:t>
      </w:r>
    </w:p>
    <w:p>
      <w:pPr>
        <w:spacing w:after="0" w:line="72" w:lineRule="exact"/>
        <w:rPr>
          <w:sz w:val="20"/>
          <w:szCs w:val="20"/>
          <w:color w:val="auto"/>
        </w:rPr>
      </w:pPr>
    </w:p>
    <w:p>
      <w:pPr>
        <w:ind w:left="140" w:right="179" w:firstLine="648"/>
        <w:spacing w:after="0" w:line="258" w:lineRule="auto"/>
        <w:rPr>
          <w:sz w:val="20"/>
          <w:szCs w:val="20"/>
          <w:color w:val="auto"/>
        </w:rPr>
      </w:pPr>
      <w:r>
        <w:rPr>
          <w:rFonts w:ascii="Times New Roman" w:cs="Times New Roman" w:eastAsia="Times New Roman" w:hAnsi="Times New Roman"/>
          <w:sz w:val="18"/>
          <w:szCs w:val="18"/>
          <w:color w:val="auto"/>
        </w:rPr>
        <w:t>Accordingly, we take most seriously our responsibility for similarly qualified succession in BSY’s executive leadership. We have suitable plans and prospects in mind, including having recently recruited successfully from top levels at leading public software companies. Our successors will have the continuity benefit of many years of anticipated overlap with our Board tenures, but we also have ambitions to improve upon our own leadership, and certainly in dimensions beyond engineering.</w:t>
      </w:r>
    </w:p>
    <w:p>
      <w:pPr>
        <w:spacing w:after="0" w:line="75" w:lineRule="exact"/>
        <w:rPr>
          <w:sz w:val="20"/>
          <w:szCs w:val="20"/>
          <w:color w:val="auto"/>
        </w:rPr>
      </w:pPr>
    </w:p>
    <w:p>
      <w:pPr>
        <w:ind w:left="140" w:right="319" w:firstLine="648"/>
        <w:spacing w:after="0" w:line="258" w:lineRule="auto"/>
        <w:rPr>
          <w:sz w:val="20"/>
          <w:szCs w:val="20"/>
          <w:color w:val="auto"/>
        </w:rPr>
      </w:pPr>
      <w:r>
        <w:rPr>
          <w:rFonts w:ascii="Times New Roman" w:cs="Times New Roman" w:eastAsia="Times New Roman" w:hAnsi="Times New Roman"/>
          <w:sz w:val="18"/>
          <w:szCs w:val="18"/>
          <w:color w:val="auto"/>
        </w:rPr>
        <w:t>Indeed, spending almost all of our careers working with brothers (who are certainly not easily impressed with each other) has hopefully inclined us toward humility rather than hubris. While we are proud of our many next-generation Bentleys in various roles at the company, we have programmed against dynastic succession. In BSY’s dual-class share voting formulation, our voting multiple ratchets down when the director Bentleys leave the Board, and reverts to parity if and when we and our collective heirs might own less than 20% of BSY’s common shares.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BSY: The Infrastructure Engineering Software Company</w:t>
      </w:r>
    </w:p>
    <w:p>
      <w:pPr>
        <w:spacing w:after="0" w:line="121" w:lineRule="exact"/>
        <w:rPr>
          <w:sz w:val="20"/>
          <w:szCs w:val="20"/>
          <w:color w:val="auto"/>
        </w:rPr>
      </w:pPr>
    </w:p>
    <w:p>
      <w:pPr>
        <w:ind w:left="140" w:right="159" w:firstLine="648"/>
        <w:spacing w:after="0" w:line="261" w:lineRule="auto"/>
        <w:rPr>
          <w:sz w:val="20"/>
          <w:szCs w:val="20"/>
          <w:color w:val="auto"/>
        </w:rPr>
      </w:pPr>
      <w:r>
        <w:rPr>
          <w:rFonts w:ascii="Times New Roman" w:cs="Times New Roman" w:eastAsia="Times New Roman" w:hAnsi="Times New Roman"/>
          <w:sz w:val="18"/>
          <w:szCs w:val="18"/>
          <w:color w:val="auto"/>
        </w:rPr>
        <w:t>We feel strongly that BSY’s work since its founding has represented the highest and best use of our collective endeavors. And we have succeeded to date because of the contributions and commitment of our diverse colleagues globally. We have all been brought together and motivated by what we’ve enabled infrastructure engineers to accomplish everywhere.</w:t>
      </w:r>
    </w:p>
    <w:p>
      <w:pPr>
        <w:spacing w:after="0" w:line="99" w:lineRule="exact"/>
        <w:rPr>
          <w:sz w:val="20"/>
          <w:szCs w:val="20"/>
          <w:color w:val="auto"/>
        </w:rPr>
      </w:pPr>
    </w:p>
    <w:p>
      <w:pPr>
        <w:ind w:left="140" w:right="239" w:firstLine="648"/>
        <w:spacing w:after="0" w:line="256" w:lineRule="auto"/>
        <w:rPr>
          <w:sz w:val="20"/>
          <w:szCs w:val="20"/>
          <w:color w:val="auto"/>
        </w:rPr>
      </w:pPr>
      <w:r>
        <w:rPr>
          <w:rFonts w:ascii="Times New Roman" w:cs="Times New Roman" w:eastAsia="Times New Roman" w:hAnsi="Times New Roman"/>
          <w:sz w:val="18"/>
          <w:szCs w:val="18"/>
          <w:color w:val="auto"/>
        </w:rPr>
        <w:t>Our world’s economy and environment rely on physical infrastructure, advanced by infrastructure engineering, which is empowered by infrastructure engineering software. Many global imperatives hinge on infrastructure engineers going digital—including climate mitigation and adaptation, industrialization of project delivery for better infrastructure economics, increased private investment attracted by greater project and asset visibility, and economic development being propagated globally. The pandemic challenges of 2020 underscore the prospective importance of digital twins in sustaining infrastructure’s resilience and fitness for purpose.</w:t>
      </w:r>
    </w:p>
    <w:p>
      <w:pPr>
        <w:spacing w:after="0" w:line="120" w:lineRule="exact"/>
        <w:rPr>
          <w:sz w:val="20"/>
          <w:szCs w:val="20"/>
          <w:color w:val="auto"/>
        </w:rPr>
      </w:pPr>
    </w:p>
    <w:p>
      <w:pPr>
        <w:jc w:val="both"/>
        <w:ind w:left="140" w:right="159" w:firstLine="648"/>
        <w:spacing w:after="0" w:line="257" w:lineRule="auto"/>
        <w:rPr>
          <w:sz w:val="20"/>
          <w:szCs w:val="20"/>
          <w:color w:val="auto"/>
        </w:rPr>
      </w:pPr>
      <w:r>
        <w:rPr>
          <w:rFonts w:ascii="Times New Roman" w:cs="Times New Roman" w:eastAsia="Times New Roman" w:hAnsi="Times New Roman"/>
          <w:sz w:val="18"/>
          <w:szCs w:val="18"/>
          <w:color w:val="auto"/>
        </w:rPr>
        <w:t>There could not be more direct and palpable benefits from software careers than the work of our users, of which we are so proud. In your consideration of a BSY investment, we hope you take some time to review the impressive case studies, nominated for awards for going digital, that have been compiled in our annual Infrastructure Yearbooks.</w:t>
      </w:r>
    </w:p>
    <w:p>
      <w:pPr>
        <w:spacing w:after="0" w:line="1" w:lineRule="exact"/>
        <w:rPr>
          <w:sz w:val="20"/>
          <w:szCs w:val="20"/>
          <w:color w:val="auto"/>
        </w:rPr>
      </w:pPr>
    </w:p>
    <w:p>
      <w:pPr>
        <w:jc w:val="both"/>
        <w:ind w:left="140" w:right="359"/>
        <w:spacing w:after="0" w:line="255" w:lineRule="auto"/>
        <w:rPr>
          <w:sz w:val="20"/>
          <w:szCs w:val="20"/>
          <w:color w:val="auto"/>
        </w:rPr>
      </w:pPr>
      <w:r>
        <w:rPr>
          <w:rFonts w:ascii="Times New Roman" w:cs="Times New Roman" w:eastAsia="Times New Roman" w:hAnsi="Times New Roman"/>
          <w:sz w:val="18"/>
          <w:szCs w:val="18"/>
          <w:color w:val="auto"/>
        </w:rPr>
        <w:t>Whatever you decide about investing with our family, we think you will gain a greater appreciation for infrastructure, infrastructure engineers, and our colleagues responsible for their software—to whom BSY’s public offering is literally dedicated.</w:t>
      </w:r>
    </w:p>
    <w:p>
      <w:pPr>
        <w:spacing w:after="0" w:line="1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/signed</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Greg Bentley</w:t>
      </w:r>
    </w:p>
    <w:p>
      <w:pPr>
        <w:spacing w:after="0" w:line="1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Barry Bentley</w:t>
      </w:r>
    </w:p>
    <w:p>
      <w:pPr>
        <w:spacing w:after="0" w:line="1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Keith Bentley</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Ray Bentley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2" w:name="page113"/>
    <w:bookmarkEnd w:id="112"/>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278130</wp:posOffset>
            </wp:positionH>
            <wp:positionV relativeFrom="page">
              <wp:posOffset>346075</wp:posOffset>
            </wp:positionV>
            <wp:extent cx="6995160" cy="91211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2114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ind w:left="140"/>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21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2114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ind w:left="140"/>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ind w:left="140"/>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1122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112250"/>
                    </a:xfrm>
                    <a:prstGeom prst="rect">
                      <a:avLst/>
                    </a:prstGeom>
                    <a:noFill/>
                  </pic:spPr>
                </pic:pic>
              </a:graphicData>
            </a:graphic>
          </wp:anchor>
        </w:drawing>
      </w:r>
      <w:hyperlink w:anchor="page3">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661" w:right="1440" w:bottom="1440"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88900</wp:posOffset>
            </wp:positionV>
            <wp:extent cx="55378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Mission</w:t>
      </w:r>
    </w:p>
    <w:p>
      <w:pPr>
        <w:spacing w:after="0" w:line="121"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Bentley Systems’ mission is to provide innovative software to advance the design, construction, and operations of the world’s infrastructure—sustaining both the global economy and environment, for improved quality of life.</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121"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78" w:lineRule="exact"/>
        <w:rPr>
          <w:sz w:val="20"/>
          <w:szCs w:val="20"/>
          <w:color w:val="auto"/>
        </w:rPr>
      </w:pPr>
    </w:p>
    <w:p>
      <w:pPr>
        <w:ind w:left="1120" w:right="199" w:hanging="328"/>
        <w:spacing w:after="0" w:line="258" w:lineRule="auto"/>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 / utilities </w:t>
      </w:r>
      <w:r>
        <w:rPr>
          <w:rFonts w:ascii="Times New Roman" w:cs="Times New Roman" w:eastAsia="Times New Roman" w:hAnsi="Times New Roman"/>
          <w:sz w:val="18"/>
          <w:szCs w:val="18"/>
          <w:color w:val="auto"/>
        </w:rPr>
        <w:t xml:space="preserve">(including electric, gas, water, and communications). We estimate that this sector represents 52% of the net infrastructure asset value of the global top 500 infrastructure owners (the “global top 500 infrastructure owners”) based on the 2019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75" w:lineRule="exact"/>
        <w:rPr>
          <w:rFonts w:ascii="Times New Roman" w:cs="Times New Roman" w:eastAsia="Times New Roman" w:hAnsi="Times New Roman"/>
          <w:sz w:val="18"/>
          <w:szCs w:val="18"/>
          <w:color w:val="auto"/>
        </w:rPr>
      </w:pPr>
    </w:p>
    <w:p>
      <w:pPr>
        <w:jc w:val="both"/>
        <w:ind w:left="1120" w:right="279" w:hanging="328"/>
        <w:spacing w:after="0" w:line="267" w:lineRule="auto"/>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 plants)</w:t>
      </w:r>
      <w:r>
        <w:rPr>
          <w:rFonts w:ascii="Times New Roman" w:cs="Times New Roman" w:eastAsia="Times New Roman" w:hAnsi="Times New Roman"/>
          <w:sz w:val="18"/>
          <w:szCs w:val="18"/>
          <w:i w:val="1"/>
          <w:iCs w:val="1"/>
          <w:color w:val="auto"/>
        </w:rPr>
        <w:t xml:space="preserve"> / resources </w:t>
      </w:r>
      <w:r>
        <w:rPr>
          <w:rFonts w:ascii="Times New Roman" w:cs="Times New Roman" w:eastAsia="Times New Roman" w:hAnsi="Times New Roman"/>
          <w:sz w:val="18"/>
          <w:szCs w:val="18"/>
          <w:color w:val="auto"/>
        </w:rPr>
        <w:t>(including oil and gas, mining, and offshore). We estimate that this sector represents 38%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top 500 infrastructure owners’ net infrastructure asset value; and</w:t>
      </w:r>
    </w:p>
    <w:p>
      <w:pPr>
        <w:spacing w:after="0" w:line="65" w:lineRule="exact"/>
        <w:rPr>
          <w:rFonts w:ascii="Times New Roman" w:cs="Times New Roman" w:eastAsia="Times New Roman" w:hAnsi="Times New Roman"/>
          <w:sz w:val="18"/>
          <w:szCs w:val="18"/>
          <w:color w:val="auto"/>
        </w:rPr>
      </w:pPr>
    </w:p>
    <w:p>
      <w:pPr>
        <w:ind w:left="1120" w:right="479" w:hanging="328"/>
        <w:spacing w:after="0" w:line="284" w:lineRule="auto"/>
        <w:tabs>
          <w:tab w:leader="none" w:pos="11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 sector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10% of the global top 500 infrastructure owners’ net infrastructure asset value.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3" w:name="page144"/>
    <w:bookmarkEnd w:id="14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Shown below (in the outer ring of the pie chart) are the proportions of our overall 2019 revenues attributable to these infrastructure sectors (and the indicated subsectors), either related to our products whose purpose is specific to a sector/subsector, or otherwise to use of our other products by accounts which we assign within the sector/subsector. The inner portion of the piechart shows the proportions of our overall 2019 revenues which are not accordingly attributable to any particular sector/subsector, being related to products used across multiple sectors/subsectors by accounts not assignable to a particular sector/subsector. These non-sector/subsector-specific revenues are categorized as either for products within specific infrastructure disciplines (structural or geotechnical), or otherwise within the product groupings of general modeling (including, for example, surveying) or general project delivery (including, for example, for general construction and general asset performance by general project delivery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62865</wp:posOffset>
            </wp:positionV>
            <wp:extent cx="5134610" cy="3008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3461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hanging="316"/>
        <w:spacing w:after="0"/>
        <w:tabs>
          <w:tab w:leader="none" w:pos="4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ASC 606 basis.</w:t>
      </w:r>
    </w:p>
    <w:p>
      <w:pPr>
        <w:spacing w:after="0" w:line="208" w:lineRule="exact"/>
        <w:rPr>
          <w:sz w:val="20"/>
          <w:szCs w:val="20"/>
          <w:color w:val="auto"/>
        </w:rPr>
      </w:pPr>
    </w:p>
    <w:p>
      <w:pPr>
        <w:ind w:left="140" w:right="259" w:firstLine="324"/>
        <w:spacing w:after="0" w:line="258" w:lineRule="auto"/>
        <w:rPr>
          <w:sz w:val="20"/>
          <w:szCs w:val="20"/>
          <w:color w:val="auto"/>
        </w:rPr>
      </w:pPr>
      <w:r>
        <w:rPr>
          <w:rFonts w:ascii="Times New Roman" w:cs="Times New Roman" w:eastAsia="Times New Roman" w:hAnsi="Times New Roman"/>
          <w:sz w:val="18"/>
          <w:szCs w:val="18"/>
          <w:color w:val="auto"/>
        </w:rPr>
        <w:t>Infrastructure assets are among the world’s largest and longest-lived investments, vital to both economic prosperity and environmental health. The quality of a region’s infrastructure directly affects the region’s capacity to meet constituents’ essential needs for water, sanitation, energy, transport, and productive industries. Moreover, infrastructure considerations can affect the rate of global climate change and communities’ vulnerability and resilience to negative climate change outcomes.</w:t>
      </w:r>
    </w:p>
    <w:p>
      <w:pPr>
        <w:spacing w:after="0" w:line="48"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Infrastructure is complex due both to its physical scale and to its need for information connectedness at and between every stage of its lifecycle. Infrastructure design requires the structured collaboration of many engineering disciplines, often requiring globally dispersed teams. Infrastructure construction requires a distributed supply chain to reach an often remote location to realize a unique design. Infrastructure operations are mission critical, and require maintaining performance throughput and fitness-for-purpose for multiple generations. The design, construction, and operations of infrastructure require comprehensive solutions that can support and integrate rigorous workflows across professional disciplines in concert over the infrastructure lifecycle.</w:t>
      </w:r>
    </w:p>
    <w:p>
      <w:pPr>
        <w:spacing w:after="0" w:line="67"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Our business, comprised of more than 4,000 colleagues, includes a “success force” of more than 900 colleagues with experience and credentials in infrastructure engineering. Our success force, coupled with 36 years of singular focus, has enabled us to create what we believe to be the most comprehensive infrastructure engineering software portfolio available today. Our comprehensiveness creates a formidable competitive advantage by providing our users integrated solutions for infrastructure projects and assets of nearly any type, scale, and complexity.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4" w:name="page145"/>
    <w:bookmarkEnd w:id="14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187"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Our revenues are balanced and diversified between engineering and construction contracting firms who work together to deliver the design and construction of capital projects (representing 55% of our 2019 revenues), and their clients, public and private infrastructure asset owners and operators (representing 45% of our 2019 revenues). While engineering and construction contracting firms typically use our Project Lifecycle solutions, owner-operators are often involved in engineering and management for many of their own projects, and so can be users of our Project Lifecycle as well as our Asset Lifecycle solutions.</w:t>
      </w:r>
    </w:p>
    <w:p>
      <w:pPr>
        <w:spacing w:after="0" w:line="79"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Our company’s “Advancing Infrastructure” tagline reflects our enduring track record in successfully leveraging new technologies to improve and integrate the design, construction, and operations of infrastructure, leading to our infrastructure digital twins. An infrastructure digital twin is a cloud-native 4D digital representation of a physical project and resulting asset, incorporating its underlying engineering information, that is applied to model, simulate, analyze, chronicle, and predict its performance over time. By adding digital twin services to our existing solutions, our users can more fully extend digital workflows across project delivery and asset performance, increasing the value of infrastructure engineers’ work.</w:t>
      </w:r>
    </w:p>
    <w:p>
      <w:pPr>
        <w:spacing w:after="0" w:line="54" w:lineRule="exact"/>
        <w:rPr>
          <w:sz w:val="20"/>
          <w:szCs w:val="20"/>
          <w:color w:val="auto"/>
        </w:rPr>
      </w:pPr>
    </w:p>
    <w:p>
      <w:pPr>
        <w:ind w:left="140" w:right="319" w:firstLine="324"/>
        <w:spacing w:after="0" w:line="261" w:lineRule="auto"/>
        <w:rPr>
          <w:sz w:val="20"/>
          <w:szCs w:val="20"/>
          <w:color w:val="auto"/>
        </w:rPr>
      </w:pPr>
      <w:r>
        <w:rPr>
          <w:rFonts w:ascii="Times New Roman" w:cs="Times New Roman" w:eastAsia="Times New Roman" w:hAnsi="Times New Roman"/>
          <w:sz w:val="18"/>
          <w:szCs w:val="18"/>
          <w:color w:val="auto"/>
        </w:rPr>
        <w:t>We are the only infrastructure engineering software vendor to lead in market share in categories related to both the project and the asset lifecycle phases in the most recent rankings by The ARC Advisory Group (“ARC”). In</w:t>
      </w:r>
    </w:p>
    <w:p>
      <w:pPr>
        <w:ind w:left="140" w:right="179"/>
        <w:spacing w:after="0" w:line="253" w:lineRule="auto"/>
        <w:rPr>
          <w:sz w:val="20"/>
          <w:szCs w:val="20"/>
          <w:color w:val="auto"/>
        </w:rPr>
      </w:pPr>
      <w:r>
        <w:rPr>
          <w:rFonts w:ascii="Times New Roman" w:cs="Times New Roman" w:eastAsia="Times New Roman" w:hAnsi="Times New Roman"/>
          <w:sz w:val="18"/>
          <w:szCs w:val="18"/>
          <w:color w:val="auto"/>
        </w:rPr>
        <w:t xml:space="preserve">August 2019, for </w:t>
      </w:r>
      <w:r>
        <w:rPr>
          <w:rFonts w:ascii="Times New Roman" w:cs="Times New Roman" w:eastAsia="Times New Roman" w:hAnsi="Times New Roman"/>
          <w:sz w:val="18"/>
          <w:szCs w:val="18"/>
          <w:i w:val="1"/>
          <w:iCs w:val="1"/>
          <w:color w:val="auto"/>
        </w:rPr>
        <w:t>Engineering Design Tools for Plants, Infrastructure, and BIM</w:t>
      </w:r>
      <w:r>
        <w:rPr>
          <w:rFonts w:ascii="Times New Roman" w:cs="Times New Roman" w:eastAsia="Times New Roman" w:hAnsi="Times New Roman"/>
          <w:sz w:val="18"/>
          <w:szCs w:val="18"/>
          <w:color w:val="auto"/>
        </w:rPr>
        <w:t xml:space="preserve"> (building information modeling), ARC ranked us #2 overall, as well as #1 in each of Electric Transmission &amp; Distribution and Communications and Water/Wastewater Distribution. In August 2019, ARC ranked us #1 in its inaugural market share study for Collaborative BIM. In December 2019, for </w:t>
      </w:r>
      <w:r>
        <w:rPr>
          <w:rFonts w:ascii="Times New Roman" w:cs="Times New Roman" w:eastAsia="Times New Roman" w:hAnsi="Times New Roman"/>
          <w:sz w:val="18"/>
          <w:szCs w:val="18"/>
          <w:i w:val="1"/>
          <w:iCs w:val="1"/>
          <w:color w:val="auto"/>
        </w:rPr>
        <w:t>Asset Reliability Software &amp; Services</w:t>
      </w:r>
      <w:r>
        <w:rPr>
          <w:rFonts w:ascii="Times New Roman" w:cs="Times New Roman" w:eastAsia="Times New Roman" w:hAnsi="Times New Roman"/>
          <w:sz w:val="18"/>
          <w:szCs w:val="18"/>
          <w:color w:val="auto"/>
        </w:rPr>
        <w:t>, ARC ranked us #1 overall for software, as well as #1 in each of Transportation, Oil and Gas, and Electric Power Transmission and Distribution.</w:t>
      </w:r>
    </w:p>
    <w:p>
      <w:pPr>
        <w:spacing w:after="0" w:line="65"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last two years, Microsoft recognized us as its 2019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Mumbai Trans Harbour Sea Link in India), its 2018 “CityNext Partner of the Year” (citing our Azure-hosted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for the Klang Valley MRT in Kuala Lumpur, Malaysia), and a Finalist for the 2019 “Mixed Reality Partner of the Year Award” (citing our SYNCHRO XR 4D construction modeling application for the new HoloLens 2 device). Also, according to Microsoft, in 2019 we were one of the top 25 companies in terms of Azure usage globally.</w:t>
      </w:r>
    </w:p>
    <w:p>
      <w:pPr>
        <w:spacing w:after="0" w:line="66"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spent decades cultivating trusted relationships with the largest global infrastructure engineering organizations. Our accounts include 90% of the top 250 of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which firms are ranked by revenue for design services performed in 2018, and 64% of the 2019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which firms are ranked by net depreciated value of their tangible fixed assets. The </w:t>
      </w:r>
      <w:r>
        <w:rPr>
          <w:rFonts w:ascii="Times New Roman" w:cs="Times New Roman" w:eastAsia="Times New Roman" w:hAnsi="Times New Roman"/>
          <w:sz w:val="18"/>
          <w:szCs w:val="18"/>
          <w:i w:val="1"/>
          <w:iCs w:val="1"/>
          <w:color w:val="auto"/>
        </w:rPr>
        <w:t>ENR 2019 Top 500 Design Firms</w:t>
      </w:r>
      <w:r>
        <w:rPr>
          <w:rFonts w:ascii="Times New Roman" w:cs="Times New Roman" w:eastAsia="Times New Roman" w:hAnsi="Times New Roman"/>
          <w:sz w:val="18"/>
          <w:szCs w:val="18"/>
          <w:color w:val="auto"/>
        </w:rPr>
        <w:t xml:space="preserve"> is authored by ENR and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xml:space="preserve"> is authored by us. These rankings consist of substantially distinct account lists (with the exception 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number of overlapping accounts), and such accounts collectively represented 42% of our total revenues for the year ended December 31, 2019. Our solutions are, in general, mission critical both for our accounts and for our professional users and foster a high degree of loyalty,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5" w:name="page146"/>
    <w:bookmarkEnd w:id="14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19"/>
        <w:spacing w:after="0" w:line="282" w:lineRule="auto"/>
        <w:rPr>
          <w:sz w:val="20"/>
          <w:szCs w:val="20"/>
          <w:color w:val="auto"/>
        </w:rPr>
      </w:pPr>
      <w:r>
        <w:rPr>
          <w:rFonts w:ascii="Times New Roman" w:cs="Times New Roman" w:eastAsia="Times New Roman" w:hAnsi="Times New Roman"/>
          <w:sz w:val="18"/>
          <w:szCs w:val="18"/>
          <w:color w:val="auto"/>
        </w:rPr>
        <w:t>with 80% of our 2018 and 2019 total revenues coming from accounts of more than ten years’ standing, and 87% of our 2018 and 2019 total revenues coming from accounts of more than five years’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225425</wp:posOffset>
            </wp:positionV>
            <wp:extent cx="4860290" cy="360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6029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hanging="316"/>
        <w:spacing w:after="0"/>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figures as of December 31, 2019. All figures calculated using ASC 606. Chart segment sizing corresponds to underlying % of 2019 revenue.</w:t>
      </w:r>
    </w:p>
    <w:p>
      <w:pPr>
        <w:spacing w:after="0" w:line="208"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We are a significant software vendor to major infrastructure engineering organizations. In 2018 and 2019, 88 and 96 accounts, respectively, each contributed over $1 million to our revenues, representing 31% and 32% of our revenues, respectively. 50% of our 2018 revenues and 53% of our 2019 revenues came from 376 accounts and 424 accounts, respectively, each contributing over $250,000 to our revenues. During 2018 and 2019, we served 36,718 and 34,127 accounts, respectively, and for the six months ended June 30, 2019 and 2020, we served 31,130 and 31,745 accounts, respectively. We determine “accounts” based on distinct contractual and billing relationships with us. Affiliated entities of a single parent company may each have an independent account with us. We have historically offered, and have in recent years enhanced, volume discount programs to incentivize such affiliated entities to consolidate their contractual relationships with us, resulting in a reduction to the number of distinct accounts so defined. No single account or group of affiliated accounts provided more than 2.5% of our 2018 or 2019 revenues.</w:t>
      </w:r>
    </w:p>
    <w:p>
      <w:pPr>
        <w:spacing w:after="0" w:line="73" w:lineRule="exact"/>
        <w:rPr>
          <w:sz w:val="20"/>
          <w:szCs w:val="20"/>
          <w:color w:val="auto"/>
        </w:rPr>
      </w:pPr>
    </w:p>
    <w:p>
      <w:pPr>
        <w:ind w:left="140" w:right="219" w:firstLine="324"/>
        <w:spacing w:after="0" w:line="274" w:lineRule="auto"/>
        <w:rPr>
          <w:sz w:val="20"/>
          <w:szCs w:val="20"/>
          <w:color w:val="auto"/>
        </w:rPr>
      </w:pPr>
      <w:r>
        <w:rPr>
          <w:rFonts w:ascii="Times New Roman" w:cs="Times New Roman" w:eastAsia="Times New Roman" w:hAnsi="Times New Roman"/>
          <w:sz w:val="17"/>
          <w:szCs w:val="17"/>
          <w:color w:val="auto"/>
        </w:rPr>
        <w:t>Our business is comprehensively global. In 2019, the majority of our revenues were generated across 171 countries outside the United States, with 32.1% from EMEA and 19.5% from APAC. We have purposefully invested and are fully established in developing international markets where rapid infrastructure growth will continue to present compelling opportunities for us to scale efficiently. In particular, Greater China, which we define as the Peoples’ Republic of China, Hong Kong and Taiwan, and where we now have over 200 colleagues, has become one of our largest (among our top five) and fastest growing regions as measured by revenue, contributing just over 5% of our 2019 revenues.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6" w:name="page147"/>
    <w:bookmarkEnd w:id="14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In 2019, we generated subscription revenues of $608 million, total revenues of $737 million, net income of $103 million and Adjusted EBITDA of $188 million, and for the six months ended June 30, 2020, we generated subscription revenues of $328 million, total revenues of $379 million, net income of $69 million and Adjusted EBITDA of $116 million. Our business is cash-efficient, with approximately 70% of our revenues billed in advance, and a global tax rate of under 20%. For additional information on our financial result, key metrics, and non-GAAP financial metrics, see the section titled “Management’s Discussion and Analysis of Financial Condition and Results of Operations—Key Business Metrics.”</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121" w:lineRule="exact"/>
        <w:rPr>
          <w:sz w:val="20"/>
          <w:szCs w:val="20"/>
          <w:color w:val="auto"/>
        </w:rPr>
      </w:pPr>
    </w:p>
    <w:p>
      <w:pPr>
        <w:ind w:left="140" w:right="179" w:firstLine="324"/>
        <w:spacing w:after="0" w:line="274" w:lineRule="auto"/>
        <w:rPr>
          <w:sz w:val="20"/>
          <w:szCs w:val="20"/>
          <w:color w:val="auto"/>
        </w:rPr>
      </w:pPr>
      <w:r>
        <w:rPr>
          <w:rFonts w:ascii="Times New Roman" w:cs="Times New Roman" w:eastAsia="Times New Roman" w:hAnsi="Times New Roman"/>
          <w:sz w:val="17"/>
          <w:szCs w:val="17"/>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 Our cloud-native Digital Twins solutions introduce digital workflows, which can span our Project Lifecycle and Asset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52705</wp:posOffset>
            </wp:positionV>
            <wp:extent cx="5434965" cy="2691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3496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 w:right="2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simulation, and construction, as well as the collaboration software services required to coordinate and share the work of interdisciplinary and/or distributed project teams.</w:t>
      </w:r>
    </w:p>
    <w:p>
      <w:pPr>
        <w:spacing w:after="0" w:line="65"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Design Integration. </w:t>
      </w:r>
      <w:r>
        <w:rPr>
          <w:rFonts w:ascii="Times New Roman" w:cs="Times New Roman" w:eastAsia="Times New Roman" w:hAnsi="Times New Roman"/>
          <w:sz w:val="18"/>
          <w:szCs w:val="18"/>
          <w:color w:val="auto"/>
        </w:rPr>
        <w:t>Our Design Integration solutions consist of modeling and simulation applications.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applications are domain-specific 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7" w:name="page148"/>
    <w:bookmarkEnd w:id="14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115" w:lineRule="exact"/>
        <w:rPr>
          <w:sz w:val="20"/>
          <w:szCs w:val="20"/>
          <w:color w:val="auto"/>
        </w:rPr>
      </w:pPr>
    </w:p>
    <w:p>
      <w:pPr>
        <w:ind w:left="1120" w:right="419" w:hanging="328"/>
        <w:spacing w:after="0" w:line="258" w:lineRule="auto"/>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designs. </w:t>
      </w:r>
      <w:r>
        <w:rPr>
          <w:rFonts w:ascii="Times New Roman" w:cs="Times New Roman" w:eastAsia="Times New Roman" w:hAnsi="Times New Roman"/>
          <w:sz w:val="18"/>
          <w:szCs w:val="18"/>
          <w:color w:val="auto"/>
        </w:rPr>
        <w:t>Our modeling and simulation applications work together to improve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quality, for instance to eliminate “clashes”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 by virtue of:</w:t>
      </w:r>
    </w:p>
    <w:p>
      <w:pPr>
        <w:spacing w:after="0" w:line="75" w:lineRule="exact"/>
        <w:rPr>
          <w:rFonts w:ascii="Times New Roman" w:cs="Times New Roman" w:eastAsia="Times New Roman" w:hAnsi="Times New Roman"/>
          <w:sz w:val="18"/>
          <w:szCs w:val="18"/>
          <w:color w:val="auto"/>
        </w:rPr>
      </w:pPr>
    </w:p>
    <w:p>
      <w:pPr>
        <w:ind w:left="1440" w:right="339" w:hanging="324"/>
        <w:spacing w:after="0" w:line="267" w:lineRule="auto"/>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engineering productivity. </w:t>
      </w:r>
      <w:r>
        <w:rPr>
          <w:rFonts w:ascii="Times New Roman" w:cs="Times New Roman" w:eastAsia="Times New Roman" w:hAnsi="Times New Roman"/>
          <w:sz w:val="18"/>
          <w:szCs w:val="18"/>
          <w:color w:val="auto"/>
        </w:rPr>
        <w:t>We endeavor to provide in our applications the most advanced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intelligence for transforming engineers’ conceptual decisions into complete, detailed, and editable deliverables; and</w:t>
      </w:r>
    </w:p>
    <w:p>
      <w:pPr>
        <w:spacing w:after="0" w:line="65" w:lineRule="exact"/>
        <w:rPr>
          <w:rFonts w:ascii="Times New Roman" w:cs="Times New Roman" w:eastAsia="Times New Roman" w:hAnsi="Times New Roman"/>
          <w:sz w:val="18"/>
          <w:szCs w:val="18"/>
          <w:color w:val="auto"/>
        </w:rPr>
      </w:pPr>
    </w:p>
    <w:p>
      <w:pPr>
        <w:ind w:left="1440" w:right="259" w:hanging="324"/>
        <w:spacing w:after="0" w:line="258" w:lineRule="auto"/>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configurability and continuity: </w:t>
      </w:r>
      <w:r>
        <w:rPr>
          <w:rFonts w:ascii="Times New Roman" w:cs="Times New Roman" w:eastAsia="Times New Roman" w:hAnsi="Times New Roman"/>
          <w:sz w:val="18"/>
          <w:szCs w:val="18"/>
          <w:color w:val="auto"/>
        </w:rPr>
        <w:t>We take care to enable users to continuously refine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 preferences and standards across 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75" w:lineRule="exact"/>
        <w:rPr>
          <w:rFonts w:ascii="Times New Roman" w:cs="Times New Roman" w:eastAsia="Times New Roman" w:hAnsi="Times New Roman"/>
          <w:sz w:val="18"/>
          <w:szCs w:val="18"/>
          <w:color w:val="auto"/>
        </w:rPr>
      </w:pPr>
    </w:p>
    <w:p>
      <w:pPr>
        <w:ind w:left="1120" w:right="759" w:hanging="328"/>
        <w:spacing w:after="0" w:line="284" w:lineRule="auto"/>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deliverables. </w:t>
      </w:r>
      <w:r>
        <w:rPr>
          <w:rFonts w:ascii="Times New Roman" w:cs="Times New Roman" w:eastAsia="Times New Roman" w:hAnsi="Times New Roman"/>
          <w:sz w:val="18"/>
          <w:szCs w:val="18"/>
          <w:color w:val="auto"/>
        </w:rPr>
        <w:t>Our applications share a common modeling environment to enable streamlined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coordination and production of multi-discipline documentation; and</w:t>
      </w:r>
    </w:p>
    <w:p>
      <w:pPr>
        <w:spacing w:after="0" w:line="50" w:lineRule="exact"/>
        <w:rPr>
          <w:rFonts w:ascii="Times New Roman" w:cs="Times New Roman" w:eastAsia="Times New Roman" w:hAnsi="Times New Roman"/>
          <w:sz w:val="18"/>
          <w:szCs w:val="18"/>
          <w:color w:val="auto"/>
        </w:rPr>
      </w:pPr>
    </w:p>
    <w:p>
      <w:pPr>
        <w:ind w:left="1120" w:right="399" w:hanging="328"/>
        <w:spacing w:after="0" w:line="267" w:lineRule="auto"/>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handoff. </w:t>
      </w:r>
      <w:r>
        <w:rPr>
          <w:rFonts w:ascii="Times New Roman" w:cs="Times New Roman" w:eastAsia="Times New Roman" w:hAnsi="Times New Roman"/>
          <w:sz w:val="18"/>
          <w:szCs w:val="18"/>
          <w:color w:val="auto"/>
        </w:rPr>
        <w:t>Our comprehensive modeling environment and our supplemental cloud services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to enrich information sharing (and to minimize problematic translations) across project delivery processes. For instance:</w:t>
      </w:r>
    </w:p>
    <w:p>
      <w:pPr>
        <w:spacing w:after="0" w:line="67" w:lineRule="exact"/>
        <w:rPr>
          <w:rFonts w:ascii="Times New Roman" w:cs="Times New Roman" w:eastAsia="Times New Roman" w:hAnsi="Times New Roman"/>
          <w:sz w:val="18"/>
          <w:szCs w:val="18"/>
          <w:color w:val="auto"/>
        </w:rPr>
      </w:pPr>
    </w:p>
    <w:p>
      <w:pPr>
        <w:ind w:left="1440" w:hanging="324"/>
        <w:spacing w:after="0"/>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starting with reality modeling of existing conditions (often from drone surveying);</w:t>
      </w:r>
    </w:p>
    <w:p>
      <w:pPr>
        <w:spacing w:after="0" w:line="117" w:lineRule="exact"/>
        <w:rPr>
          <w:rFonts w:ascii="Times New Roman" w:cs="Times New Roman" w:eastAsia="Times New Roman" w:hAnsi="Times New Roman"/>
          <w:sz w:val="18"/>
          <w:szCs w:val="18"/>
          <w:color w:val="auto"/>
        </w:rPr>
      </w:pPr>
    </w:p>
    <w:p>
      <w:pPr>
        <w:ind w:left="1440" w:hanging="324"/>
        <w:spacing w:after="0"/>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sharing engineering component definitions across disciplines and projects; and</w:t>
      </w:r>
    </w:p>
    <w:p>
      <w:pPr>
        <w:spacing w:after="0" w:line="117" w:lineRule="exact"/>
        <w:rPr>
          <w:rFonts w:ascii="Times New Roman" w:cs="Times New Roman" w:eastAsia="Times New Roman" w:hAnsi="Times New Roman"/>
          <w:sz w:val="18"/>
          <w:szCs w:val="18"/>
          <w:color w:val="auto"/>
        </w:rPr>
      </w:pPr>
    </w:p>
    <w:p>
      <w:pPr>
        <w:ind w:left="1440" w:right="199" w:hanging="324"/>
        <w:spacing w:after="0" w:line="266" w:lineRule="auto"/>
        <w:tabs>
          <w:tab w:leader="none" w:pos="14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“constructioneering” digital workflows, which automate the exchange of 3D design models to control GPS-enabled construction equipment (for earthmoving and paving), and to validate and preserve the resulting 3D as-built models for maintenance.</w:t>
      </w:r>
    </w:p>
    <w:p>
      <w:pPr>
        <w:spacing w:after="0" w:line="66" w:lineRule="exact"/>
        <w:rPr>
          <w:sz w:val="20"/>
          <w:szCs w:val="20"/>
          <w:color w:val="auto"/>
        </w:rPr>
      </w:pPr>
    </w:p>
    <w:p>
      <w:pPr>
        <w:ind w:left="140" w:right="57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Project Delivery. </w:t>
      </w:r>
      <w:r>
        <w:rPr>
          <w:rFonts w:ascii="Times New Roman" w:cs="Times New Roman" w:eastAsia="Times New Roman" w:hAnsi="Times New Roman"/>
          <w:sz w:val="17"/>
          <w:szCs w:val="17"/>
          <w:color w:val="auto"/>
        </w:rPr>
        <w:t>Our Project Delivery solutions support information and document management, engineering-specific collaboration and work-sharing for distributed project teams and enterprises, and construction planning, modeling and execution. The scope of these solutions is not limited to users of only our own design applications.</w:t>
      </w:r>
    </w:p>
    <w:p>
      <w:pPr>
        <w:spacing w:after="0" w:line="49"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This functionality enables infrastructure project organizations to “virtualize” their talent so that the required work can be shared by all participants everywhere through our software, reducing the need for physical co-location of the project resources.</w:t>
      </w:r>
    </w:p>
    <w:p>
      <w:pPr>
        <w:spacing w:after="0" w:line="81"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 packages which increasingly take advantage of modular offsite fabrication and manufacturing, our software manages and enables 4D visualization of the necessary spatial and logistical interfaces.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115" w:lineRule="exact"/>
        <w:rPr>
          <w:sz w:val="20"/>
          <w:szCs w:val="20"/>
          <w:color w:val="auto"/>
        </w:rPr>
      </w:pPr>
    </w:p>
    <w:p>
      <w:pPr>
        <w:ind w:left="1120" w:right="439" w:hanging="328"/>
        <w:spacing w:after="0" w:line="267" w:lineRule="auto"/>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work-sharing: </w:t>
      </w:r>
      <w:r>
        <w:rPr>
          <w:rFonts w:ascii="Times New Roman" w:cs="Times New Roman" w:eastAsia="Times New Roman" w:hAnsi="Times New Roman"/>
          <w:sz w:val="18"/>
          <w:szCs w:val="18"/>
          <w:color w:val="auto"/>
        </w:rPr>
        <w:t>Our solutions incorporate the rigorous workflow protocols required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coordination across engineering and construction supply chains, enabling global sourcing for integrated project delivery, while maximizing economics, quality, and safety;</w:t>
      </w:r>
    </w:p>
    <w:p>
      <w:pPr>
        <w:spacing w:after="0" w:line="65" w:lineRule="exact"/>
        <w:rPr>
          <w:rFonts w:ascii="Times New Roman" w:cs="Times New Roman" w:eastAsia="Times New Roman" w:hAnsi="Times New Roman"/>
          <w:sz w:val="18"/>
          <w:szCs w:val="18"/>
          <w:color w:val="auto"/>
        </w:rPr>
      </w:pPr>
    </w:p>
    <w:p>
      <w:pPr>
        <w:ind w:left="1120" w:right="419" w:hanging="328"/>
        <w:spacing w:after="0" w:line="284" w:lineRule="auto"/>
        <w:tabs>
          <w:tab w:leader="none" w:pos="1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collaboration: </w:t>
      </w:r>
      <w:r>
        <w:rPr>
          <w:rFonts w:ascii="Times New Roman" w:cs="Times New Roman" w:eastAsia="Times New Roman" w:hAnsi="Times New Roman"/>
          <w:sz w:val="18"/>
          <w:szCs w:val="18"/>
          <w:color w:val="auto"/>
        </w:rPr>
        <w:t>Our software leverages cloud and hybrid environments to streamline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aggregation, distribution, and interaction for project deliverables, ensuring that the right project</w:t>
      </w:r>
    </w:p>
    <w:p>
      <w:pPr>
        <w:sectPr>
          <w:pgSz w:w="11900" w:h="16838" w:orient="portrait"/>
          <w:cols w:equalWidth="0" w:num="1">
            <w:col w:w="9019"/>
          </w:cols>
          <w:pgMar w:left="1440" w:top="661"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8" w:name="page149"/>
    <w:bookmarkEnd w:id="14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239"/>
        <w:spacing w:after="0" w:line="282" w:lineRule="auto"/>
        <w:rPr>
          <w:sz w:val="20"/>
          <w:szCs w:val="20"/>
          <w:color w:val="auto"/>
        </w:rPr>
      </w:pPr>
      <w:r>
        <w:rPr>
          <w:rFonts w:ascii="Times New Roman" w:cs="Times New Roman" w:eastAsia="Times New Roman" w:hAnsi="Times New Roman"/>
          <w:sz w:val="18"/>
          <w:szCs w:val="18"/>
          <w:color w:val="auto"/>
        </w:rPr>
        <w:t>participants have the right information in the right format at the right time, including at the project site and on every device; and</w:t>
      </w:r>
    </w:p>
    <w:p>
      <w:pPr>
        <w:spacing w:after="0" w:line="52" w:lineRule="exact"/>
        <w:rPr>
          <w:sz w:val="20"/>
          <w:szCs w:val="20"/>
          <w:color w:val="auto"/>
        </w:rPr>
      </w:pPr>
    </w:p>
    <w:p>
      <w:pPr>
        <w:ind w:left="1120" w:right="399" w:hanging="328"/>
        <w:spacing w:after="0" w:line="267" w:lineRule="auto"/>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visibility: </w:t>
      </w:r>
      <w:r>
        <w:rPr>
          <w:rFonts w:ascii="Times New Roman" w:cs="Times New Roman" w:eastAsia="Times New Roman" w:hAnsi="Times New Roman"/>
          <w:sz w:val="18"/>
          <w:szCs w:val="18"/>
          <w:color w:val="auto"/>
        </w:rPr>
        <w:t>Our solutions’ broad span and continuous detail across design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modeling and work packaging, and mixed-reality 4D visualization, advances predictability, accountability, and safety throughout the construction process.</w:t>
      </w:r>
    </w:p>
    <w:p>
      <w:pPr>
        <w:spacing w:after="0" w:line="171" w:lineRule="exact"/>
        <w:rPr>
          <w:sz w:val="20"/>
          <w:szCs w:val="20"/>
          <w:color w:val="auto"/>
        </w:rPr>
      </w:pPr>
    </w:p>
    <w:p>
      <w:pPr>
        <w:ind w:left="140" w:right="1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Lifecycle Solutions. </w:t>
      </w:r>
      <w:r>
        <w:rPr>
          <w:rFonts w:ascii="Times New Roman" w:cs="Times New Roman" w:eastAsia="Times New Roman" w:hAnsi="Times New Roman"/>
          <w:sz w:val="18"/>
          <w:szCs w:val="18"/>
          <w:color w:val="auto"/>
        </w:rPr>
        <w:t>Our Asset Lifecycle solutions span the operating life of commissioned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capturing and managing changes to engineering models and enterprise information for compliance and safety, and to model performance and reliability to support operating and maintenance decisions.</w:t>
      </w:r>
    </w:p>
    <w:p>
      <w:pPr>
        <w:spacing w:after="0" w:line="65"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 and Network Performance. </w:t>
      </w:r>
      <w:r>
        <w:rPr>
          <w:rFonts w:ascii="Times New Roman" w:cs="Times New Roman" w:eastAsia="Times New Roman" w:hAnsi="Times New Roman"/>
          <w:sz w:val="18"/>
          <w:szCs w:val="18"/>
          <w:color w:val="auto"/>
        </w:rPr>
        <w:t>Our Asset and Network Performance solutions are used to manage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geospatial 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of our Asset and Network Performance Solutions for owner-operators include:</w:t>
      </w:r>
    </w:p>
    <w:p>
      <w:pPr>
        <w:spacing w:after="0" w:line="115" w:lineRule="exact"/>
        <w:rPr>
          <w:sz w:val="20"/>
          <w:szCs w:val="20"/>
          <w:color w:val="auto"/>
        </w:rPr>
      </w:pPr>
    </w:p>
    <w:p>
      <w:pPr>
        <w:ind w:left="1120" w:right="459" w:hanging="328"/>
        <w:spacing w:after="0" w:line="284" w:lineRule="auto"/>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compliance and assurance: </w:t>
      </w:r>
      <w:r>
        <w:rPr>
          <w:rFonts w:ascii="Times New Roman" w:cs="Times New Roman" w:eastAsia="Times New Roman" w:hAnsi="Times New Roman"/>
          <w:sz w:val="18"/>
          <w:szCs w:val="18"/>
          <w:color w:val="auto"/>
        </w:rPr>
        <w:t>Our systems intrinsically enforce the rigor appropriate for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assets in order to provide dependable visibility into the impact of changes;</w:t>
      </w:r>
    </w:p>
    <w:p>
      <w:pPr>
        <w:spacing w:after="0" w:line="50" w:lineRule="exact"/>
        <w:rPr>
          <w:rFonts w:ascii="Times New Roman" w:cs="Times New Roman" w:eastAsia="Times New Roman" w:hAnsi="Times New Roman"/>
          <w:sz w:val="18"/>
          <w:szCs w:val="18"/>
          <w:color w:val="auto"/>
        </w:rPr>
      </w:pPr>
    </w:p>
    <w:p>
      <w:pPr>
        <w:ind w:left="1120" w:right="539" w:hanging="328"/>
        <w:spacing w:after="0" w:line="284" w:lineRule="auto"/>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asset performance: </w:t>
      </w:r>
      <w:r>
        <w:rPr>
          <w:rFonts w:ascii="Times New Roman" w:cs="Times New Roman" w:eastAsia="Times New Roman" w:hAnsi="Times New Roman"/>
          <w:sz w:val="18"/>
          <w:szCs w:val="18"/>
          <w:color w:val="auto"/>
        </w:rPr>
        <w:t>Our solutions include operational dashboards that provide decision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insights to maintain and improve throughput and reliability; and</w:t>
      </w:r>
    </w:p>
    <w:p>
      <w:pPr>
        <w:spacing w:after="0" w:line="50" w:lineRule="exact"/>
        <w:rPr>
          <w:rFonts w:ascii="Times New Roman" w:cs="Times New Roman" w:eastAsia="Times New Roman" w:hAnsi="Times New Roman"/>
          <w:sz w:val="18"/>
          <w:szCs w:val="18"/>
          <w:color w:val="auto"/>
        </w:rPr>
      </w:pPr>
    </w:p>
    <w:p>
      <w:pPr>
        <w:ind w:left="1120" w:right="219" w:hanging="328"/>
        <w:spacing w:after="0" w:line="267" w:lineRule="auto"/>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risk management: </w:t>
      </w:r>
      <w:r>
        <w:rPr>
          <w:rFonts w:ascii="Times New Roman" w:cs="Times New Roman" w:eastAsia="Times New Roman" w:hAnsi="Times New Roman"/>
          <w:sz w:val="18"/>
          <w:szCs w:val="18"/>
          <w:color w:val="auto"/>
        </w:rPr>
        <w:t>Our solutions include predictive analytics that identify potential problems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occur, and ensure the accessibility of best-available engineering information and models for mitigation and resilience.</w:t>
      </w:r>
    </w:p>
    <w:p>
      <w:pPr>
        <w:spacing w:after="0" w:line="65"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Digital Cities. </w:t>
      </w:r>
      <w:r>
        <w:rPr>
          <w:rFonts w:ascii="Times New Roman" w:cs="Times New Roman" w:eastAsia="Times New Roman" w:hAnsi="Times New Roman"/>
          <w:sz w:val="18"/>
          <w:szCs w:val="18"/>
          <w:color w:val="auto"/>
        </w:rPr>
        <w:t>Our Digital Cities solutions incorporate reality modeling (leveraging drone and mobile mapping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 inputs) and geospatial context to continuously capture as-operated infrastructure conditions at city and regional scale. Our offerings support department-level applications for municipal engineering, such as simulation of pedestrian and vehicle traffic, and water and drainage systems.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15" w:lineRule="exact"/>
        <w:rPr>
          <w:sz w:val="20"/>
          <w:szCs w:val="20"/>
          <w:color w:val="auto"/>
        </w:rPr>
      </w:pPr>
    </w:p>
    <w:p>
      <w:pPr>
        <w:ind w:left="1120" w:right="439" w:hanging="328"/>
        <w:spacing w:after="0" w:line="267" w:lineRule="auto"/>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Evergreen 3D city models: </w:t>
      </w:r>
      <w:r>
        <w:rPr>
          <w:rFonts w:ascii="Times New Roman" w:cs="Times New Roman" w:eastAsia="Times New Roman" w:hAnsi="Times New Roman"/>
          <w:sz w:val="18"/>
          <w:szCs w:val="18"/>
          <w:color w:val="auto"/>
        </w:rPr>
        <w:t>Our reality modeling software maintains engineering-ready 3D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incorporating incrementally updated surveys, and thus ensures that engineering departments can rely on up-to-date geospatial context for digital workflows;</w:t>
      </w:r>
    </w:p>
    <w:p>
      <w:pPr>
        <w:spacing w:after="0" w:line="65" w:lineRule="exact"/>
        <w:rPr>
          <w:rFonts w:ascii="Times New Roman" w:cs="Times New Roman" w:eastAsia="Times New Roman" w:hAnsi="Times New Roman"/>
          <w:sz w:val="18"/>
          <w:szCs w:val="18"/>
          <w:color w:val="auto"/>
        </w:rPr>
      </w:pPr>
    </w:p>
    <w:p>
      <w:pPr>
        <w:ind w:left="1120" w:right="259" w:hanging="328"/>
        <w:spacing w:after="0" w:line="267" w:lineRule="auto"/>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resilience: </w:t>
      </w:r>
      <w:r>
        <w:rPr>
          <w:rFonts w:ascii="Times New Roman" w:cs="Times New Roman" w:eastAsia="Times New Roman" w:hAnsi="Times New Roman"/>
          <w:sz w:val="18"/>
          <w:szCs w:val="18"/>
          <w:color w:val="auto"/>
        </w:rPr>
        <w:t>Our solutions can integrate geotechnical, structural/seismic, and hydrological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modeling with evergreen 3D city models to harden infrastructure from flood and other natural hazards, and to apply engineering simulations for mitigation and emergency response; and</w:t>
      </w:r>
    </w:p>
    <w:p>
      <w:pPr>
        <w:spacing w:after="0" w:line="65" w:lineRule="exact"/>
        <w:rPr>
          <w:rFonts w:ascii="Times New Roman" w:cs="Times New Roman" w:eastAsia="Times New Roman" w:hAnsi="Times New Roman"/>
          <w:sz w:val="18"/>
          <w:szCs w:val="18"/>
          <w:color w:val="auto"/>
        </w:rPr>
      </w:pPr>
    </w:p>
    <w:p>
      <w:pPr>
        <w:ind w:left="1120" w:right="199" w:hanging="328"/>
        <w:spacing w:after="0" w:line="261" w:lineRule="auto"/>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 conservation: </w:t>
      </w:r>
      <w:r>
        <w:rPr>
          <w:rFonts w:ascii="Times New Roman" w:cs="Times New Roman" w:eastAsia="Times New Roman" w:hAnsi="Times New Roman"/>
          <w:sz w:val="18"/>
          <w:szCs w:val="18"/>
          <w:color w:val="auto"/>
        </w:rPr>
        <w:t>Taking full advantage of our solutions can significantly increase efficiency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waste. For instance, our water network modeling tools, applied to compare as-designed specifications to observed flows and pressures, can help to non-invasively locate subsurface water network leaks.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Infrastructure Digital Twins.</w:t>
      </w:r>
    </w:p>
    <w:p>
      <w:pPr>
        <w:spacing w:after="0" w:line="119"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color w:val="auto"/>
        </w:rPr>
        <w:t>Our digital twins offerings enable our users to create and curate cloud-native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owner-operators include:</w:t>
      </w:r>
    </w:p>
    <w:p>
      <w:pPr>
        <w:spacing w:after="0" w:line="115" w:lineRule="exact"/>
        <w:rPr>
          <w:sz w:val="20"/>
          <w:szCs w:val="20"/>
          <w:color w:val="auto"/>
        </w:rPr>
      </w:pPr>
    </w:p>
    <w:p>
      <w:pPr>
        <w:ind w:left="1120" w:right="199" w:hanging="328"/>
        <w:spacing w:after="0" w:line="267" w:lineRule="auto"/>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Advanced insights. </w:t>
      </w:r>
      <w:r>
        <w:rPr>
          <w:rFonts w:ascii="Times New Roman" w:cs="Times New Roman" w:eastAsia="Times New Roman" w:hAnsi="Times New Roman"/>
          <w:sz w:val="18"/>
          <w:szCs w:val="18"/>
          <w:color w:val="auto"/>
        </w:rPr>
        <w:t>For project delivery, digital twins can reveal insights beyond what would be visible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traditional workflows; for example, a digital twin can show 3D heat maps highlighting where changes in a design have been unusually pervasive, indicating possible design flaws. For asset</w:t>
      </w:r>
    </w:p>
    <w:p>
      <w:pPr>
        <w:sectPr>
          <w:pgSz w:w="11900" w:h="16838" w:orient="portrait"/>
          <w:cols w:equalWidth="0" w:num="1">
            <w:col w:w="9019"/>
          </w:cols>
          <w:pgMar w:left="1440" w:top="661"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9" w:name="page150"/>
    <w:bookmarkEnd w:id="14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459"/>
        <w:spacing w:after="0" w:line="282" w:lineRule="auto"/>
        <w:rPr>
          <w:sz w:val="20"/>
          <w:szCs w:val="20"/>
          <w:color w:val="auto"/>
        </w:rPr>
      </w:pPr>
      <w:r>
        <w:rPr>
          <w:rFonts w:ascii="Times New Roman" w:cs="Times New Roman" w:eastAsia="Times New Roman" w:hAnsi="Times New Roman"/>
          <w:sz w:val="18"/>
          <w:szCs w:val="18"/>
          <w:color w:val="auto"/>
        </w:rPr>
        <w:t>performance, such insights from digital twins can be used to evaluate different strategies for optimizing operational efficiencies and throughput;</w:t>
      </w:r>
    </w:p>
    <w:p>
      <w:pPr>
        <w:spacing w:after="0" w:line="52" w:lineRule="exact"/>
        <w:rPr>
          <w:sz w:val="20"/>
          <w:szCs w:val="20"/>
          <w:color w:val="auto"/>
        </w:rPr>
      </w:pPr>
    </w:p>
    <w:p>
      <w:pPr>
        <w:ind w:left="1120" w:right="199" w:hanging="328"/>
        <w:spacing w:after="0" w:line="258"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Predictive analytics. </w:t>
      </w:r>
      <w:r>
        <w:rPr>
          <w:rFonts w:ascii="Times New Roman" w:cs="Times New Roman" w:eastAsia="Times New Roman" w:hAnsi="Times New Roman"/>
          <w:sz w:val="18"/>
          <w:szCs w:val="18"/>
          <w:color w:val="auto"/>
        </w:rPr>
        <w:t>For project delivery, digital twins and machine learning can compare the progress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project with similar projects 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75" w:lineRule="exact"/>
        <w:rPr>
          <w:rFonts w:ascii="Times New Roman" w:cs="Times New Roman" w:eastAsia="Times New Roman" w:hAnsi="Times New Roman"/>
          <w:sz w:val="18"/>
          <w:szCs w:val="18"/>
          <w:color w:val="auto"/>
        </w:rPr>
      </w:pPr>
    </w:p>
    <w:p>
      <w:pPr>
        <w:ind w:left="1120" w:right="299" w:hanging="328"/>
        <w:spacing w:after="0" w:line="261"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and comprehensive design reviews. </w:t>
      </w:r>
      <w:r>
        <w:rPr>
          <w:rFonts w:ascii="Times New Roman" w:cs="Times New Roman" w:eastAsia="Times New Roman" w:hAnsi="Times New Roman"/>
          <w:sz w:val="18"/>
          <w:szCs w:val="18"/>
          <w:color w:val="auto"/>
        </w:rPr>
        <w:t>For project delivery, digital twins can aggregate and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models and data from all sources “on the fly” (without interruptions for translations, and without specialized software) to present immersive 3D status visualization in a web browser for any authorized stakeholder to participate in ongoing interactive design reviews; and</w:t>
      </w:r>
    </w:p>
    <w:p>
      <w:pPr>
        <w:spacing w:after="0" w:line="71" w:lineRule="exact"/>
        <w:rPr>
          <w:rFonts w:ascii="Times New Roman" w:cs="Times New Roman" w:eastAsia="Times New Roman" w:hAnsi="Times New Roman"/>
          <w:sz w:val="18"/>
          <w:szCs w:val="18"/>
          <w:color w:val="auto"/>
        </w:rPr>
      </w:pPr>
    </w:p>
    <w:p>
      <w:pPr>
        <w:ind w:left="1120" w:right="239" w:hanging="328"/>
        <w:spacing w:after="0" w:line="253" w:lineRule="auto"/>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Convergence of OT, IT, and now ET. </w:t>
      </w:r>
      <w:r>
        <w:rPr>
          <w:rFonts w:ascii="Times New Roman" w:cs="Times New Roman" w:eastAsia="Times New Roman" w:hAnsi="Times New Roman"/>
          <w:sz w:val="18"/>
          <w:szCs w:val="18"/>
          <w:color w:val="auto"/>
        </w:rPr>
        <w:t>Infrastructure owner-operators are increasingly able to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assets with IoT sensors, producing torrents of OT data that are difficult to interpret. Software advances in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ET. Infrastructure digital twins notably enable the convergence of ET with OT and IT. With infrastructure digital twins, the design intent (the “digital DNA” captured in the digital twins’ engineering models and simulations) can serve as a baseline for comparison to IoT-monitored “as-operated” performance, in light of the asset’s operations and maintenance history stored in IT systems, to enable integrated analytics to provide timely insights and recommended actions to optimize safety and performance.</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121" w:lineRule="exact"/>
        <w:rPr>
          <w:sz w:val="20"/>
          <w:szCs w:val="20"/>
          <w:color w:val="auto"/>
        </w:rPr>
      </w:pPr>
    </w:p>
    <w:p>
      <w:pPr>
        <w:ind w:left="140" w:right="799" w:firstLine="324"/>
        <w:spacing w:after="0" w:line="282"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50" w:lineRule="exact"/>
        <w:rPr>
          <w:sz w:val="20"/>
          <w:szCs w:val="20"/>
          <w:color w:val="auto"/>
        </w:rPr>
      </w:pPr>
    </w:p>
    <w:p>
      <w:pPr>
        <w:ind w:left="140" w:right="2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Disciplines. </w:t>
      </w:r>
      <w:r>
        <w:rPr>
          <w:rFonts w:ascii="Times New Roman" w:cs="Times New Roman" w:eastAsia="Times New Roman" w:hAnsi="Times New Roman"/>
          <w:sz w:val="18"/>
          <w:szCs w:val="18"/>
          <w:color w:val="auto"/>
        </w:rPr>
        <w:t>Each infrastructure project requires seamless and deep collaboration among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disciplines, which can include civil, 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78" w:lineRule="exact"/>
        <w:rPr>
          <w:sz w:val="20"/>
          <w:szCs w:val="20"/>
          <w:color w:val="auto"/>
        </w:rPr>
      </w:pPr>
    </w:p>
    <w:p>
      <w:pPr>
        <w:ind w:left="140" w:right="599" w:firstLine="324"/>
        <w:spacing w:after="0" w:line="258" w:lineRule="auto"/>
        <w:rPr>
          <w:sz w:val="20"/>
          <w:szCs w:val="20"/>
          <w:color w:val="auto"/>
        </w:rPr>
      </w:pPr>
      <w:r>
        <w:rPr>
          <w:rFonts w:ascii="Times New Roman" w:cs="Times New Roman" w:eastAsia="Times New Roman" w:hAnsi="Times New Roman"/>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75" w:lineRule="exact"/>
        <w:rPr>
          <w:sz w:val="20"/>
          <w:szCs w:val="20"/>
          <w:color w:val="auto"/>
        </w:rPr>
      </w:pPr>
    </w:p>
    <w:p>
      <w:pPr>
        <w:ind w:left="140" w:right="199" w:firstLine="324"/>
        <w:spacing w:after="0" w:line="277" w:lineRule="auto"/>
        <w:rPr>
          <w:sz w:val="20"/>
          <w:szCs w:val="20"/>
          <w:color w:val="auto"/>
        </w:rPr>
      </w:pPr>
      <w:r>
        <w:rPr>
          <w:rFonts w:ascii="Times New Roman" w:cs="Times New Roman" w:eastAsia="Times New Roman" w:hAnsi="Times New Roman"/>
          <w:sz w:val="17"/>
          <w:szCs w:val="17"/>
          <w:color w:val="auto"/>
        </w:rPr>
        <w:t>The importance of integrating our offerings broadly across disciplines is also a reason that we have always prioritized interoperability with competitors’ design tools. For major projects, owners and their 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56" w:lineRule="exact"/>
        <w:rPr>
          <w:sz w:val="20"/>
          <w:szCs w:val="20"/>
          <w:color w:val="auto"/>
        </w:rPr>
      </w:pPr>
    </w:p>
    <w:p>
      <w:pPr>
        <w:ind w:left="140" w:right="41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Lifecycle Stages. </w:t>
      </w:r>
      <w:r>
        <w:rPr>
          <w:rFonts w:ascii="Times New Roman" w:cs="Times New Roman" w:eastAsia="Times New Roman" w:hAnsi="Times New Roman"/>
          <w:sz w:val="18"/>
          <w:szCs w:val="18"/>
          <w:color w:val="auto"/>
        </w:rPr>
        <w:t>Both project delivery enterprises and owner-operators benefit from our solutions, which enable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72"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For an example of advantageous digital workflows from projects to assets, consider our solutions for permitting and routing of over-weight and over-sized loads by departments of transportation. Instead of routing based merely on static maximum load ratings for each bridge, we use actual bridge design models for dynamic structural simulations,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0" w:name="page151"/>
    <w:bookmarkEnd w:id="15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459"/>
        <w:spacing w:after="0" w:line="282" w:lineRule="auto"/>
        <w:rPr>
          <w:sz w:val="20"/>
          <w:szCs w:val="20"/>
          <w:color w:val="auto"/>
        </w:rPr>
      </w:pPr>
      <w:r>
        <w:rPr>
          <w:rFonts w:ascii="Times New Roman" w:cs="Times New Roman" w:eastAsia="Times New Roman" w:hAnsi="Times New Roman"/>
          <w:sz w:val="18"/>
          <w:szCs w:val="18"/>
          <w:color w:val="auto"/>
        </w:rPr>
        <w:t>and 3D clearances of the actual load configurations. As a result, user organizations are able to engineer safe routes to maximize commerce while protecting bridge longevity.</w:t>
      </w:r>
    </w:p>
    <w:p>
      <w:pPr>
        <w:spacing w:after="0" w:line="50" w:lineRule="exact"/>
        <w:rPr>
          <w:sz w:val="20"/>
          <w:szCs w:val="20"/>
          <w:color w:val="auto"/>
        </w:rPr>
      </w:pPr>
    </w:p>
    <w:p>
      <w:pPr>
        <w:ind w:left="140" w:right="23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Infrastructure Sectors. </w:t>
      </w:r>
      <w:r>
        <w:rPr>
          <w:rFonts w:ascii="Times New Roman" w:cs="Times New Roman" w:eastAsia="Times New Roman" w:hAnsi="Times New Roman"/>
          <w:sz w:val="18"/>
          <w:szCs w:val="18"/>
          <w:color w:val="auto"/>
        </w:rPr>
        <w:t>Most major engineering and project delivery firms pursue an ever-changing mix of projects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the public works/utilities, 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privately-financed industrial/resources and commercial/facilities sectors, we have historically witnessed offsetting counter-cyclical government investment in public works/utilities.</w:t>
      </w:r>
    </w:p>
    <w:p>
      <w:pPr>
        <w:spacing w:after="0" w:line="74"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Geographies. </w:t>
      </w:r>
      <w:r>
        <w:rPr>
          <w:rFonts w:ascii="Times New Roman" w:cs="Times New Roman" w:eastAsia="Times New Roman" w:hAnsi="Times New Roman"/>
          <w:sz w:val="18"/>
          <w:szCs w:val="18"/>
          <w:color w:val="auto"/>
        </w:rPr>
        <w:t>While design codes may vary by country, infrastructure purposes and engineering practices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fundamentally the same throughout the world, which makes it possible for our infrastructure modeling applications to be used globally. Our offerings are available in most major languages, supporting country-specific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supply-chain sourcing choices for owners.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Key Trends Impacting Our Markets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Growth in Global Infrastructure Demand</w:t>
      </w:r>
    </w:p>
    <w:p>
      <w:pPr>
        <w:spacing w:after="0" w:line="121"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expect that the rate of new spending required to meet currently anticipated infrastructure demands will represent a highly significant economic opportunity globally for the next twenty years. According to Oxford Economics’ </w:t>
      </w:r>
      <w:r>
        <w:rPr>
          <w:rFonts w:ascii="Times New Roman" w:cs="Times New Roman" w:eastAsia="Times New Roman" w:hAnsi="Times New Roman"/>
          <w:sz w:val="18"/>
          <w:szCs w:val="18"/>
          <w:i w:val="1"/>
          <w:iCs w:val="1"/>
          <w:color w:val="auto"/>
        </w:rPr>
        <w:t>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Outlook </w:t>
      </w:r>
      <w:r>
        <w:rPr>
          <w:rFonts w:ascii="Times New Roman" w:cs="Times New Roman" w:eastAsia="Times New Roman" w:hAnsi="Times New Roman"/>
          <w:sz w:val="18"/>
          <w:szCs w:val="18"/>
          <w:color w:val="auto"/>
        </w:rPr>
        <w:t>in 2017 (the “Oxford Economics Outlook”), in 2015, global spending was $2.3 trillion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electricity, rail, telecoms, water, airports, and ports. Oxford Economics Outlook forecasts that this spending will increase to an average of $3.2 trillion annually for the period from 2016 to 2040.</w:t>
      </w:r>
    </w:p>
    <w:p>
      <w:pPr>
        <w:spacing w:after="0" w:line="75"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The increased demand for infrastructure is attributable to various factors, including urbanization and adaptation to demographic and climate changes. According to the Oxford Economics Outlook, by 2040, 10% of the world’s population, and 15% of the population of Asia, will move into cities or find that their environs have newly become cities, and Asia will continue to account for over 50% of anticipated global infrastructure spending, with China alone accounting for 30%.</w:t>
      </w:r>
    </w:p>
    <w:p>
      <w:pPr>
        <w:spacing w:after="0" w:line="75" w:lineRule="exact"/>
        <w:rPr>
          <w:sz w:val="20"/>
          <w:szCs w:val="20"/>
          <w:color w:val="auto"/>
        </w:rPr>
      </w:pPr>
    </w:p>
    <w:p>
      <w:pPr>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Over the period from 2016 through 2040, the Oxford Economics Outlook estimates that approximately $79 trillion will be spent across road, electricity, rail, telecoms, water, airports, and ports, equivalent to approximately 3.0% of global GDP over the same period, broken down by purpose as follows:</w:t>
      </w:r>
    </w:p>
    <w:p>
      <w:pPr>
        <w:spacing w:after="0" w:line="7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Roads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Electricity</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Rail</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6"/>
              </w:rPr>
              <w:t>Telecoms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Water</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Airports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Ports</w:t>
            </w:r>
          </w:p>
        </w:tc>
      </w:tr>
      <w:tr>
        <w:trPr>
          <w:trHeight w:val="191"/>
        </w:trPr>
        <w:tc>
          <w:tcPr>
            <w:tcW w:w="3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2016</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2040 Spending as Approximate Proportion of</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34"/>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GDP</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0.3 %</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0.1 %</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bl>
    <w:p>
      <w:pPr>
        <w:spacing w:after="0" w:line="198" w:lineRule="exact"/>
        <w:rPr>
          <w:sz w:val="20"/>
          <w:szCs w:val="20"/>
          <w:color w:val="auto"/>
        </w:rPr>
      </w:pPr>
    </w:p>
    <w:p>
      <w:pPr>
        <w:jc w:val="both"/>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The Oxford Economic Outlook estimates that an additional $3.5 trillion of spending would be required to meet the UN’s Sustainable Development Goals by 2030 for universal access to drinking water, sanitation, and electricity. Of this amount, $1.9 trillion is identified as needed to increase drinking water and sanitation capacity.</w:t>
      </w:r>
    </w:p>
    <w:p>
      <w:pPr>
        <w:spacing w:after="0" w:line="68"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The Oxford Economics Outlook quantifies a funding gap by which its predicted actual spending falls short of what it estimates to be the need for functionally sufficient public works/utilities infrastructure. For North America, South America, and Central America, that gap is 47%, suggesting that investment needs in such regions are 47% greater than forecasted investment under current trends. We believe this funding gap, given compelling economic rates of return on further infrastructure investment, will give rise to rapidly increasing private infrastructure financing.</w:t>
      </w:r>
    </w:p>
    <w:p>
      <w:pPr>
        <w:spacing w:after="0" w:line="75"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We believe that infrastructure funding gaps will accelerate demands for infrastructure engineering going digital. While significant privately-sourced capital has been earmarked for infrastructure investment, much of those funds are being held as dry powder, with investors seeking attractive projects with sufficient predictability at the outset and sufficient visibility throughout their investment holding periods. We also believe that digital twins can help to meet these requirements for private infrastructure investment and fulfill private infrastructure investors’ expectations of advancement in digital workflows across project and asset lifecycles.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1" w:name="page152"/>
    <w:bookmarkEnd w:id="15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Responsibility for Environmental Sustainability</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The global infrastructure engineering community is resolutely taking on the challenges of reducing waste and emissions, improving resilience, and designing for adaption to climate change. Going digital is recognized as essential to accomplish these goals, including in the following respects:</w:t>
      </w:r>
    </w:p>
    <w:p>
      <w:pPr>
        <w:spacing w:after="0" w:line="66" w:lineRule="exact"/>
        <w:rPr>
          <w:sz w:val="20"/>
          <w:szCs w:val="20"/>
          <w:color w:val="auto"/>
        </w:rPr>
      </w:pPr>
    </w:p>
    <w:p>
      <w:pPr>
        <w:jc w:val="both"/>
        <w:ind w:left="1120" w:right="279" w:hanging="328"/>
        <w:spacing w:after="0" w:line="267" w:lineRule="auto"/>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carbon impact of new projects. </w:t>
      </w:r>
      <w:r>
        <w:rPr>
          <w:rFonts w:ascii="Times New Roman" w:cs="Times New Roman" w:eastAsia="Times New Roman" w:hAnsi="Times New Roman"/>
          <w:sz w:val="18"/>
          <w:szCs w:val="18"/>
          <w:color w:val="auto"/>
        </w:rPr>
        <w:t>During project delivery, digital twin technologies are being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calculate the carbon impact of material, design, and construction alternatives to minimize the emission of carbon dioxide and other greenhouse gases;</w:t>
      </w:r>
    </w:p>
    <w:p>
      <w:pPr>
        <w:spacing w:after="0" w:line="65" w:lineRule="exact"/>
        <w:rPr>
          <w:rFonts w:ascii="Times New Roman" w:cs="Times New Roman" w:eastAsia="Times New Roman" w:hAnsi="Times New Roman"/>
          <w:sz w:val="18"/>
          <w:szCs w:val="18"/>
          <w:color w:val="auto"/>
        </w:rPr>
      </w:pPr>
    </w:p>
    <w:p>
      <w:pPr>
        <w:ind w:left="1120" w:right="239" w:hanging="328"/>
        <w:spacing w:after="0" w:line="267" w:lineRule="auto"/>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Minimizing carbon emissions of operating assets. </w:t>
      </w:r>
      <w:r>
        <w:rPr>
          <w:rFonts w:ascii="Times New Roman" w:cs="Times New Roman" w:eastAsia="Times New Roman" w:hAnsi="Times New Roman"/>
          <w:sz w:val="18"/>
          <w:szCs w:val="18"/>
          <w:color w:val="auto"/>
        </w:rPr>
        <w:t>Simulations and asset performance solutions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models enable adapting existing assets to be more energy-efficient and/or less reliant on fossil fuels;</w:t>
      </w:r>
    </w:p>
    <w:p>
      <w:pPr>
        <w:spacing w:after="0" w:line="65" w:lineRule="exact"/>
        <w:rPr>
          <w:rFonts w:ascii="Times New Roman" w:cs="Times New Roman" w:eastAsia="Times New Roman" w:hAnsi="Times New Roman"/>
          <w:sz w:val="18"/>
          <w:szCs w:val="18"/>
          <w:color w:val="auto"/>
        </w:rPr>
      </w:pPr>
    </w:p>
    <w:p>
      <w:pPr>
        <w:ind w:left="1120" w:right="439" w:hanging="328"/>
        <w:spacing w:after="0" w:line="261" w:lineRule="auto"/>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the substitution of renewable energy. </w:t>
      </w:r>
      <w:r>
        <w:rPr>
          <w:rFonts w:ascii="Times New Roman" w:cs="Times New Roman" w:eastAsia="Times New Roman" w:hAnsi="Times New Roman"/>
          <w:sz w:val="18"/>
          <w:szCs w:val="18"/>
          <w:color w:val="auto"/>
        </w:rPr>
        <w:t>In addition to designing new renewable energy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wind, solar, hydro-power, and waste-to-energy plants, engineers are leveraging network performance solutions to modernize existing power grids to purposefully incorporate distributed energy resources;</w:t>
      </w:r>
    </w:p>
    <w:p>
      <w:pPr>
        <w:spacing w:after="0" w:line="71" w:lineRule="exact"/>
        <w:rPr>
          <w:rFonts w:ascii="Times New Roman" w:cs="Times New Roman" w:eastAsia="Times New Roman" w:hAnsi="Times New Roman"/>
          <w:sz w:val="18"/>
          <w:szCs w:val="18"/>
          <w:color w:val="auto"/>
        </w:rPr>
      </w:pPr>
    </w:p>
    <w:p>
      <w:pPr>
        <w:ind w:left="1120" w:right="259" w:hanging="328"/>
        <w:spacing w:after="0" w:line="284" w:lineRule="auto"/>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the use of natural resources. </w:t>
      </w:r>
      <w:r>
        <w:rPr>
          <w:rFonts w:ascii="Times New Roman" w:cs="Times New Roman" w:eastAsia="Times New Roman" w:hAnsi="Times New Roman"/>
          <w:sz w:val="18"/>
          <w:szCs w:val="18"/>
          <w:color w:val="auto"/>
        </w:rPr>
        <w:t>Simulation and analysis applications help engineers,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examples, to</w:t>
      </w:r>
    </w:p>
    <w:p>
      <w:pPr>
        <w:spacing w:after="0" w:line="52" w:lineRule="exact"/>
        <w:rPr>
          <w:rFonts w:ascii="Times New Roman" w:cs="Times New Roman" w:eastAsia="Times New Roman" w:hAnsi="Times New Roman"/>
          <w:sz w:val="18"/>
          <w:szCs w:val="18"/>
          <w:color w:val="auto"/>
        </w:rPr>
      </w:pPr>
    </w:p>
    <w:p>
      <w:pPr>
        <w:ind w:left="1440" w:right="339" w:hanging="324"/>
        <w:spacing w:after="0" w:line="282" w:lineRule="auto"/>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 framing of an asset to maximize structural resilience while minimizing the raw material required;</w:t>
      </w:r>
    </w:p>
    <w:p>
      <w:pPr>
        <w:spacing w:after="0" w:line="53" w:lineRule="exact"/>
        <w:rPr>
          <w:rFonts w:ascii="Times New Roman" w:cs="Times New Roman" w:eastAsia="Times New Roman" w:hAnsi="Times New Roman"/>
          <w:sz w:val="18"/>
          <w:szCs w:val="18"/>
          <w:color w:val="auto"/>
        </w:rPr>
      </w:pPr>
    </w:p>
    <w:p>
      <w:pPr>
        <w:ind w:left="1440" w:hanging="324"/>
        <w:spacing w:after="0"/>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locate leaks in water networks to save water and the electricity needed to pump it; and</w:t>
      </w:r>
    </w:p>
    <w:p>
      <w:pPr>
        <w:spacing w:after="0" w:line="117" w:lineRule="exact"/>
        <w:rPr>
          <w:rFonts w:ascii="Times New Roman" w:cs="Times New Roman" w:eastAsia="Times New Roman" w:hAnsi="Times New Roman"/>
          <w:sz w:val="18"/>
          <w:szCs w:val="18"/>
          <w:color w:val="auto"/>
        </w:rPr>
      </w:pPr>
    </w:p>
    <w:p>
      <w:pPr>
        <w:ind w:left="1440" w:hanging="324"/>
        <w:spacing w:after="0"/>
        <w:tabs>
          <w:tab w:leader="none" w:pos="14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engineer wastewater treatment and water reclamation plants to save water resources; and</w:t>
      </w:r>
    </w:p>
    <w:p>
      <w:pPr>
        <w:spacing w:after="0" w:line="115" w:lineRule="exact"/>
        <w:rPr>
          <w:rFonts w:ascii="Times New Roman" w:cs="Times New Roman" w:eastAsia="Times New Roman" w:hAnsi="Times New Roman"/>
          <w:sz w:val="18"/>
          <w:szCs w:val="18"/>
          <w:color w:val="auto"/>
        </w:rPr>
      </w:pPr>
    </w:p>
    <w:p>
      <w:pPr>
        <w:jc w:val="both"/>
        <w:ind w:left="1120" w:right="479" w:hanging="328"/>
        <w:spacing w:after="0" w:line="267" w:lineRule="auto"/>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Building resilience into cities and assets. </w:t>
      </w:r>
      <w:r>
        <w:rPr>
          <w:rFonts w:ascii="Times New Roman" w:cs="Times New Roman" w:eastAsia="Times New Roman" w:hAnsi="Times New Roman"/>
          <w:sz w:val="18"/>
          <w:szCs w:val="18"/>
          <w:color w:val="auto"/>
        </w:rPr>
        <w:t>Engineers today can model the impact of floods, earthquakes,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spills, and extreme weather, and can accordingly harden infrastructure to minimize risks and mitigate the damage, disruption, and losses associated with such events.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Industrialization of Infrastructure Projects</w:t>
      </w:r>
    </w:p>
    <w:p>
      <w:pPr>
        <w:spacing w:after="0" w:line="121" w:lineRule="exact"/>
        <w:rPr>
          <w:sz w:val="20"/>
          <w:szCs w:val="20"/>
          <w:color w:val="auto"/>
        </w:rPr>
      </w:pPr>
    </w:p>
    <w:p>
      <w:pPr>
        <w:ind w:left="140" w:right="459" w:firstLine="324"/>
        <w:spacing w:after="0" w:line="256" w:lineRule="auto"/>
        <w:rPr>
          <w:sz w:val="20"/>
          <w:szCs w:val="20"/>
          <w:color w:val="auto"/>
        </w:rPr>
      </w:pPr>
      <w:r>
        <w:rPr>
          <w:rFonts w:ascii="Times New Roman" w:cs="Times New Roman" w:eastAsia="Times New Roman" w:hAnsi="Times New Roman"/>
          <w:sz w:val="18"/>
          <w:szCs w:val="18"/>
          <w:color w:val="auto"/>
        </w:rPr>
        <w:t>While digital technologies have long and continuously improved the economics of manufacturing, infrastructure owners and investors are becoming increasingly dissatisfied with the low productivity improvements and rampant schedule and cost overruns too often associated with infrastructure project delivery. Owner-operators have tended to allow each engineering design to start from scratch, without taking into account potential synergies with the owner’s existing asset fleet, operational performance history, and knowledge from comparable assets, thereby limiting opportunities for lifecycle-cost breakthroughs from construction-driven and operations-driven design.</w:t>
      </w:r>
    </w:p>
    <w:p>
      <w:pPr>
        <w:spacing w:after="0" w:line="79"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Infrastructure engineering organizations are increasingly acknowledging imperatives for going digital to address these inefficiencies. New strategies are focused on the “industrialization” of infrastructure design and construction, using a smaller palette of modular functional elements dictated by the owner, fabricated offsite for economy, quality, and safety, and transported and assembled onsite. In construction, industrialization portends automation and robotics with digitally controlled machinery, which is already underway for heavy civil earthmoving.</w:t>
      </w:r>
    </w:p>
    <w:p>
      <w:pPr>
        <w:spacing w:after="0" w:line="75"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We believe that industrialization of infrastructure delivery is compelling and inevitable, and will lead owner-operators to harness their own operating asset performance analytics to direct their project supply chains to learn from and deliver digital twins along with physical assets. We also believe industrialization’s success will drive, and depend on, the adoption of 4D digital workflows for conception through construction, the comprehensiveness of all participants’ solutions, and connectedness both in their data environments and between asset and project lifecycles.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Owner-Operators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Trends that are influencing owner-operators’ requirements for infrastructure engineering software include:</w:t>
      </w:r>
    </w:p>
    <w:p>
      <w:pPr>
        <w:spacing w:after="0" w:line="115" w:lineRule="exact"/>
        <w:rPr>
          <w:sz w:val="20"/>
          <w:szCs w:val="20"/>
          <w:color w:val="auto"/>
        </w:rPr>
      </w:pPr>
    </w:p>
    <w:p>
      <w:pPr>
        <w:ind w:left="1120" w:right="279" w:hanging="328"/>
        <w:spacing w:after="0" w:line="290" w:lineRule="auto"/>
        <w:tabs>
          <w:tab w:leader="none" w:pos="11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Autonomous vehicles. </w:t>
      </w:r>
      <w:r>
        <w:rPr>
          <w:rFonts w:ascii="Times New Roman" w:cs="Times New Roman" w:eastAsia="Times New Roman" w:hAnsi="Times New Roman"/>
          <w:sz w:val="17"/>
          <w:szCs w:val="17"/>
          <w:color w:val="auto"/>
        </w:rPr>
        <w:t>We believe that the increase in investment in and demand for autonomous vehicle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will drive the need for intelligent roadway infrastructure. Roadway and related infrastructure owners will likely need to actively participate, creating an opportunity for roadway digital twins;</w:t>
      </w:r>
    </w:p>
    <w:p>
      <w:pPr>
        <w:sectPr>
          <w:pgSz w:w="11900" w:h="16838" w:orient="portrait"/>
          <w:cols w:equalWidth="0" w:num="1">
            <w:col w:w="9019"/>
          </w:cols>
          <w:pgMar w:left="1440" w:top="661"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2" w:name="page153"/>
    <w:bookmarkEnd w:id="15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jc w:val="both"/>
        <w:ind w:left="1120" w:right="259" w:hanging="328"/>
        <w:spacing w:after="0" w:line="258"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Ubiquitous connected devices. </w:t>
      </w:r>
      <w:r>
        <w:rPr>
          <w:rFonts w:ascii="Times New Roman" w:cs="Times New Roman" w:eastAsia="Times New Roman" w:hAnsi="Times New Roman"/>
          <w:sz w:val="18"/>
          <w:szCs w:val="18"/>
          <w:color w:val="auto"/>
        </w:rPr>
        <w:t>We believe that owner-operators are increasingly looking to third parties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maximize their use of new technologies such as IoT and 5G, which will help them propel their businesses to innovate further and go digital. For example, in bridge structural monitoring, machine learning applied to video of deflections during truckload passage can be as effective as sophisticated instrumentation with an array of sensors in detecting structural deficiencies;</w:t>
      </w:r>
    </w:p>
    <w:p>
      <w:pPr>
        <w:spacing w:after="0" w:line="75" w:lineRule="exact"/>
        <w:rPr>
          <w:rFonts w:ascii="Times New Roman" w:cs="Times New Roman" w:eastAsia="Times New Roman" w:hAnsi="Times New Roman"/>
          <w:sz w:val="18"/>
          <w:szCs w:val="18"/>
          <w:color w:val="auto"/>
        </w:rPr>
      </w:pPr>
    </w:p>
    <w:p>
      <w:pPr>
        <w:ind w:left="1120" w:right="199" w:hanging="328"/>
        <w:spacing w:after="0" w:line="267"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Innovative funding models. </w:t>
      </w:r>
      <w:r>
        <w:rPr>
          <w:rFonts w:ascii="Times New Roman" w:cs="Times New Roman" w:eastAsia="Times New Roman" w:hAnsi="Times New Roman"/>
          <w:sz w:val="18"/>
          <w:szCs w:val="18"/>
          <w:color w:val="auto"/>
        </w:rPr>
        <w:t>Newer forms of funding may catalyze the adoption of digital twins.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property tax proceeds can be increased based on building improvements that are machine-learned from aerial imagery; and</w:t>
      </w:r>
    </w:p>
    <w:p>
      <w:pPr>
        <w:spacing w:after="0" w:line="65" w:lineRule="exact"/>
        <w:rPr>
          <w:rFonts w:ascii="Times New Roman" w:cs="Times New Roman" w:eastAsia="Times New Roman" w:hAnsi="Times New Roman"/>
          <w:sz w:val="18"/>
          <w:szCs w:val="18"/>
          <w:color w:val="auto"/>
        </w:rPr>
      </w:pPr>
    </w:p>
    <w:p>
      <w:pPr>
        <w:ind w:left="1120" w:right="299" w:hanging="328"/>
        <w:spacing w:after="0" w:line="261" w:lineRule="auto"/>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Threats to critical infrastructure. </w:t>
      </w:r>
      <w:r>
        <w:rPr>
          <w:rFonts w:ascii="Times New Roman" w:cs="Times New Roman" w:eastAsia="Times New Roman" w:hAnsi="Times New Roman"/>
          <w:sz w:val="18"/>
          <w:szCs w:val="18"/>
          <w:color w:val="auto"/>
        </w:rPr>
        <w:t>Certain vulnerabilities, such as risks to the electric grid or potable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represent potential use cases for digital twins for planning and execution of hardening, monitoring, and emergency response. Additionally, the requirement for industrial-strength cyber-security for infrastructure digital twins will raise the barriers for entry, favoring world-class proprietors.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Key Developments Impacting Infrastructure Project Delivery Organizations</w:t>
      </w:r>
    </w:p>
    <w:p>
      <w:pPr>
        <w:spacing w:after="0" w:line="121" w:lineRule="exact"/>
        <w:rPr>
          <w:sz w:val="20"/>
          <w:szCs w:val="20"/>
          <w:color w:val="auto"/>
        </w:rPr>
      </w:pPr>
    </w:p>
    <w:p>
      <w:pPr>
        <w:ind w:left="140" w:right="879" w:firstLine="324"/>
        <w:spacing w:after="0" w:line="282" w:lineRule="auto"/>
        <w:rPr>
          <w:sz w:val="20"/>
          <w:szCs w:val="20"/>
          <w:color w:val="auto"/>
        </w:rPr>
      </w:pPr>
      <w:r>
        <w:rPr>
          <w:rFonts w:ascii="Times New Roman" w:cs="Times New Roman" w:eastAsia="Times New Roman" w:hAnsi="Times New Roman"/>
          <w:sz w:val="18"/>
          <w:szCs w:val="18"/>
          <w:color w:val="auto"/>
        </w:rPr>
        <w:t>Despite the potential upside in business outcomes presented by going digital, engineering and construction organizations face challenging constraints:</w:t>
      </w:r>
    </w:p>
    <w:p>
      <w:pPr>
        <w:spacing w:after="0" w:line="52" w:lineRule="exact"/>
        <w:rPr>
          <w:sz w:val="20"/>
          <w:szCs w:val="20"/>
          <w:color w:val="auto"/>
        </w:rPr>
      </w:pPr>
    </w:p>
    <w:p>
      <w:pPr>
        <w:ind w:left="1120" w:right="179" w:hanging="328"/>
        <w:spacing w:after="0" w:line="254"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model obsolescence. </w:t>
      </w:r>
      <w:r>
        <w:rPr>
          <w:rFonts w:ascii="Times New Roman" w:cs="Times New Roman" w:eastAsia="Times New Roman" w:hAnsi="Times New Roman"/>
          <w:sz w:val="18"/>
          <w:szCs w:val="18"/>
          <w:color w:val="auto"/>
        </w:rPr>
        <w:t>Traditionally, most engineering firms have relied primarily on the first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owners’ “design-bid-build” procurement models, billing for their design hours and leaving owners to retain the resulting cost and change risks associated with actual project delivery. We believe that owners increasingly prefer procurement models with some extent of integrated project delivery including construction, and they are increasingly open to financing models such as public-private partnerships, which focus on delivering both project and asset outcomes efficiently over a full asset lifecycle. As a result, both engineering and construction firms are increasingly under pressure to embrace integrated project delivery systems to share their work effectively, rather than accepting risks outside their domain or losing the work to integrated competitors;</w:t>
      </w:r>
    </w:p>
    <w:p>
      <w:pPr>
        <w:spacing w:after="0" w:line="80" w:lineRule="exact"/>
        <w:rPr>
          <w:rFonts w:ascii="Times New Roman" w:cs="Times New Roman" w:eastAsia="Times New Roman" w:hAnsi="Times New Roman"/>
          <w:sz w:val="18"/>
          <w:szCs w:val="18"/>
          <w:color w:val="auto"/>
        </w:rPr>
      </w:pPr>
    </w:p>
    <w:p>
      <w:pPr>
        <w:ind w:left="1120" w:right="199" w:hanging="328"/>
        <w:spacing w:after="0" w:line="257"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Recruitment constraints. </w:t>
      </w:r>
      <w:r>
        <w:rPr>
          <w:rFonts w:ascii="Times New Roman" w:cs="Times New Roman" w:eastAsia="Times New Roman" w:hAnsi="Times New Roman"/>
          <w:sz w:val="18"/>
          <w:szCs w:val="18"/>
          <w:color w:val="auto"/>
        </w:rPr>
        <w:t>Engineering firms are each challenged to compete for increasingly scarce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skills and talent. In order to grow, these firms realize they need to be going digital, substituting technology for labor, and charging for increased value despite decreasing labor hours. Over time, however, we believe that as the infrastructure engineering professions fully adopt digital twin infrastructure engineering software, which is more visually immersive and interactive, their work will become relatively more appealing to “digital native” generations of potential engineering talent;</w:t>
      </w:r>
    </w:p>
    <w:p>
      <w:pPr>
        <w:spacing w:after="0" w:line="74" w:lineRule="exact"/>
        <w:rPr>
          <w:rFonts w:ascii="Times New Roman" w:cs="Times New Roman" w:eastAsia="Times New Roman" w:hAnsi="Times New Roman"/>
          <w:sz w:val="18"/>
          <w:szCs w:val="18"/>
          <w:color w:val="auto"/>
        </w:rPr>
      </w:pPr>
    </w:p>
    <w:p>
      <w:pPr>
        <w:ind w:left="1120" w:right="159" w:hanging="328"/>
        <w:spacing w:after="0" w:line="257"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Globalization of competition. </w:t>
      </w:r>
      <w:r>
        <w:rPr>
          <w:rFonts w:ascii="Times New Roman" w:cs="Times New Roman" w:eastAsia="Times New Roman" w:hAnsi="Times New Roman"/>
          <w:sz w:val="18"/>
          <w:szCs w:val="18"/>
          <w:color w:val="auto"/>
        </w:rPr>
        <w:t>New technologies have enabled engineers around the world to contribute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located in other countries. Using these technologies, foreign firms are able to bid aggressively and win work elsewhere, and even domestic competitors have established value engineering centers in overseas locations where engineering skills are relatively abundant, inexpensive, and digitally advanced. We believe that many firms in established markets recognize that going digital is essential both to maximize their local productivity and to fully integrate with virtualized collaborators worldwide;</w:t>
      </w:r>
    </w:p>
    <w:p>
      <w:pPr>
        <w:spacing w:after="0" w:line="74" w:lineRule="exact"/>
        <w:rPr>
          <w:rFonts w:ascii="Times New Roman" w:cs="Times New Roman" w:eastAsia="Times New Roman" w:hAnsi="Times New Roman"/>
          <w:sz w:val="18"/>
          <w:szCs w:val="18"/>
          <w:color w:val="auto"/>
        </w:rPr>
      </w:pPr>
    </w:p>
    <w:p>
      <w:pPr>
        <w:ind w:left="1120" w:right="199" w:hanging="328"/>
        <w:spacing w:after="0" w:line="256"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constraints. </w:t>
      </w:r>
      <w:r>
        <w:rPr>
          <w:rFonts w:ascii="Times New Roman" w:cs="Times New Roman" w:eastAsia="Times New Roman" w:hAnsi="Times New Roman"/>
          <w:sz w:val="18"/>
          <w:szCs w:val="18"/>
          <w:color w:val="auto"/>
        </w:rPr>
        <w:t>In general, design and construction firms have not presented a compelling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investors, given their relatively higher risks and lower returns relative to other investment opportunities, and hence tend to be thinly capitalized. These firms require digital solutions, but often do not have the financial capital or technical resources to attempt to self-develop them. As a result, design and construction firms are increasingly a large and ready market for infrastructure engineering software, especially offerings with open-source capabilities for firms to configure and brand their own digital-twin offerings and analytics; and</w:t>
      </w:r>
    </w:p>
    <w:p>
      <w:pPr>
        <w:spacing w:after="0" w:line="74" w:lineRule="exact"/>
        <w:rPr>
          <w:rFonts w:ascii="Times New Roman" w:cs="Times New Roman" w:eastAsia="Times New Roman" w:hAnsi="Times New Roman"/>
          <w:sz w:val="18"/>
          <w:szCs w:val="18"/>
          <w:color w:val="auto"/>
        </w:rPr>
      </w:pPr>
    </w:p>
    <w:p>
      <w:pPr>
        <w:ind w:left="1120" w:right="339" w:hanging="328"/>
        <w:spacing w:after="0" w:line="256" w:lineRule="auto"/>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silos. </w:t>
      </w:r>
      <w:r>
        <w:rPr>
          <w:rFonts w:ascii="Times New Roman" w:cs="Times New Roman" w:eastAsia="Times New Roman" w:hAnsi="Times New Roman"/>
          <w:sz w:val="18"/>
          <w:szCs w:val="18"/>
          <w:color w:val="auto"/>
        </w:rPr>
        <w:t>Legacy software applications often produce static deliverables in one-time, one-way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formats, siloed from the digital workflows required to bridge disciplines and lifecycle phases. Competitiveness in today’s project delivery market requires solutions that facilitate data created by one application (for instance, in design) serving as inputs in new automated workflows by other applications (for instance, in 4D construction modeling). Such digital workflows improve productivity and quality, helping project delivery enterprises toward replication so that every project performs as well as their best projects.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3" w:name="page154"/>
    <w:bookmarkEnd w:id="15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The Digital Twins Opportunity</w:t>
      </w:r>
    </w:p>
    <w:p>
      <w:pPr>
        <w:spacing w:after="0" w:line="121"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We believe that digital progress in infrastructure advancement has to date lagged behind other economic domains for several reasons, including that:</w:t>
      </w:r>
    </w:p>
    <w:p>
      <w:pPr>
        <w:spacing w:after="0" w:line="54" w:lineRule="exact"/>
        <w:rPr>
          <w:sz w:val="20"/>
          <w:szCs w:val="20"/>
          <w:color w:val="auto"/>
        </w:rPr>
      </w:pPr>
    </w:p>
    <w:p>
      <w:pPr>
        <w:ind w:left="1120" w:hanging="328"/>
        <w:spacing w:after="0"/>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existing infrastructure assets predate engineering modeling software;</w:t>
      </w:r>
    </w:p>
    <w:p>
      <w:pPr>
        <w:spacing w:after="0" w:line="117" w:lineRule="exact"/>
        <w:rPr>
          <w:rFonts w:ascii="Times New Roman" w:cs="Times New Roman" w:eastAsia="Times New Roman" w:hAnsi="Times New Roman"/>
          <w:sz w:val="18"/>
          <w:szCs w:val="18"/>
          <w:color w:val="auto"/>
        </w:rPr>
      </w:pPr>
    </w:p>
    <w:p>
      <w:pPr>
        <w:ind w:left="1120" w:right="339" w:hanging="328"/>
        <w:spacing w:after="0" w:line="261" w:lineRule="auto"/>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engineers’ work, including by way of building information modeling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71" w:lineRule="exact"/>
        <w:rPr>
          <w:rFonts w:ascii="Times New Roman" w:cs="Times New Roman" w:eastAsia="Times New Roman" w:hAnsi="Times New Roman"/>
          <w:sz w:val="18"/>
          <w:szCs w:val="18"/>
          <w:color w:val="auto"/>
        </w:rPr>
      </w:pPr>
    </w:p>
    <w:p>
      <w:pPr>
        <w:ind w:left="1120" w:right="279" w:hanging="328"/>
        <w:spacing w:after="0" w:line="266" w:lineRule="auto"/>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68"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Over our company’s history, as computing capabilities have advanced, the scope of infrastructure engineering software has correspondingly increased. However, project lifecycle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Project Lifecycle Software</w:t>
            </w:r>
          </w:p>
        </w:tc>
        <w:tc>
          <w:tcPr>
            <w:tcW w:w="180" w:type="dxa"/>
            <w:vAlign w:val="bottom"/>
          </w:tcPr>
          <w:p>
            <w:pPr>
              <w:spacing w:after="0"/>
              <w:rPr>
                <w:sz w:val="15"/>
                <w:szCs w:val="15"/>
                <w:color w:val="auto"/>
              </w:rPr>
            </w:pPr>
          </w:p>
        </w:tc>
        <w:tc>
          <w:tcPr>
            <w:tcW w:w="36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Asset Lifecycle Software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1985 - 1995</w:t>
            </w:r>
          </w:p>
        </w:tc>
        <w:tc>
          <w:tcPr>
            <w:tcW w:w="200" w:type="dxa"/>
            <w:vAlign w:val="bottom"/>
          </w:tcPr>
          <w:p>
            <w:pPr>
              <w:spacing w:after="0"/>
              <w:rPr>
                <w:sz w:val="16"/>
                <w:szCs w:val="16"/>
                <w:color w:val="auto"/>
              </w:rPr>
            </w:pPr>
          </w:p>
        </w:tc>
        <w:tc>
          <w:tcPr>
            <w:tcW w:w="36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2D Drafting (“Computer Aided Design,” or</w:t>
            </w:r>
          </w:p>
        </w:tc>
        <w:tc>
          <w:tcPr>
            <w:tcW w:w="180" w:type="dxa"/>
            <w:vAlign w:val="bottom"/>
          </w:tcPr>
          <w:p>
            <w:pPr>
              <w:spacing w:after="0"/>
              <w:rPr>
                <w:sz w:val="16"/>
                <w:szCs w:val="16"/>
                <w:color w:val="auto"/>
              </w:rPr>
            </w:pPr>
          </w:p>
        </w:tc>
        <w:tc>
          <w:tcPr>
            <w:tcW w:w="3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2D Mapping: </w:t>
            </w:r>
            <w:r>
              <w:rPr>
                <w:rFonts w:ascii="Times New Roman" w:cs="Times New Roman" w:eastAsia="Times New Roman" w:hAnsi="Times New Roman"/>
                <w:sz w:val="18"/>
                <w:szCs w:val="18"/>
                <w:color w:val="auto"/>
              </w:rPr>
              <w:t>Workstations and personal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“CAD”): </w:t>
            </w:r>
            <w:r>
              <w:rPr>
                <w:rFonts w:ascii="Times New Roman" w:cs="Times New Roman" w:eastAsia="Times New Roman" w:hAnsi="Times New Roman"/>
                <w:sz w:val="18"/>
                <w:szCs w:val="18"/>
                <w:color w:val="auto"/>
              </w:rPr>
              <w:t>Workstations and then personal</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computers make possible interactive graphical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computers make possible interactive graphical</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applications to automate the creation of maps.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applications to automate the creation of</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previously manually drafted 2D engineering</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drawings.</w:t>
            </w: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1996 - 2005</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Networked personal computers</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Geographic Information Systems (“GIS”):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servers provide platforms for file-sharing and</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Networked personal computers and servers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referencing. Common Data Environments</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enable querying and visualization of geographic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(“CDEs”) are introduced.</w:t>
            </w:r>
          </w:p>
        </w:tc>
        <w:tc>
          <w:tcPr>
            <w:tcW w:w="3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data.</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2006 - 2015</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3D BIM</w:t>
            </w:r>
            <w:r>
              <w:rPr>
                <w:rFonts w:ascii="Times New Roman" w:cs="Times New Roman" w:eastAsia="Times New Roman" w:hAnsi="Times New Roman"/>
                <w:sz w:val="18"/>
                <w:szCs w:val="18"/>
                <w:color w:val="auto"/>
              </w:rPr>
              <w:t>: Increased personal computing power</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Geospatial: </w:t>
            </w:r>
            <w:r>
              <w:rPr>
                <w:rFonts w:ascii="Times New Roman" w:cs="Times New Roman" w:eastAsia="Times New Roman" w:hAnsi="Times New Roman"/>
                <w:sz w:val="18"/>
                <w:szCs w:val="18"/>
                <w:color w:val="auto"/>
              </w:rPr>
              <w:t>Increased computing address space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enables the development of 3D applications for</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enables geo-coordinated engineering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design of specific asset types including buildings,</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models. GPS technology enables alignment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process plants, roads, water networks, and</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components and real-world coordinates.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buildings. CDEs and the internet lead to global</w:t>
            </w:r>
          </w:p>
        </w:tc>
        <w:tc>
          <w:tcPr>
            <w:tcW w:w="3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Asset Performance Management (“APM”):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work-sharing and collaborative BIM.</w:t>
            </w:r>
          </w:p>
        </w:tc>
        <w:tc>
          <w:tcPr>
            <w:tcW w:w="3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0" w:type="dxa"/>
            <w:vAlign w:val="bottom"/>
            <w:gridSpan w:val="2"/>
            <w:vMerge w:val="continue"/>
          </w:tcPr>
          <w:p>
            <w:pPr>
              <w:spacing w:after="0"/>
              <w:rPr>
                <w:sz w:val="10"/>
                <w:szCs w:val="10"/>
                <w:color w:val="auto"/>
              </w:rPr>
            </w:pPr>
          </w:p>
        </w:tc>
        <w:tc>
          <w:tcPr>
            <w:tcW w:w="3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solutions are introduced for reliability-centered</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maintenance and risk-based inspection.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2015 - 2018</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Reality Modeling</w:t>
            </w:r>
            <w:r>
              <w:rPr>
                <w:rFonts w:ascii="Times New Roman" w:cs="Times New Roman" w:eastAsia="Times New Roman" w:hAnsi="Times New Roman"/>
                <w:sz w:val="18"/>
                <w:szCs w:val="18"/>
                <w:color w:val="auto"/>
              </w:rPr>
              <w:t>: Advances in digital imagery,</w:t>
            </w:r>
          </w:p>
        </w:tc>
        <w:tc>
          <w:tcPr>
            <w:tcW w:w="380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APM </w:t>
            </w:r>
            <w:r>
              <w:rPr>
                <w:rFonts w:ascii="Times New Roman" w:cs="Times New Roman" w:eastAsia="Times New Roman" w:hAnsi="Times New Roman"/>
                <w:sz w:val="18"/>
                <w:szCs w:val="18"/>
                <w:color w:val="auto"/>
              </w:rPr>
              <w:t>evolves into Asset Performance</w:t>
            </w:r>
            <w:r>
              <w:rPr>
                <w:rFonts w:ascii="Times New Roman" w:cs="Times New Roman" w:eastAsia="Times New Roman" w:hAnsi="Times New Roman"/>
                <w:sz w:val="18"/>
                <w:szCs w:val="18"/>
                <w:i w:val="1"/>
                <w:iCs w:val="1"/>
                <w:color w:val="auto"/>
              </w:rPr>
              <w:t xml:space="preserve"> Modeling</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unmanned aerial vehicles (“UAVs,” or “drones”),</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 engineering models recalibrated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specialized software enable the automated</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reproduce and understand observed behaviors,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capture of as-operated conditions of an asset or</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apply algorithms and analytics to derive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site in an engineering-ready, geo-coordinated 3D</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insights and drive decisions.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model. Cloud ubiquity enables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Data</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Environments to evolve into </w:t>
            </w:r>
            <w:r>
              <w:rPr>
                <w:rFonts w:ascii="Times New Roman" w:cs="Times New Roman" w:eastAsia="Times New Roman" w:hAnsi="Times New Roman"/>
                <w:sz w:val="18"/>
                <w:szCs w:val="18"/>
                <w:i w:val="1"/>
                <w:iCs w:val="1"/>
                <w:color w:val="auto"/>
              </w:rPr>
              <w:t>Connected</w:t>
            </w:r>
            <w:r>
              <w:rPr>
                <w:rFonts w:ascii="Times New Roman" w:cs="Times New Roman" w:eastAsia="Times New Roman" w:hAnsi="Times New Roman"/>
                <w:sz w:val="18"/>
                <w:szCs w:val="18"/>
                <w:color w:val="auto"/>
              </w:rPr>
              <w:t xml:space="preserve"> Data</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Environments.</w:t>
            </w:r>
          </w:p>
        </w:tc>
        <w:tc>
          <w:tcPr>
            <w:tcW w:w="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2019 - Present</w:t>
            </w:r>
          </w:p>
        </w:tc>
        <w:tc>
          <w:tcPr>
            <w:tcW w:w="7600" w:type="dxa"/>
            <w:vAlign w:val="bottom"/>
            <w:gridSpan w:val="4"/>
          </w:tcPr>
          <w:p>
            <w:pPr>
              <w:ind w:left="180"/>
              <w:spacing w:after="0" w:line="191" w:lineRule="exact"/>
              <w:rPr>
                <w:sz w:val="20"/>
                <w:szCs w:val="20"/>
                <w:color w:val="auto"/>
              </w:rPr>
            </w:pPr>
            <w:r>
              <w:rPr>
                <w:rFonts w:ascii="Times New Roman" w:cs="Times New Roman" w:eastAsia="Times New Roman" w:hAnsi="Times New Roman"/>
                <w:sz w:val="18"/>
                <w:szCs w:val="18"/>
                <w:i w:val="1"/>
                <w:iCs w:val="1"/>
                <w:color w:val="auto"/>
              </w:rPr>
              <w:t xml:space="preserve">4D Digital Twins: </w:t>
            </w:r>
            <w:r>
              <w:rPr>
                <w:rFonts w:ascii="Times New Roman" w:cs="Times New Roman" w:eastAsia="Times New Roman" w:hAnsi="Times New Roman"/>
                <w:sz w:val="18"/>
                <w:szCs w:val="18"/>
                <w:color w:val="auto"/>
              </w:rPr>
              <w:t>Digital twins make possible the simulation of the behavior and the visualization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changes of a project or infrastructure asset over time. Digital twins are continually updated in a</w:t>
            </w:r>
          </w:p>
        </w:tc>
        <w:tc>
          <w:tcPr>
            <w:tcW w:w="0" w:type="dxa"/>
            <w:vAlign w:val="bottom"/>
          </w:tcPr>
          <w:p>
            <w:pPr>
              <w:spacing w:after="0"/>
              <w:rPr>
                <w:sz w:val="1"/>
                <w:szCs w:val="1"/>
                <w:color w:val="auto"/>
              </w:rPr>
            </w:pPr>
          </w:p>
        </w:tc>
      </w:tr>
    </w:tbl>
    <w:p>
      <w:pPr>
        <w:ind w:left="1440" w:right="219"/>
        <w:spacing w:after="0" w:line="253" w:lineRule="auto"/>
        <w:rPr>
          <w:sz w:val="20"/>
          <w:szCs w:val="20"/>
          <w:color w:val="auto"/>
        </w:rPr>
      </w:pPr>
      <w:r>
        <w:rPr>
          <w:rFonts w:ascii="Times New Roman" w:cs="Times New Roman" w:eastAsia="Times New Roman" w:hAnsi="Times New Roman"/>
          <w:sz w:val="18"/>
          <w:szCs w:val="18"/>
          <w:color w:val="auto"/>
        </w:rPr>
        <w:t>cloud database and remain current and “evergreen,” over the full project and asset lifecycle, through continuous surveying of the physical context and embedded links to inputs from connected IoT sensors in the operating asset. With digital twins, users are empowered to better understand the impact of changes over time for projects and assets to improve project, construction, and operational efficiencies, predictability, and overall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-6350</wp:posOffset>
            </wp:positionV>
            <wp:extent cx="5528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80" w:lineRule="exact"/>
        <w:rPr>
          <w:sz w:val="20"/>
          <w:szCs w:val="20"/>
          <w:color w:val="auto"/>
        </w:rPr>
      </w:pPr>
    </w:p>
    <w:p>
      <w:pPr>
        <w:ind w:left="140" w:right="539" w:firstLine="324"/>
        <w:spacing w:after="0" w:line="312" w:lineRule="auto"/>
        <w:rPr>
          <w:sz w:val="20"/>
          <w:szCs w:val="20"/>
          <w:color w:val="auto"/>
        </w:rPr>
      </w:pPr>
      <w:r>
        <w:rPr>
          <w:rFonts w:ascii="Times New Roman" w:cs="Times New Roman" w:eastAsia="Times New Roman" w:hAnsi="Times New Roman"/>
          <w:sz w:val="17"/>
          <w:szCs w:val="17"/>
          <w:color w:val="auto"/>
        </w:rPr>
        <w:t>To enable infrastructure engineering to catch up and advance in “going digital,” we have enabled infrastructure digital twins, cloud-provisioned digital representations of projects and assets that incorporate and converge their 3D</w:t>
      </w:r>
    </w:p>
    <w:p>
      <w:pPr>
        <w:sectPr>
          <w:pgSz w:w="11900" w:h="16838" w:orient="portrait"/>
          <w:cols w:equalWidth="0" w:num="1">
            <w:col w:w="9019"/>
          </w:cols>
          <w:pgMar w:left="1440" w:top="661"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4" w:name="page155"/>
    <w:bookmarkEnd w:id="15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379"/>
        <w:spacing w:after="0" w:line="266" w:lineRule="auto"/>
        <w:rPr>
          <w:sz w:val="20"/>
          <w:szCs w:val="20"/>
          <w:color w:val="auto"/>
        </w:rPr>
      </w:pPr>
      <w:r>
        <w:rPr>
          <w:rFonts w:ascii="Times New Roman" w:cs="Times New Roman" w:eastAsia="Times New Roman" w:hAnsi="Times New Roman"/>
          <w:sz w:val="18"/>
          <w:szCs w:val="18"/>
          <w:color w:val="auto"/>
        </w:rPr>
        <w:t>physical conditions (“digital context”) for reality, their underlying engineering information (“digital components”) for veracity, and their 4D timeline of changes (“digital chronology”) for fidelity, enabling the merging of project lifecycle and asset lifecycle workflows.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Digital Twins Requirements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88265</wp:posOffset>
            </wp:positionV>
            <wp:extent cx="5434965" cy="2322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3496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Digital twins solutions are now made possible by new technologies including UAVs and their intrinsic “surveying” sensors, machine learning, cloud computing, open-source development libraries, distributed ledger software, and mixed-reality visualization.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software to leverage these advancements for our digital twins offerings includes:</w:t>
      </w:r>
    </w:p>
    <w:p>
      <w:pPr>
        <w:spacing w:after="0" w:line="113" w:lineRule="exact"/>
        <w:rPr>
          <w:sz w:val="20"/>
          <w:szCs w:val="20"/>
          <w:color w:val="auto"/>
        </w:rPr>
      </w:pPr>
    </w:p>
    <w:p>
      <w:pPr>
        <w:ind w:left="1120" w:right="279" w:hanging="328"/>
        <w:spacing w:after="0" w:line="259"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Reality modeling software</w:t>
      </w:r>
      <w:r>
        <w:rPr>
          <w:rFonts w:ascii="Times New Roman" w:cs="Times New Roman" w:eastAsia="Times New Roman" w:hAnsi="Times New Roman"/>
          <w:sz w:val="18"/>
          <w:szCs w:val="18"/>
          <w:color w:val="auto"/>
        </w:rPr>
        <w:t>, which processes any combination of overlapping digital photography, video,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scanned imagery to produce a 3D model. Our software then uses machine learning to recognize and classify components within the 3D model (such as equipment, structural elements, pipes, valves, tags, and nameplates). This process populates the digital twins’ digital context with digital components that add intelligence, especially when aligned with engineering models from the design stage;</w:t>
      </w:r>
    </w:p>
    <w:p>
      <w:pPr>
        <w:spacing w:after="0" w:line="71" w:lineRule="exact"/>
        <w:rPr>
          <w:rFonts w:ascii="Times New Roman" w:cs="Times New Roman" w:eastAsia="Times New Roman" w:hAnsi="Times New Roman"/>
          <w:sz w:val="18"/>
          <w:szCs w:val="18"/>
          <w:color w:val="auto"/>
        </w:rPr>
      </w:pPr>
    </w:p>
    <w:p>
      <w:pPr>
        <w:ind w:left="1120" w:right="179" w:hanging="328"/>
        <w:spacing w:after="0" w:line="259"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iModel distributed databases</w:t>
      </w:r>
      <w:r>
        <w:rPr>
          <w:rFonts w:ascii="Times New Roman" w:cs="Times New Roman" w:eastAsia="Times New Roman" w:hAnsi="Times New Roman"/>
          <w:sz w:val="18"/>
          <w:szCs w:val="18"/>
          <w:color w:val="auto"/>
        </w:rPr>
        <w:t>, which combine and align the digital components from all available 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infrastructure projects and/or assets. iModels are created and bridged to our iTwins cloud services from our own engineering applications or from third-party applications. Using our iModel distributed databases, “dark data” is opened and aligned semantically and spatially with all other relevant models, allowing this information to be accessed and for its value to be enhanced; and</w:t>
      </w:r>
    </w:p>
    <w:p>
      <w:pPr>
        <w:spacing w:after="0" w:line="71" w:lineRule="exact"/>
        <w:rPr>
          <w:rFonts w:ascii="Times New Roman" w:cs="Times New Roman" w:eastAsia="Times New Roman" w:hAnsi="Times New Roman"/>
          <w:sz w:val="18"/>
          <w:szCs w:val="18"/>
          <w:color w:val="auto"/>
        </w:rPr>
      </w:pPr>
    </w:p>
    <w:p>
      <w:pPr>
        <w:ind w:left="1120" w:right="179" w:hanging="328"/>
        <w:spacing w:after="0" w:line="256" w:lineRule="auto"/>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iTwins cloud services</w:t>
      </w:r>
      <w:r>
        <w:rPr>
          <w:rFonts w:ascii="Times New Roman" w:cs="Times New Roman" w:eastAsia="Times New Roman" w:hAnsi="Times New Roman"/>
          <w:sz w:val="18"/>
          <w:szCs w:val="18"/>
          <w:color w:val="auto"/>
        </w:rPr>
        <w:t>, which update distributed databases through change ledgers to synchronize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twins, as required, with physical and engineering changes. Along with assuring that their fidelity can be relied upon for critical decisions, our iTwins cloud services maintain secure environments for infrastructure digital twins’ visualization and analytics visibility. Our iTwin services can be added to any user’s or accounts’ environments to generate incremental value by incorporating infrastructure engineering data within cloud-native evergreen digital twins. The go-to-market strategy for our iTwin cloud services is based on a dual-pronged sales strategy:</w:t>
      </w:r>
    </w:p>
    <w:p>
      <w:pPr>
        <w:spacing w:after="0" w:line="78" w:lineRule="exact"/>
        <w:rPr>
          <w:rFonts w:ascii="Times New Roman" w:cs="Times New Roman" w:eastAsia="Times New Roman" w:hAnsi="Times New Roman"/>
          <w:sz w:val="18"/>
          <w:szCs w:val="18"/>
          <w:color w:val="auto"/>
        </w:rPr>
      </w:pPr>
    </w:p>
    <w:p>
      <w:pPr>
        <w:ind w:left="1440" w:right="199" w:hanging="324"/>
        <w:spacing w:after="0" w:line="266" w:lineRule="auto"/>
        <w:tabs>
          <w:tab w:leader="none" w:pos="14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enterprise accounts using ProjectWise and AssetWise, to more broadly propagate their project and asset engineering data, respectively, through iTwins Design Review Service for comprehensive project-wide 4D status visibility, Immersive Asset Services, and PlantSight; and</w:t>
      </w:r>
    </w:p>
    <w:p>
      <w:pPr>
        <w:spacing w:after="0" w:line="67" w:lineRule="exact"/>
        <w:rPr>
          <w:rFonts w:ascii="Times New Roman" w:cs="Times New Roman" w:eastAsia="Times New Roman" w:hAnsi="Times New Roman"/>
          <w:sz w:val="18"/>
          <w:szCs w:val="18"/>
          <w:color w:val="auto"/>
        </w:rPr>
      </w:pPr>
    </w:p>
    <w:p>
      <w:pPr>
        <w:ind w:left="1440" w:right="199" w:hanging="324"/>
        <w:spacing w:after="0" w:line="282" w:lineRule="auto"/>
        <w:tabs>
          <w:tab w:leader="none" w:pos="14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individual practitioners and their workgroups for ad-hoc iTwins Design Review Service, often to upgrade their use of 2D PDF tools to 3D.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5" w:name="page156"/>
    <w:bookmarkEnd w:id="15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59" w:firstLine="324"/>
        <w:spacing w:after="0" w:line="281" w:lineRule="auto"/>
        <w:rPr>
          <w:sz w:val="20"/>
          <w:szCs w:val="20"/>
          <w:color w:val="auto"/>
        </w:rPr>
      </w:pPr>
      <w:r>
        <w:rPr>
          <w:rFonts w:ascii="Times New Roman" w:cs="Times New Roman" w:eastAsia="Times New Roman" w:hAnsi="Times New Roman"/>
          <w:sz w:val="17"/>
          <w:szCs w:val="17"/>
          <w:color w:val="auto"/>
        </w:rPr>
        <w:t>We believe that the growing adoption of infrastructure digital twins will serve to overcome the factors that have held back the digital advancement of infrastructure engineering. Moreover, we believe that due to the comprehensiveness of our solutions across project and asset lifecycles, infrastructure digital twins and newly enabled digital workflows spanning design, construction, and operations, will most particularly benefit our users and enhance our competitiveness.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Opportunity</w:t>
      </w:r>
    </w:p>
    <w:p>
      <w:pPr>
        <w:spacing w:after="0" w:line="121" w:lineRule="exact"/>
        <w:rPr>
          <w:sz w:val="20"/>
          <w:szCs w:val="20"/>
          <w:color w:val="auto"/>
        </w:rPr>
      </w:pPr>
    </w:p>
    <w:p>
      <w:pPr>
        <w:ind w:left="140" w:right="299" w:firstLine="324"/>
        <w:spacing w:after="0" w:line="258" w:lineRule="auto"/>
        <w:rPr>
          <w:sz w:val="20"/>
          <w:szCs w:val="20"/>
          <w:color w:val="auto"/>
        </w:rPr>
      </w:pPr>
      <w:r>
        <w:rPr>
          <w:rFonts w:ascii="Times New Roman" w:cs="Times New Roman" w:eastAsia="Times New Roman" w:hAnsi="Times New Roman"/>
          <w:sz w:val="18"/>
          <w:szCs w:val="18"/>
          <w:color w:val="auto"/>
        </w:rPr>
        <w:t>We believe we are successful and well-established in enterprise-level relationships with the world’s largest infrastructure engineering organizations, including both project-delivery contracting firms and owner-operators. Today, we address a significant SAM. We estimate our global SAM is approximately $9.5 billion, $6.1 billion of which is attributable to project delivery firms and $3.4 billion of which is attributable to owner-operators. Further, of our $9.5 billion SAM, approximately $1.6 billion is in Greater China.</w:t>
      </w:r>
    </w:p>
    <w:p>
      <w:pPr>
        <w:spacing w:after="0" w:line="75"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We also view our market opportunity in terms of the TAM, which we believe we can address over the long term. We believe that digital progress in the engineering of constructed infrastructure has to date lagged behind other substantial economic domains and, in particular, has lagged behind digital progress—as reflected in spending on engineering software—in the engineering of manufactured products.</w:t>
      </w:r>
    </w:p>
    <w:p>
      <w:pPr>
        <w:spacing w:after="0" w:line="72"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Over time, as project delivery firms and owner-operators increasingly recognize the value of going digital and increase their spending on infrastructure engineering software solutions, we believe that the “intensity” of infrastructure engineering software spending will approach the “intensity” of product engineering software spending, as measured by spend per engineer (or engineering technician, in each case).</w:t>
      </w:r>
    </w:p>
    <w:p>
      <w:pPr>
        <w:spacing w:after="0" w:line="72"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Cambashi quantifies our TAM as what would be the total spend for infrastructure engineering software solutions if the intensity of infrastructure engineering software spending would become equivalent to that of product engineering software spending. This TAM value is derived by banding countries by intensity of product engineering software spend, and multiplying average product engineering software spend levels per product engineer (or product engineering technician) by the total number of infrastructure engineers (and infrastructure engineering technicians) for each respective band. In 2018, global infrastructure engineering spend for an estimated 22.5 million engineers totaled $8.3 billion. In the same year, global product engineering total spend for an estimated 11.1 million engineers totaled $13.9 billion.</w:t>
      </w:r>
    </w:p>
    <w:p>
      <w:pPr>
        <w:spacing w:after="0" w:line="84"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Cambashi accordingly estimates that if engineering software spending would become as intensive per engineer (or engineering technician) in infrastructure engineering as in product engineering, global infrastructure engineering software spending would be $29.2 billion. We believe that over time our current SAM of $9.5 billion will approach this estimated TAM of $29.2 billion. We also believe that both our SAM and our TAM will further expand over time with the growth of infrastructure spending.</w:t>
      </w:r>
    </w:p>
    <w:p>
      <w:pPr>
        <w:spacing w:after="0" w:line="75"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In order to estimate our SAM of $6.1 billion for project delivery accounts, we consider both project delivery organizations whose design and construction billings are reported to and published by ENR in addition to smaller project delivery organizations that do not have billings reported and published by such an organization. We estimate that the SAM for the larger project delivery accounts that have billings reported and published by ENR is currently approximately $3.4 billion.</w:t>
      </w:r>
    </w:p>
    <w:p>
      <w:pPr>
        <w:spacing w:after="0" w:line="75"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We estimate that the SAM for the smaller project delivery accounts is currently approximately $2.7 billion. Our calculation of the metric for the larger project delivery accounts that have billings reported to and published by ENR is based on the percentage of ARR/billings we capture from these larger accounts relative to the total billings from these accounts based on data reported to and published by ENR. This method results in a penetration rate that we apply across all of the accounts published by ENR. We use this same penetration rate to estimate the SAM for smaller project delivery organizations that do not report or publish billings in ENR.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6" w:name="page157"/>
    <w:bookmarkEnd w:id="15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order to estimate our SAM of $3.4 billion for owner-operator accounts, we consider both larger owner-operators that are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in addition to smaller owner-operators that are not included in our list. We estimate that the SAM for the larger owner-operator accounts included in the list of </w:t>
      </w:r>
      <w:r>
        <w:rPr>
          <w:rFonts w:ascii="Times New Roman" w:cs="Times New Roman" w:eastAsia="Times New Roman" w:hAnsi="Times New Roman"/>
          <w:sz w:val="18"/>
          <w:szCs w:val="18"/>
          <w:i w:val="1"/>
          <w:iCs w:val="1"/>
          <w:color w:val="auto"/>
        </w:rPr>
        <w:t>Bentley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Infrastructure Top 500 Owners </w:t>
      </w:r>
      <w:r>
        <w:rPr>
          <w:rFonts w:ascii="Times New Roman" w:cs="Times New Roman" w:eastAsia="Times New Roman" w:hAnsi="Times New Roman"/>
          <w:sz w:val="18"/>
          <w:szCs w:val="18"/>
          <w:color w:val="auto"/>
        </w:rPr>
        <w:t xml:space="preserve">is currently approximately $1.6 billion. We estimate that the SAM for smaller owner-operators not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is currently approximately $1.8 billion. Our calculation of this metric is based on the percentage of ARR/billings we capture from these larger accounts relative to the net infrastructure asset value of the accounts included in the 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 xml:space="preserve">. This results in a penetration rate that we apply across all of the larger accounts included in the list of </w:t>
      </w:r>
      <w:r>
        <w:rPr>
          <w:rFonts w:ascii="Times New Roman" w:cs="Times New Roman" w:eastAsia="Times New Roman" w:hAnsi="Times New Roman"/>
          <w:sz w:val="18"/>
          <w:szCs w:val="18"/>
          <w:i w:val="1"/>
          <w:iCs w:val="1"/>
          <w:color w:val="auto"/>
        </w:rPr>
        <w:t>Bentley Infrastructure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 500 Owners</w:t>
      </w:r>
      <w:r>
        <w:rPr>
          <w:rFonts w:ascii="Times New Roman" w:cs="Times New Roman" w:eastAsia="Times New Roman" w:hAnsi="Times New Roman"/>
          <w:sz w:val="18"/>
          <w:szCs w:val="18"/>
          <w:color w:val="auto"/>
        </w:rPr>
        <w:t>. We use this same penetration rate to estimate the SAM for smaller owner-operators not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list of </w:t>
      </w:r>
      <w:r>
        <w:rPr>
          <w:rFonts w:ascii="Times New Roman" w:cs="Times New Roman" w:eastAsia="Times New Roman" w:hAnsi="Times New Roman"/>
          <w:sz w:val="18"/>
          <w:szCs w:val="18"/>
          <w:i w:val="1"/>
          <w:iCs w:val="1"/>
          <w:color w:val="auto"/>
        </w:rPr>
        <w:t>Bentley Infrastructure Top 500 Owners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Over time, we believe our SAM and TAM will expand from increased infrastructure spending. Moreover, in Asia, where the Oxford Economics Outlook estimates a majority of infrastructure spending occurs already and expects spending to increase through 2040, digital twin approaches are now being pursued to rapidly supersede traditional workflows institutionalized elsewhere in the world. In fact, in our 2019 Year in Infrastructure awards, the winners for 15 of 26 categories, judged by independent juries of global experts, were projects in China, India, Pakistan, and Southeast Asia, where we see spending on digital solutions accelerating faster than in other parts of the world.</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113" w:lineRule="exact"/>
        <w:rPr>
          <w:sz w:val="20"/>
          <w:szCs w:val="20"/>
          <w:color w:val="auto"/>
        </w:rPr>
      </w:pPr>
    </w:p>
    <w:p>
      <w:pPr>
        <w:ind w:left="1120" w:right="239" w:hanging="328"/>
        <w:spacing w:after="0" w:line="262" w:lineRule="auto"/>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Accretion within existing accounts. </w:t>
      </w:r>
      <w:r>
        <w:rPr>
          <w:rFonts w:ascii="Times New Roman" w:cs="Times New Roman" w:eastAsia="Times New Roman" w:hAnsi="Times New Roman"/>
          <w:sz w:val="18"/>
          <w:szCs w:val="18"/>
          <w:color w:val="auto"/>
        </w:rPr>
        <w:t>Most of our accounts currently use a small portion of our overall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even though they are often working on projects and assets where a large portion of our portfolio could be applied. We believe we can further penetrate our existing accounts by broadening their use of our portfolio. There are three primary mechanisms for this expansion:</w:t>
      </w:r>
    </w:p>
    <w:p>
      <w:pPr>
        <w:spacing w:after="0" w:line="70" w:lineRule="exact"/>
        <w:rPr>
          <w:rFonts w:ascii="Times New Roman" w:cs="Times New Roman" w:eastAsia="Times New Roman" w:hAnsi="Times New Roman"/>
          <w:sz w:val="18"/>
          <w:szCs w:val="18"/>
          <w:color w:val="auto"/>
        </w:rPr>
      </w:pPr>
    </w:p>
    <w:p>
      <w:pPr>
        <w:ind w:left="1440" w:right="299" w:hanging="324"/>
        <w:spacing w:after="0" w:line="258" w:lineRule="auto"/>
        <w:tabs>
          <w:tab w:leader="none" w:pos="14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commercial formulations. </w:t>
      </w:r>
      <w:r>
        <w:rPr>
          <w:rFonts w:ascii="Times New Roman" w:cs="Times New Roman" w:eastAsia="Times New Roman" w:hAnsi="Times New Roman"/>
          <w:sz w:val="18"/>
          <w:szCs w:val="18"/>
          <w:color w:val="auto"/>
        </w:rPr>
        <w:t>We continually innovate with new commercial formulations to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our software to the needs of our users. Presently, we offer our subscription solutions by the day, month, quarter and year. Additionally, we offer options enabling unrestricted access to our comprehensive software portfolio. We believe the flexibility in our commercial models and deployment options will allow our accounts to grow usage continuously;</w:t>
      </w:r>
    </w:p>
    <w:p>
      <w:pPr>
        <w:spacing w:after="0" w:line="75" w:lineRule="exact"/>
        <w:rPr>
          <w:rFonts w:ascii="Times New Roman" w:cs="Times New Roman" w:eastAsia="Times New Roman" w:hAnsi="Times New Roman"/>
          <w:sz w:val="18"/>
          <w:szCs w:val="18"/>
          <w:color w:val="auto"/>
        </w:rPr>
      </w:pPr>
    </w:p>
    <w:p>
      <w:pPr>
        <w:ind w:left="1440" w:right="379" w:hanging="324"/>
        <w:spacing w:after="0" w:line="258" w:lineRule="auto"/>
        <w:tabs>
          <w:tab w:leader="none" w:pos="14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Automating user engagement. </w:t>
      </w:r>
      <w:r>
        <w:rPr>
          <w:rFonts w:ascii="Times New Roman" w:cs="Times New Roman" w:eastAsia="Times New Roman" w:hAnsi="Times New Roman"/>
          <w:sz w:val="18"/>
          <w:szCs w:val="18"/>
          <w:color w:val="auto"/>
        </w:rPr>
        <w:t>We employ various technologies to drive user engagement.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help to automate the user experience and drive engagement by suggesting and recommending best practices and appropriate software upgrades. We will continue to leverage these interactive technologies to virtually assist our users and drive engagement across our software offerings; and</w:t>
      </w:r>
    </w:p>
    <w:p>
      <w:pPr>
        <w:spacing w:after="0" w:line="75" w:lineRule="exact"/>
        <w:rPr>
          <w:rFonts w:ascii="Times New Roman" w:cs="Times New Roman" w:eastAsia="Times New Roman" w:hAnsi="Times New Roman"/>
          <w:sz w:val="18"/>
          <w:szCs w:val="18"/>
          <w:color w:val="auto"/>
        </w:rPr>
      </w:pPr>
    </w:p>
    <w:p>
      <w:pPr>
        <w:ind w:left="1440" w:right="199" w:hanging="324"/>
        <w:spacing w:after="0" w:line="255" w:lineRule="auto"/>
        <w:tabs>
          <w:tab w:leader="none" w:pos="14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Adding new offerings. </w:t>
      </w:r>
      <w:r>
        <w:rPr>
          <w:rFonts w:ascii="Times New Roman" w:cs="Times New Roman" w:eastAsia="Times New Roman" w:hAnsi="Times New Roman"/>
          <w:sz w:val="18"/>
          <w:szCs w:val="18"/>
          <w:color w:val="auto"/>
        </w:rPr>
        <w:t>We have a history of building and maintaining leadership in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engineering comprehensiveness and intend to continue to innovate and develop our software offerings. Selected recent examples of our product innovations include the 2019 introduction of new multi-disciplinary modeling and simulation applications for 5G-ready communications towers and for offshore wind turbines, and the 2019 integration of our acquisitions of new software for vehicle traffic simulation and mobile mapping. Over the near term, we believe our iTwins Cloud Services represent a compelling opportunity to enhance value for our accounts. We intend to continue to develop and integrate new products and capabilities over time;</w:t>
      </w:r>
    </w:p>
    <w:p>
      <w:pPr>
        <w:spacing w:after="0" w:line="74" w:lineRule="exact"/>
        <w:rPr>
          <w:rFonts w:ascii="Times New Roman" w:cs="Times New Roman" w:eastAsia="Times New Roman" w:hAnsi="Times New Roman"/>
          <w:sz w:val="18"/>
          <w:szCs w:val="18"/>
          <w:color w:val="auto"/>
        </w:rPr>
      </w:pPr>
    </w:p>
    <w:p>
      <w:pPr>
        <w:ind w:left="1120" w:right="259" w:hanging="328"/>
        <w:spacing w:after="0" w:line="256" w:lineRule="auto"/>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Focusing on Asia. </w:t>
      </w:r>
      <w:r>
        <w:rPr>
          <w:rFonts w:ascii="Times New Roman" w:cs="Times New Roman" w:eastAsia="Times New Roman" w:hAnsi="Times New Roman"/>
          <w:sz w:val="18"/>
          <w:szCs w:val="18"/>
          <w:color w:val="auto"/>
        </w:rPr>
        <w:t>We believe Asia represents a large market opportunity and will continue to do so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foreseeable future. According to the Oxford Economics Outlook, a majority of expected infrastructure spending for the period between 2016 and 2040 is expected to occur in Asia. Additionally, we believe that in Asia there is an abundance of skilled engineers whose work can be virtually exported, as well as engineering organizations that are eager and aggressive to win mandates for engineering and construction projects around the world. We intend to continue investing in strategies to enhance our market position in Asia;</w:t>
      </w:r>
    </w:p>
    <w:p>
      <w:pPr>
        <w:spacing w:after="0" w:line="74" w:lineRule="exact"/>
        <w:rPr>
          <w:rFonts w:ascii="Times New Roman" w:cs="Times New Roman" w:eastAsia="Times New Roman" w:hAnsi="Times New Roman"/>
          <w:sz w:val="18"/>
          <w:szCs w:val="18"/>
          <w:color w:val="auto"/>
        </w:rPr>
      </w:pPr>
    </w:p>
    <w:p>
      <w:pPr>
        <w:jc w:val="both"/>
        <w:ind w:left="1120" w:right="519" w:hanging="328"/>
        <w:spacing w:after="0" w:line="317" w:lineRule="auto"/>
        <w:tabs>
          <w:tab w:leader="none" w:pos="11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Increasing inside sales. </w:t>
      </w:r>
      <w:r>
        <w:rPr>
          <w:rFonts w:ascii="Times New Roman" w:cs="Times New Roman" w:eastAsia="Times New Roman" w:hAnsi="Times New Roman"/>
          <w:sz w:val="17"/>
          <w:szCs w:val="17"/>
          <w:color w:val="auto"/>
        </w:rPr>
        <w:t>Historically, our account management resources have focused on larger firms.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Smaller and medium-sized engineering firms, however, represent a significant market opportunity and</w:t>
      </w:r>
    </w:p>
    <w:p>
      <w:pPr>
        <w:sectPr>
          <w:pgSz w:w="11900" w:h="16838" w:orient="portrait"/>
          <w:cols w:equalWidth="0" w:num="1">
            <w:col w:w="9019"/>
          </w:cols>
          <w:pgMar w:left="1440" w:top="661"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7" w:name="page158"/>
    <w:bookmarkEnd w:id="15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239"/>
        <w:spacing w:after="0" w:line="258" w:lineRule="auto"/>
        <w:rPr>
          <w:sz w:val="20"/>
          <w:szCs w:val="20"/>
          <w:color w:val="auto"/>
        </w:rPr>
      </w:pPr>
      <w:r>
        <w:rPr>
          <w:rFonts w:ascii="Times New Roman" w:cs="Times New Roman" w:eastAsia="Times New Roman" w:hAnsi="Times New Roman"/>
          <w:sz w:val="18"/>
          <w:szCs w:val="18"/>
          <w:color w:val="auto"/>
        </w:rPr>
        <w:t>have the same needs for our comprehensive portfolio as the larger firms. While these firms have generally been served by our competitors’ channel partners, we believe they will prefer to deal directly with us. We will continue to expand our global inside sales resources and to multiply their reach and effectiveness with superior digital tools to convert leads and to provide the self-service administration that engineering practitioners prefer; and</w:t>
      </w:r>
    </w:p>
    <w:p>
      <w:pPr>
        <w:spacing w:after="0" w:line="71" w:lineRule="exact"/>
        <w:rPr>
          <w:sz w:val="20"/>
          <w:szCs w:val="20"/>
          <w:color w:val="auto"/>
        </w:rPr>
      </w:pPr>
    </w:p>
    <w:p>
      <w:pPr>
        <w:ind w:left="1120" w:right="179" w:hanging="328"/>
        <w:spacing w:after="0" w:line="268" w:lineRule="auto"/>
        <w:tabs>
          <w:tab w:leader="none" w:pos="11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co-ventures. </w:t>
      </w:r>
      <w:r>
        <w:rPr>
          <w:rFonts w:ascii="Times New Roman" w:cs="Times New Roman" w:eastAsia="Times New Roman" w:hAnsi="Times New Roman"/>
          <w:sz w:val="18"/>
          <w:szCs w:val="18"/>
          <w:color w:val="auto"/>
        </w:rPr>
        <w:t>We have forged substantial alliances with other major participants in the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engineering supply chain, primarily to jointly develop and offer digital twin cloud services that extend the scope of our software. These alliances include:</w:t>
      </w:r>
    </w:p>
    <w:p>
      <w:pPr>
        <w:spacing w:after="0" w:line="66" w:lineRule="exact"/>
        <w:rPr>
          <w:rFonts w:ascii="Times New Roman" w:cs="Times New Roman" w:eastAsia="Times New Roman" w:hAnsi="Times New Roman"/>
          <w:sz w:val="18"/>
          <w:szCs w:val="18"/>
          <w:color w:val="auto"/>
        </w:rPr>
      </w:pPr>
    </w:p>
    <w:p>
      <w:pPr>
        <w:ind w:left="1440" w:right="339" w:hanging="324"/>
        <w:spacing w:after="0" w:line="266" w:lineRule="auto"/>
        <w:tabs>
          <w:tab w:leader="none" w:pos="14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Siemens: Our partnership integrates leading industrial software and IoT capabilities for a broad joint development program focused on improving outcomes during infrastructure operations and maintenance through digital workflows enabled by digital twins cloud services; and</w:t>
      </w:r>
    </w:p>
    <w:p>
      <w:pPr>
        <w:spacing w:after="0" w:line="67" w:lineRule="exact"/>
        <w:rPr>
          <w:rFonts w:ascii="Times New Roman" w:cs="Times New Roman" w:eastAsia="Times New Roman" w:hAnsi="Times New Roman"/>
          <w:sz w:val="18"/>
          <w:szCs w:val="18"/>
          <w:color w:val="auto"/>
        </w:rPr>
      </w:pPr>
    </w:p>
    <w:p>
      <w:pPr>
        <w:ind w:left="1440" w:right="479" w:hanging="324"/>
        <w:spacing w:after="0" w:line="282" w:lineRule="auto"/>
        <w:tabs>
          <w:tab w:leader="none" w:pos="14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Our partnership extends Azure-powered machine learning and analytics through digital workflows for infrastructure professionals and enterprises.</w:t>
      </w:r>
    </w:p>
    <w:p>
      <w:pPr>
        <w:spacing w:after="0" w:line="49" w:lineRule="exact"/>
        <w:rPr>
          <w:rFonts w:ascii="Times New Roman" w:cs="Times New Roman" w:eastAsia="Times New Roman" w:hAnsi="Times New Roman"/>
          <w:sz w:val="18"/>
          <w:szCs w:val="18"/>
          <w:color w:val="auto"/>
        </w:rPr>
      </w:pPr>
    </w:p>
    <w:p>
      <w:pPr>
        <w:ind w:left="1120" w:right="179" w:hanging="328"/>
        <w:spacing w:after="0" w:line="259" w:lineRule="auto"/>
        <w:tabs>
          <w:tab w:leader="none" w:pos="11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in digital integrator businesses. </w:t>
      </w:r>
      <w:r>
        <w:rPr>
          <w:rFonts w:ascii="Times New Roman" w:cs="Times New Roman" w:eastAsia="Times New Roman" w:hAnsi="Times New Roman"/>
          <w:sz w:val="18"/>
          <w:szCs w:val="18"/>
          <w:color w:val="auto"/>
        </w:rPr>
        <w:t>We are emphasizing certain investment activities outside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core software business with the objective of cultivating an ecosystem of relatively service-intensive, digital integrator businesses that stimulate pull-through demand for our solutions. These investments may take the form of acquisitions, wholly owned start-up initiatives, minority equity stakes, alliances or loans. Certain of our recent digital integrator activities include:</w:t>
      </w:r>
    </w:p>
    <w:p>
      <w:pPr>
        <w:spacing w:after="0" w:line="75" w:lineRule="exact"/>
        <w:rPr>
          <w:rFonts w:ascii="Times New Roman" w:cs="Times New Roman" w:eastAsia="Times New Roman" w:hAnsi="Times New Roman"/>
          <w:sz w:val="18"/>
          <w:szCs w:val="18"/>
          <w:color w:val="auto"/>
        </w:rPr>
      </w:pPr>
    </w:p>
    <w:p>
      <w:pPr>
        <w:ind w:left="1440" w:right="239" w:hanging="324"/>
        <w:spacing w:after="0" w:line="258" w:lineRule="auto"/>
        <w:tabs>
          <w:tab w:leader="none" w:pos="14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Construction Works: Our partnership with Topcon Positioning Systems integrates leading surveying technologies and geospatial machine control technologies for digital workflows between engineering and usage in the field. Our companies’ Digital Construction Works joint venture provides expert services to major project delivery enterprises to incorporate these constructioneering workflows.</w:t>
      </w:r>
    </w:p>
    <w:p>
      <w:pPr>
        <w:spacing w:after="0" w:line="75" w:lineRule="exact"/>
        <w:rPr>
          <w:rFonts w:ascii="Times New Roman" w:cs="Times New Roman" w:eastAsia="Times New Roman" w:hAnsi="Times New Roman"/>
          <w:sz w:val="18"/>
          <w:szCs w:val="18"/>
          <w:color w:val="auto"/>
        </w:rPr>
      </w:pPr>
    </w:p>
    <w:p>
      <w:pPr>
        <w:ind w:left="1440" w:right="299" w:hanging="324"/>
        <w:spacing w:after="0" w:line="312" w:lineRule="auto"/>
        <w:tabs>
          <w:tab w:leader="none" w:pos="144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Cohesive Companies: These investments, spawned by our acquisition of Cohesive Solutions in 2020, focus on enterprise asset management, asset performance, and digital twin integration services.</w:t>
      </w:r>
    </w:p>
    <w:p>
      <w:pPr>
        <w:spacing w:after="0" w:line="31" w:lineRule="exact"/>
        <w:rPr>
          <w:rFonts w:ascii="Times New Roman" w:cs="Times New Roman" w:eastAsia="Times New Roman" w:hAnsi="Times New Roman"/>
          <w:sz w:val="17"/>
          <w:szCs w:val="17"/>
          <w:color w:val="auto"/>
        </w:rPr>
      </w:pPr>
    </w:p>
    <w:p>
      <w:pPr>
        <w:ind w:left="1440" w:right="199" w:hanging="324"/>
        <w:spacing w:after="0" w:line="312" w:lineRule="auto"/>
        <w:tabs>
          <w:tab w:leader="none" w:pos="1449"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Water Works: This wholly-owned start-up initiative focuses on the implementation, integration and adoption services necessary to establish digital twin solutions for water and waste water utilities.</w:t>
      </w:r>
    </w:p>
    <w:p>
      <w:pPr>
        <w:spacing w:after="0" w:line="32" w:lineRule="exact"/>
        <w:rPr>
          <w:sz w:val="20"/>
          <w:szCs w:val="20"/>
          <w:color w:val="auto"/>
        </w:rPr>
      </w:pPr>
    </w:p>
    <w:p>
      <w:pPr>
        <w:ind w:left="1120" w:right="179"/>
        <w:spacing w:after="0" w:line="266" w:lineRule="auto"/>
        <w:rPr>
          <w:sz w:val="20"/>
          <w:szCs w:val="20"/>
          <w:color w:val="auto"/>
        </w:rPr>
      </w:pPr>
      <w:r>
        <w:rPr>
          <w:rFonts w:ascii="Times New Roman" w:cs="Times New Roman" w:eastAsia="Times New Roman" w:hAnsi="Times New Roman"/>
          <w:sz w:val="18"/>
          <w:szCs w:val="18"/>
          <w:color w:val="auto"/>
        </w:rPr>
        <w:t>We anticipate each of the foregoing digital integrator businesses will become part of our Acceleration Fund portfolio of investments, which we expect to establish and operate distinctly inside of Bentley Systems, Incorporated.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8" w:name="page159"/>
    <w:bookmarkEnd w:id="15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Software Offerings</w:t>
      </w:r>
    </w:p>
    <w:p>
      <w:pPr>
        <w:spacing w:after="0" w:line="121"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Our software products’ development and go-to-market strategy are organized within Design Integration applications and Project Delivery systems (for project lifecycles), and Asset and Network Performance systems and Digital Cities applications (for asset lifecycles), all supplemented and brought together with our digital twins (“iTwins”) cloud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57150</wp:posOffset>
            </wp:positionV>
            <wp:extent cx="5434965" cy="25971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3496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Design Integration Applications</w:t>
      </w:r>
    </w:p>
    <w:p>
      <w:pPr>
        <w:spacing w:after="0" w:line="121" w:lineRule="exact"/>
        <w:rPr>
          <w:sz w:val="20"/>
          <w:szCs w:val="20"/>
          <w:color w:val="auto"/>
        </w:rPr>
      </w:pPr>
    </w:p>
    <w:p>
      <w:pPr>
        <w:ind w:left="140" w:right="319" w:firstLine="324"/>
        <w:spacing w:after="0" w:line="282" w:lineRule="auto"/>
        <w:rPr>
          <w:sz w:val="20"/>
          <w:szCs w:val="20"/>
          <w:color w:val="auto"/>
        </w:rPr>
      </w:pPr>
      <w:r>
        <w:rPr>
          <w:rFonts w:ascii="Times New Roman" w:cs="Times New Roman" w:eastAsia="Times New Roman" w:hAnsi="Times New Roman"/>
          <w:sz w:val="18"/>
          <w:szCs w:val="18"/>
          <w:color w:val="auto"/>
        </w:rPr>
        <w:t>We undertake to provide comprehensive open modeling and open simulation applications for infrastructure design integration. Our open modeling applications include:</w:t>
      </w:r>
    </w:p>
    <w:p>
      <w:pPr>
        <w:spacing w:after="0" w:line="52" w:lineRule="exact"/>
        <w:rPr>
          <w:sz w:val="20"/>
          <w:szCs w:val="20"/>
          <w:color w:val="auto"/>
        </w:rPr>
      </w:pPr>
    </w:p>
    <w:p>
      <w:pPr>
        <w:ind w:left="1120" w:right="499" w:hanging="328"/>
        <w:spacing w:after="0" w:line="284" w:lineRule="auto"/>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MicroStation</w:t>
      </w:r>
      <w:r>
        <w:rPr>
          <w:rFonts w:ascii="Times New Roman" w:cs="Times New Roman" w:eastAsia="Times New Roman" w:hAnsi="Times New Roman"/>
          <w:sz w:val="18"/>
          <w:szCs w:val="18"/>
          <w:color w:val="auto"/>
        </w:rPr>
        <w:t>, for flexible 3D design and documentation providing the common modeling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our applications are built;</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OpenRoads</w:t>
      </w:r>
      <w:r>
        <w:rPr>
          <w:rFonts w:ascii="Times New Roman" w:cs="Times New Roman" w:eastAsia="Times New Roman" w:hAnsi="Times New Roman"/>
          <w:sz w:val="18"/>
          <w:szCs w:val="18"/>
          <w:color w:val="auto"/>
        </w:rPr>
        <w:t>, for the planning, 3D design, and documentation of roads and highways;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OpenRail</w:t>
      </w:r>
      <w:r>
        <w:rPr>
          <w:rFonts w:ascii="Times New Roman" w:cs="Times New Roman" w:eastAsia="Times New Roman" w:hAnsi="Times New Roman"/>
          <w:sz w:val="18"/>
          <w:szCs w:val="18"/>
          <w:color w:val="auto"/>
        </w:rPr>
        <w:t>, for the planning, 3D design, and documentation of rail and transit systems;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OpenPlant</w:t>
      </w:r>
      <w:r>
        <w:rPr>
          <w:rFonts w:ascii="Times New Roman" w:cs="Times New Roman" w:eastAsia="Times New Roman" w:hAnsi="Times New Roman"/>
          <w:sz w:val="18"/>
          <w:szCs w:val="18"/>
          <w:color w:val="auto"/>
        </w:rPr>
        <w:t>, for the 2D and 3D design and documentation of process plants;</w:t>
      </w:r>
    </w:p>
    <w:p>
      <w:pPr>
        <w:spacing w:after="0" w:line="117" w:lineRule="exact"/>
        <w:rPr>
          <w:rFonts w:ascii="Times New Roman" w:cs="Times New Roman" w:eastAsia="Times New Roman" w:hAnsi="Times New Roman"/>
          <w:sz w:val="18"/>
          <w:szCs w:val="18"/>
          <w:color w:val="auto"/>
        </w:rPr>
      </w:pPr>
    </w:p>
    <w:p>
      <w:pPr>
        <w:ind w:left="1120" w:right="319" w:hanging="328"/>
        <w:spacing w:after="0" w:line="284" w:lineRule="auto"/>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OpenBuildings</w:t>
      </w:r>
      <w:r>
        <w:rPr>
          <w:rFonts w:ascii="Times New Roman" w:cs="Times New Roman" w:eastAsia="Times New Roman" w:hAnsi="Times New Roman"/>
          <w:sz w:val="18"/>
          <w:szCs w:val="18"/>
          <w:color w:val="auto"/>
        </w:rPr>
        <w:t>, for the 3D design, and documentation of buildings and their integrated structural, HVAC,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electrical, and plumbing systems;</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OpenBridge</w:t>
      </w:r>
      <w:r>
        <w:rPr>
          <w:rFonts w:ascii="Times New Roman" w:cs="Times New Roman" w:eastAsia="Times New Roman" w:hAnsi="Times New Roman"/>
          <w:sz w:val="18"/>
          <w:szCs w:val="18"/>
          <w:color w:val="auto"/>
        </w:rPr>
        <w:t>, for the 3D design and documentation of bridges;</w:t>
      </w:r>
    </w:p>
    <w:p>
      <w:pPr>
        <w:spacing w:after="0" w:line="117" w:lineRule="exact"/>
        <w:rPr>
          <w:rFonts w:ascii="Times New Roman" w:cs="Times New Roman" w:eastAsia="Times New Roman" w:hAnsi="Times New Roman"/>
          <w:sz w:val="18"/>
          <w:szCs w:val="18"/>
          <w:color w:val="auto"/>
        </w:rPr>
      </w:pPr>
    </w:p>
    <w:p>
      <w:pPr>
        <w:ind w:left="1120" w:right="459" w:hanging="328"/>
        <w:spacing w:after="0" w:line="284" w:lineRule="auto"/>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for the optimal planning, 3D design and documentation of building, residential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infrastructure sites;</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OpenWindPower</w:t>
      </w:r>
      <w:r>
        <w:rPr>
          <w:rFonts w:ascii="Times New Roman" w:cs="Times New Roman" w:eastAsia="Times New Roman" w:hAnsi="Times New Roman"/>
          <w:sz w:val="18"/>
          <w:szCs w:val="18"/>
          <w:color w:val="auto"/>
        </w:rPr>
        <w:t>, for the design of fixed and floating wind turbine structures;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w:t>
      </w:r>
      <w:r>
        <w:rPr>
          <w:rFonts w:ascii="Times New Roman" w:cs="Times New Roman" w:eastAsia="Times New Roman" w:hAnsi="Times New Roman"/>
          <w:sz w:val="18"/>
          <w:szCs w:val="18"/>
          <w:color w:val="auto"/>
        </w:rPr>
        <w:t>, for the design of communications towers, including for 5G capacity.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open simulation applications include:</w:t>
      </w:r>
    </w:p>
    <w:p>
      <w:pPr>
        <w:spacing w:after="0" w:line="115" w:lineRule="exact"/>
        <w:rPr>
          <w:sz w:val="20"/>
          <w:szCs w:val="20"/>
          <w:color w:val="auto"/>
        </w:rPr>
      </w:pPr>
    </w:p>
    <w:p>
      <w:pPr>
        <w:ind w:left="1120" w:right="819" w:hanging="328"/>
        <w:spacing w:after="0" w:line="284" w:lineRule="auto"/>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STAAD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RAM</w:t>
      </w:r>
      <w:r>
        <w:rPr>
          <w:rFonts w:ascii="Times New Roman" w:cs="Times New Roman" w:eastAsia="Times New Roman" w:hAnsi="Times New Roman"/>
          <w:sz w:val="18"/>
          <w:szCs w:val="18"/>
          <w:color w:val="auto"/>
        </w:rPr>
        <w:t>, for analysis and simulation respectively of infrastructure and building structural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RM</w:t>
      </w:r>
      <w:r>
        <w:rPr>
          <w:rFonts w:ascii="Times New Roman" w:cs="Times New Roman" w:eastAsia="Times New Roman" w:hAnsi="Times New Roman"/>
          <w:sz w:val="18"/>
          <w:szCs w:val="18"/>
          <w:color w:val="auto"/>
        </w:rPr>
        <w:t>, for analysis and simulation of bridge structural performance;</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SACS</w:t>
      </w:r>
      <w:r>
        <w:rPr>
          <w:rFonts w:ascii="Times New Roman" w:cs="Times New Roman" w:eastAsia="Times New Roman" w:hAnsi="Times New Roman"/>
          <w:sz w:val="18"/>
          <w:szCs w:val="18"/>
          <w:color w:val="auto"/>
        </w:rPr>
        <w:t>, for analysis and simulation of offshore structural performance;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9" w:name="page160"/>
    <w:bookmarkEnd w:id="15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120" w:hanging="32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MOSES</w:t>
      </w:r>
      <w:r>
        <w:rPr>
          <w:rFonts w:ascii="Times New Roman" w:cs="Times New Roman" w:eastAsia="Times New Roman" w:hAnsi="Times New Roman"/>
          <w:sz w:val="18"/>
          <w:szCs w:val="18"/>
          <w:color w:val="auto"/>
        </w:rPr>
        <w:t>, for analysis and simulation of floating structures;</w:t>
      </w:r>
    </w:p>
    <w:p>
      <w:pPr>
        <w:spacing w:after="0" w:line="117" w:lineRule="exact"/>
        <w:rPr>
          <w:rFonts w:ascii="Times New Roman" w:cs="Times New Roman" w:eastAsia="Times New Roman" w:hAnsi="Times New Roman"/>
          <w:sz w:val="18"/>
          <w:szCs w:val="18"/>
          <w:color w:val="auto"/>
        </w:rPr>
      </w:pPr>
    </w:p>
    <w:p>
      <w:pPr>
        <w:ind w:left="1120" w:right="1179" w:hanging="328"/>
        <w:spacing w:after="0" w:line="284" w:lineRule="auto"/>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for geotechnical analysis and simulation of subsurface rock and soil interacting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foundations, footings, pilings, and tunnels;</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SITEOPS</w:t>
      </w:r>
      <w:r>
        <w:rPr>
          <w:rFonts w:ascii="Times New Roman" w:cs="Times New Roman" w:eastAsia="Times New Roman" w:hAnsi="Times New Roman"/>
          <w:sz w:val="18"/>
          <w:szCs w:val="18"/>
          <w:color w:val="auto"/>
        </w:rPr>
        <w:t>, for simulation of compliant site layout, and optimization of earthworks, drainage, and parking;</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AutoPIPE</w:t>
      </w:r>
      <w:r>
        <w:rPr>
          <w:rFonts w:ascii="Times New Roman" w:cs="Times New Roman" w:eastAsia="Times New Roman" w:hAnsi="Times New Roman"/>
          <w:sz w:val="18"/>
          <w:szCs w:val="18"/>
          <w:color w:val="auto"/>
        </w:rPr>
        <w:t>, for analysis and simulation of pipe stress in industrial process plants;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for enlivened animations of infrastructure projects.</w:t>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Project Delivery Systems</w:t>
      </w:r>
    </w:p>
    <w:p>
      <w:pPr>
        <w:spacing w:after="0" w:line="121"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Our Project Delivery solutions support collaboration, work-sharing, and 4D construction modeling for infrastructure project delivery enterprises. These offerings include:</w:t>
      </w:r>
    </w:p>
    <w:p>
      <w:pPr>
        <w:spacing w:after="0" w:line="52" w:lineRule="exact"/>
        <w:rPr>
          <w:sz w:val="20"/>
          <w:szCs w:val="20"/>
          <w:color w:val="auto"/>
        </w:rPr>
      </w:pPr>
    </w:p>
    <w:p>
      <w:pPr>
        <w:ind w:left="1120" w:right="519" w:hanging="328"/>
        <w:spacing w:after="0" w:line="261"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for helping teams to manage, share, and distribute work-in-progress engineering content.</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enables all stakeholders involved in design and engineering to share and find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collaborative design reviews, and manage contractual exchanges faster for maximum team productivity;</w:t>
      </w:r>
    </w:p>
    <w:p>
      <w:pPr>
        <w:spacing w:after="0" w:line="71" w:lineRule="exact"/>
        <w:rPr>
          <w:rFonts w:ascii="Times New Roman" w:cs="Times New Roman" w:eastAsia="Times New Roman" w:hAnsi="Times New Roman"/>
          <w:sz w:val="18"/>
          <w:szCs w:val="18"/>
          <w:color w:val="auto"/>
        </w:rPr>
      </w:pPr>
    </w:p>
    <w:p>
      <w:pPr>
        <w:ind w:left="1120" w:right="319" w:hanging="328"/>
        <w:spacing w:after="0" w:line="284"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for planning 4D construction models for project and field management, work packaging,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immersive visualization, for instance via Microsoft HoloLens;</w:t>
      </w:r>
    </w:p>
    <w:p>
      <w:pPr>
        <w:spacing w:after="0" w:line="50" w:lineRule="exact"/>
        <w:rPr>
          <w:rFonts w:ascii="Times New Roman" w:cs="Times New Roman" w:eastAsia="Times New Roman" w:hAnsi="Times New Roman"/>
          <w:sz w:val="18"/>
          <w:szCs w:val="18"/>
          <w:color w:val="auto"/>
        </w:rPr>
      </w:pPr>
    </w:p>
    <w:p>
      <w:pPr>
        <w:ind w:left="1120" w:right="859" w:hanging="328"/>
        <w:spacing w:after="0" w:line="284"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ConstructSim, </w:t>
      </w:r>
      <w:r>
        <w:rPr>
          <w:rFonts w:ascii="Times New Roman" w:cs="Times New Roman" w:eastAsia="Times New Roman" w:hAnsi="Times New Roman"/>
          <w:sz w:val="18"/>
          <w:szCs w:val="18"/>
          <w:color w:val="auto"/>
        </w:rPr>
        <w:t>for advanced work packaging, including engineering, construction,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work packages, and trade and task workface planning; and</w:t>
      </w:r>
    </w:p>
    <w:p>
      <w:pPr>
        <w:spacing w:after="0" w:line="50" w:lineRule="exact"/>
        <w:rPr>
          <w:rFonts w:ascii="Times New Roman" w:cs="Times New Roman" w:eastAsia="Times New Roman" w:hAnsi="Times New Roman"/>
          <w:sz w:val="18"/>
          <w:szCs w:val="18"/>
          <w:color w:val="auto"/>
        </w:rPr>
      </w:pPr>
    </w:p>
    <w:p>
      <w:pPr>
        <w:ind w:left="1120" w:right="359" w:hanging="328"/>
        <w:spacing w:after="0" w:line="284" w:lineRule="auto"/>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cloud services for specialized project delivery use cases, including </w:t>
      </w:r>
      <w:r>
        <w:rPr>
          <w:rFonts w:ascii="Times New Roman" w:cs="Times New Roman" w:eastAsia="Times New Roman" w:hAnsi="Times New Roman"/>
          <w:sz w:val="18"/>
          <w:szCs w:val="18"/>
          <w:i w:val="1"/>
          <w:iCs w:val="1"/>
          <w:color w:val="auto"/>
        </w:rPr>
        <w:t>ComplyPro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ProcureWare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Field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Asset and Network Performance Systems</w:t>
      </w:r>
    </w:p>
    <w:p>
      <w:pPr>
        <w:spacing w:after="0" w:line="119" w:lineRule="exact"/>
        <w:rPr>
          <w:sz w:val="20"/>
          <w:szCs w:val="20"/>
          <w:color w:val="auto"/>
        </w:rPr>
      </w:pPr>
    </w:p>
    <w:p>
      <w:pPr>
        <w:ind w:left="140" w:right="19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Asset and Network Performance solutions, including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manage geo-coordinated information for asset performance modeling throughout the operations and maintenance lifecycle of infrastructure assets and their associated networks, in transportation, energy, and communications. These offerings include:</w:t>
      </w:r>
    </w:p>
    <w:p>
      <w:pPr>
        <w:spacing w:after="0" w:line="65" w:lineRule="exact"/>
        <w:rPr>
          <w:sz w:val="20"/>
          <w:szCs w:val="20"/>
          <w:color w:val="auto"/>
        </w:rPr>
      </w:pPr>
    </w:p>
    <w:p>
      <w:pPr>
        <w:ind w:left="1120" w:right="19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ALIM</w:t>
      </w:r>
      <w:r>
        <w:rPr>
          <w:rFonts w:ascii="Times New Roman" w:cs="Times New Roman" w:eastAsia="Times New Roman" w:hAnsi="Times New Roman"/>
          <w:sz w:val="18"/>
          <w:szCs w:val="18"/>
          <w:color w:val="auto"/>
        </w:rPr>
        <w:t>, for managing infrastructure asset information and linear networks and for controlling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change over the asset lifecycle;</w:t>
      </w:r>
    </w:p>
    <w:p>
      <w:pPr>
        <w:spacing w:after="0" w:line="50" w:lineRule="exact"/>
        <w:rPr>
          <w:rFonts w:ascii="Times New Roman" w:cs="Times New Roman" w:eastAsia="Times New Roman" w:hAnsi="Times New Roman"/>
          <w:sz w:val="18"/>
          <w:szCs w:val="18"/>
          <w:color w:val="auto"/>
        </w:rPr>
      </w:pPr>
    </w:p>
    <w:p>
      <w:pPr>
        <w:ind w:left="1120" w:right="37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Asset Reliability</w:t>
      </w:r>
      <w:r>
        <w:rPr>
          <w:rFonts w:ascii="Times New Roman" w:cs="Times New Roman" w:eastAsia="Times New Roman" w:hAnsi="Times New Roman"/>
          <w:sz w:val="18"/>
          <w:szCs w:val="18"/>
          <w:color w:val="auto"/>
        </w:rPr>
        <w:t>, for reducing equipment downtime and limiting business risk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failures, while increasing safety, reliability, and cost effectiveness;</w:t>
      </w:r>
    </w:p>
    <w:p>
      <w:pPr>
        <w:spacing w:after="0" w:line="50" w:lineRule="exact"/>
        <w:rPr>
          <w:rFonts w:ascii="Times New Roman" w:cs="Times New Roman" w:eastAsia="Times New Roman" w:hAnsi="Times New Roman"/>
          <w:sz w:val="18"/>
          <w:szCs w:val="18"/>
          <w:color w:val="auto"/>
        </w:rPr>
      </w:pPr>
    </w:p>
    <w:p>
      <w:pPr>
        <w:ind w:left="1120" w:right="75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for enabling access to multiple data sources from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and integrating them in operations and maintenance workflows;</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SUPERLOAD, </w:t>
      </w:r>
      <w:r>
        <w:rPr>
          <w:rFonts w:ascii="Times New Roman" w:cs="Times New Roman" w:eastAsia="Times New Roman" w:hAnsi="Times New Roman"/>
          <w:sz w:val="18"/>
          <w:szCs w:val="18"/>
          <w:color w:val="auto"/>
        </w:rPr>
        <w:t>for automating the safe routing and permitting of overweight/oversized vehicles;</w:t>
      </w:r>
    </w:p>
    <w:p>
      <w:pPr>
        <w:spacing w:after="0" w:line="117" w:lineRule="exact"/>
        <w:rPr>
          <w:rFonts w:ascii="Times New Roman" w:cs="Times New Roman" w:eastAsia="Times New Roman" w:hAnsi="Times New Roman"/>
          <w:sz w:val="18"/>
          <w:szCs w:val="18"/>
          <w:color w:val="auto"/>
        </w:rPr>
      </w:pPr>
    </w:p>
    <w:p>
      <w:pPr>
        <w:ind w:left="1120" w:right="31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4D Analytics</w:t>
      </w:r>
      <w:r>
        <w:rPr>
          <w:rFonts w:ascii="Times New Roman" w:cs="Times New Roman" w:eastAsia="Times New Roman" w:hAnsi="Times New Roman"/>
          <w:sz w:val="18"/>
          <w:szCs w:val="18"/>
          <w:color w:val="auto"/>
        </w:rPr>
        <w:t>, for employing advanced analytics and machine learning, particularly to IoT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to gather insights to understand current conditions and predict future performance;</w:t>
      </w:r>
    </w:p>
    <w:p>
      <w:pPr>
        <w:spacing w:after="0" w:line="50" w:lineRule="exact"/>
        <w:rPr>
          <w:rFonts w:ascii="Times New Roman" w:cs="Times New Roman" w:eastAsia="Times New Roman" w:hAnsi="Times New Roman"/>
          <w:sz w:val="18"/>
          <w:szCs w:val="18"/>
          <w:color w:val="auto"/>
        </w:rPr>
      </w:pPr>
    </w:p>
    <w:p>
      <w:pPr>
        <w:ind w:left="1120" w:right="53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Linear Analytics</w:t>
      </w:r>
      <w:r>
        <w:rPr>
          <w:rFonts w:ascii="Times New Roman" w:cs="Times New Roman" w:eastAsia="Times New Roman" w:hAnsi="Times New Roman"/>
          <w:sz w:val="18"/>
          <w:szCs w:val="18"/>
          <w:color w:val="auto"/>
        </w:rPr>
        <w:t>, for visualizing and understanding vast quantities of linear network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trends and anomalies, and optimize maintenance decisions, for rail or road networks; and</w:t>
      </w:r>
    </w:p>
    <w:p>
      <w:pPr>
        <w:spacing w:after="0" w:line="50" w:lineRule="exact"/>
        <w:rPr>
          <w:rFonts w:ascii="Times New Roman" w:cs="Times New Roman" w:eastAsia="Times New Roman" w:hAnsi="Times New Roman"/>
          <w:sz w:val="18"/>
          <w:szCs w:val="18"/>
          <w:color w:val="auto"/>
        </w:rPr>
      </w:pPr>
    </w:p>
    <w:p>
      <w:pPr>
        <w:ind w:left="1120" w:right="999" w:hanging="328"/>
        <w:spacing w:after="0" w:line="284" w:lineRule="auto"/>
        <w:tabs>
          <w:tab w:leader="none" w:pos="11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for the design and management of electric, gas, and district energy networks,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0" w:name="page161"/>
    <w:bookmarkEnd w:id="16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Digital Cities Applications</w:t>
      </w:r>
    </w:p>
    <w:p>
      <w:pPr>
        <w:spacing w:after="0" w:line="121" w:lineRule="exact"/>
        <w:rPr>
          <w:sz w:val="20"/>
          <w:szCs w:val="20"/>
          <w:color w:val="auto"/>
        </w:rPr>
      </w:pPr>
    </w:p>
    <w:p>
      <w:pPr>
        <w:ind w:left="140" w:right="779" w:firstLine="324"/>
        <w:spacing w:after="0" w:line="282" w:lineRule="auto"/>
        <w:rPr>
          <w:sz w:val="20"/>
          <w:szCs w:val="20"/>
          <w:color w:val="auto"/>
        </w:rPr>
      </w:pPr>
      <w:r>
        <w:rPr>
          <w:rFonts w:ascii="Times New Roman" w:cs="Times New Roman" w:eastAsia="Times New Roman" w:hAnsi="Times New Roman"/>
          <w:sz w:val="18"/>
          <w:szCs w:val="18"/>
          <w:color w:val="auto"/>
        </w:rPr>
        <w:t>Our Digital Cities offerings are used for surveying, reality modeling, planning, and managing the geospatial infrastructure of cities and regions. These offerings include:</w:t>
      </w:r>
    </w:p>
    <w:p>
      <w:pPr>
        <w:spacing w:after="0" w:line="52" w:lineRule="exact"/>
        <w:rPr>
          <w:sz w:val="20"/>
          <w:szCs w:val="20"/>
          <w:color w:val="auto"/>
        </w:rPr>
      </w:pPr>
    </w:p>
    <w:p>
      <w:pPr>
        <w:ind w:left="1120" w:right="419" w:hanging="328"/>
        <w:spacing w:after="0" w:line="267"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for surveying existing conditions of a city, construction site, or operating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by processing digital imagery captured by UAVs, cameras, and scanners into 3D, geo-located, engineering-ready mesh models, and providing the digital context for digital twins;</w:t>
      </w:r>
    </w:p>
    <w:p>
      <w:pPr>
        <w:spacing w:after="0" w:line="65" w:lineRule="exact"/>
        <w:rPr>
          <w:rFonts w:ascii="Times New Roman" w:cs="Times New Roman" w:eastAsia="Times New Roman" w:hAnsi="Times New Roman"/>
          <w:sz w:val="18"/>
          <w:szCs w:val="18"/>
          <w:color w:val="auto"/>
        </w:rPr>
      </w:pPr>
    </w:p>
    <w:p>
      <w:pPr>
        <w:ind w:left="1120" w:right="719" w:hanging="328"/>
        <w:spacing w:after="0" w:line="284"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 Insights</w:t>
      </w:r>
      <w:r>
        <w:rPr>
          <w:rFonts w:ascii="Times New Roman" w:cs="Times New Roman" w:eastAsia="Times New Roman" w:hAnsi="Times New Roman"/>
          <w:sz w:val="18"/>
          <w:szCs w:val="18"/>
          <w:color w:val="auto"/>
        </w:rPr>
        <w:t>, for applying machine learning, through cloud computing, to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classify recognizable components in reality modeling;</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Planner</w:t>
      </w:r>
      <w:r>
        <w:rPr>
          <w:rFonts w:ascii="Times New Roman" w:cs="Times New Roman" w:eastAsia="Times New Roman" w:hAnsi="Times New Roman"/>
          <w:sz w:val="18"/>
          <w:szCs w:val="18"/>
          <w:color w:val="auto"/>
        </w:rPr>
        <w:t>, for engineering-ready geospatial urban planning and visualization;</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Map</w:t>
      </w:r>
      <w:r>
        <w:rPr>
          <w:rFonts w:ascii="Times New Roman" w:cs="Times New Roman" w:eastAsia="Times New Roman" w:hAnsi="Times New Roman"/>
          <w:sz w:val="18"/>
          <w:szCs w:val="18"/>
          <w:color w:val="auto"/>
        </w:rPr>
        <w:t>, for engineering-level GIS functions such as mapping, cadaster, and parcel management;</w:t>
      </w:r>
    </w:p>
    <w:p>
      <w:pPr>
        <w:spacing w:after="0" w:line="117" w:lineRule="exact"/>
        <w:rPr>
          <w:rFonts w:ascii="Times New Roman" w:cs="Times New Roman" w:eastAsia="Times New Roman" w:hAnsi="Times New Roman"/>
          <w:sz w:val="18"/>
          <w:szCs w:val="18"/>
          <w:color w:val="auto"/>
        </w:rPr>
      </w:pPr>
    </w:p>
    <w:p>
      <w:pPr>
        <w:ind w:left="1120" w:right="259" w:hanging="328"/>
        <w:spacing w:after="0" w:line="284" w:lineRule="auto"/>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for water, wastewater, and stormwater system planning, design, and operations, incorporating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hydrological, hydraulic, and flood modeling;</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OpenGround</w:t>
      </w:r>
      <w:r>
        <w:rPr>
          <w:rFonts w:ascii="Times New Roman" w:cs="Times New Roman" w:eastAsia="Times New Roman" w:hAnsi="Times New Roman"/>
          <w:sz w:val="18"/>
          <w:szCs w:val="18"/>
          <w:color w:val="auto"/>
        </w:rPr>
        <w:t>, for geotechnical information management;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for vehicular traffic simulation in roadway design;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LEGION</w:t>
      </w:r>
      <w:r>
        <w:rPr>
          <w:rFonts w:ascii="Times New Roman" w:cs="Times New Roman" w:eastAsia="Times New Roman" w:hAnsi="Times New Roman"/>
          <w:sz w:val="18"/>
          <w:szCs w:val="18"/>
          <w:color w:val="auto"/>
        </w:rPr>
        <w:t>, for pedestrian traffic simulation.</w:t>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Applications and Systems Revenue Mix</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2019 revenues attributable to our applications and systems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85725</wp:posOffset>
            </wp:positionV>
            <wp:extent cx="5066030" cy="33007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6030" cy="330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hanging="316"/>
        <w:spacing w:after="0"/>
        <w:tabs>
          <w:tab w:leader="none" w:pos="4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figures calculated using ASC 606.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1" w:name="page162"/>
    <w:bookmarkEnd w:id="16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iTwins Cloud Offerings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iTwins cloud offerings add digital twins capabilities to any account’s environment. These include:</w:t>
      </w:r>
    </w:p>
    <w:p>
      <w:pPr>
        <w:spacing w:after="0" w:line="115" w:lineRule="exact"/>
        <w:rPr>
          <w:sz w:val="20"/>
          <w:szCs w:val="20"/>
          <w:color w:val="auto"/>
        </w:rPr>
      </w:pPr>
    </w:p>
    <w:p>
      <w:pPr>
        <w:ind w:left="1120" w:right="199" w:hanging="328"/>
        <w:spacing w:after="0" w:line="267" w:lineRule="auto"/>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iTwins Design Review Service</w:t>
      </w:r>
      <w:r>
        <w:rPr>
          <w:rFonts w:ascii="Times New Roman" w:cs="Times New Roman" w:eastAsia="Times New Roman" w:hAnsi="Times New Roman"/>
          <w:sz w:val="18"/>
          <w:szCs w:val="18"/>
          <w:color w:val="auto"/>
        </w:rPr>
        <w:t>, for browser-level immersive status visualization, ranging from ad-hoc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2D/3D discipline-specific workflows for any applications users, to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-enabled 4D design reviews and analytics visibility spanning the full project scope;</w:t>
      </w:r>
    </w:p>
    <w:p>
      <w:pPr>
        <w:spacing w:after="0" w:line="65"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Immersive Asset Service</w:t>
      </w:r>
      <w:r>
        <w:rPr>
          <w:rFonts w:ascii="Times New Roman" w:cs="Times New Roman" w:eastAsia="Times New Roman" w:hAnsi="Times New Roman"/>
          <w:sz w:val="18"/>
          <w:szCs w:val="18"/>
          <w:color w:val="auto"/>
        </w:rPr>
        <w:t>, for 4D immersive visualization and analytics visibility for</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users;</w:t>
      </w:r>
    </w:p>
    <w:p>
      <w:pPr>
        <w:spacing w:after="0" w:line="117" w:lineRule="exact"/>
        <w:rPr>
          <w:rFonts w:ascii="Times New Roman" w:cs="Times New Roman" w:eastAsia="Times New Roman" w:hAnsi="Times New Roman"/>
          <w:sz w:val="18"/>
          <w:szCs w:val="18"/>
          <w:color w:val="auto"/>
        </w:rPr>
      </w:pPr>
    </w:p>
    <w:p>
      <w:pPr>
        <w:jc w:val="both"/>
        <w:ind w:left="1120" w:right="859" w:hanging="328"/>
        <w:spacing w:after="0" w:line="315" w:lineRule="auto"/>
        <w:tabs>
          <w:tab w:leader="none" w:pos="11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OpenUtilities Digital Twin Cloud Services</w:t>
      </w:r>
      <w:r>
        <w:rPr>
          <w:rFonts w:ascii="Times New Roman" w:cs="Times New Roman" w:eastAsia="Times New Roman" w:hAnsi="Times New Roman"/>
          <w:sz w:val="17"/>
          <w:szCs w:val="17"/>
          <w:color w:val="auto"/>
        </w:rPr>
        <w:t>, for consolidating, validating, and aligning GIS, reality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modeling, performance, simulation, and other data for energy and communications networks; and</w:t>
      </w:r>
    </w:p>
    <w:p>
      <w:pPr>
        <w:spacing w:after="0" w:line="26" w:lineRule="exact"/>
        <w:rPr>
          <w:rFonts w:ascii="Times New Roman" w:cs="Times New Roman" w:eastAsia="Times New Roman" w:hAnsi="Times New Roman"/>
          <w:sz w:val="17"/>
          <w:szCs w:val="17"/>
          <w:color w:val="auto"/>
        </w:rPr>
      </w:pPr>
    </w:p>
    <w:p>
      <w:pPr>
        <w:ind w:left="1120" w:right="239" w:hanging="328"/>
        <w:spacing w:after="0" w:line="284" w:lineRule="auto"/>
        <w:tabs>
          <w:tab w:leader="none" w:pos="112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PlantSight</w:t>
      </w:r>
      <w:r>
        <w:rPr>
          <w:rFonts w:ascii="Times New Roman" w:cs="Times New Roman" w:eastAsia="Times New Roman" w:hAnsi="Times New Roman"/>
          <w:sz w:val="18"/>
          <w:szCs w:val="18"/>
          <w:color w:val="auto"/>
        </w:rPr>
        <w:t>, for live and evergreen digital twins of operating process plants. PlantSight is jointly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Bentley and Siemens and commercially available from either company.</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Use Cases</w:t>
      </w:r>
    </w:p>
    <w:p>
      <w:pPr>
        <w:spacing w:after="0" w:line="121"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Our applications and systems are used in combinations, in parallel and in sequence, for infrastructure projects and assets.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Project Lifecycle Use Case</w:t>
      </w:r>
    </w:p>
    <w:p>
      <w:pPr>
        <w:spacing w:after="0" w:line="119" w:lineRule="exact"/>
        <w:rPr>
          <w:sz w:val="20"/>
          <w:szCs w:val="20"/>
          <w:color w:val="auto"/>
        </w:rPr>
      </w:pPr>
    </w:p>
    <w:p>
      <w:pPr>
        <w:ind w:left="14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example illustrates the comprehensive use of our offerings in the planning, design, and construction of a new highway overpass to accommodate increased traffic at an intersection in a growing part of a city:</w:t>
      </w:r>
    </w:p>
    <w:p>
      <w:pPr>
        <w:spacing w:after="0" w:line="160"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At the start of the project,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is set up for the project team as a structured repository for their engineering work and shared documents and models relevant to the overpass project. The physical conditions of the current roadway intersection are surveyed with drones and captured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to produce the accurate 3D model which will be the basis for the engineering work. For the planning of the overpass, </w:t>
      </w:r>
      <w:r>
        <w:rPr>
          <w:rFonts w:ascii="Times New Roman" w:cs="Times New Roman" w:eastAsia="Times New Roman" w:hAnsi="Times New Roman"/>
          <w:sz w:val="18"/>
          <w:szCs w:val="18"/>
          <w:i w:val="1"/>
          <w:iCs w:val="1"/>
          <w:color w:val="auto"/>
        </w:rPr>
        <w:t>OpenRoads ConceptStation</w:t>
      </w:r>
      <w:r>
        <w:rPr>
          <w:rFonts w:ascii="Times New Roman" w:cs="Times New Roman" w:eastAsia="Times New Roman" w:hAnsi="Times New Roman"/>
          <w:sz w:val="18"/>
          <w:szCs w:val="18"/>
          <w:color w:val="auto"/>
        </w:rPr>
        <w:t xml:space="preserve"> enables the roadway designers to quickly iterate on different overpass configurations and get preliminary estimates of the construction costs of various scenarios. </w:t>
      </w: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xml:space="preserve"> is used by geotechnical engineers for modeling the geotechnical properties of the site to ensure the subsurface conditions for the roadway and overpass are accurately considered in the proposed design. Visualizations and animation of the proposed design alternatives are generated by </w:t>
      </w: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xml:space="preserve"> for city and community reviews and approvals.</w:t>
      </w:r>
    </w:p>
    <w:p>
      <w:pPr>
        <w:spacing w:after="0" w:line="80"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When the preliminary design is approved,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begins to produce the detailed design of the ramps and roadway directly from the </w:t>
      </w:r>
      <w:r>
        <w:rPr>
          <w:rFonts w:ascii="Times New Roman" w:cs="Times New Roman" w:eastAsia="Times New Roman" w:hAnsi="Times New Roman"/>
          <w:sz w:val="18"/>
          <w:szCs w:val="18"/>
          <w:i w:val="1"/>
          <w:iCs w:val="1"/>
          <w:color w:val="auto"/>
        </w:rPr>
        <w:t>ConceptStation</w:t>
      </w:r>
      <w:r>
        <w:rPr>
          <w:rFonts w:ascii="Times New Roman" w:cs="Times New Roman" w:eastAsia="Times New Roman" w:hAnsi="Times New Roman"/>
          <w:sz w:val="18"/>
          <w:szCs w:val="18"/>
          <w:color w:val="auto"/>
        </w:rPr>
        <w:t xml:space="preserve"> files. Bridge engineers use </w:t>
      </w:r>
      <w:r>
        <w:rPr>
          <w:rFonts w:ascii="Times New Roman" w:cs="Times New Roman" w:eastAsia="Times New Roman" w:hAnsi="Times New Roman"/>
          <w:sz w:val="18"/>
          <w:szCs w:val="18"/>
          <w:i w:val="1"/>
          <w:iCs w:val="1"/>
          <w:color w:val="auto"/>
        </w:rPr>
        <w:t>OpenBridge Modeler</w:t>
      </w:r>
      <w:r>
        <w:rPr>
          <w:rFonts w:ascii="Times New Roman" w:cs="Times New Roman" w:eastAsia="Times New Roman" w:hAnsi="Times New Roman"/>
          <w:sz w:val="18"/>
          <w:szCs w:val="18"/>
          <w:color w:val="auto"/>
        </w:rPr>
        <w:t xml:space="preserve"> to quickly evaluate various options for the overpass bridge, then </w:t>
      </w:r>
      <w:r>
        <w:rPr>
          <w:rFonts w:ascii="Times New Roman" w:cs="Times New Roman" w:eastAsia="Times New Roman" w:hAnsi="Times New Roman"/>
          <w:sz w:val="18"/>
          <w:szCs w:val="18"/>
          <w:i w:val="1"/>
          <w:iCs w:val="1"/>
          <w:color w:val="auto"/>
        </w:rPr>
        <w:t>OpenBridge Designer</w:t>
      </w:r>
      <w:r>
        <w:rPr>
          <w:rFonts w:ascii="Times New Roman" w:cs="Times New Roman" w:eastAsia="Times New Roman" w:hAnsi="Times New Roman"/>
          <w:sz w:val="18"/>
          <w:szCs w:val="18"/>
          <w:color w:val="auto"/>
        </w:rPr>
        <w:t xml:space="preserve"> is used to produce the detailed design of the bridge. </w:t>
      </w:r>
      <w:r>
        <w:rPr>
          <w:rFonts w:ascii="Times New Roman" w:cs="Times New Roman" w:eastAsia="Times New Roman" w:hAnsi="Times New Roman"/>
          <w:sz w:val="18"/>
          <w:szCs w:val="18"/>
          <w:i w:val="1"/>
          <w:iCs w:val="1"/>
          <w:color w:val="auto"/>
        </w:rPr>
        <w:t xml:space="preserve">LEAP </w:t>
      </w:r>
      <w:r>
        <w:rPr>
          <w:rFonts w:ascii="Times New Roman" w:cs="Times New Roman" w:eastAsia="Times New Roman" w:hAnsi="Times New Roman"/>
          <w:sz w:val="18"/>
          <w:szCs w:val="18"/>
          <w:color w:val="auto"/>
        </w:rPr>
        <w:t>is used to model and simulate the bridge’s structural performance and compliance with building codes.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Throughout the detailed design phase, as the project team grows and the complexity of the design develops,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supports the work-sharing for the team, manages the production and distribution of the project deliverables, and helps resolve design clashes among elements of the multidisciplinary design.</w:t>
      </w:r>
    </w:p>
    <w:p>
      <w:pPr>
        <w:spacing w:after="0" w:line="77"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construction phase, as the project team expands to include contractors and subcontractors, detailers, and fabricators,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coordinates and provides an audit trail of the distribution of documents and approvals, ensuring the right team members have the right information at the right time. The construction management team uses </w:t>
      </w: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4D </w:t>
      </w:r>
      <w:r>
        <w:rPr>
          <w:rFonts w:ascii="Times New Roman" w:cs="Times New Roman" w:eastAsia="Times New Roman" w:hAnsi="Times New Roman"/>
          <w:sz w:val="18"/>
          <w:szCs w:val="18"/>
          <w:color w:val="auto"/>
        </w:rPr>
        <w:t>to take the 3D models of the project and assign sequencing attributes to the various constructible elements, creating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construction model used to evaluate different construction sequences during planning, and to track the progress of the actual construction through to completion. </w:t>
      </w:r>
      <w:r>
        <w:rPr>
          <w:rFonts w:ascii="Times New Roman" w:cs="Times New Roman" w:eastAsia="Times New Roman" w:hAnsi="Times New Roman"/>
          <w:sz w:val="18"/>
          <w:szCs w:val="18"/>
          <w:i w:val="1"/>
          <w:iCs w:val="1"/>
          <w:color w:val="auto"/>
        </w:rPr>
        <w:t>SYNCHRO ConstructSim</w:t>
      </w:r>
      <w:r>
        <w:rPr>
          <w:rFonts w:ascii="Times New Roman" w:cs="Times New Roman" w:eastAsia="Times New Roman" w:hAnsi="Times New Roman"/>
          <w:sz w:val="18"/>
          <w:szCs w:val="18"/>
          <w:color w:val="auto"/>
        </w:rPr>
        <w:t xml:space="preserve"> is used to automate the detailed workface planning to create work packages of trades, materials, and schedules for each step and each section of the construction project.</w:t>
      </w:r>
    </w:p>
    <w:p>
      <w:pPr>
        <w:spacing w:after="0" w:line="84"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When the construction planning is complete and the roadway and ramp grading is ready to begin, the project terrain model created by </w:t>
      </w:r>
      <w:r>
        <w:rPr>
          <w:rFonts w:ascii="Times New Roman" w:cs="Times New Roman" w:eastAsia="Times New Roman" w:hAnsi="Times New Roman"/>
          <w:sz w:val="18"/>
          <w:szCs w:val="18"/>
          <w:i w:val="1"/>
          <w:iCs w:val="1"/>
          <w:color w:val="auto"/>
        </w:rPr>
        <w:t>OpenRoads Designer</w:t>
      </w:r>
      <w:r>
        <w:rPr>
          <w:rFonts w:ascii="Times New Roman" w:cs="Times New Roman" w:eastAsia="Times New Roman" w:hAnsi="Times New Roman"/>
          <w:sz w:val="18"/>
          <w:szCs w:val="18"/>
          <w:color w:val="auto"/>
        </w:rPr>
        <w:t xml:space="preserve"> is exported via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to Topcon’s </w:t>
      </w:r>
      <w:r>
        <w:rPr>
          <w:rFonts w:ascii="Times New Roman" w:cs="Times New Roman" w:eastAsia="Times New Roman" w:hAnsi="Times New Roman"/>
          <w:sz w:val="18"/>
          <w:szCs w:val="18"/>
          <w:i w:val="1"/>
          <w:iCs w:val="1"/>
          <w:color w:val="auto"/>
        </w:rPr>
        <w:t>Magnet</w:t>
      </w:r>
      <w:r>
        <w:rPr>
          <w:rFonts w:ascii="Times New Roman" w:cs="Times New Roman" w:eastAsia="Times New Roman" w:hAnsi="Times New Roman"/>
          <w:sz w:val="18"/>
          <w:szCs w:val="18"/>
          <w:color w:val="auto"/>
        </w:rPr>
        <w:t xml:space="preserve"> software, which drives the GPS-enabled grading machinery to grade the surface of the site earthworks to the exact elevations of the design model. As the construction progresses,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surveys the site to enable our solution’s reality modeling capabilities to track the volume of soil still to be cut and filled, and monitor the actual progress to determine the “earned value” for contractor payments.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2" w:name="page163"/>
    <w:bookmarkEnd w:id="16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Asset Lifecycle Use Case</w:t>
      </w:r>
    </w:p>
    <w:p>
      <w:pPr>
        <w:spacing w:after="0" w:line="119" w:lineRule="exact"/>
        <w:rPr>
          <w:sz w:val="20"/>
          <w:szCs w:val="20"/>
          <w:color w:val="auto"/>
        </w:rPr>
      </w:pPr>
    </w:p>
    <w:p>
      <w:pPr>
        <w:ind w:left="140" w:right="499" w:firstLine="324"/>
        <w:spacing w:after="0" w:line="282" w:lineRule="auto"/>
        <w:rPr>
          <w:sz w:val="20"/>
          <w:szCs w:val="20"/>
          <w:color w:val="auto"/>
        </w:rPr>
      </w:pPr>
      <w:r>
        <w:rPr>
          <w:rFonts w:ascii="Times New Roman" w:cs="Times New Roman" w:eastAsia="Times New Roman" w:hAnsi="Times New Roman"/>
          <w:sz w:val="18"/>
          <w:szCs w:val="18"/>
          <w:color w:val="auto"/>
        </w:rPr>
        <w:t>When the roadway overpass project is complete and operational, our Asset Lifecycle solutions can help keep its infrastructure in peak performance:</w:t>
      </w:r>
    </w:p>
    <w:p>
      <w:pPr>
        <w:spacing w:after="0" w:line="52"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AssetWise Asset Reliability </w:t>
      </w:r>
      <w:r>
        <w:rPr>
          <w:rFonts w:ascii="Times New Roman" w:cs="Times New Roman" w:eastAsia="Times New Roman" w:hAnsi="Times New Roman"/>
          <w:sz w:val="18"/>
          <w:szCs w:val="18"/>
          <w:color w:val="auto"/>
        </w:rPr>
        <w:t>manages the inspection and inventory of all types of transportation infrastructure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bridges, culverts, signs, light poles, antenna towers, stormwater networks, guardrails, retaining walls, and other ancillary structures. UAVs with </w:t>
      </w: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xml:space="preserve"> continuously survey the roadway and overpass and use machine learning to identify storm drains that are clogged or road surface cracks and potholes needing repair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 Interoperability </w:t>
      </w:r>
      <w:r>
        <w:rPr>
          <w:rFonts w:ascii="Times New Roman" w:cs="Times New Roman" w:eastAsia="Times New Roman" w:hAnsi="Times New Roman"/>
          <w:sz w:val="18"/>
          <w:szCs w:val="18"/>
          <w:color w:val="auto"/>
        </w:rPr>
        <w:t>alerts enterprise maintenance systems to issue work orders for repairs.</w:t>
      </w:r>
    </w:p>
    <w:p>
      <w:pPr>
        <w:spacing w:after="0" w:line="75" w:lineRule="exact"/>
        <w:rPr>
          <w:sz w:val="20"/>
          <w:szCs w:val="20"/>
          <w:color w:val="auto"/>
        </w:rPr>
      </w:pPr>
    </w:p>
    <w:p>
      <w:pPr>
        <w:ind w:left="140" w:right="179" w:firstLine="324"/>
        <w:spacing w:after="0" w:line="257" w:lineRule="auto"/>
        <w:rPr>
          <w:sz w:val="20"/>
          <w:szCs w:val="20"/>
          <w:color w:val="auto"/>
        </w:rPr>
      </w:pPr>
      <w:r>
        <w:rPr>
          <w:rFonts w:ascii="Times New Roman" w:cs="Times New Roman" w:eastAsia="Times New Roman" w:hAnsi="Times New Roman"/>
          <w:sz w:val="18"/>
          <w:szCs w:val="18"/>
          <w:color w:val="auto"/>
        </w:rPr>
        <w:t xml:space="preserve">Sensors on the overpass bridge provide performance data to the asset performance digital twin and </w:t>
      </w:r>
      <w:r>
        <w:rPr>
          <w:rFonts w:ascii="Times New Roman" w:cs="Times New Roman" w:eastAsia="Times New Roman" w:hAnsi="Times New Roman"/>
          <w:sz w:val="18"/>
          <w:szCs w:val="18"/>
          <w:i w:val="1"/>
          <w:iCs w:val="1"/>
          <w:color w:val="auto"/>
        </w:rPr>
        <w:t>AssetWise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compares the observed performance to the predicted performance of the digital twin and spots trends for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ensuring the safe operation of the bridge. </w:t>
      </w:r>
      <w:r>
        <w:rPr>
          <w:rFonts w:ascii="Times New Roman" w:cs="Times New Roman" w:eastAsia="Times New Roman" w:hAnsi="Times New Roman"/>
          <w:sz w:val="18"/>
          <w:szCs w:val="18"/>
          <w:i w:val="1"/>
          <w:iCs w:val="1"/>
          <w:color w:val="auto"/>
        </w:rPr>
        <w:t>SUPERLOAD</w:t>
      </w:r>
      <w:r>
        <w:rPr>
          <w:rFonts w:ascii="Times New Roman" w:cs="Times New Roman" w:eastAsia="Times New Roman" w:hAnsi="Times New Roman"/>
          <w:sz w:val="18"/>
          <w:szCs w:val="18"/>
          <w:color w:val="auto"/>
        </w:rPr>
        <w:t>, which maintains a cloud database of the dimensions and structural capacities of all the bridges in the state, further supports the operation of the overpass by permitting and routing over-sized and overweight vehicles to ensure those vehicles can safely cross the bridge, or have the clearance to drive under it, without damage to the vehicle or the bridge.</w:t>
      </w:r>
    </w:p>
    <w:p>
      <w:pPr>
        <w:spacing w:after="0" w:line="74" w:lineRule="exact"/>
        <w:rPr>
          <w:sz w:val="20"/>
          <w:szCs w:val="20"/>
          <w:color w:val="auto"/>
        </w:rPr>
      </w:pPr>
    </w:p>
    <w:p>
      <w:pPr>
        <w:ind w:left="140" w:right="2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the city grows, </w:t>
      </w: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xml:space="preserve"> simulates the increase in vehicular traffic in different areas and </w:t>
      </w:r>
      <w:r>
        <w:rPr>
          <w:rFonts w:ascii="Times New Roman" w:cs="Times New Roman" w:eastAsia="Times New Roman" w:hAnsi="Times New Roman"/>
          <w:sz w:val="18"/>
          <w:szCs w:val="18"/>
          <w:i w:val="1"/>
          <w:iCs w:val="1"/>
          <w:color w:val="auto"/>
        </w:rPr>
        <w:t>AssetWise Linear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analyzes the road network and projects the impact of increased traffic on the overpass.</w:t>
      </w:r>
      <w:r>
        <w:rPr>
          <w:rFonts w:ascii="Times New Roman" w:cs="Times New Roman" w:eastAsia="Times New Roman" w:hAnsi="Times New Roman"/>
          <w:sz w:val="18"/>
          <w:szCs w:val="18"/>
          <w:i w:val="1"/>
          <w:iCs w:val="1"/>
          <w:color w:val="auto"/>
        </w:rPr>
        <w:t xml:space="preserve"> Linear Analytics </w:t>
      </w:r>
      <w:r>
        <w:rPr>
          <w:rFonts w:ascii="Times New Roman" w:cs="Times New Roman" w:eastAsia="Times New Roman" w:hAnsi="Times New Roman"/>
          <w:sz w:val="18"/>
          <w:szCs w:val="18"/>
          <w:color w:val="auto"/>
        </w:rPr>
        <w:t>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indicates the impact of a lane closure due to construction or an accident and provides alternate routing to alleviate congestion. When road construction involves subsurface utilities, </w:t>
      </w: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xml:space="preserve"> provides accurate documentation to the field to locate and identify the utility networks in the construction zone and analyzes the water pipe networks to help pinpoint the source of leaks. If there is flooding due to a water main break or an extreme weather event, </w:t>
      </w: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FLOOD </w:t>
      </w:r>
      <w:r>
        <w:rPr>
          <w:rFonts w:ascii="Times New Roman" w:cs="Times New Roman" w:eastAsia="Times New Roman" w:hAnsi="Times New Roman"/>
          <w:sz w:val="18"/>
          <w:szCs w:val="18"/>
          <w:color w:val="auto"/>
        </w:rPr>
        <w:t>models the extent of flooding over the timeline of the event and determines its impact on the roadway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overpass.</w:t>
      </w:r>
    </w:p>
    <w:p>
      <w:pPr>
        <w:spacing w:after="0" w:line="77"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AssetWise ALIM </w:t>
      </w:r>
      <w:r>
        <w:rPr>
          <w:rFonts w:ascii="Times New Roman" w:cs="Times New Roman" w:eastAsia="Times New Roman" w:hAnsi="Times New Roman"/>
          <w:sz w:val="18"/>
          <w:szCs w:val="18"/>
          <w:color w:val="auto"/>
        </w:rPr>
        <w:t>tracks and manages all of the overpass and roadway network asset information, ensuring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changes over its lifecycle are recorded and those affected by the impact of those changes on the entire road network are notified. </w:t>
      </w:r>
      <w:r>
        <w:rPr>
          <w:rFonts w:ascii="Times New Roman" w:cs="Times New Roman" w:eastAsia="Times New Roman" w:hAnsi="Times New Roman"/>
          <w:sz w:val="18"/>
          <w:szCs w:val="18"/>
          <w:i w:val="1"/>
          <w:iCs w:val="1"/>
          <w:color w:val="auto"/>
        </w:rPr>
        <w:t>ALIM</w:t>
      </w:r>
      <w:r>
        <w:rPr>
          <w:rFonts w:ascii="Times New Roman" w:cs="Times New Roman" w:eastAsia="Times New Roman" w:hAnsi="Times New Roman"/>
          <w:sz w:val="18"/>
          <w:szCs w:val="18"/>
          <w:color w:val="auto"/>
        </w:rPr>
        <w:t xml:space="preserve"> streamlines the data analysis and reporting required for compliance with local, regional, and national transportation authorities.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Commercial Offerings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Licensing Models</w:t>
      </w:r>
    </w:p>
    <w:p>
      <w:pPr>
        <w:spacing w:after="0" w:line="12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$250,000 ARR) we have traditionally offered an ELS, which entitles unlimited use of any of our applications for an annual fixed fee, reset annually generally based on actual usage (within each country) for the previous year. During the fourth quarter of 2018, to respond to and improve upon new commercial models offered by peers and competitors, we introduced a new global consumption-based plan with consumption measurement durations of less than one year, E365, which is priced uniformly per application per day of actual usage in any country, and inclusive of Success services (described below) by our colleagues to assist with expanding and gaining the most value from usage of our software. We have begun upgrading ELS accounts to E365, beginning with the largest global accounts.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3" w:name="page164"/>
    <w:bookmarkEnd w:id="16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248920</wp:posOffset>
            </wp:positionV>
            <wp:extent cx="5340350" cy="36779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0350" cy="367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316"/>
        <w:spacing w:after="0"/>
        <w:tabs>
          <w:tab w:leader="none" w:pos="4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figures as of December 31, 2019. All figures calculated using ASC 606. Chart segment sizing corresponds to underlying % of 2019 revenue.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Our systems,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offered under our CSS program, charged quarterly based on actual</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users of “passports” and “visas” for various levels of functionality. Passport and visa pricing include Azure provisioning</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at our cost, although some accounts elect to continue on-premises and/or hybrid hosting. CSS commercial models entail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an annual funding commitment, generally paid upfront, based on an estimation of services to be used for the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upcoming year. Actual consumption is monitored and invoiced against the deposit on a calendar quarter basis. Accounts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are charged only for what gets used, and deposited amounts never expire. At the end of 2019, accounts comprising</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approximately 58% our total ARR had chosen to institute our new commercial models of CSS and/or E365 consumption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funding for licensing of our software.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 Plans</w:t>
      </w:r>
    </w:p>
    <w:p>
      <w:pPr>
        <w:spacing w:after="0" w:line="121"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Over the past several years we have re-deployed the post-sale focus of our success force, comprising more than 900 colleagues with experience and credentials in infrastructure engineering, from on-demand professional services and training to instead fulfill “Success Plans.” Through Success Plans we assume proactive responsibilities to accounts to maximize their value from our solutions, which we accomplish by assigning our success force experts to be dedicated to serve multiple accounts requiring similar specializations. Typically, our success force engages with our accounts remotely. Success Plans are bundled into our new E365 commercial program and are growing rapidly among our major accounts.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success force also provides:</w:t>
      </w:r>
    </w:p>
    <w:p>
      <w:pPr>
        <w:spacing w:after="0" w:line="115" w:lineRule="exact"/>
        <w:rPr>
          <w:sz w:val="20"/>
          <w:szCs w:val="20"/>
          <w:color w:val="auto"/>
        </w:rPr>
      </w:pPr>
    </w:p>
    <w:p>
      <w:pPr>
        <w:ind w:left="1120" w:right="459" w:hanging="328"/>
        <w:spacing w:after="0" w:line="267" w:lineRule="auto"/>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Managed services, </w:t>
      </w:r>
      <w:r>
        <w:rPr>
          <w:rFonts w:ascii="Times New Roman" w:cs="Times New Roman" w:eastAsia="Times New Roman" w:hAnsi="Times New Roman"/>
          <w:sz w:val="18"/>
          <w:szCs w:val="18"/>
          <w:color w:val="auto"/>
        </w:rPr>
        <w:t>under Service Level Agreements (“SLAs”), to administer accounts’ instances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Azure-provisioned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SLAs vary as to our scope of responsibility, sometimes including Success Plans and/or our colleagues dedicated onsite;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4" w:name="page165"/>
    <w:bookmarkEnd w:id="16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120" w:right="779" w:hanging="328"/>
        <w:spacing w:after="0" w:line="315" w:lineRule="auto"/>
        <w:tabs>
          <w:tab w:leader="none" w:pos="11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Professional services</w:t>
      </w:r>
      <w:r>
        <w:rPr>
          <w:rFonts w:ascii="Times New Roman" w:cs="Times New Roman" w:eastAsia="Times New Roman" w:hAnsi="Times New Roman"/>
          <w:sz w:val="17"/>
          <w:szCs w:val="17"/>
          <w:color w:val="auto"/>
        </w:rPr>
        <w:t>, mainly for implementation and integration of our</w:t>
      </w:r>
      <w:r>
        <w:rPr>
          <w:rFonts w:ascii="Times New Roman" w:cs="Times New Roman" w:eastAsia="Times New Roman" w:hAnsi="Times New Roman"/>
          <w:sz w:val="17"/>
          <w:szCs w:val="17"/>
          <w:i w:val="1"/>
          <w:iCs w:val="1"/>
          <w:color w:val="auto"/>
        </w:rPr>
        <w:t xml:space="preserve"> ProjectWise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AssetWise </w:t>
      </w:r>
      <w:r>
        <w:rPr>
          <w:rFonts w:ascii="Times New Roman" w:cs="Times New Roman" w:eastAsia="Times New Roman" w:hAnsi="Times New Roman"/>
          <w:sz w:val="17"/>
          <w:szCs w:val="17"/>
          <w:color w:val="auto"/>
        </w:rPr>
        <w:t>systems within substantial enterprises, although we seek to minimize the need for this; and</w:t>
      </w:r>
    </w:p>
    <w:p>
      <w:pPr>
        <w:spacing w:after="0" w:line="26" w:lineRule="exact"/>
        <w:rPr>
          <w:rFonts w:ascii="Times New Roman" w:cs="Times New Roman" w:eastAsia="Times New Roman" w:hAnsi="Times New Roman"/>
          <w:sz w:val="17"/>
          <w:szCs w:val="17"/>
          <w:color w:val="auto"/>
        </w:rPr>
      </w:pPr>
    </w:p>
    <w:p>
      <w:pPr>
        <w:ind w:left="1120" w:right="199" w:hanging="328"/>
        <w:spacing w:after="0" w:line="267" w:lineRule="auto"/>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Advancement Academies, </w:t>
      </w:r>
      <w:r>
        <w:rPr>
          <w:rFonts w:ascii="Times New Roman" w:cs="Times New Roman" w:eastAsia="Times New Roman" w:hAnsi="Times New Roman"/>
          <w:sz w:val="18"/>
          <w:szCs w:val="18"/>
          <w:color w:val="auto"/>
        </w:rPr>
        <w:t>where we convene industry participants to share best practices,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programs with major owner-operator accounts to onboard their supply chains for initiatives in going digital.</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Accounts</w:t>
      </w:r>
    </w:p>
    <w:p>
      <w:pPr>
        <w:spacing w:after="0" w:line="121"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We provide our software solutions to over 34,000 accounts in 172 countries worldwide. Our revenues are balanced and diversified between engineering and construction contracting firms who work together to deliver the design and construction of capital projects (representing 54% and 55% of our 2018 and 2019 revenues, respectively), and their clients, the world’s public and private infrastructure asset owners and operators (representing 46% and 45% of our 2018 and 2019 revenues, respectively).</w:t>
      </w:r>
    </w:p>
    <w:p>
      <w:pPr>
        <w:spacing w:after="0" w:line="75"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We do not have material account concentration. No account, including any group of accounts under common control or accounts that are affiliates of each other, represented more than 2.5% of our revenues in 2018 or 2019.</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User Case Studies</w:t>
      </w:r>
    </w:p>
    <w:p>
      <w:pPr>
        <w:spacing w:after="0" w:line="121" w:lineRule="exact"/>
        <w:rPr>
          <w:sz w:val="20"/>
          <w:szCs w:val="20"/>
          <w:color w:val="auto"/>
        </w:rPr>
      </w:pPr>
    </w:p>
    <w:p>
      <w:pPr>
        <w:ind w:left="140" w:right="439" w:firstLine="324"/>
        <w:spacing w:after="0" w:line="282" w:lineRule="auto"/>
        <w:rPr>
          <w:sz w:val="20"/>
          <w:szCs w:val="20"/>
          <w:color w:val="auto"/>
        </w:rPr>
      </w:pPr>
      <w:r>
        <w:rPr>
          <w:rFonts w:ascii="Times New Roman" w:cs="Times New Roman" w:eastAsia="Times New Roman" w:hAnsi="Times New Roman"/>
          <w:sz w:val="18"/>
          <w:szCs w:val="18"/>
          <w:color w:val="auto"/>
        </w:rPr>
        <w:t>Examples of the value of Bentley’s infrastructure engineering software solutions for the design, construction and operations of critical infrastructure include:</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Case Study: Italferr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1225550" cy="3511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255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0" w:right="419"/>
        <w:spacing w:after="0" w:line="286" w:lineRule="auto"/>
        <w:rPr>
          <w:sz w:val="20"/>
          <w:szCs w:val="20"/>
          <w:color w:val="auto"/>
        </w:rPr>
      </w:pPr>
      <w:r>
        <w:rPr>
          <w:rFonts w:ascii="Times New Roman" w:cs="Times New Roman" w:eastAsia="Times New Roman" w:hAnsi="Times New Roman"/>
          <w:sz w:val="18"/>
          <w:szCs w:val="18"/>
          <w:b w:val="1"/>
          <w:bCs w:val="1"/>
          <w:color w:val="auto"/>
        </w:rPr>
        <w:t>Italferr Comprehensively Leverages Bentley’s Design Integration Solutions for Project Digital Twin in Critical Infrastructure Project</w:t>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19"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the tragic collapse of the Morandi Bridge in Genoa, Italy in 2018, Italferr S.p.A. was commissioned to develop the engineering design of the new viaduct over the Polcevera River. The viaduct forms a critical link in the region’s transportation system and economy, which made it imperative to apply the latest technology to speed the design and construction of the replacement bridge. The project had to be tackled in innovative ways to ensure the speed of modeling and design decisions, with the requirement to complete the detailed engineering design in about three months, and the construction completed less than two years after the collapse. This meant that engineering workflows and construction workflows that are typically sequential had to be done in parallel to meet the extraordinary timeline for the engineering of the 1067-meter-long viaduct.</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19"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Italferr turned to Bentley’s design integration portfolio for the multi-disciplinary engineering of the viaduct and ProjectWise’s connected data environment for project team collaboration, enabling the various engineering teams to seamlessly integrate their BIM models. Bentley’s reality modeling solution was used to quickly perform aerial LIDAR surveys of the site to automatically generate digital terrain models from the aerial imaging, and Italferr used Bentley’s geotechnical modeling applications to model the subsurface conditions. As the roadway alignment was being engineered with OpenRoads, another part of the design team modelled the structural, HVAC, and electrical systems as generative components, leveraging the inherent computational design capabilities in OpenBuildings’ GenerativeComponents technology. Since the sizing, angle, and orientation of these components were all driven by the geometry of the centerline alignment for the viaduct’s roadway, these computational design capabilities meant that the model and its related documentation could be automatically updated as the roadway alignment geometry or other governing geometry was updated to optimize the design.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5" w:name="page166"/>
    <w:bookmarkEnd w:id="16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439" w:firstLine="324"/>
        <w:spacing w:after="0" w:line="274" w:lineRule="auto"/>
        <w:rPr>
          <w:sz w:val="20"/>
          <w:szCs w:val="20"/>
          <w:color w:val="auto"/>
        </w:rPr>
      </w:pPr>
      <w:r>
        <w:rPr>
          <w:rFonts w:ascii="Times New Roman" w:cs="Times New Roman" w:eastAsia="Times New Roman" w:hAnsi="Times New Roman"/>
          <w:sz w:val="17"/>
          <w:szCs w:val="17"/>
          <w:color w:val="auto"/>
        </w:rPr>
        <w:t>With the ProjectWise connected data environment as the collaboration and data federation hub for the project, it enabled digital workflows to keep the project digital twin continuously up-to-date, and to find and resolve clashes between the various components while still in the engineering phase. From the project digital twin, a 4D construction digital twin was created using SYNCHRO to strategize, visualize, and industrialize the construction sequence for optimal outcomes—as the concrete piers were being erected, the steel cross-sections of the decking spans could be fabricated offsite, transported to the construction site, assembled on the ground, then lifted in place onto the piers.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19"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The project digital twin also made it possible to extract volumes and quantities from the model which, when they were systematically organized into schedules, allowed the total cost of the work to be precisely defined. Italferr also is working to create an asset performance digital twin of the new viaduct to be used in the operation lifecycle, complete with information useful for organizing and managing maintenance. This objective will allow the digital twin model to leverage the digital components of the BIM model for use in operations and maintenance, linking the digital twin to IoT sensors monitoring the bridge performance to ensure its operational performance and safety. The project includes the construction of a photovoltaic system with an output power of 136 kW to use renewable energy to power the safety monitoring systems as well as the lighting, controls, and drainage equipment of the viaduct.</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19"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Italferr has been using Bentley’s civil engineering solutions for more than ten years, and since 2016 has expanded their adoption of Bentley offerings to include ProjectWise and a comprehensive portfolio of design integration applications.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Case Study: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88265</wp:posOffset>
            </wp:positionV>
            <wp:extent cx="574040" cy="531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40" w:right="2619"/>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Shell Advances to 4D Construction Digital Twins with Bentley’s Reality Modeling </w:t>
      </w:r>
      <w:r>
        <w:rPr>
          <w:rFonts w:ascii="Times New Roman" w:cs="Times New Roman" w:eastAsia="Times New Roman" w:hAnsi="Times New Roman"/>
          <w:sz w:val="18"/>
          <w:szCs w:val="18"/>
          <w:i w:val="1"/>
          <w:iCs w:val="1"/>
          <w:color w:val="auto"/>
        </w:rPr>
        <w:t>The Challenge</w:t>
      </w: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To help in realizing its goal of building the “plant of the future” for a multi-billion-dollar chemical plant in western Pennsylvania, Shell wanted to regularly survey the construction site to track and improve the progress of the project, but because of the scale of the 386-acre site, and the inherent safety challenges in surveying an active construction site, conventional surveying methods were not feasible. To meet this challenge, Shell turned to Bentley’s ContextCapture software.</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19"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UAVs (Unmanned Aerial Vehicles) equipped with digital cameras perform at least weekly photographic surveys on the site and upload nearly 8,000 digital photos to Bentley’s ContextCapture cloud service, which automatically processes the 2D images into a 3D “reality mesh.” The reality mesh is dimensionally accurate and engineering-ready, making it an effective digital twin of the physical construction site. A new digital reality mesh is generated on a weekly basis, maintaining a 4D construction digital twin, enabling the engineering and construction teams to monitor the actual construction progress over time in comparison to planned progress.</w:t>
      </w:r>
    </w:p>
    <w:p>
      <w:pPr>
        <w:spacing w:after="0" w:line="79"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The Shell project team has worked with Bentley on a bi-monthly basis to use the digital twin and Bentley’s flood modeling application, OpenFlows FLOOD, to simulate the effects of heavy rainfall events resulting in potential flooding on the site. The results enable Shell Construction management to devise strategies to mitigate potential disruption to the construction schedule, swiftly re-planning workfront activities as well as assessing any environmental damage.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6" w:name="page167"/>
    <w:bookmarkEnd w:id="16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19"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The digital twin of the construction project was also instrumental in enabling the project team to identify and resolve potential construction clashes in near-real-time, helping keep the project on track. In addition, the project team used the reality meshes to monitor soil erosion, manage construction materials inventory, improve emergency response management, and identify potential hazards. The digital twin will facilitate safe plant operations, for instance through the accurate 3D location of underground piping, based on the capture of reality meshes for reference prior to trenches being filled in.</w:t>
      </w:r>
    </w:p>
    <w:p>
      <w:pPr>
        <w:spacing w:after="0" w:line="79"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The continuous surveying of the existing site conditions ensures that the 4D construction digital twin always mirrors the current status, which is made securely accessible to the project teams via a web browser and immersive visualization. This allows Shell stakeholders, and the engineering, procurement, and construction (EPC) contractors, to optimize their collaboration and decision-making based on an up-to-date, single view of physical reality in relation to the 4D project plan.</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1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The use of ContextCapture and OpenFlows FLOOD adds to Bentley applications and systems cumulatively used for Shell projects and assets by its engineering, construction and plant operations groups. For example, Shell engineers use STAAD, SACS and MOSES for onshore and offshore structural simulation respectively, AutoPIPE for plant pipe stress simulation and PLAXIS for geotechnical engineering. In construction, Shell and EPC contractors use SYNCHRO Advanced Work Packaging for workface planning, achieving significant improvements in “hands-on-tools time.” In operations, AssetWise Reliability solutions have been applied to improve operational uptime. Spanning the project and asset lifecycles at mega-scale, Shell facilities benefit from ProjectWise and AssetWise connected data environments and are most recently leveraging Bentley’s iTwin services to open up the “dark data” from other vendors’ plant design applications.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Case Study: Shenzhen Expressway Engineering Consultants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88265</wp:posOffset>
            </wp:positionV>
            <wp:extent cx="2442845" cy="325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right="439"/>
        <w:spacing w:after="0" w:line="286" w:lineRule="auto"/>
        <w:rPr>
          <w:sz w:val="20"/>
          <w:szCs w:val="20"/>
          <w:color w:val="auto"/>
        </w:rPr>
      </w:pPr>
      <w:r>
        <w:rPr>
          <w:rFonts w:ascii="Times New Roman" w:cs="Times New Roman" w:eastAsia="Times New Roman" w:hAnsi="Times New Roman"/>
          <w:sz w:val="18"/>
          <w:szCs w:val="18"/>
          <w:b w:val="1"/>
          <w:bCs w:val="1"/>
          <w:color w:val="auto"/>
        </w:rPr>
        <w:t>Shenzhen Expressway Engineering Consultants Leverage iTwin Technology for Delivery of Complex Highway Interchange</w:t>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Challenge</w:t>
      </w:r>
    </w:p>
    <w:p>
      <w:pPr>
        <w:spacing w:after="0" w:line="119"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The east grade-separated interchange engineering of Yan’gang in Shenzhen, Guangdong, China, was initiated to accommodate the convergence of four high-speed roadways, which transport cargo from the Shenzhen Yantian Port and is a connector for high-speed traffic to the downtown area. The complex interchange network runs 10.5 kilometers in length, including 10 new ramps, 16 bridges, and eight tunnels and underpasses. The RMB 1.47 billion project is one of the key demonstration projects chosen by the People’s Republic of China’s Ministry of Transport (MOT) to serve as a benchmark for innovation in the design, engineering, and construction of traffic infrastructure in Shenzhen. As the leading unit of the MOT’s BIM Industry R&amp;D Center, Shenzhen Highway Engineering Consultants is responsible for project delivery of the interchange, and for establishing a BIM and digital twin methodology throughout the entire project lifecycle that will become a model for the whole traffic engineering industry in Guangdong. The project scope includes the integrated site and multi-disciplinary highway engineering, the coordination and management of the large volume of data from multiple sources, including teams responsible for land acquisition and site demolition, and oversight of the complex construction works, while ensuring that the project meets the highest standards of quality, safety, cost management and timely completion.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7" w:name="page168"/>
    <w:bookmarkEnd w:id="16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19"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In addition to a comprehensive set of Bentley’s open modeling applications and the ProjectWise collaboration system, the Shenzhen Expressway Engineering team used Bentley’s iTwin technology to create project and construction digital twins to analyze several traffic relief and interchange design schemes for an optimal design and construction plan. With an engineering and construction project this complex, it is essential that changes in any of the engineered systems (including earthworks, subsurface drainage networks, road and bridge foundations and superstructures, and roadway alignments), be communicated and synchronized to the entire project team, and that any potential physical clashes among these systems by identified and resolved prior to construction.</w:t>
      </w:r>
    </w:p>
    <w:p>
      <w:pPr>
        <w:spacing w:after="0" w:line="81" w:lineRule="exact"/>
        <w:rPr>
          <w:sz w:val="20"/>
          <w:szCs w:val="20"/>
          <w:color w:val="auto"/>
        </w:rPr>
      </w:pPr>
    </w:p>
    <w:p>
      <w:pPr>
        <w:ind w:left="140" w:right="379" w:firstLine="324"/>
        <w:spacing w:after="0" w:line="256" w:lineRule="auto"/>
        <w:rPr>
          <w:sz w:val="20"/>
          <w:szCs w:val="20"/>
          <w:color w:val="auto"/>
        </w:rPr>
      </w:pPr>
      <w:r>
        <w:rPr>
          <w:rFonts w:ascii="Times New Roman" w:cs="Times New Roman" w:eastAsia="Times New Roman" w:hAnsi="Times New Roman"/>
          <w:sz w:val="18"/>
          <w:szCs w:val="18"/>
          <w:color w:val="auto"/>
        </w:rPr>
        <w:t>UAVs used Bentley’s reality modeling solutions, enabling continuous surveying of the site to monitor the construction progress. Bentley’s design integration and project delivery solutions, in concert with Bentley’s iTwin technology, facilitated real-time collaboration, change synchronization, and data access, identifying and proactively resolving over 60% of site interference problems to avoid construction delays and cost overruns. Through a 4D construction digital twin created with SYNCHRO, the team simulated virtual on-site construction to verify workflows and meet the 35-month construction schedule.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19"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The aggregation of data from multiple sources in the digital twin, and making that data open to analytics and accessible to project stakeholders, has provided valuable business and engineering insights to keep the project on track. For example, according to the actual conditions at site as continuously surveyed through reality modeling, the management team can analyze the observed progress deviation from schedule and can rationally allocate the manpower, material, machines and other resources to keep the project on schedule and on budget. The digital twin is providing the visibility needed to make its supervision more efficient—the industry supervision organizations, the owner, and the third-party survey company can assess the performance of each party in this project, and can initiate ratification notices and link it with the model, making the whole process online and transparent. In addition, through the innovative application of digital twin, it has been possible to achieve positive results in both energy saving and environmental protection. Upon completion, the “digital DNA” of the digital twin will be seamlessly reconfigured as an asset performance digital twin for the complete operations and maintenance lifecycle.</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19" w:lineRule="exact"/>
        <w:rPr>
          <w:sz w:val="20"/>
          <w:szCs w:val="20"/>
          <w:color w:val="auto"/>
        </w:rPr>
      </w:pPr>
    </w:p>
    <w:p>
      <w:pPr>
        <w:jc w:val="both"/>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Beginning with their first use of Bentley’s civil engineering solutions in 2017, Shenzhen Expressway Engineering Consultants have expanded their adoption of Bentley’s full project delivery and asset performance solutions portfolio and is now one of the leading consumers of Bentley’s iTwin technology.</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Case Study: Águas do 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88265</wp:posOffset>
            </wp:positionV>
            <wp:extent cx="1140460" cy="6172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404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right="1479"/>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H2PORTO, A Technological Platform for the Integrated Management of the Urban Water Cycle </w:t>
      </w:r>
      <w:r>
        <w:rPr>
          <w:rFonts w:ascii="Times New Roman" w:cs="Times New Roman" w:eastAsia="Times New Roman" w:hAnsi="Times New Roman"/>
          <w:sz w:val="18"/>
          <w:szCs w:val="18"/>
          <w:i w:val="1"/>
          <w:iCs w:val="1"/>
          <w:color w:val="auto"/>
        </w:rPr>
        <w:t>The Challenge</w:t>
      </w: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Águas do Porto is a water utility company providing service and management of the urban water cycle in Porto, the second largest city in Portugal. With nearly 157,000 customers, Águas do Porto currently manages 818 kilometers of water mains, 558 kilometers of foul water sewers, and 661 kilometers of storm water drainage pipes, in addition to 66 kilometers of streams and 3.4 kilometers of seafront. Águas do Porto has installed and manages data from 34,000 smart water meters on customer properties and has over 350 telemetry and telecontrol devices installed throughout its network, a number that continues to increase.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8" w:name="page169"/>
    <w:bookmarkEnd w:id="16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99" w:firstLine="324"/>
        <w:spacing w:after="0" w:line="256" w:lineRule="auto"/>
        <w:rPr>
          <w:sz w:val="20"/>
          <w:szCs w:val="20"/>
          <w:color w:val="auto"/>
        </w:rPr>
      </w:pPr>
      <w:r>
        <w:rPr>
          <w:rFonts w:ascii="Times New Roman" w:cs="Times New Roman" w:eastAsia="Times New Roman" w:hAnsi="Times New Roman"/>
          <w:sz w:val="18"/>
          <w:szCs w:val="18"/>
          <w:color w:val="auto"/>
        </w:rPr>
        <w:t>Águas do Porto was challenged with finding a better way to manage the vast number of infrastructure assets and water resources required to manage the city’s water cycle and to integrate, manage and analyze a huge amount of data collected from many sources with numerous existing, and sometimes incompatible, software systems. To meet this challenge, the company began development of H2PORTO, a technology platform for the integrated management of the urban water cycle. The overarching goals of the project are to promote a culture of innovation and smart water management for the efficient usage of existing resources and to achieve better overall asset management and service.</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The Solution</w:t>
      </w:r>
    </w:p>
    <w:p>
      <w:pPr>
        <w:spacing w:after="0" w:line="119"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OpenFlows, OpenFlows WaterGEMs, and OpenFlows FLOOD were used for the design, configuration, implementation, and automation of all the modeling and predictive capabilities, and for the creation of a digital twin of the city’s water supply, wastewater, stormwater, and bathing water systems, to forecast flooding and water quality issues, and to improve service response and resilience. The predictive models automatically generate daily forecasts and publish the results in the project platform. Bentley consultants also developed services for on-demand, online simulation analysis of network changes resulting from pipe bursts, valve closures, and pumping station shutoffs.</w:t>
      </w:r>
    </w:p>
    <w:p>
      <w:pPr>
        <w:spacing w:after="0" w:line="79"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The H2PORTO platform incorporates all data gathered from more than 22 different sources, including billing, meters, sensors, operations, SCADA, weather stations and traffic control systems. Integrating all this data in an agnostic technological platform management system, the company created a powerful tool that enables better and more reliable water service and achieves more structured and effective communication and collaboration for 400 internal users, customers and other stakeholders. The platform relies on the identification of issues related to common standards and processes for data provision, communication amongst technological platforms, business intelligence tools, and decision making through the analysis of data, modelling tools and predictive analysis, striving to better inform its citizens.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Added Benefits</w:t>
      </w:r>
    </w:p>
    <w:p>
      <w:pPr>
        <w:spacing w:after="0" w:line="117"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digital twin of the water system has evolved to an </w:t>
      </w:r>
      <w:r>
        <w:rPr>
          <w:rFonts w:ascii="Times New Roman" w:cs="Times New Roman" w:eastAsia="Times New Roman" w:hAnsi="Times New Roman"/>
          <w:sz w:val="18"/>
          <w:szCs w:val="18"/>
          <w:i w:val="1"/>
          <w:iCs w:val="1"/>
          <w:color w:val="auto"/>
        </w:rPr>
        <w:t>asset performance digital twin</w:t>
      </w:r>
      <w:r>
        <w:rPr>
          <w:rFonts w:ascii="Times New Roman" w:cs="Times New Roman" w:eastAsia="Times New Roman" w:hAnsi="Times New Roman"/>
          <w:sz w:val="18"/>
          <w:szCs w:val="18"/>
          <w:color w:val="auto"/>
        </w:rPr>
        <w:t>. The insights gained from the digital twin enable the team to adjust their asset management strategies every day, allowing for more sustainable asset planning. The digital twin helps engineers and technicians to investigate and analyze the networks in more detail and from different perspectives, with room for tests and simulations that are not achievable in real-life scenarios. The modeling of flooding and pollution events specifically empowers the teams with the information they need to take the necessary actions to prevent damage or harmful incidents before they occur. Since 2016, the rate of water meters replacement almost doubled, the average duration of pipe bursts repairs improved by 8%, and water supply interruptions and malfunctions in water mains both decreased about 20%.</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Account Growth</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Águas do Porto has been a user of Bentley’s solutions since 2013.</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Technology</w:t>
      </w:r>
    </w:p>
    <w:p>
      <w:pPr>
        <w:spacing w:after="0" w:line="12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68" w:lineRule="exact"/>
        <w:rPr>
          <w:sz w:val="20"/>
          <w:szCs w:val="20"/>
          <w:color w:val="auto"/>
        </w:rPr>
      </w:pPr>
    </w:p>
    <w:p>
      <w:pPr>
        <w:ind w:left="1120" w:hanging="328"/>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generational stability of file formats, corresponding to the long lives of infrastructure projects and assets;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openness and interoperability with competitors’ file formats;</w:t>
      </w:r>
    </w:p>
    <w:p>
      <w:pPr>
        <w:spacing w:after="0" w:line="117" w:lineRule="exact"/>
        <w:rPr>
          <w:rFonts w:ascii="Times New Roman" w:cs="Times New Roman" w:eastAsia="Times New Roman" w:hAnsi="Times New Roman"/>
          <w:sz w:val="18"/>
          <w:szCs w:val="18"/>
          <w:color w:val="auto"/>
        </w:rPr>
      </w:pPr>
    </w:p>
    <w:p>
      <w:pPr>
        <w:ind w:left="1120" w:right="719" w:hanging="328"/>
        <w:spacing w:after="0" w:line="282" w:lineRule="auto"/>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software applications’ lifecycles, never jeopardizing users’ cumulative investments by requiring them to “start over”; and</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capacity and performance, versus competitors, for large infrastructure models and datasets.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9" w:name="page170"/>
    <w:bookmarkEnd w:id="16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Application Framework</w:t>
      </w:r>
    </w:p>
    <w:p>
      <w:pPr>
        <w:spacing w:after="0" w:line="119" w:lineRule="exact"/>
        <w:rPr>
          <w:sz w:val="20"/>
          <w:szCs w:val="20"/>
          <w:color w:val="auto"/>
        </w:rPr>
      </w:pPr>
    </w:p>
    <w:p>
      <w:pPr>
        <w:ind w:left="140" w:right="339" w:firstLine="324"/>
        <w:spacing w:after="0" w:line="256" w:lineRule="auto"/>
        <w:rPr>
          <w:sz w:val="20"/>
          <w:szCs w:val="20"/>
          <w:color w:val="auto"/>
        </w:rPr>
      </w:pPr>
      <w:r>
        <w:rPr>
          <w:rFonts w:ascii="Times New Roman" w:cs="Times New Roman" w:eastAsia="Times New Roman" w:hAnsi="Times New Roman"/>
          <w:sz w:val="18"/>
          <w:szCs w:val="18"/>
          <w:color w:val="auto"/>
        </w:rPr>
        <w:t>Our software solutions are delivered using flexible, reusable, and open technology, which results in highly integrated applications and cloud services that support comprehensive digital workflows in a scalable manner. For example, our modeling and simulation applications, including MicroStation, leverage a set of reusable components for graphics editing, visualization, solid modeling, and other capabilities. This open framework supports the addition of domain specific features, allowing us to offer highly compatible and well-integrated discipline-specific applications based on this common framework.</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Microsoft Integration</w:t>
      </w:r>
    </w:p>
    <w:p>
      <w:pPr>
        <w:spacing w:after="0" w:line="119" w:lineRule="exact"/>
        <w:rPr>
          <w:sz w:val="20"/>
          <w:szCs w:val="20"/>
          <w:color w:val="auto"/>
        </w:rPr>
      </w:pPr>
    </w:p>
    <w:p>
      <w:pPr>
        <w:ind w:left="140" w:right="719" w:firstLine="324"/>
        <w:spacing w:after="0" w:line="266" w:lineRule="auto"/>
        <w:rPr>
          <w:sz w:val="20"/>
          <w:szCs w:val="20"/>
          <w:color w:val="auto"/>
        </w:rPr>
      </w:pPr>
      <w:r>
        <w:rPr>
          <w:rFonts w:ascii="Times New Roman" w:cs="Times New Roman" w:eastAsia="Times New Roman" w:hAnsi="Times New Roman"/>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iModels and iModelHub</w:t>
      </w:r>
    </w:p>
    <w:p>
      <w:pPr>
        <w:spacing w:after="0" w:line="119"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We support a rich format for digital twins called an iModel, a relational database encapsulated in a file, that stores aligned domain data from multiple source applications. iModels are synchronized with our design applications and we provide software development tools to enable iModels to be synchronized with third-party applications or services. We have created and maintain iModel connections to most of the significant applications used in infrastructure engineering. iModels provide a common data currency to support open and easy exchange between users and systems, and we believe that they have become a de facto standard for visibility and collaboration of digital engineering models. iModelHub, an iTwin cloud service, manages each iModel as a distributed database with an intrinsic ledger of changes (enabling alignment, accountability, and accessibility of digital components over the lifecycle of a project or an asset) to form the backbone of an infrastructure digital twin. To foster an expanded ecosystem of digital twin innovation, our iModel.js code is available on GitHub as an open source library under the MIT license.</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Our Licensing and Administration Platform</w:t>
      </w:r>
    </w:p>
    <w:p>
      <w:pPr>
        <w:spacing w:after="0" w:line="119" w:lineRule="exact"/>
        <w:rPr>
          <w:sz w:val="20"/>
          <w:szCs w:val="20"/>
          <w:color w:val="auto"/>
        </w:rPr>
      </w:pPr>
    </w:p>
    <w:p>
      <w:pPr>
        <w:jc w:val="both"/>
        <w:ind w:left="140" w:right="299" w:firstLine="324"/>
        <w:spacing w:after="0" w:line="261" w:lineRule="auto"/>
        <w:rPr>
          <w:sz w:val="20"/>
          <w:szCs w:val="20"/>
          <w:color w:val="auto"/>
        </w:rPr>
      </w:pPr>
      <w:r>
        <w:rPr>
          <w:rFonts w:ascii="Times New Roman" w:cs="Times New Roman" w:eastAsia="Times New Roman" w:hAnsi="Times New Roman"/>
          <w:sz w:val="18"/>
          <w:szCs w:val="18"/>
          <w:color w:val="auto"/>
        </w:rPr>
        <w:t>All of our applications and systems share a cloud-native platform for license pooling, management of subscription entitlements, and usage reporting for us and for accounts, including for commercial consumption metrics. Our platform also logs usage of particular “instrumented” functions within our applications to enable our success force to be of most value. Our platform can also provide in-application messaging to users from our success force.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Acquisitions</w:t>
      </w:r>
    </w:p>
    <w:p>
      <w:pPr>
        <w:spacing w:after="0" w:line="121"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 software businesses, including 18 acquisitions over the past five years. Our average historical annual revenue growth rate from acquisitions over the last six years has been approximately 1.1%. Our acquisitions have the following purposes:</w:t>
      </w:r>
    </w:p>
    <w:p>
      <w:pPr>
        <w:spacing w:after="0" w:line="72" w:lineRule="exact"/>
        <w:rPr>
          <w:sz w:val="20"/>
          <w:szCs w:val="20"/>
          <w:color w:val="auto"/>
        </w:rPr>
      </w:pPr>
    </w:p>
    <w:p>
      <w:pPr>
        <w:ind w:left="1120" w:right="159" w:hanging="328"/>
        <w:spacing w:after="0" w:line="266"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in the breadth and depth of our comprehensive applications portfolio across disciplines and infrastructure sectors, especially where the developer organizations have already worked on integration and compatibility with our platforms and APIs;</w:t>
      </w:r>
    </w:p>
    <w:p>
      <w:pPr>
        <w:spacing w:after="0" w:line="67" w:lineRule="exact"/>
        <w:rPr>
          <w:rFonts w:ascii="Times New Roman" w:cs="Times New Roman" w:eastAsia="Times New Roman" w:hAnsi="Times New Roman"/>
          <w:sz w:val="18"/>
          <w:szCs w:val="18"/>
          <w:color w:val="auto"/>
        </w:rPr>
      </w:pPr>
    </w:p>
    <w:p>
      <w:pPr>
        <w:ind w:left="1120" w:right="159" w:hanging="32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lifecycle comprehensiveness, especially for our Asset and Network Performance, and Digital Cities product advancement units;</w:t>
      </w:r>
    </w:p>
    <w:p>
      <w:pPr>
        <w:spacing w:after="0" w:line="53" w:lineRule="exact"/>
        <w:rPr>
          <w:rFonts w:ascii="Times New Roman" w:cs="Times New Roman" w:eastAsia="Times New Roman" w:hAnsi="Times New Roman"/>
          <w:sz w:val="18"/>
          <w:szCs w:val="18"/>
          <w:color w:val="auto"/>
        </w:rPr>
      </w:pPr>
    </w:p>
    <w:p>
      <w:pPr>
        <w:ind w:left="1120" w:right="539" w:hanging="32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horizontal technologies that we can incorporate within our platforms for the benefit of our applications and systems at large, such as reality modeling; and</w:t>
      </w:r>
    </w:p>
    <w:p>
      <w:pPr>
        <w:spacing w:after="0" w:line="53" w:lineRule="exact"/>
        <w:rPr>
          <w:rFonts w:ascii="Times New Roman" w:cs="Times New Roman" w:eastAsia="Times New Roman" w:hAnsi="Times New Roman"/>
          <w:sz w:val="18"/>
          <w:szCs w:val="18"/>
          <w:color w:val="auto"/>
        </w:rPr>
      </w:pPr>
    </w:p>
    <w:p>
      <w:pPr>
        <w:ind w:left="1120" w:right="359" w:hanging="328"/>
        <w:spacing w:after="0" w:line="282" w:lineRule="auto"/>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distribution capacity, such as to channel partners in geographies where we wish to accelerate our scale and growth.</w:t>
      </w:r>
    </w:p>
    <w:p>
      <w:pPr>
        <w:spacing w:after="0" w:line="54"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Our executive management and our Portfolio Development team proactively identify and develop potential acquisition subject areas and unsolicited candidates. We also are prepared, experienced, and able to respond with agility when appropriate situations may appear opportunistically. We have a disciplined and proprietary diligence and valuation process for evaluating acquisition targets. Our general practice is to fully assimilate the acquired companies’ functions into our global functional structure as quickly as possible, supported by a dedicated team to manage and streamline the integration process.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70" w:name="page171"/>
    <w:bookmarkEnd w:id="17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We prioritize the retention and development of the acquired incoming colleagues from our acquisitions, including offering talent mobility for key personnel. Further, many of our current line executives are former founders and/or C-level officers of companies we have acquired.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Examples of key recent acquisitions, along with their purposes, include:</w:t>
      </w:r>
    </w:p>
    <w:p>
      <w:pPr>
        <w:spacing w:after="0" w:line="115" w:lineRule="exact"/>
        <w:rPr>
          <w:sz w:val="20"/>
          <w:szCs w:val="20"/>
          <w:color w:val="auto"/>
        </w:rPr>
      </w:pPr>
    </w:p>
    <w:p>
      <w:pPr>
        <w:ind w:left="1120" w:right="239" w:hanging="328"/>
        <w:spacing w:after="0" w:line="284"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i w:val="1"/>
          <w:iCs w:val="1"/>
          <w:color w:val="auto"/>
        </w:rPr>
        <w:t xml:space="preserve"> SoilVision </w:t>
      </w:r>
      <w:r>
        <w:rPr>
          <w:rFonts w:ascii="Times New Roman" w:cs="Times New Roman" w:eastAsia="Times New Roman" w:hAnsi="Times New Roman"/>
          <w:sz w:val="18"/>
          <w:szCs w:val="18"/>
          <w:color w:val="auto"/>
        </w:rPr>
        <w:t>(2018), and</w:t>
      </w:r>
      <w:r>
        <w:rPr>
          <w:rFonts w:ascii="Times New Roman" w:cs="Times New Roman" w:eastAsia="Times New Roman" w:hAnsi="Times New Roman"/>
          <w:sz w:val="18"/>
          <w:szCs w:val="18"/>
          <w:i w:val="1"/>
          <w:iCs w:val="1"/>
          <w:color w:val="auto"/>
        </w:rPr>
        <w:t xml:space="preserve"> Keynetix </w:t>
      </w:r>
      <w:r>
        <w:rPr>
          <w:rFonts w:ascii="Times New Roman" w:cs="Times New Roman" w:eastAsia="Times New Roman" w:hAnsi="Times New Roman"/>
          <w:sz w:val="18"/>
          <w:szCs w:val="18"/>
          <w:color w:val="auto"/>
        </w:rPr>
        <w:t>(2019), to become what we believe be a world leader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geotechnical engineering modeling and simulation software and in geotechnical information management;</w:t>
      </w:r>
    </w:p>
    <w:p>
      <w:pPr>
        <w:spacing w:after="0" w:line="50"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SYNCHRO </w:t>
      </w:r>
      <w:r>
        <w:rPr>
          <w:rFonts w:ascii="Times New Roman" w:cs="Times New Roman" w:eastAsia="Times New Roman" w:hAnsi="Times New Roman"/>
          <w:sz w:val="18"/>
          <w:szCs w:val="18"/>
          <w:color w:val="auto"/>
        </w:rPr>
        <w:t>(2018), to become a leading provider of 4D construction modeling software;</w:t>
      </w:r>
    </w:p>
    <w:p>
      <w:pPr>
        <w:spacing w:after="0" w:line="117" w:lineRule="exact"/>
        <w:rPr>
          <w:rFonts w:ascii="Times New Roman" w:cs="Times New Roman" w:eastAsia="Times New Roman" w:hAnsi="Times New Roman"/>
          <w:sz w:val="18"/>
          <w:szCs w:val="18"/>
          <w:color w:val="auto"/>
        </w:rPr>
      </w:pPr>
    </w:p>
    <w:p>
      <w:pPr>
        <w:ind w:left="1120" w:right="539" w:hanging="328"/>
        <w:spacing w:after="0" w:line="284"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ACE Enterprise </w:t>
      </w:r>
      <w:r>
        <w:rPr>
          <w:rFonts w:ascii="Times New Roman" w:cs="Times New Roman" w:eastAsia="Times New Roman" w:hAnsi="Times New Roman"/>
          <w:sz w:val="18"/>
          <w:szCs w:val="18"/>
          <w:color w:val="auto"/>
        </w:rPr>
        <w:t>(2018), to integrate our systems with enterprise environments such as SAP and IBM’s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Maximo;</w:t>
      </w:r>
    </w:p>
    <w:p>
      <w:pPr>
        <w:spacing w:after="0" w:line="50" w:lineRule="exact"/>
        <w:rPr>
          <w:rFonts w:ascii="Times New Roman" w:cs="Times New Roman" w:eastAsia="Times New Roman" w:hAnsi="Times New Roman"/>
          <w:sz w:val="18"/>
          <w:szCs w:val="18"/>
          <w:color w:val="auto"/>
        </w:rPr>
      </w:pPr>
    </w:p>
    <w:p>
      <w:pPr>
        <w:ind w:left="1120" w:right="999" w:hanging="328"/>
        <w:spacing w:after="0" w:line="284"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Citilabs </w:t>
      </w:r>
      <w:r>
        <w:rPr>
          <w:rFonts w:ascii="Times New Roman" w:cs="Times New Roman" w:eastAsia="Times New Roman" w:hAnsi="Times New Roman"/>
          <w:sz w:val="18"/>
          <w:szCs w:val="18"/>
          <w:color w:val="auto"/>
        </w:rPr>
        <w:t>(2019), to add vehicle traffic simulation software (CUBE) and roadway movement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(Streetlytics) to lead to improved mobility digital twins for Digital Cities;</w:t>
      </w:r>
    </w:p>
    <w:p>
      <w:pPr>
        <w:spacing w:after="0" w:line="50" w:lineRule="exact"/>
        <w:rPr>
          <w:rFonts w:ascii="Times New Roman" w:cs="Times New Roman" w:eastAsia="Times New Roman" w:hAnsi="Times New Roman"/>
          <w:sz w:val="18"/>
          <w:szCs w:val="18"/>
          <w:color w:val="auto"/>
        </w:rPr>
      </w:pPr>
    </w:p>
    <w:p>
      <w:pPr>
        <w:ind w:left="1120" w:right="379" w:hanging="328"/>
        <w:spacing w:after="0" w:line="284"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OrbitGT </w:t>
      </w:r>
      <w:r>
        <w:rPr>
          <w:rFonts w:ascii="Times New Roman" w:cs="Times New Roman" w:eastAsia="Times New Roman" w:hAnsi="Times New Roman"/>
          <w:sz w:val="18"/>
          <w:szCs w:val="18"/>
          <w:color w:val="auto"/>
        </w:rPr>
        <w:t>(2019), to add specialized capabilities for mobile mapping (such as vehicle-based scanning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photogrammetry) to our reality modeling offerings for Digital Cities;</w:t>
      </w:r>
    </w:p>
    <w:p>
      <w:pPr>
        <w:spacing w:after="0" w:line="50" w:lineRule="exact"/>
        <w:rPr>
          <w:rFonts w:ascii="Times New Roman" w:cs="Times New Roman" w:eastAsia="Times New Roman" w:hAnsi="Times New Roman"/>
          <w:sz w:val="18"/>
          <w:szCs w:val="18"/>
          <w:color w:val="auto"/>
        </w:rPr>
      </w:pPr>
    </w:p>
    <w:p>
      <w:pPr>
        <w:ind w:left="1120" w:right="499" w:hanging="328"/>
        <w:spacing w:after="0" w:line="267"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GroupBC </w:t>
      </w:r>
      <w:r>
        <w:rPr>
          <w:rFonts w:ascii="Times New Roman" w:cs="Times New Roman" w:eastAsia="Times New Roman" w:hAnsi="Times New Roman"/>
          <w:sz w:val="18"/>
          <w:szCs w:val="18"/>
          <w:color w:val="auto"/>
        </w:rPr>
        <w:t>(2020), to bring additional common data environment solutions for construction projects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assets, and federate to iTwin cloud services, extending the value of project and asset information through digital twins; and</w:t>
      </w:r>
    </w:p>
    <w:p>
      <w:pPr>
        <w:spacing w:after="0" w:line="65" w:lineRule="exact"/>
        <w:rPr>
          <w:rFonts w:ascii="Times New Roman" w:cs="Times New Roman" w:eastAsia="Times New Roman" w:hAnsi="Times New Roman"/>
          <w:sz w:val="18"/>
          <w:szCs w:val="18"/>
          <w:color w:val="auto"/>
        </w:rPr>
      </w:pPr>
    </w:p>
    <w:p>
      <w:pPr>
        <w:ind w:left="1120" w:right="239" w:hanging="328"/>
        <w:spacing w:after="0" w:line="267" w:lineRule="auto"/>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Cohesive Solutions </w:t>
      </w:r>
      <w:r>
        <w:rPr>
          <w:rFonts w:ascii="Times New Roman" w:cs="Times New Roman" w:eastAsia="Times New Roman" w:hAnsi="Times New Roman"/>
          <w:sz w:val="18"/>
          <w:szCs w:val="18"/>
          <w:color w:val="auto"/>
        </w:rPr>
        <w:t>(2020), to bring digital integrator expertise for the convergence, through digital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services, of digital engineering models (ET), with IT and OT, for infrastructure assets in the utilities, energy and facilities sectors.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Competition</w:t>
      </w:r>
    </w:p>
    <w:p>
      <w:pPr>
        <w:spacing w:after="0" w:line="121" w:lineRule="exact"/>
        <w:rPr>
          <w:sz w:val="20"/>
          <w:szCs w:val="20"/>
          <w:color w:val="auto"/>
        </w:rPr>
      </w:pPr>
    </w:p>
    <w:p>
      <w:pPr>
        <w:ind w:left="140" w:right="399" w:firstLine="324"/>
        <w:spacing w:after="0" w:line="258" w:lineRule="auto"/>
        <w:rPr>
          <w:sz w:val="20"/>
          <w:szCs w:val="20"/>
          <w:color w:val="auto"/>
        </w:rPr>
      </w:pPr>
      <w:r>
        <w:rPr>
          <w:rFonts w:ascii="Times New Roman" w:cs="Times New Roman" w:eastAsia="Times New Roman" w:hAnsi="Times New Roman"/>
          <w:sz w:val="18"/>
          <w:szCs w:val="18"/>
          <w:color w:val="auto"/>
        </w:rPr>
        <w:t>The market for our software solutions is highly competitive and subject to change. We compete against large, global, publicly-traded companies that have resources greater than our own, and also against small, new, or geographically-focused firms that specialize in developing niche software offerings. While we do not believe that any competitor offers a portfolio as comprehensive as ours, we do face strong competition, varying by infrastructure lifecycle phase and sector:</w:t>
      </w:r>
    </w:p>
    <w:p>
      <w:pPr>
        <w:spacing w:after="0" w:line="71" w:lineRule="exact"/>
        <w:rPr>
          <w:sz w:val="20"/>
          <w:szCs w:val="20"/>
          <w:color w:val="auto"/>
        </w:rPr>
      </w:pPr>
    </w:p>
    <w:p>
      <w:pPr>
        <w:ind w:left="1120" w:right="239" w:hanging="328"/>
        <w:spacing w:after="0" w:line="286" w:lineRule="auto"/>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public works/utilities applications</w:t>
      </w:r>
      <w:r>
        <w:rPr>
          <w:rFonts w:ascii="Times New Roman" w:cs="Times New Roman" w:eastAsia="Times New Roman" w:hAnsi="Times New Roman"/>
          <w:sz w:val="18"/>
          <w:szCs w:val="18"/>
          <w:color w:val="auto"/>
        </w:rPr>
        <w:t xml:space="preserve"> include Autodesk, Inc., Trimble Inc., Hexagon AB, and Dassault Systèmes;</w:t>
      </w:r>
    </w:p>
    <w:p>
      <w:pPr>
        <w:spacing w:after="0" w:line="46"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industrial/resources applications</w:t>
      </w:r>
      <w:r>
        <w:rPr>
          <w:rFonts w:ascii="Times New Roman" w:cs="Times New Roman" w:eastAsia="Times New Roman" w:hAnsi="Times New Roman"/>
          <w:sz w:val="18"/>
          <w:szCs w:val="18"/>
          <w:color w:val="auto"/>
        </w:rPr>
        <w:t xml:space="preserve"> include Hexagon AB and AVEVA Group plc;</w:t>
      </w:r>
    </w:p>
    <w:p>
      <w:pPr>
        <w:spacing w:after="0" w:line="117" w:lineRule="exact"/>
        <w:rPr>
          <w:rFonts w:ascii="Times New Roman" w:cs="Times New Roman" w:eastAsia="Times New Roman" w:hAnsi="Times New Roman"/>
          <w:sz w:val="18"/>
          <w:szCs w:val="18"/>
          <w:color w:val="auto"/>
        </w:rPr>
      </w:pPr>
    </w:p>
    <w:p>
      <w:pPr>
        <w:ind w:left="1120" w:right="459" w:hanging="328"/>
        <w:spacing w:after="0" w:line="286" w:lineRule="auto"/>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commercial/facilities applications</w:t>
      </w:r>
      <w:r>
        <w:rPr>
          <w:rFonts w:ascii="Times New Roman" w:cs="Times New Roman" w:eastAsia="Times New Roman" w:hAnsi="Times New Roman"/>
          <w:sz w:val="18"/>
          <w:szCs w:val="18"/>
          <w:color w:val="auto"/>
        </w:rPr>
        <w:t xml:space="preserve"> include Autodesk Inc., Nemetschek SE, and Trimble, Inc.;</w:t>
      </w:r>
    </w:p>
    <w:p>
      <w:pPr>
        <w:spacing w:after="0" w:line="46" w:lineRule="exact"/>
        <w:rPr>
          <w:rFonts w:ascii="Times New Roman" w:cs="Times New Roman" w:eastAsia="Times New Roman" w:hAnsi="Times New Roman"/>
          <w:sz w:val="18"/>
          <w:szCs w:val="18"/>
          <w:color w:val="auto"/>
        </w:rPr>
      </w:pPr>
    </w:p>
    <w:p>
      <w:pPr>
        <w:ind w:left="1120" w:right="239" w:hanging="328"/>
        <w:spacing w:after="0" w:line="286" w:lineRule="auto"/>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project lifecycle systems</w:t>
      </w:r>
      <w:r>
        <w:rPr>
          <w:rFonts w:ascii="Times New Roman" w:cs="Times New Roman" w:eastAsia="Times New Roman" w:hAnsi="Times New Roman"/>
          <w:sz w:val="18"/>
          <w:szCs w:val="18"/>
          <w:color w:val="auto"/>
        </w:rPr>
        <w:t xml:space="preserve"> include Autodesk, Inc. and Oracle Corporation with their Primavera P6 and Aconex offerings; and</w:t>
      </w:r>
    </w:p>
    <w:p>
      <w:pPr>
        <w:spacing w:after="0" w:line="46" w:lineRule="exact"/>
        <w:rPr>
          <w:rFonts w:ascii="Times New Roman" w:cs="Times New Roman" w:eastAsia="Times New Roman" w:hAnsi="Times New Roman"/>
          <w:sz w:val="18"/>
          <w:szCs w:val="18"/>
          <w:color w:val="auto"/>
        </w:rPr>
      </w:pPr>
    </w:p>
    <w:p>
      <w:pPr>
        <w:ind w:left="1120" w:right="759" w:hanging="328"/>
        <w:spacing w:after="0" w:line="286" w:lineRule="auto"/>
        <w:tabs>
          <w:tab w:leader="none" w:pos="11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asset lifecycle systems</w:t>
      </w:r>
      <w:r>
        <w:rPr>
          <w:rFonts w:ascii="Times New Roman" w:cs="Times New Roman" w:eastAsia="Times New Roman" w:hAnsi="Times New Roman"/>
          <w:sz w:val="18"/>
          <w:szCs w:val="18"/>
          <w:color w:val="auto"/>
        </w:rPr>
        <w:t xml:space="preserve"> include Aspen Technology, Inc., AVEVA Group plc, Environmental Systems Research Institute, Inc., and General Electric Corp.</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competitive factors affecting our market include:</w:t>
      </w:r>
    </w:p>
    <w:p>
      <w:pPr>
        <w:spacing w:after="0" w:line="117" w:lineRule="exact"/>
        <w:rPr>
          <w:sz w:val="20"/>
          <w:szCs w:val="20"/>
          <w:color w:val="auto"/>
        </w:rPr>
      </w:pPr>
    </w:p>
    <w:p>
      <w:pPr>
        <w:ind w:left="1120" w:hanging="32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performance, and effectiveness;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security;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breadth, depth, and continuity;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offerings across disciplines and infrastructure sectors;</w:t>
      </w:r>
    </w:p>
    <w:p>
      <w:pPr>
        <w:spacing w:after="0" w:line="117" w:lineRule="exact"/>
        <w:rPr>
          <w:rFonts w:ascii="Times New Roman" w:cs="Times New Roman" w:eastAsia="Times New Roman" w:hAnsi="Times New Roman"/>
          <w:sz w:val="18"/>
          <w:szCs w:val="18"/>
          <w:color w:val="auto"/>
        </w:rPr>
      </w:pPr>
    </w:p>
    <w:p>
      <w:pPr>
        <w:ind w:left="1120" w:right="579" w:hanging="328"/>
        <w:spacing w:after="0" w:line="282" w:lineRule="auto"/>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 by and endorsement of infrastructure owners, and degree of adoption across the relevant supply chain;</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and loyalty by professionals throughout their training and careers;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1" w:name="page172"/>
    <w:bookmarkEnd w:id="17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other technology;</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to operate at scale;</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capabilities for configurability and APIs;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efficient workflows;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commercial model, and total cost of use;</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industry standards;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Sales and Marketing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2019 revenues. Our direct sales channel includes:</w:t>
      </w:r>
    </w:p>
    <w:p>
      <w:pPr>
        <w:spacing w:after="0" w:line="99" w:lineRule="exact"/>
        <w:rPr>
          <w:sz w:val="20"/>
          <w:szCs w:val="20"/>
          <w:color w:val="auto"/>
        </w:rPr>
      </w:pPr>
    </w:p>
    <w:p>
      <w:pPr>
        <w:ind w:left="1120" w:hanging="328"/>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Account Managers, who are responsible for our largest accounts;</w:t>
      </w:r>
    </w:p>
    <w:p>
      <w:pPr>
        <w:spacing w:after="0" w:line="117" w:lineRule="exact"/>
        <w:rPr>
          <w:rFonts w:ascii="Times New Roman" w:cs="Times New Roman" w:eastAsia="Times New Roman" w:hAnsi="Times New Roman"/>
          <w:sz w:val="18"/>
          <w:szCs w:val="18"/>
          <w:color w:val="auto"/>
        </w:rPr>
      </w:pPr>
    </w:p>
    <w:p>
      <w:pPr>
        <w:ind w:left="1120" w:right="319" w:hanging="328"/>
        <w:spacing w:after="0" w:line="282" w:lineRule="auto"/>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Specialists, who are responsible for servicing small-to mid-sized (“commercial”) accounts in territories defined by geography and product lines; and</w:t>
      </w:r>
    </w:p>
    <w:p>
      <w:pPr>
        <w:spacing w:after="0" w:line="53" w:lineRule="exact"/>
        <w:rPr>
          <w:rFonts w:ascii="Times New Roman" w:cs="Times New Roman" w:eastAsia="Times New Roman" w:hAnsi="Times New Roman"/>
          <w:sz w:val="18"/>
          <w:szCs w:val="18"/>
          <w:color w:val="auto"/>
        </w:rPr>
      </w:pPr>
    </w:p>
    <w:p>
      <w:pPr>
        <w:ind w:left="1120" w:right="459" w:hanging="328"/>
        <w:spacing w:after="0" w:line="282" w:lineRule="auto"/>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Specialists, who are technical experts in a specific product line who work with Corporate Account Managers and Inside Sales Specialists.</w:t>
      </w:r>
    </w:p>
    <w:p>
      <w:pPr>
        <w:spacing w:after="0" w:line="54"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We rely on specialist channel partners in geographic regions where we do not currently have a meaningful presence and where, for many of our offerings, direct sales efforts are less economically feasible. Channel partners accounted for approximately 8% of 2019 revenue. We are establishing digital integrators such as Digital Construction Works to serve as global channel partners. In addition, we have established a new business endeavor, DXW+, which offers practitioner subscriptions that include virtual support and advice from DXW’s engineering experts. DXW+ is available in selected and expanding geographies, and for individual professionals in any organization. We also benefit from additional sales resources and coverage from our digital co-venturers through various forms, including bundles of our offerings with theirs.</w:t>
      </w:r>
    </w:p>
    <w:p>
      <w:pPr>
        <w:spacing w:after="0" w:line="84"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pacing w:after="0" w:line="70"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system offerings,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generally sold through either proactive proposals or responses to RFPs, so sales cycles for those offerings range from months to several quarters. We have a comprehensive global proposals team to assure appropriate business development resources are allocated, to quality-assure efficient and effective proposal contents, and to maximize the capture ratio for our proposal pursuit.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marketing functions include:</w:t>
      </w:r>
    </w:p>
    <w:p>
      <w:pPr>
        <w:spacing w:after="0" w:line="115" w:lineRule="exact"/>
        <w:rPr>
          <w:sz w:val="20"/>
          <w:szCs w:val="20"/>
          <w:color w:val="auto"/>
        </w:rPr>
      </w:pPr>
    </w:p>
    <w:p>
      <w:pPr>
        <w:jc w:val="both"/>
        <w:ind w:left="1120" w:right="439" w:hanging="328"/>
        <w:spacing w:after="0" w:line="267" w:lineRule="auto"/>
        <w:tabs>
          <w:tab w:leader="none" w:pos="11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marketing</w:t>
      </w:r>
      <w:r>
        <w:rPr>
          <w:rFonts w:ascii="Times New Roman" w:cs="Times New Roman" w:eastAsia="Times New Roman" w:hAnsi="Times New Roman"/>
          <w:sz w:val="18"/>
          <w:szCs w:val="18"/>
          <w:color w:val="auto"/>
        </w:rPr>
        <w:t>, to build brand awareness, brand equity, and thought leadership, including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events and programs covering industry trends and challenges, and to conduct market research and industry studies;</w:t>
      </w:r>
    </w:p>
    <w:p>
      <w:pPr>
        <w:spacing w:after="0" w:line="65" w:lineRule="exact"/>
        <w:rPr>
          <w:rFonts w:ascii="Times New Roman" w:cs="Times New Roman" w:eastAsia="Times New Roman" w:hAnsi="Times New Roman"/>
          <w:sz w:val="18"/>
          <w:szCs w:val="18"/>
          <w:color w:val="auto"/>
        </w:rPr>
      </w:pPr>
    </w:p>
    <w:p>
      <w:pPr>
        <w:ind w:left="1120" w:right="299" w:hanging="328"/>
        <w:spacing w:after="0" w:line="281" w:lineRule="auto"/>
        <w:tabs>
          <w:tab w:leader="none" w:pos="11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industry and product marketing</w:t>
      </w:r>
      <w:r>
        <w:rPr>
          <w:rFonts w:ascii="Times New Roman" w:cs="Times New Roman" w:eastAsia="Times New Roman" w:hAnsi="Times New Roman"/>
          <w:sz w:val="17"/>
          <w:szCs w:val="17"/>
          <w:color w:val="auto"/>
        </w:rPr>
        <w:t>, for demand generation through digital marketing channels, including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website, Internet advertising, webinars, and virtual events, and paid and organic social media, and though traditional marketing channels such as trade print advertising, press releases, editorial placements, industry-specific trade shows and conferences, in-person seminars, and locally-sponsored events; and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2" w:name="page173"/>
    <w:bookmarkEnd w:id="17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120" w:hanging="328"/>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regional marketing</w:t>
      </w:r>
      <w:r>
        <w:rPr>
          <w:rFonts w:ascii="Times New Roman" w:cs="Times New Roman" w:eastAsia="Times New Roman" w:hAnsi="Times New Roman"/>
          <w:sz w:val="18"/>
          <w:szCs w:val="18"/>
          <w:color w:val="auto"/>
        </w:rPr>
        <w:t>, to localize and deliver our marketing programs throughout the world.</w:t>
      </w:r>
    </w:p>
    <w:p>
      <w:pPr>
        <w:spacing w:after="0" w:line="119"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We also invest in our annual Year in Infrastructure Conference, which brings together leading infrastructure thought leaders from around the world for presentations on innovative projects, to learn about the latest advances to our applications and cloud offerings, and to network and share best practices. Our associated Year in Infrastructure Awards, which in 2019 attracted over 500 project nominations from our accounts and are judged by independent juries in approximately 20 categories for going digital in infrastructure engineering.</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Research and Development</w:t>
      </w:r>
    </w:p>
    <w:p>
      <w:pPr>
        <w:spacing w:after="0" w:line="121"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management-established priorities, input from product managers, and user and sales force feedback.</w:t>
      </w:r>
    </w:p>
    <w:p>
      <w:pPr>
        <w:spacing w:after="0" w:line="75"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We had approximately 1,500 colleagues engaged globally in software research and development as of December 31, 2019. Each of our product advancement groups for Design Integration, Project Delivery, Asset and Network Performance, and Digital Cities have research and development resources and responsibilities. Our iTwin Services group consists of over 275 colleagues and is entirely devoted to the rapid development of new and incremental cloud-native services for infrastructure digital twins. Our separate Chief Technology Office assesses the potential of new software technologies and sources.</w:t>
      </w:r>
    </w:p>
    <w:p>
      <w:pPr>
        <w:spacing w:after="0" w:line="79"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As part of our resource allocation process, we also conduct a cost-benefit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75" w:lineRule="exact"/>
        <w:rPr>
          <w:sz w:val="20"/>
          <w:szCs w:val="20"/>
          <w:color w:val="auto"/>
        </w:rPr>
      </w:pPr>
    </w:p>
    <w:p>
      <w:pPr>
        <w:jc w:val="both"/>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2017, 2018, and 2019, and for the six months ended June 30, 2020, our research and development spending was $151.2 million, $175.0 million, $183.6 million, and $89.4 million, respectively, and as a percentage of total revenues was 24.0%, 25.3%, 24.9%, and 23.6%, respectively.</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Digital co-ventures</w:t>
      </w:r>
    </w:p>
    <w:p>
      <w:pPr>
        <w:spacing w:after="0" w:line="119"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In 2019, we and Topcon created an equally-owned joint venture, Digital Construction Works, Inc. to serve as a digital integrator for major construction projects and related enterprises. We and Topcon each contributed experienced colleagues in addition to the required capital commitments.</w:t>
      </w:r>
    </w:p>
    <w:p>
      <w:pPr>
        <w:spacing w:after="0" w:line="68"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As part of our co-venturing with Siemens, we undertake a program of joint research and development investment in which each company bears its own costs. These investments have led to jointly offered cloud services for infrastructure digital twins, some of which are already commercially available. We and Siemens have committed to a cumulative investment of over €100 million to fund the joint innovation investment program.</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Talent and Our Values</w:t>
      </w:r>
    </w:p>
    <w:p>
      <w:pPr>
        <w:spacing w:after="0" w:line="121"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As of June 30, 2020, we had 4,010 full-time colleagues. Our colleagues are located in 42 countries, including 1,568 in the Americas, 1,183 in EMEA, and 1,259 in APAC. We embrace diversity among our colleagues, who collectively bring 64 languages to fulfill the needs of our globally dispersed accounts and users. Our colleagues are highly qualified with an average of seven years of total service with the Company and advanced academic credentials, including 90 doctoral degrees and 1,046 master’s-level degrees.</w:t>
      </w:r>
    </w:p>
    <w:p>
      <w:pPr>
        <w:spacing w:after="0" w:line="75" w:lineRule="exact"/>
        <w:rPr>
          <w:sz w:val="20"/>
          <w:szCs w:val="20"/>
          <w:color w:val="auto"/>
        </w:rPr>
      </w:pPr>
    </w:p>
    <w:p>
      <w:pPr>
        <w:jc w:val="both"/>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key to our mission and key to our success in competing to attract and retain highly talented colleagues. Our culture and values include a motivation to make an impact on the world’s infrastructure to improve quality of life, a passion to solve our users’ challenging problems through innovation and creativity, a desire to connect and collaborate, and a commitment to deliver on our promises.</w:t>
      </w:r>
    </w:p>
    <w:p>
      <w:pPr>
        <w:spacing w:after="0" w:line="72" w:lineRule="exact"/>
        <w:rPr>
          <w:sz w:val="20"/>
          <w:szCs w:val="20"/>
          <w:color w:val="auto"/>
        </w:rPr>
      </w:pPr>
    </w:p>
    <w:p>
      <w:pPr>
        <w:ind w:left="140" w:right="759" w:firstLine="324"/>
        <w:spacing w:after="0" w:line="312" w:lineRule="auto"/>
        <w:rPr>
          <w:sz w:val="20"/>
          <w:szCs w:val="20"/>
          <w:color w:val="auto"/>
        </w:rPr>
      </w:pPr>
      <w:r>
        <w:rPr>
          <w:rFonts w:ascii="Times New Roman" w:cs="Times New Roman" w:eastAsia="Times New Roman" w:hAnsi="Times New Roman"/>
          <w:sz w:val="17"/>
          <w:szCs w:val="17"/>
          <w:color w:val="auto"/>
        </w:rPr>
        <w:t>In addition to competitive compensation and benefit programs, we support our colleagues’ interests in their communities with civic outreach and corporate giving matching programs, as well as an annual stipend for every</w:t>
      </w:r>
    </w:p>
    <w:p>
      <w:pPr>
        <w:sectPr>
          <w:pgSz w:w="11900" w:h="16838" w:orient="portrait"/>
          <w:cols w:equalWidth="0" w:num="1">
            <w:col w:w="9019"/>
          </w:cols>
          <w:pgMar w:left="1440" w:top="661"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73" w:name="page174"/>
    <w:bookmarkEnd w:id="17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759"/>
        <w:spacing w:after="0" w:line="282" w:lineRule="auto"/>
        <w:rPr>
          <w:sz w:val="20"/>
          <w:szCs w:val="20"/>
          <w:color w:val="auto"/>
        </w:rPr>
      </w:pPr>
      <w:r>
        <w:rPr>
          <w:rFonts w:ascii="Times New Roman" w:cs="Times New Roman" w:eastAsia="Times New Roman" w:hAnsi="Times New Roman"/>
          <w:sz w:val="18"/>
          <w:szCs w:val="18"/>
          <w:color w:val="auto"/>
        </w:rPr>
        <w:t>colleague globally to support their choice of investment in Science, Technology, Engineering, and Math (STEM) programs.</w:t>
      </w:r>
    </w:p>
    <w:p>
      <w:pPr>
        <w:spacing w:after="0" w:line="54" w:lineRule="exact"/>
        <w:rPr>
          <w:sz w:val="20"/>
          <w:szCs w:val="20"/>
          <w:color w:val="auto"/>
        </w:rPr>
      </w:pPr>
    </w:p>
    <w:p>
      <w:pPr>
        <w:jc w:val="both"/>
        <w:ind w:left="140" w:right="759" w:firstLine="324"/>
        <w:spacing w:after="0" w:line="282" w:lineRule="auto"/>
        <w:rPr>
          <w:sz w:val="20"/>
          <w:szCs w:val="20"/>
          <w:color w:val="auto"/>
        </w:rPr>
      </w:pPr>
      <w:r>
        <w:rPr>
          <w:rFonts w:ascii="Times New Roman" w:cs="Times New Roman" w:eastAsia="Times New Roman" w:hAnsi="Times New Roman"/>
          <w:sz w:val="18"/>
          <w:szCs w:val="18"/>
          <w:color w:val="auto"/>
        </w:rPr>
        <w:t>None of our colleagues in the United States is covered by a collective bargaining agreement. We have never experienced a strike or similar work stoppage, and we consider our relations with our colleagues to be favorable.</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Intellectual Property</w:t>
      </w:r>
    </w:p>
    <w:p>
      <w:pPr>
        <w:spacing w:after="0" w:line="121" w:lineRule="exact"/>
        <w:rPr>
          <w:sz w:val="20"/>
          <w:szCs w:val="20"/>
          <w:color w:val="auto"/>
        </w:rPr>
      </w:pPr>
    </w:p>
    <w:p>
      <w:pPr>
        <w:ind w:left="140" w:right="199" w:firstLine="324"/>
        <w:spacing w:after="0" w:line="25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know-how. Nevertheless, we rely on a combination of copyrights, patents, trademarks, and trade secrets in the United States and other jurisdictions to secure our intellectual property, and we use contractual provisions and non-disclosure agreements to protect it. As of December 31, 2019, we had 116 patents granted and 53 patents pending in the United States, the first of which expired on May 24, 2020, and 21 patents granted and 33 patents pending internationally, the first of which expires on August 14, 2022. In addition, from time to time we enter into collaboration arrangements and in-bound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89"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Our patents cover systems and methods relating to various aspects of software for infrastructure design and modeling, collaboration and work 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75"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To innovate and increase our strategic position, our software developers are incentivized to alert our internal patent committee to innovations that might be patentable or of strategic value. In 2019, our patent committee reviewed 20 invention disclosures submitted by our software developers, and filed 25 U.S. and eight foreign patent applications, while 16 U.S. and three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129 trademarks, including “Bentley,” “MicroStation,” “AssetWise,” and “ProjectWise,” with the U.S. Patent and Trademark Office and in several jurisdictions outside the United States.</w:t>
      </w:r>
    </w:p>
    <w:p>
      <w:pPr>
        <w:spacing w:after="0" w:line="84" w:lineRule="exact"/>
        <w:rPr>
          <w:sz w:val="20"/>
          <w:szCs w:val="20"/>
          <w:color w:val="auto"/>
        </w:rPr>
      </w:pPr>
    </w:p>
    <w:p>
      <w:pPr>
        <w:ind w:left="140" w:right="179" w:firstLine="324"/>
        <w:spacing w:after="0" w:line="238" w:lineRule="auto"/>
        <w:rPr>
          <w:sz w:val="20"/>
          <w:szCs w:val="20"/>
          <w:color w:val="auto"/>
        </w:rPr>
      </w:pPr>
      <w:r>
        <w:rPr>
          <w:rFonts w:ascii="Times New Roman" w:cs="Times New Roman" w:eastAsia="Times New Roman" w:hAnsi="Times New Roman"/>
          <w:sz w:val="18"/>
          <w:szCs w:val="18"/>
          <w:color w:val="auto"/>
        </w:rPr>
        <w:t xml:space="preserve">Our names, logos, website names, and addresses are owned by us or licensed by us. This prospectus contains trademarks, trade names, and service marks of other companies, which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Our Facilities</w:t>
      </w:r>
    </w:p>
    <w:p>
      <w:pPr>
        <w:spacing w:after="0" w:line="12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Exton, Pennsylvania and consist of 107,051 square feet of office space, 76,392 square feet of which we own. Our lease for the remainder expires in 2025. Our headquarters accommodates our principal software engineering, sales, marketing professional services, and administrative activities. For more information, see Note 5 to our consolidated financial statements included elsewhere in this prospectus. In addition to our headquarters, we own one other location in India, which is used for office space, for an aggregate total, including our headquarters, of 106,392 square feet of real property owned by us. We lease facilities in an additional 96 locations across 36 countries.</w:t>
      </w:r>
    </w:p>
    <w:p>
      <w:pPr>
        <w:spacing w:after="0" w:line="81" w:lineRule="exact"/>
        <w:rPr>
          <w:sz w:val="20"/>
          <w:szCs w:val="20"/>
          <w:color w:val="auto"/>
        </w:rPr>
      </w:pPr>
    </w:p>
    <w:p>
      <w:pPr>
        <w:ind w:left="140" w:right="219"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in the future to accommodate our operations.</w:t>
      </w:r>
    </w:p>
    <w:p>
      <w:pPr>
        <w:sectPr>
          <w:pgSz w:w="11900" w:h="16838" w:orient="portrait"/>
          <w:cols w:equalWidth="0" w:num="1">
            <w:col w:w="9019"/>
          </w:cols>
          <w:pgMar w:left="1440" w:top="661"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74" w:name="page175"/>
    <w:bookmarkEnd w:id="17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cash flows, or results of operations. We currently believe that we do not have any material litigation pending against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5" w:name="page176"/>
    <w:bookmarkEnd w:id="17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w:t>
      </w:r>
    </w:p>
    <w:p>
      <w:pPr>
        <w:spacing w:after="0" w:line="121"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titles of our executive officers, directors and director nominee as of the date of this prospectus:</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8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Director</w:t>
            </w:r>
          </w:p>
        </w:tc>
      </w:tr>
      <w:tr>
        <w:trPr>
          <w:trHeight w:val="216"/>
        </w:trPr>
        <w:tc>
          <w:tcPr>
            <w:tcW w:w="31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Barry J. Bentley, Ph.D.</w:t>
            </w:r>
            <w:r>
              <w:rPr>
                <w:rFonts w:ascii="Times New Roman" w:cs="Times New Roman" w:eastAsia="Times New Roman" w:hAnsi="Times New Roman"/>
                <w:sz w:val="25"/>
                <w:szCs w:val="25"/>
                <w:color w:val="auto"/>
                <w:vertAlign w:val="superscript"/>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Raymond B. Bentley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r>
        <w:trPr>
          <w:trHeight w:val="216"/>
        </w:trPr>
        <w:tc>
          <w:tcPr>
            <w:tcW w:w="31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Kirk B. Griswold</w:t>
            </w:r>
            <w:r>
              <w:rPr>
                <w:rFonts w:ascii="Times New Roman" w:cs="Times New Roman" w:eastAsia="Times New Roman" w:hAnsi="Times New Roman"/>
                <w:sz w:val="25"/>
                <w:szCs w:val="25"/>
                <w:color w:val="auto"/>
                <w:vertAlign w:val="superscript"/>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Brian F. Hughes</w:t>
            </w:r>
            <w:r>
              <w:rPr>
                <w:rFonts w:ascii="Times New Roman" w:cs="Times New Roman" w:eastAsia="Times New Roman" w:hAnsi="Times New Roman"/>
                <w:sz w:val="25"/>
                <w:szCs w:val="25"/>
                <w:color w:val="auto"/>
                <w:vertAlign w:val="superscript"/>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Janet B. Haugen</w:t>
            </w:r>
            <w:r>
              <w:rPr>
                <w:rFonts w:ascii="Times New Roman" w:cs="Times New Roman" w:eastAsia="Times New Roman" w:hAnsi="Times New Roman"/>
                <w:sz w:val="25"/>
                <w:szCs w:val="25"/>
                <w:color w:val="auto"/>
                <w:vertAlign w:val="superscript"/>
              </w:rPr>
              <w:t>(2)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Operations Advancement Officer</w:t>
            </w:r>
          </w:p>
        </w:tc>
      </w:tr>
      <w:tr>
        <w:trPr>
          <w:trHeight w:val="216"/>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Shaman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108"/>
        </w:trPr>
        <w:tc>
          <w:tcPr>
            <w:tcW w:w="220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980" w:type="dxa"/>
            <w:vAlign w:val="bottom"/>
          </w:tcPr>
          <w:p>
            <w:pPr>
              <w:spacing w:after="0"/>
              <w:rPr>
                <w:sz w:val="9"/>
                <w:szCs w:val="9"/>
                <w:color w:val="auto"/>
              </w:rPr>
            </w:pPr>
          </w:p>
        </w:tc>
      </w:tr>
    </w:tbl>
    <w:p>
      <w:pPr>
        <w:spacing w:after="0" w:line="76" w:lineRule="exact"/>
        <w:rPr>
          <w:sz w:val="20"/>
          <w:szCs w:val="20"/>
          <w:color w:val="auto"/>
        </w:rPr>
      </w:pPr>
    </w:p>
    <w:p>
      <w:pPr>
        <w:ind w:left="480" w:hanging="336"/>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80" w:hanging="336"/>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a member of the Audit Committee upon the consummation of this offering.</w:t>
      </w:r>
    </w:p>
    <w:p>
      <w:pPr>
        <w:spacing w:after="0" w:line="207"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for each of our executive officers, directors and director nominee, with each director and director nominee biography including information regarding the experiences, qualifications, attributes or skills that caused our board of directors to determine that each member of our board of directors and director nominee should serve as a director as of the date of this prospectus.</w:t>
      </w:r>
    </w:p>
    <w:p>
      <w:pPr>
        <w:spacing w:after="0" w:line="68" w:lineRule="exact"/>
        <w:rPr>
          <w:sz w:val="20"/>
          <w:szCs w:val="20"/>
          <w:color w:val="auto"/>
        </w:rPr>
      </w:pPr>
    </w:p>
    <w:p>
      <w:pPr>
        <w:ind w:left="140" w:right="29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Bentley </w:t>
      </w:r>
      <w:r>
        <w:rPr>
          <w:rFonts w:ascii="Times New Roman" w:cs="Times New Roman" w:eastAsia="Times New Roman" w:hAnsi="Times New Roman"/>
          <w:sz w:val="18"/>
          <w:szCs w:val="18"/>
          <w:color w:val="auto"/>
        </w:rPr>
        <w:t>has served as President and Chairman of our board of directors since June 1996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August 2000.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 He is a trustee of Drexel University.</w:t>
      </w:r>
    </w:p>
    <w:p>
      <w:pPr>
        <w:spacing w:after="0" w:line="78"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extensive and valuable business and managerial perspective he has and his significant experience in the software technology industry, together with a deep understanding of our history and commitment to the markets we serve.</w:t>
      </w:r>
    </w:p>
    <w:p>
      <w:pPr>
        <w:spacing w:after="0" w:line="64" w:lineRule="exact"/>
        <w:rPr>
          <w:sz w:val="20"/>
          <w:szCs w:val="20"/>
          <w:color w:val="auto"/>
        </w:rPr>
      </w:pPr>
    </w:p>
    <w:p>
      <w:pPr>
        <w:ind w:left="140" w:right="29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A. Bentley </w:t>
      </w:r>
      <w:r>
        <w:rPr>
          <w:rFonts w:ascii="Times New Roman" w:cs="Times New Roman" w:eastAsia="Times New Roman" w:hAnsi="Times New Roman"/>
          <w:sz w:val="18"/>
          <w:szCs w:val="18"/>
          <w:color w:val="auto"/>
        </w:rPr>
        <w:t>co-founded our Company and has served as a director since our inception in 1984. He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Company’s President from 1984 to 1995 and as the Chief Executive Officer from 1984 to 2000. He currently serves as Chief Technology Officer, a position he has held since 2000. He holds a Bachelor’s degree in electrical engineering from the University of Delaware and an M.S. in electrical engineering from the University of Florida.</w:t>
      </w:r>
    </w:p>
    <w:p>
      <w:pPr>
        <w:spacing w:after="0" w:line="75" w:lineRule="exact"/>
        <w:rPr>
          <w:sz w:val="20"/>
          <w:szCs w:val="20"/>
          <w:color w:val="auto"/>
        </w:rPr>
      </w:pPr>
    </w:p>
    <w:p>
      <w:pPr>
        <w:jc w:val="both"/>
        <w:ind w:left="140" w:right="399" w:firstLine="324"/>
        <w:spacing w:after="0" w:line="266"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the perspective and experience he brings as one of our co-founders and our Chief Technology Officer, and his experience in the software industry, especially as it relates to our technology and solutions.</w:t>
      </w:r>
    </w:p>
    <w:p>
      <w:pPr>
        <w:spacing w:after="0" w:line="64"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Barry J. Bentley, Ph.D. </w:t>
      </w:r>
      <w:r>
        <w:rPr>
          <w:rFonts w:ascii="Times New Roman" w:cs="Times New Roman" w:eastAsia="Times New Roman" w:hAnsi="Times New Roman"/>
          <w:sz w:val="18"/>
          <w:szCs w:val="18"/>
          <w:color w:val="auto"/>
        </w:rPr>
        <w:t>co-founded our Company and has served as a director since 1984 and as an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1984 through 2019. From September 1984 to June 1996, Dr. Bentley served as Chairman of our board of directors. Prior to co-founding our Company, in 1979, he co-founded and served as Vice President of Dynamic Solutions Corporation, a software firm. Dr. Bentley is one of the originators of MicroStation and was continuously involved in the planning and development of our software solutions and technology since our inception through 2019. He holds a Bachelor’s degree in chemical engineering from the University of Delaware and an M.S. and Ph.D. in chemical engineering from the California Institute of Technology.</w:t>
      </w:r>
    </w:p>
    <w:p>
      <w:pPr>
        <w:spacing w:after="0" w:line="79"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We believe that Dr. Bentley is qualified to serve as a member of our board of directors due to his deep knowledge and understanding of the Company’s technology, history, and mission as one of our co-founders, as well as his experience in the software industry.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6" w:name="page177"/>
    <w:bookmarkEnd w:id="17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both"/>
        <w:ind w:left="140" w:right="27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B. Bentley </w:t>
      </w:r>
      <w:r>
        <w:rPr>
          <w:rFonts w:ascii="Times New Roman" w:cs="Times New Roman" w:eastAsia="Times New Roman" w:hAnsi="Times New Roman"/>
          <w:sz w:val="18"/>
          <w:szCs w:val="18"/>
          <w:color w:val="auto"/>
        </w:rPr>
        <w:t>has served as a director since May 2015 and has served as an Executive Vice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1984. He was the lead developer for MicroStation and chief architect in the core-graphics group. He holds a Bachelor’s degree in mechanical engineering from Rensselaer Polytechnic Institute and an M.S. in computer engineering from the University of Cincinnati.</w:t>
      </w:r>
    </w:p>
    <w:p>
      <w:pPr>
        <w:spacing w:after="0" w:line="72" w:lineRule="exact"/>
        <w:rPr>
          <w:sz w:val="20"/>
          <w:szCs w:val="20"/>
          <w:color w:val="auto"/>
        </w:rPr>
      </w:pPr>
    </w:p>
    <w:p>
      <w:pPr>
        <w:ind w:left="140" w:right="419" w:firstLine="324"/>
        <w:spacing w:after="0" w:line="282" w:lineRule="auto"/>
        <w:rPr>
          <w:sz w:val="20"/>
          <w:szCs w:val="20"/>
          <w:color w:val="auto"/>
        </w:rPr>
      </w:pPr>
      <w:r>
        <w:rPr>
          <w:rFonts w:ascii="Times New Roman" w:cs="Times New Roman" w:eastAsia="Times New Roman" w:hAnsi="Times New Roman"/>
          <w:sz w:val="18"/>
          <w:szCs w:val="18"/>
          <w:color w:val="auto"/>
        </w:rPr>
        <w:t>We believe that Mr. Bentley is qualified to serve as a member of our board of directors due to his vast experience with our technology and the software industry, and for the business perspective he brings to the board.</w:t>
      </w:r>
    </w:p>
    <w:p>
      <w:pPr>
        <w:spacing w:after="0" w:line="50" w:lineRule="exact"/>
        <w:rPr>
          <w:sz w:val="20"/>
          <w:szCs w:val="20"/>
          <w:color w:val="auto"/>
        </w:rPr>
      </w:pPr>
    </w:p>
    <w:p>
      <w:pPr>
        <w:ind w:left="140" w:right="49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Kirk B. Griswold </w:t>
      </w:r>
      <w:r>
        <w:rPr>
          <w:rFonts w:ascii="Times New Roman" w:cs="Times New Roman" w:eastAsia="Times New Roman" w:hAnsi="Times New Roman"/>
          <w:sz w:val="18"/>
          <w:szCs w:val="18"/>
          <w:color w:val="auto"/>
        </w:rPr>
        <w:t>has served as a director since 2002. He is a Founding Partner of Argosy Capital Group,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and real estate firm. He holds a Bachelor’s degree in Physics from the University of Virginia and an M.B.A. with a dual major in Finance and Management from the Wharton School, University of Pennsylvania.</w:t>
      </w:r>
    </w:p>
    <w:p>
      <w:pPr>
        <w:spacing w:after="0" w:line="67" w:lineRule="exact"/>
        <w:rPr>
          <w:sz w:val="20"/>
          <w:szCs w:val="20"/>
          <w:color w:val="auto"/>
        </w:rPr>
      </w:pPr>
    </w:p>
    <w:p>
      <w:pPr>
        <w:ind w:left="140" w:right="499" w:firstLine="324"/>
        <w:spacing w:after="0" w:line="282" w:lineRule="auto"/>
        <w:rPr>
          <w:sz w:val="20"/>
          <w:szCs w:val="20"/>
          <w:color w:val="auto"/>
        </w:rPr>
      </w:pPr>
      <w:r>
        <w:rPr>
          <w:rFonts w:ascii="Times New Roman" w:cs="Times New Roman" w:eastAsia="Times New Roman" w:hAnsi="Times New Roman"/>
          <w:sz w:val="18"/>
          <w:szCs w:val="18"/>
          <w:color w:val="auto"/>
        </w:rPr>
        <w:t>We believe that Mr. Griswold is qualified to serve as a member of our board of directors due to his extensive experience in engineering, project management, and consulting, as well as his knowledge and experience in finance.</w:t>
      </w:r>
    </w:p>
    <w:p>
      <w:pPr>
        <w:spacing w:after="0" w:line="50" w:lineRule="exact"/>
        <w:rPr>
          <w:sz w:val="20"/>
          <w:szCs w:val="20"/>
          <w:color w:val="auto"/>
        </w:rPr>
      </w:pPr>
    </w:p>
    <w:p>
      <w:pPr>
        <w:ind w:left="140" w:right="19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F. Hughes </w:t>
      </w:r>
      <w:r>
        <w:rPr>
          <w:rFonts w:ascii="Times New Roman" w:cs="Times New Roman" w:eastAsia="Times New Roman" w:hAnsi="Times New Roman"/>
          <w:sz w:val="18"/>
          <w:szCs w:val="18"/>
          <w:color w:val="auto"/>
        </w:rPr>
        <w:t>has served as a director since February 2020. He retired from KPMG LLP in 2019 where he was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from 2002 to 2019, serving as National Private Markets Group Leader from 2012 to 2019, National Co-Leader of KPMG’s venture capital practice from 2009 to 2019, and the practice leader of the Technology and Venture Capital group of KPMG’s Philadelphia office from 2002 to 2009. He began his career in 1981 at Arthur Andersen where he was elected partner in 1993. Mr. Hughes holds a B.S. in Economics and Accounting from the Wharton School, University of Pennsylvania and an M.B.A. from the Wharton School, University of Pennsylvania. He is also a licensed CPA.</w:t>
      </w:r>
    </w:p>
    <w:p>
      <w:pPr>
        <w:spacing w:after="0" w:line="78" w:lineRule="exact"/>
        <w:rPr>
          <w:sz w:val="20"/>
          <w:szCs w:val="20"/>
          <w:color w:val="auto"/>
        </w:rPr>
      </w:pPr>
    </w:p>
    <w:p>
      <w:pPr>
        <w:jc w:val="both"/>
        <w:ind w:left="140" w:right="159" w:firstLine="324"/>
        <w:spacing w:after="0" w:line="266" w:lineRule="auto"/>
        <w:rPr>
          <w:sz w:val="20"/>
          <w:szCs w:val="20"/>
          <w:color w:val="auto"/>
        </w:rPr>
      </w:pPr>
      <w:r>
        <w:rPr>
          <w:rFonts w:ascii="Times New Roman" w:cs="Times New Roman" w:eastAsia="Times New Roman" w:hAnsi="Times New Roman"/>
          <w:sz w:val="18"/>
          <w:szCs w:val="18"/>
          <w:color w:val="auto"/>
        </w:rPr>
        <w:t>We believe that Mr. Hughes is qualified to serve as a member of our board of directors due to his extensive financial and accounting experience with both private and public companies, as well as his understanding of public company audit and governance requirements and responsibilities.</w:t>
      </w:r>
    </w:p>
    <w:p>
      <w:pPr>
        <w:spacing w:after="0" w:line="64"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Janet B. Haugen </w:t>
      </w:r>
      <w:r>
        <w:rPr>
          <w:rFonts w:ascii="Times New Roman" w:cs="Times New Roman" w:eastAsia="Times New Roman" w:hAnsi="Times New Roman"/>
          <w:sz w:val="18"/>
          <w:szCs w:val="18"/>
          <w:color w:val="auto"/>
        </w:rPr>
        <w:t>is a nominee to our board of directors and Audit Committee, whose formal election will occur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consummation of this offering. She previously served as the Senior Vice President and Chief Financial Officer of Unisys Corporation from April 2000 to November 2016. She also held positions as Vice President, Controller and Acting Chief Financial Officer of Unisys between April 1996 and April 2000. Prior to joining Unisys, she held positions at Ernst &amp; Young from 1980 to 1996, including as an audit partner from 1993 to 1996. She currently serves on the board of directors, Audit Committee Chair and a member of the Compensation Committee of Paycom Software, Inc., a provider of comprehensive, cloud-based human capital management software, a position she has held since</w:t>
      </w:r>
    </w:p>
    <w:p>
      <w:pPr>
        <w:spacing w:after="0" w:line="1" w:lineRule="exact"/>
        <w:rPr>
          <w:sz w:val="20"/>
          <w:szCs w:val="20"/>
          <w:color w:val="auto"/>
        </w:rPr>
      </w:pPr>
    </w:p>
    <w:p>
      <w:pPr>
        <w:ind w:left="140" w:right="459"/>
        <w:spacing w:after="0" w:line="253" w:lineRule="auto"/>
        <w:rPr>
          <w:sz w:val="20"/>
          <w:szCs w:val="20"/>
          <w:color w:val="auto"/>
        </w:rPr>
      </w:pPr>
      <w:r>
        <w:rPr>
          <w:rFonts w:ascii="Times New Roman" w:cs="Times New Roman" w:eastAsia="Times New Roman" w:hAnsi="Times New Roman"/>
          <w:sz w:val="18"/>
          <w:szCs w:val="18"/>
          <w:color w:val="auto"/>
        </w:rPr>
        <w:t>February 2018. Since May 2019 she has served on the board of directors of Juniper Networks, Inc., which designs, develops and sells high-performance network technology products and services, and as chair of the Audit Committee since February 2020. She also served on the board of directors and chair of the audit committee of SunGard Data Systems Inc., a software and services company, from 2002 to 2005.</w:t>
      </w:r>
    </w:p>
    <w:p>
      <w:pPr>
        <w:spacing w:after="0" w:line="81"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We believe that Ms. Haugen is qualified to serve on our board due to her extensive leadership experience as an executive, financial expertise and public company governance experience as a current and prior member of the board of directors and audit committee chair of other public technology companies.</w:t>
      </w:r>
    </w:p>
    <w:p>
      <w:pPr>
        <w:spacing w:after="0" w:line="64" w:lineRule="exact"/>
        <w:rPr>
          <w:sz w:val="20"/>
          <w:szCs w:val="20"/>
          <w:color w:val="auto"/>
        </w:rPr>
      </w:pPr>
    </w:p>
    <w:p>
      <w:pPr>
        <w:ind w:left="140" w:right="33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 Hollister </w:t>
      </w:r>
      <w:r>
        <w:rPr>
          <w:rFonts w:ascii="Times New Roman" w:cs="Times New Roman" w:eastAsia="Times New Roman" w:hAnsi="Times New Roman"/>
          <w:sz w:val="18"/>
          <w:szCs w:val="18"/>
          <w:color w:val="auto"/>
        </w:rPr>
        <w:t>has served as our Chief Financial Officer since 2007. In addition to providing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Mr. Hollister is responsible for various aspects of our operations, including our IT and cloud hosting operations, financial operations, business intelligence, and portfolio development activities, including mergers and acquisitions and accelerated commercial development. Prior to joining our Company, he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77" w:lineRule="exact"/>
        <w:rPr>
          <w:sz w:val="20"/>
          <w:szCs w:val="20"/>
          <w:color w:val="auto"/>
        </w:rPr>
      </w:pPr>
    </w:p>
    <w:p>
      <w:pPr>
        <w:ind w:left="140" w:right="23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Shaman </w:t>
      </w:r>
      <w:r>
        <w:rPr>
          <w:rFonts w:ascii="Times New Roman" w:cs="Times New Roman" w:eastAsia="Times New Roman" w:hAnsi="Times New Roman"/>
          <w:sz w:val="18"/>
          <w:szCs w:val="18"/>
          <w:color w:val="auto"/>
        </w:rPr>
        <w:t>joined our Company in 1998 and has served as our Chief Legal Officer since 2016. Mr. Shaman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General Counsel from 2015 to 2016 and as Deputy General Counsel from 2006 to 2015. Prior to joining us, Mr. Shaman was an associate at the law firm Covington &amp; Burling LLP. Mr. Shaman’s international experience includes eight years leading the Company’s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7" w:name="page178"/>
    <w:bookmarkEnd w:id="17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Rules 5605 and 5615 of the Nasdaq Listing Rules require that independent directors compose a majority of a listed company’s board of directors within one year of listing. In addition, the Nasdaq Listing Rules require that, subject to specified exceptions, each member of a listed company’s audit committee be independent and also satisfy criteria set forth in Rule 10A-3 under the Exchange Act. Under Nasdaq Listing Rule 5605(a)(2), a director will only qualify as an “independent director” if, in the opinion of the board of directors,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6"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and director nominee concerning his or her background, employment and affiliations, including family and other relationships, including those relationships described in the section titled “Certain Relationships and Related Party Transactions,” our board of directors will have three independent directors. Our board of directors has determined that each of Kirk B. Griswold, Brian F. Hughes and Janet B. Haugen does not have a relationship that would interfere with the exercise of independent judgment in carrying out the responsibilities of a director and that he or she is “independent” as that term is defined under Rule 5605(a)(2) of the Nasdaq Listing Rules. Although the Nasdaq Listing Rules require that a majority of the board of directors be independent, because we will be a “controlled company” within the meaning of the Nasdaq Listing Rules, we are permitted to, and have elected to, not comply with this requirement. In addition, although the Nasdaq Listing Rules require that each member of our audit committee be independent, under special phase-in rules applicable to newly public companies, we will have until one year from the effective date of the registration statement of which this prospectus forms a part to comply with this independence requirement.</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We are a “controlled company” under the corporate governance rules of the Nasdaq Listing Rules because the Bentley Control Group controls a majority of the voting power of our outstanding capital stock. Therefore, we are not required to have a majority of our board of directors be independent, nor are we required to have a compensation committee or an independent nominating function. In light of our status as a controlled company, our board of directors has determined not to have a compensation committee or an independent nominating function and to have the full board of directors be directly responsible for reviewing and approving compensation and benefit arrangements for our executive officers and directors, as well as for nominating members of our board of directors. Additionally, as described in the section titled “Description of Capital Stock—Anti-Takeover Provisions—</w:t>
      </w:r>
      <w:r>
        <w:rPr>
          <w:rFonts w:ascii="Times New Roman" w:cs="Times New Roman" w:eastAsia="Times New Roman" w:hAnsi="Times New Roman"/>
          <w:sz w:val="18"/>
          <w:szCs w:val="18"/>
          <w:i w:val="1"/>
          <w:iCs w:val="1"/>
          <w:color w:val="auto"/>
        </w:rPr>
        <w:t>Certificate of Incorporation and 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so long as the outstanding shares of our Class A and Class B common stock held by the Bentley 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majority of the combined voting power of our common stock, the Bentley Family will be able to effectively control all matters submitted to our stockholders for a vote, as well as the overall management and direction of our company.</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We did not have a compensation committee during the last completed fiscal year and compensation of our executive officers was determined by our board of directors during the last completed fiscal year. None of our executive officers currently serves, or in the past year has served, as a member of the board of directors or compensation committee of any entity that has one or more executive officers serving on our board of directors.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of directors. Messrs. Gregory S., Keith A., and Raymond B. Bentley, each of whom is a director and executive officer of our Company, and Dr. Barry J. Bentley, a director of our Company, are brothers.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8" w:name="page179"/>
    <w:bookmarkEnd w:id="17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7" w:lineRule="exact"/>
        <w:rPr>
          <w:sz w:val="20"/>
          <w:szCs w:val="20"/>
          <w:color w:val="auto"/>
        </w:rPr>
      </w:pPr>
    </w:p>
    <w:p>
      <w:pPr>
        <w:ind w:left="1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 upon the Effectiveness of the Registration Statement of which this Prospectus Forms a Part</w:t>
      </w:r>
    </w:p>
    <w:p>
      <w:pPr>
        <w:spacing w:after="0" w:line="5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the number of directors will be determined from time to time by resolution of our board of directors. Upon the effectiveness of the registration statement of which this prospectus forms a part, we will have six directors and by closing of this offering we will have seven directors.</w:t>
      </w:r>
    </w:p>
    <w:p>
      <w:pPr>
        <w:spacing w:after="0" w:line="68" w:lineRule="exact"/>
        <w:rPr>
          <w:sz w:val="20"/>
          <w:szCs w:val="20"/>
          <w:color w:val="auto"/>
        </w:rPr>
      </w:pPr>
    </w:p>
    <w:p>
      <w:pPr>
        <w:ind w:left="140" w:right="199" w:firstLine="324"/>
        <w:spacing w:after="0" w:line="258" w:lineRule="auto"/>
        <w:rPr>
          <w:sz w:val="20"/>
          <w:szCs w:val="20"/>
          <w:color w:val="auto"/>
        </w:rPr>
      </w:pPr>
      <w:r>
        <w:rPr>
          <w:rFonts w:ascii="Times New Roman" w:cs="Times New Roman" w:eastAsia="Times New Roman" w:hAnsi="Times New Roman"/>
          <w:sz w:val="18"/>
          <w:szCs w:val="18"/>
          <w:color w:val="auto"/>
        </w:rPr>
        <w:t>Upon election, each director is elected for a one-year term and serves until a successor is duly elected and qualified. Any additional directorships resulting from death, resignation, increase in the number of directors or otherwise may be filled for the unexpired term by a majority vote of the remaining directors then in office. Directors may be removed with or without cause by the affirmative vote of a majority of the combined vote of our then-outstanding shares of Class A and Class B common stock, voting together as a single class.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40" w:right="379"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(the “Audit Committee”), which will have the composition and responsibilities described below, as of the effectiveness of the registration statement of which this prospectus forms a part. We believe that the composition of the Audit Committee meets the applicable independence requirements of the Nasdaq Listing Rules and Exchange Act rules, which permit us to phase in our compliance with such requirements as follows: (1) one independent member on the effective date of the registration statement of which this prospectus forms a part, (2) a majority of independent members within 90 days of the effective date of the registration statement of which this prospectus forms a part and (3) all independent members within one year of the effective date of the registration statement of which this prospectus forms a part.</w:t>
      </w:r>
    </w:p>
    <w:p>
      <w:pPr>
        <w:spacing w:after="0" w:line="84"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Following our listing, our Audit Committee will consist of Kirk B. Griswold, Brian F. Hughes and Janet B. Haugen, each of whom satisfies the independence requirements of the applicable Nasdaq Listing Rules and Exchange Act rules, and Barry J. Bentley. Brian F. Hughes will be the chair of our Audit Committee, and each of Kirk B. Griswold, Brian F. Hughes, Janet B. Haugen and Barry J. Bentley is an “audit committee financial expert,” as defined in Item 407(d)(5) of Regulation S-K, and possesses financial sophistication as required by the Nasdaq Listing Rules. This designation does not impose any duties, obligations or liabilities that are greater than those that are generally imposed on members of our Audit Committee and our board of directors. Members serve on this committee until their resignations or until otherwise determined by our board of directors. Barry. J. Bentley is expected to resign from the Audit Committee within one year of the effectiveness of the registration statement of which this prospectus forms a part in accordance with the applicable Nasdaq Listing Rules and Exchange Act rules.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will be responsible for, among other things:</w:t>
      </w:r>
    </w:p>
    <w:p>
      <w:pPr>
        <w:spacing w:after="0" w:line="117" w:lineRule="exact"/>
        <w:rPr>
          <w:sz w:val="20"/>
          <w:szCs w:val="20"/>
          <w:color w:val="auto"/>
        </w:rPr>
      </w:pPr>
    </w:p>
    <w:p>
      <w:pPr>
        <w:ind w:left="1120" w:right="259" w:hanging="328"/>
        <w:spacing w:after="0" w:line="266" w:lineRule="auto"/>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retention, termination, compensation, and oversight of the work of an independent public accounting firm to act as our independent auditors, as well as any other public accounting firm engaged to prepare or issue an audit report or other audit, review or attest services;</w:t>
      </w:r>
    </w:p>
    <w:p>
      <w:pPr>
        <w:spacing w:after="0" w:line="67" w:lineRule="exact"/>
        <w:rPr>
          <w:rFonts w:ascii="Times New Roman" w:cs="Times New Roman" w:eastAsia="Times New Roman" w:hAnsi="Times New Roman"/>
          <w:sz w:val="18"/>
          <w:szCs w:val="18"/>
          <w:color w:val="auto"/>
        </w:rPr>
      </w:pPr>
    </w:p>
    <w:p>
      <w:pPr>
        <w:ind w:left="1120" w:right="279" w:hanging="328"/>
        <w:spacing w:after="0" w:line="282" w:lineRule="auto"/>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approving, in advance, all audit and permitted non-audit and tax services to be performed by our independent auditors;</w:t>
      </w:r>
    </w:p>
    <w:p>
      <w:pPr>
        <w:spacing w:after="0" w:line="53" w:lineRule="exact"/>
        <w:rPr>
          <w:rFonts w:ascii="Times New Roman" w:cs="Times New Roman" w:eastAsia="Times New Roman" w:hAnsi="Times New Roman"/>
          <w:sz w:val="18"/>
          <w:szCs w:val="18"/>
          <w:color w:val="auto"/>
        </w:rPr>
      </w:pPr>
    </w:p>
    <w:p>
      <w:pPr>
        <w:jc w:val="both"/>
        <w:ind w:left="1120" w:right="579" w:hanging="328"/>
        <w:spacing w:after="0" w:line="266" w:lineRule="auto"/>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adequacy and effectiveness of our financial reporting processes, internal control over financial reporting and disclosure controls and procedures and the audits of our financial statements;</w:t>
      </w:r>
    </w:p>
    <w:p>
      <w:pPr>
        <w:spacing w:after="0" w:line="67" w:lineRule="exact"/>
        <w:rPr>
          <w:rFonts w:ascii="Times New Roman" w:cs="Times New Roman" w:eastAsia="Times New Roman" w:hAnsi="Times New Roman"/>
          <w:sz w:val="18"/>
          <w:szCs w:val="18"/>
          <w:color w:val="auto"/>
        </w:rPr>
      </w:pPr>
    </w:p>
    <w:p>
      <w:pPr>
        <w:ind w:left="1120" w:right="359" w:hanging="328"/>
        <w:spacing w:after="0" w:line="266" w:lineRule="auto"/>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colleagues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1120" w:right="439" w:hanging="328"/>
        <w:spacing w:after="0" w:line="282" w:lineRule="auto"/>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matter brought to its attention within the scope of its duties and engaging independent counsel and other advisers as the Audit Committee deems necessary;</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of advisors hired by the Audit Committee;</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financial statements prior to their release;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79" w:name="page180"/>
    <w:bookmarkEnd w:id="17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hanging="328"/>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a formal written charter on an annual basis;</w:t>
      </w:r>
    </w:p>
    <w:p>
      <w:pPr>
        <w:spacing w:after="0" w:line="117" w:lineRule="exact"/>
        <w:rPr>
          <w:rFonts w:ascii="Times New Roman" w:cs="Times New Roman" w:eastAsia="Times New Roman" w:hAnsi="Times New Roman"/>
          <w:sz w:val="18"/>
          <w:szCs w:val="18"/>
          <w:color w:val="auto"/>
        </w:rPr>
      </w:pPr>
    </w:p>
    <w:p>
      <w:pPr>
        <w:ind w:left="1120" w:right="759" w:hanging="328"/>
        <w:spacing w:after="0" w:line="282" w:lineRule="auto"/>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related-party transactions for potential conflict of interest situations on an ongoing basis;</w:t>
      </w:r>
    </w:p>
    <w:p>
      <w:pPr>
        <w:spacing w:after="0" w:line="53" w:lineRule="exact"/>
        <w:rPr>
          <w:rFonts w:ascii="Times New Roman" w:cs="Times New Roman" w:eastAsia="Times New Roman" w:hAnsi="Times New Roman"/>
          <w:sz w:val="18"/>
          <w:szCs w:val="18"/>
          <w:color w:val="auto"/>
        </w:rPr>
      </w:pPr>
    </w:p>
    <w:p>
      <w:pPr>
        <w:ind w:left="1120" w:right="439" w:hanging="328"/>
        <w:spacing w:after="0" w:line="266" w:lineRule="auto"/>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to the Company by monitoring, discussing, reviewing, or developing policies and procedures with respect to risk exposures, compliance with applicable laws and the Company’s policies and complaints regarding accounting or auditing matters; and</w:t>
      </w:r>
    </w:p>
    <w:p>
      <w:pPr>
        <w:spacing w:after="0" w:line="67" w:lineRule="exact"/>
        <w:rPr>
          <w:rFonts w:ascii="Times New Roman" w:cs="Times New Roman" w:eastAsia="Times New Roman" w:hAnsi="Times New Roman"/>
          <w:sz w:val="18"/>
          <w:szCs w:val="18"/>
          <w:color w:val="auto"/>
        </w:rPr>
      </w:pPr>
    </w:p>
    <w:p>
      <w:pPr>
        <w:ind w:left="1120" w:right="819" w:hanging="328"/>
        <w:spacing w:after="0" w:line="282" w:lineRule="auto"/>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of directors from time to time.</w:t>
      </w:r>
    </w:p>
    <w:p>
      <w:pPr>
        <w:spacing w:after="0" w:line="54" w:lineRule="exact"/>
        <w:rPr>
          <w:sz w:val="20"/>
          <w:szCs w:val="20"/>
          <w:color w:val="auto"/>
        </w:rPr>
      </w:pPr>
    </w:p>
    <w:p>
      <w:pPr>
        <w:jc w:val="both"/>
        <w:ind w:left="140" w:right="239"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will adopt a written charter for our Audit Committee, which will be available on our website upon effectiveness of the registration statement of which this prospectus forms a part. Such written charter for the Audit Committee will satisfy the applicable rules of the SEC and the listing standards of Nasdaq.</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committed to ethical business conduct and have a code of conduct applicable to the conduct of our business by all of our colleagues, officers, and directors. Upon the effectiveness of the registration statement of which this prospectus forms a part, our code of conduct will be posted on our website, </w:t>
      </w:r>
      <w:r>
        <w:rPr>
          <w:rFonts w:ascii="Times New Roman" w:cs="Times New Roman" w:eastAsia="Times New Roman" w:hAnsi="Times New Roman"/>
          <w:sz w:val="18"/>
          <w:szCs w:val="18"/>
          <w:i w:val="1"/>
          <w:iCs w:val="1"/>
          <w:color w:val="auto"/>
        </w:rPr>
        <w:t>www.bentley.com</w:t>
      </w:r>
      <w:r>
        <w:rPr>
          <w:rFonts w:ascii="Times New Roman" w:cs="Times New Roman" w:eastAsia="Times New Roman" w:hAnsi="Times New Roman"/>
          <w:sz w:val="18"/>
          <w:szCs w:val="18"/>
          <w:color w:val="auto"/>
        </w:rPr>
        <w:t>. We intend to disclose future amendments to certain provisions of this code of conduct, or waivers of such provisions, applicable to any principal executive officer, principal financial officer, principal accounting officer or controller, or persons performing similar functions, and our directors, on our website.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0" w:name="page181"/>
    <w:bookmarkEnd w:id="18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21" w:lineRule="exact"/>
        <w:rPr>
          <w:sz w:val="20"/>
          <w:szCs w:val="20"/>
          <w:color w:val="auto"/>
        </w:rPr>
      </w:pPr>
    </w:p>
    <w:p>
      <w:pPr>
        <w:ind w:left="140" w:right="399" w:firstLine="324"/>
        <w:spacing w:after="0" w:line="312"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“Summary Compensation Table” below, whom we refer to as our “named executive officers.”</w:t>
      </w:r>
    </w:p>
    <w:p>
      <w:pPr>
        <w:spacing w:after="0" w:line="32"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or fiscal year 2019, our named executive officers and their positions were as follows:</w:t>
      </w:r>
    </w:p>
    <w:p>
      <w:pPr>
        <w:spacing w:after="0" w:line="54" w:lineRule="exact"/>
        <w:rPr>
          <w:sz w:val="20"/>
          <w:szCs w:val="20"/>
          <w:color w:val="auto"/>
        </w:rPr>
      </w:pPr>
    </w:p>
    <w:p>
      <w:pPr>
        <w:ind w:left="1120" w:hanging="328"/>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S. Bentley, Chairman, Chief Executive Officer and President;</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A. Bentley, Chief Technology Officer and Director;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Hollister, Chief Financial Officer and Chief Operations Advancement Officer.</w:t>
      </w:r>
    </w:p>
    <w:p>
      <w:pPr>
        <w:spacing w:after="0" w:line="117"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in connection with or following the effectiveness of the registration statement of which this prospectus forms a part may differ materially from the currently planned programs summarized in this discussion.</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that was awarded to, earned by, or paid to our named executive officers for services rendered during fiscal year 2019.</w:t>
      </w:r>
    </w:p>
    <w:p>
      <w:pPr>
        <w:spacing w:after="0" w:line="57"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equity</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8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160" w:type="dxa"/>
            <w:vAlign w:val="bottom"/>
          </w:tcPr>
          <w:p>
            <w:pPr>
              <w:spacing w:after="0"/>
              <w:rPr>
                <w:sz w:val="15"/>
                <w:szCs w:val="15"/>
                <w:color w:val="auto"/>
              </w:rPr>
            </w:pPr>
          </w:p>
        </w:tc>
        <w:tc>
          <w:tcPr>
            <w:tcW w:w="5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16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(4)</w:t>
            </w:r>
          </w:p>
        </w:tc>
        <w:tc>
          <w:tcPr>
            <w:tcW w:w="16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12,130,273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12,354,115</w:t>
            </w:r>
          </w:p>
        </w:tc>
        <w:tc>
          <w:tcPr>
            <w:tcW w:w="0" w:type="dxa"/>
            <w:vAlign w:val="bottom"/>
          </w:tcPr>
          <w:p>
            <w:pPr>
              <w:spacing w:after="0"/>
              <w:rPr>
                <w:sz w:val="1"/>
                <w:szCs w:val="1"/>
                <w:color w:val="auto"/>
              </w:rPr>
            </w:pPr>
          </w:p>
        </w:tc>
      </w:tr>
      <w:tr>
        <w:trPr>
          <w:trHeight w:val="196"/>
        </w:trPr>
        <w:tc>
          <w:tcPr>
            <w:tcW w:w="35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Chairman, Chief Executive Officer and</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7,077,226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7,299,198</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Chief Technology Officer and Director</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4,045,398</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46,180</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4,292,578</w:t>
            </w:r>
          </w:p>
        </w:tc>
        <w:tc>
          <w:tcPr>
            <w:tcW w:w="0" w:type="dxa"/>
            <w:vAlign w:val="bottom"/>
          </w:tcPr>
          <w:p>
            <w:pPr>
              <w:spacing w:after="0"/>
              <w:rPr>
                <w:sz w:val="1"/>
                <w:szCs w:val="1"/>
                <w:color w:val="auto"/>
              </w:rPr>
            </w:pPr>
          </w:p>
        </w:tc>
      </w:tr>
      <w:tr>
        <w:trPr>
          <w:trHeight w:val="196"/>
        </w:trPr>
        <w:tc>
          <w:tcPr>
            <w:tcW w:w="35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 Officer and Chief Operations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Advancement Officer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68580</wp:posOffset>
            </wp:positionV>
            <wp:extent cx="13887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78" w:lineRule="exact"/>
        <w:rPr>
          <w:sz w:val="20"/>
          <w:szCs w:val="20"/>
          <w:color w:val="auto"/>
        </w:rPr>
      </w:pPr>
    </w:p>
    <w:p>
      <w:pPr>
        <w:ind w:left="460" w:hanging="316"/>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actual base salary earned by each named executive officer in fiscal year 2019.</w:t>
      </w:r>
    </w:p>
    <w:p>
      <w:pPr>
        <w:spacing w:after="0" w:line="117" w:lineRule="exact"/>
        <w:rPr>
          <w:rFonts w:ascii="Times New Roman" w:cs="Times New Roman" w:eastAsia="Times New Roman" w:hAnsi="Times New Roman"/>
          <w:sz w:val="18"/>
          <w:szCs w:val="18"/>
          <w:color w:val="auto"/>
        </w:rPr>
      </w:pPr>
    </w:p>
    <w:p>
      <w:pPr>
        <w:ind w:left="460" w:right="1079" w:hanging="316"/>
        <w:spacing w:after="0" w:line="282"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 one-time discretionary bonus paid to Mr. Hollister in fiscal 2019 in recognition of his contributions to us in fiscal year 2019.</w:t>
      </w:r>
    </w:p>
    <w:p>
      <w:pPr>
        <w:spacing w:after="0" w:line="53" w:lineRule="exact"/>
        <w:rPr>
          <w:rFonts w:ascii="Times New Roman" w:cs="Times New Roman" w:eastAsia="Times New Roman" w:hAnsi="Times New Roman"/>
          <w:sz w:val="18"/>
          <w:szCs w:val="18"/>
          <w:color w:val="auto"/>
        </w:rPr>
      </w:pPr>
    </w:p>
    <w:p>
      <w:pPr>
        <w:ind w:left="460" w:right="379" w:hanging="316"/>
        <w:spacing w:after="0" w:line="258"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sum of the amount of $12,127,313, $7,074,266, and $4,042,438 paid pursuant to the Bentley Systems, Incorporated Bonus Pool Plan to Gregory S. Bentley, Keith A. Bentley, and David J. Hollister, respectively, and an additional $2,960 paid to each of these named executive officers pursuant to our global profit sharing plan, in each case with respect to fiscal year 2019. Please see the sections titled “2019 Bonuses—Bonus Pool Plan” and “2019 Bonuses—Global Profit Sharing Plan” below for further information.</w:t>
      </w:r>
    </w:p>
    <w:p>
      <w:pPr>
        <w:spacing w:after="0" w:line="75" w:lineRule="exact"/>
        <w:rPr>
          <w:rFonts w:ascii="Times New Roman" w:cs="Times New Roman" w:eastAsia="Times New Roman" w:hAnsi="Times New Roman"/>
          <w:sz w:val="18"/>
          <w:szCs w:val="18"/>
          <w:color w:val="auto"/>
        </w:rPr>
      </w:pPr>
    </w:p>
    <w:p>
      <w:pPr>
        <w:ind w:left="460" w:right="219" w:hanging="316"/>
        <w:spacing w:after="0" w:line="254"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(i) for Gregory S. Bentley, a $15,000 per year vehicle allowance, a reimbursement of $8,618 in connection with accompanying spousal/dependent children travel, and $224 in company matching contributions to his account under our 401(k) plan; (ii) for Keith A. Bentley, a $15,000 per year vehicle allowance, a reimbursement of $6,748 in connection with accompanying spousal/dependent children travel, and $224 in company matching contributions to his account under our 401(k) plan; and (iii) for David J. Hollister, a $15,000 per year vehicle allowance, a $12,500 health and fitness club allowance, a reimbursement of $15,456 in connection with accompanying spousal/dependent children travel, $3,000 as a matching contribution to charity, and $224 in company matching contributions under our 401(k)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1" w:name="page182"/>
    <w:bookmarkEnd w:id="18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Narrative Disclosures to Summary Compensation Table</w:t>
      </w:r>
    </w:p>
    <w:p>
      <w:pPr>
        <w:spacing w:after="0" w:line="229"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cash performance bonuses, and certain deferred compensation and retirement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left="140" w:right="519" w:firstLine="324"/>
        <w:spacing w:after="0" w:line="266" w:lineRule="auto"/>
        <w:rPr>
          <w:sz w:val="20"/>
          <w:szCs w:val="20"/>
          <w:color w:val="auto"/>
        </w:rPr>
      </w:pPr>
      <w:r>
        <w:rPr>
          <w:rFonts w:ascii="Times New Roman" w:cs="Times New Roman" w:eastAsia="Times New Roman" w:hAnsi="Times New Roman"/>
          <w:sz w:val="18"/>
          <w:szCs w:val="18"/>
          <w:color w:val="auto"/>
        </w:rPr>
        <w:t>The base salary payable to each named executive officer is intended to provide a fixed baseline component of compensation, which is supplemented by the significant variable-based component of their annual compensation, as described below.</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such, each of our named executive officers received a base salary of $200,000 in fiscal year 2019.</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2019 Bonuses</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Bonus Pool Plan</w:t>
      </w:r>
    </w:p>
    <w:p>
      <w:pPr>
        <w:spacing w:after="0" w:line="119"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Our key employees, including our named executive officers, participate in the Bentley Systems, Incorporated Bonus Pool Plan, as amended and restated, effective as of September 3, 2020 (the “Bonus Plan”). Pursuant to the Bonus Plan, participants are eligible to receive incentive bonuses that are determined based on our Management Report Operating Income, or adjusted operating income, as determined by our internal management accounts (“MROI”). For purposes of the Bonus Plan, the bonus pool thereunder may be funded with up to an aggregate of 20% of our adjusted MROI (as adjusted for accounting anomalies and other items identified as non-GAAP charges), subject to approval by our board of directors, which payments are made to plan participants based on each such participant’s allocated interest in the bonus pool.</w:t>
      </w:r>
    </w:p>
    <w:p>
      <w:pPr>
        <w:spacing w:after="0" w:line="84"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(as defined herein). Prior to September 3, 2020, a participant’s non-deferred incentive bonus was payable in cash. On September 3, 2020, we amended and restated the Bonus Plan to provide a participant with the ability to elect to receive any portion, or all, of such participant’s non-deferred incentive bonus in shares of fully vested Class B common stock, issued under our 2020 Incentive Award Plan. Such election must be made prior to the start of the applicable calendar quarter for which the incentive bonus is to be paid, and the number of shares of Class B common stock payable in respect of such elected amount is calculated using a volume-weighted average price of our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non-deferred incentive bonus payments, if, in any calendar quarter, the aggregate dollar value of shares of fully vested Class B common stock payable in respect of the non-deferred incentive bonuses exceeds $7.5 million, the portion of each participant’s non-deferred incentive bonus payable in shares of fully vested Class B common stock will be reduced pro rata such that the $7.5 million limit is not exceeded, and, for each affected participant, the amount of such reduction will be payable in cash. With respect to fiscal year 2019, our named executive officers were allocated percentage interests in the Bonus Plan bonus pool as follows: a 36.4% (12/33) interest for Gregory S. Bentley, a 21.2% (7/33) interest for Keith A. Bentley, and a 12.1% (4/33) interest for David J. Hollister, and they were paid bonuses quarterly in the aggregate amounts of $12,127,313, $7,074,266, and $4,042,438, respectively under the Bonus Plan.</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Global Profit Sharing Plan</w:t>
      </w:r>
    </w:p>
    <w:p>
      <w:pPr>
        <w:spacing w:after="0" w:line="119" w:lineRule="exact"/>
        <w:rPr>
          <w:sz w:val="20"/>
          <w:szCs w:val="20"/>
          <w:color w:val="auto"/>
        </w:rPr>
      </w:pPr>
    </w:p>
    <w:p>
      <w:pPr>
        <w:ind w:left="140" w:right="319" w:firstLine="324"/>
        <w:spacing w:after="0" w:line="255" w:lineRule="auto"/>
        <w:rPr>
          <w:sz w:val="20"/>
          <w:szCs w:val="20"/>
          <w:color w:val="auto"/>
        </w:rPr>
      </w:pPr>
      <w:r>
        <w:rPr>
          <w:rFonts w:ascii="Times New Roman" w:cs="Times New Roman" w:eastAsia="Times New Roman" w:hAnsi="Times New Roman"/>
          <w:sz w:val="18"/>
          <w:szCs w:val="18"/>
          <w:color w:val="auto"/>
        </w:rPr>
        <w:t>Our full-time colleagues, including our named executive officers, are generally eligible to participate in our global profit sharing plan (the “Profit Sharing Plan”). Under the Profit Sharing Plan, each participant is eligible for a cash bonus based upon the company’s achievement of certain performance targets, which in fiscal year 2019 included the MROI. The target level of the MROI objective is based on our annual growth objectives and is set by members of our senior management at the beginning of the fiscal year. Under the Profit Sharing Plan, each participant receives an on-target bonus amount equal to 2% of such participant’s eligible compensation with respect to fiscal year 2019, with payouts ranging from 0% (if threshold achievement of 75% of the applicable performance target is not achieved) to</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2" w:name="page183"/>
    <w:bookmarkEnd w:id="18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spacing w:after="0" w:line="256" w:lineRule="auto"/>
        <w:rPr>
          <w:sz w:val="20"/>
          <w:szCs w:val="20"/>
          <w:color w:val="auto"/>
        </w:rPr>
      </w:pPr>
      <w:r>
        <w:rPr>
          <w:rFonts w:ascii="Times New Roman" w:cs="Times New Roman" w:eastAsia="Times New Roman" w:hAnsi="Times New Roman"/>
          <w:sz w:val="18"/>
          <w:szCs w:val="18"/>
          <w:color w:val="auto"/>
        </w:rPr>
        <w:t>6% of eligible compensation (if maximum achievement of the applicable performance target is achieved). Such amounts were determined on a straight-line basis between threshold and target, and target and maximum achievement levels. Such bonus amounts are then adjusted (which may be negative or positive) using a weighted multiplier based on our achievement of non-financial company performance objectives, as established by our senior management at the beginning of the fiscal year. For fiscal year 2019, each of the named executive officers were paid a cash bonus of $2,960 in February 2020 under the Profit Sharing Plan.</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Hollister Bonus</w:t>
      </w:r>
    </w:p>
    <w:p>
      <w:pPr>
        <w:spacing w:after="0" w:line="119"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In addition to bonuses payable under the Bonus Plan and the Profit Sharing Plan, David J. Hollister was paid a one-time discretionary cash bonus of $1,000 in recognition of his contributions to us in fiscal year 2019.</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The 2015 Plan (as defined in the section below titled “—Equity Incentive Plans”) provides our officers, key employees, consultants, and directors the opportunity to participate in the equity appreciation of our business through the receipt of equity awards with respect to shares of our Class B common stock. No equity awards were granted to the named executive officers in fiscal year 2019. David J. Hollister, however, was previously granted an option to purchase 200,000 shares of our Class B common stock on May 27, 2015 under the 2015 Plan at an exercise price of $3.495 per share. In accordance with the terms of the 2015 Plan, in connection with the payment on September 2, 2020 of the Special Dividend of $1.50 per share of our common stock, we equitably reduced the exercise price of each outstanding option granted under the 2015 Plan, including David J. Hollister’s option, by $1.50 per share. Such option is fully vested, with 100,606 shares subject to the option that remain outstanding and exercisable as of December 31, 2019.</w:t>
      </w:r>
    </w:p>
    <w:p>
      <w:pPr>
        <w:spacing w:after="0" w:line="80"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p>
    <w:p>
      <w:pPr>
        <w:spacing w:after="0" w:line="121" w:lineRule="exact"/>
        <w:rPr>
          <w:sz w:val="20"/>
          <w:szCs w:val="20"/>
          <w:color w:val="auto"/>
        </w:rPr>
      </w:pPr>
    </w:p>
    <w:p>
      <w:pPr>
        <w:ind w:left="140" w:right="159" w:firstLine="324"/>
        <w:spacing w:after="0" w:line="266" w:lineRule="auto"/>
        <w:rPr>
          <w:sz w:val="20"/>
          <w:szCs w:val="20"/>
          <w:color w:val="auto"/>
        </w:rPr>
      </w:pPr>
      <w:r>
        <w:rPr>
          <w:rFonts w:ascii="Times New Roman" w:cs="Times New Roman" w:eastAsia="Times New Roman" w:hAnsi="Times New Roman"/>
          <w:sz w:val="18"/>
          <w:szCs w:val="18"/>
          <w:color w:val="auto"/>
        </w:rPr>
        <w:t>We offer participation in broad-based retirement, health, and welfare plans to all of our colleagues, including our named executive officers. We provide a 401(k) plan to our employees, including our current named executive officers, as discussed in the section below titled “—Profit Sharing/401(k) Plan.”</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Profit Sharing/401(k) Plan</w:t>
      </w:r>
    </w:p>
    <w:p>
      <w:pPr>
        <w:spacing w:after="0" w:line="119" w:lineRule="exact"/>
        <w:rPr>
          <w:sz w:val="20"/>
          <w:szCs w:val="20"/>
          <w:color w:val="auto"/>
        </w:rPr>
      </w:pPr>
    </w:p>
    <w:p>
      <w:pPr>
        <w:ind w:left="140" w:right="299" w:firstLine="324"/>
        <w:spacing w:after="0" w:line="253" w:lineRule="auto"/>
        <w:rPr>
          <w:sz w:val="20"/>
          <w:szCs w:val="20"/>
          <w:color w:val="auto"/>
        </w:rPr>
      </w:pPr>
      <w:r>
        <w:rPr>
          <w:rFonts w:ascii="Times New Roman" w:cs="Times New Roman" w:eastAsia="Times New Roman" w:hAnsi="Times New Roman"/>
          <w:sz w:val="18"/>
          <w:szCs w:val="18"/>
          <w:color w:val="auto"/>
        </w:rPr>
        <w:t>We sponsor a defined contribution plan intended to qualify for favorable tax treatment under Section 401(a) of the U.S. Internal Revenue Code of 1986, as amended (the “Code”), containing a cash or deferred feature that is intended to meet the requirements of Section 401(k) of the Code. The plan provides for employer matching or non-elective contributions on behalf of participants. Employer matching and non-elective contributions become 25% vested after one year of service and continue vesting thereafter at 25% per year until they are 100% vested following four years of service. Up to 100% of non-elective contributions may be invested in shares of our Class B common stock. For</w:t>
      </w:r>
    </w:p>
    <w:p>
      <w:pPr>
        <w:spacing w:after="0" w:line="5" w:lineRule="exact"/>
        <w:rPr>
          <w:sz w:val="20"/>
          <w:szCs w:val="20"/>
          <w:color w:val="auto"/>
        </w:rPr>
      </w:pPr>
    </w:p>
    <w:p>
      <w:pPr>
        <w:ind w:left="140" w:right="159"/>
        <w:spacing w:after="0" w:line="260" w:lineRule="auto"/>
        <w:rPr>
          <w:sz w:val="20"/>
          <w:szCs w:val="20"/>
          <w:color w:val="auto"/>
        </w:rPr>
      </w:pPr>
      <w:r>
        <w:rPr>
          <w:rFonts w:ascii="Times New Roman" w:cs="Times New Roman" w:eastAsia="Times New Roman" w:hAnsi="Times New Roman"/>
          <w:sz w:val="18"/>
          <w:szCs w:val="18"/>
          <w:color w:val="auto"/>
        </w:rPr>
        <w:t>fiscal year 2019, each of our named executive officers received employer matching contributions of $224 and no elective contributions.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19"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We sponsor the Bentley Systems, Incorporated Nonqualified Deferred Compensation Plan (the “DCP”). Under the DCP, key management colleagues, including our named executive officers, may defer all or any part of their incentive compensation and the company may make discretionary awards on behalf of such participants. Additionally, non-employee directors may defer all or any part of their directors’ fees under our Nonqualified Deferred Compensation Plan for Non-Employee Directors. We have historically credited participants with non-elective contributions to the DCP, but no such contributions have occurred since 2015. All deferrals are deemed invested in phantom shares of our Class B common stock and all benefits are distributed in actual shares of our Class B common stock.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3" w:name="page184"/>
    <w:bookmarkEnd w:id="18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For fiscal year 2019, Gregory S. Bentley and Keith A. Bentley elected to defer 10% and 20%, respectively, of their 2019 incentive compensation into the DCP. David J. Hollister did not defer any portion of his fiscal year 2019 incentive compensation. The following table shows the number of outstanding phantom shares of our Class B common stock held by each named executive officer as of December 31, 2019 under the DCP, including additional phantom shares acquired as a result of dividend equivalents credited on those phantom shares:</w:t>
      </w:r>
    </w:p>
    <w:p>
      <w:pPr>
        <w:spacing w:after="0" w:line="7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Phantom</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3,240,932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2,917,970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3,542,184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All of our full-time colleagues, including our named executive officers, are eligible to participate in a standard suite of health and welfare benefit plans. In addition, we generally provide the following benefits to our senior executives, including our named executive officers:</w:t>
      </w:r>
    </w:p>
    <w:p>
      <w:pPr>
        <w:spacing w:after="0" w:line="68" w:lineRule="exact"/>
        <w:rPr>
          <w:sz w:val="20"/>
          <w:szCs w:val="20"/>
          <w:color w:val="auto"/>
        </w:rPr>
      </w:pPr>
    </w:p>
    <w:p>
      <w:pPr>
        <w:ind w:left="1120" w:hanging="328"/>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health and fitness memberships and programs in an amount of up to $12,500 per year;</w:t>
      </w:r>
    </w:p>
    <w:p>
      <w:pPr>
        <w:spacing w:after="0" w:line="117" w:lineRule="exact"/>
        <w:rPr>
          <w:rFonts w:ascii="Times New Roman" w:cs="Times New Roman" w:eastAsia="Times New Roman" w:hAnsi="Times New Roman"/>
          <w:sz w:val="18"/>
          <w:szCs w:val="18"/>
          <w:color w:val="auto"/>
        </w:rPr>
      </w:pPr>
    </w:p>
    <w:p>
      <w:pPr>
        <w:ind w:left="1120" w:right="739" w:hanging="328"/>
        <w:spacing w:after="0" w:line="282" w:lineRule="auto"/>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costs of the executive’s spouse and dependent children to accompany the executive on qualifying business trips in an amount of up to $25,000 per year;</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vehicle allowance of $15,000; and</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matching contributions in an amount of up to $12,500 per year.</w:t>
      </w:r>
    </w:p>
    <w:p>
      <w:pPr>
        <w:spacing w:after="0" w:line="117" w:lineRule="exact"/>
        <w:rPr>
          <w:sz w:val="20"/>
          <w:szCs w:val="20"/>
          <w:color w:val="auto"/>
        </w:rPr>
      </w:pPr>
    </w:p>
    <w:p>
      <w:pPr>
        <w:ind w:left="140" w:right="559" w:firstLine="324"/>
        <w:spacing w:after="0" w:line="282" w:lineRule="auto"/>
        <w:rPr>
          <w:sz w:val="20"/>
          <w:szCs w:val="20"/>
          <w:color w:val="auto"/>
        </w:rPr>
      </w:pPr>
      <w:r>
        <w:rPr>
          <w:rFonts w:ascii="Times New Roman" w:cs="Times New Roman" w:eastAsia="Times New Roman" w:hAnsi="Times New Roman"/>
          <w:sz w:val="18"/>
          <w:szCs w:val="18"/>
          <w:color w:val="auto"/>
        </w:rPr>
        <w:t>We believe the benefits and perquisites described above are necessary and appropriate to provide a competitive compensation package to our senior executives, including our named executive officers.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No named executive officers received any tax gross-ups in respect of compensation received by them in fiscal year 2019, nor are any named executive officers currently entitled to receive any such tax gross-ups in the future.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Class B common stock that were underlying outstanding equity incentive plan awards for each named executive officer for fiscal year 2019.</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060" w:type="dxa"/>
            <w:vAlign w:val="bottom"/>
            <w:gridSpan w:val="3"/>
            <w:vMerge w:val="continue"/>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3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Bentley</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Keith A. Bentley</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Hollister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05/27/2015</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100,606 </w:t>
            </w:r>
            <w:r>
              <w:rPr>
                <w:rFonts w:ascii="Times New Roman" w:cs="Times New Roman" w:eastAsia="Times New Roman" w:hAnsi="Times New Roman"/>
                <w:sz w:val="26"/>
                <w:szCs w:val="26"/>
                <w:color w:val="auto"/>
                <w:vertAlign w:val="superscript"/>
              </w:rPr>
              <w:t>(1)</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$ 3.495</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05/26/2020</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279" w:hanging="316"/>
        <w:spacing w:after="0" w:line="266"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 option vested ratably on each of the first four anniversaries of the grant date, subject to David J. Hollister’s continued service with us through the applicable vesting dates. As of December 31, 2019, such shares are fully vested and exercisable.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4" w:name="page185"/>
    <w:bookmarkEnd w:id="18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We do not have employment agreements with any of our named executive officers. However, each of our executive officers, including the named executive officers, has executed customary intellectual property assignment agreements for our benefit. Pursuant to those agreements, each of our executive officers has confirmed his or her understanding and agreement that any and all intellectual property and trade secrets (i) related to our business and (ii) contained in our products or systems that such executive has created, developed or otherwise produced or caused to be produced or delivered to us, or will so do in the future, is our property or will be assigned to us. Each executive has also agreed to take all further acts that may be necessary to transfer, perfect, and defend our ownership of such property.</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2015 Plan</w:t>
      </w:r>
    </w:p>
    <w:p>
      <w:pPr>
        <w:spacing w:after="0" w:line="121"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We maintain the Bentley Systems, Incorporated 2015 Equity Incentive Plan, as amended and restated, effective as of May 29, 2018, and as further amended on July 10, 2020 (the “2015 Plan”). The 2015 Plan is intended to provide a means whereby we may attract and retain key employees, consultants, and directors and motivate them to exercise their best efforts on behalf of the company. The 2015 Plan provides for the grant of stock options, restricted stock, restricted stock units, stock appreciation rights, and dividend equivalent rights to our key employees, consultants, and non-employee directors and is administered by our board of directors. Under the 2015 Plan, 50,000,000 shares of Class B common stock are reserved for issuance. If an award granted under the 2015 Plan expires, terminates for any reason, is cancelled, or is forfeited, the shares subject to that award will be available for future grant under the 2015 Plan. In addition, if an option is exercised by surrendering shares as full or partial payment, or if tax withholding requirements are satisfied by surrendering shares to us or by withholding shares, only the number of shares issued net of shares withheld or surrendered shall be deemed delivered for purposes of determining the number of shares that remain available for grant under the 2015 Plan. The 2015 Plan provides that the per share exercise price of a nonqualified stock option granted thereunder cannot be less than the higher of 100% of the fair market value of a share of Class B common stock on the grant date, or the par value thereof. The 2015 Plan also provides that, on the day prior to the date on which any in-the-money option is scheduled to expire due to the expiration of the option term, that option will be automatically exercised using a net exercise method to cover both the exercise price and applicable tax withholding. The type and number of shares that may be issued under the 2015 Plan and the type and number of shares issuable under outstanding awards under the 2015 Plan, as well as the exercise price of outstanding options, will be adjusted to reflect any stock split, reverse stock split, stock dividend, distribution (including extraordinary cash dividends), spin-off, recapitalization, share combination or reclassification, or similar change in our capitalization.</w:t>
      </w:r>
    </w:p>
    <w:p>
      <w:pPr>
        <w:spacing w:after="0" w:line="81" w:lineRule="exact"/>
        <w:rPr>
          <w:sz w:val="20"/>
          <w:szCs w:val="20"/>
          <w:color w:val="auto"/>
        </w:rPr>
      </w:pPr>
    </w:p>
    <w:p>
      <w:pPr>
        <w:ind w:left="140" w:right="279" w:firstLine="324"/>
        <w:spacing w:after="0" w:line="252" w:lineRule="auto"/>
        <w:rPr>
          <w:sz w:val="20"/>
          <w:szCs w:val="20"/>
          <w:color w:val="auto"/>
        </w:rPr>
      </w:pPr>
      <w:r>
        <w:rPr>
          <w:rFonts w:ascii="Times New Roman" w:cs="Times New Roman" w:eastAsia="Times New Roman" w:hAnsi="Times New Roman"/>
          <w:sz w:val="18"/>
          <w:szCs w:val="18"/>
          <w:color w:val="auto"/>
        </w:rPr>
        <w:t>In the event of a corporate transaction (such as a merger), the surviving or successor corporation is required to assume each outstanding award or substitute a new award for each outstanding award under the 2015 Plan unless our board of directors decides to terminate all or any portion of the outstanding awards effective upon the closing of the corporate transaction. If our board of directors decides to so terminate outstanding awards, each holder of outstanding options must receive at least seven days’ notice of such termination and any option that is to be terminated will be exercisable (to the extent it is then exercisable) up to the time of termination. Upon the closing of such corporate transaction, such option, if not exercised, will be terminated, and we will pay to the holder thereof an amount equal to the difference between the fair market value of a share of Class B common stock (as of the date the option terminated) and the exercise price of the option. If the exercise price of such outstanding options equals or exceeds such fair market value, we will cancel the option without payment. Upon the occurrence of a change in control (as defined in the 2015 Plan), all outstanding unvested awards granted under the 2015 Plan will automatically vest; provided, however that unvested awards that were granted on or after July 10, 2020 will not automatically vest upon the occurence of a change in control. Our board of directors may terminate the 2015 Plan at any time. Our board of directors has determined not to make additional awards under the 2015 Plan following the effectiveness of this prospectus. However, the 2015 Plan will continue to govern outstanding equity awards granted thereunder.</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21"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On September 3, 2020, our board of directors adopted the 2020 Omnibus Incentive Plan (the “2020 Incentive Award Plan”), subject to approval of our stockholders and the consummation of this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5" w:name="page186"/>
    <w:bookmarkEnd w:id="18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jc w:val="both"/>
        <w:ind w:left="140" w:right="1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our 2020 Incentive Award Plan is to provide a means through which to attract and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personnel and to provide a means whereby our directors, officers, employees, consultants and advisors can acquire and maintain an equity interest in us, or be paid incentive compensation, including incentive compensation measured by reference to the value of our Class B common stock, thereby strengthening their commitment to our welfare and aligning their interests with those of our stockholders.</w:t>
      </w:r>
    </w:p>
    <w:p>
      <w:pPr>
        <w:spacing w:after="0" w:line="75"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2020 Incentive Award Plan will be administered by the compensation committee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2020 Incentive Award Plan and any instrument or agreement relating to, or any award granted under, our 2020 Incentive Award Plan; establish, amend, suspend, or waive any rules and regulations and appoint such agents as the Committee deems appropriate for the proper administration of our 2020 Incentive Award Plan; adopt sub-plans; and to make any other determination and take any other action that the Committee deems necessary or desirable for the administration of our 2020 Incentive Award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2020 Incentive Award Plan. Unless otherwise expressly provided in our 2020 Incentive Award Plan, all designations, determinations, interpretations, and other decisions under or with respect to our 2020 Incentive Award Plan or any award or any documents evidencing awards granted pursuant to our 2020 Incentive Award Plan are within the sole discretion of the Committee, may be made at any time and are final, conclusive and binding upon all persons or entities, including, without limitation, us, any participant, any holder or beneficiary of any award, and any of our stockholders. The Committee may make grants of awards to eligible persons pursuant to terms and conditions set forth in the applicable award agreement, as determined by the Committee in its sole discretion, to the extent not inconsistent with the terms of our 2020 Incentive Award Plan, including subjecting such awards to performance criteria listed in our 2020 Incentive Award Plan.</w:t>
      </w:r>
    </w:p>
    <w:p>
      <w:pPr>
        <w:spacing w:after="0" w:line="80"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Awards Subject to our 2020 Incentive Award Plan. </w:t>
      </w:r>
      <w:r>
        <w:rPr>
          <w:rFonts w:ascii="Times New Roman" w:cs="Times New Roman" w:eastAsia="Times New Roman" w:hAnsi="Times New Roman"/>
          <w:sz w:val="18"/>
          <w:szCs w:val="18"/>
          <w:color w:val="auto"/>
        </w:rPr>
        <w:t>Our 2020 Incentive Award Plan provides that the total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B common stock that may be issued under our 2020 Incentive Award Plan is 25,000,000 (the “Absolute Share Limit”); provided, however, that the the Absolute Share Limit is automatically increased on the first day of each fiscal year in an amount equal to the lower of 1% of the total number of shares of Class B common stock outstanding on the last day of the immediately preceding fiscal year and a lower number of shares of Class B common stock as determined by our board of directors. No more than 25,000,000 shares of Class B common stock may be issued in the aggregate pursuant to the exercise of incentive stock options. The maximum number of shares of Class B common stock granted during a single fiscal year to any non-employee director, taken together with any cash fees paid to such non-employee director during the fiscal year, may not exceed $1,000,000 in total value (calculating the value of any such awards based on the grant date fair value of such awards for financial reporting purposes) or such lower amount as determined by our board of directors prior to the date of grant, either as part of our non-employee director compensation program or as otherwise determined by the board of directors in the event of any change to such non-employee director’s compensation program or for any particular period of service. Except for substitute awards (as described below), in the event any award expires or is cancelled, forfeited, terminated, settled in cash or otherwise settled without issuance to the participant of the full number of shares to which the award related, the unissued shares of Class B common stock may be granted again under our 2020 Incentive Award Plan. Shares of Class B common stock surrendered or withheld in payment of the exercise price, or taxes relating to an award, will be deemed to constitute shares not issued to a participant and shall again be available for awards under the plan, provided, that such shares shall not become available for issuance hereunder if either the applicable shares are withheld or surrendered following the termination of the plan or at the time the applicable shares are withheld or surrendered, it would constitute a material revision of the plan subject to stockholder approval under any then-applicable rules of any national securities exchange or inter-dealer quotation system on which the Class B common stock is listed or traded.</w:t>
      </w:r>
    </w:p>
    <w:p>
      <w:pPr>
        <w:spacing w:after="0" w:line="81"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Awards may, in the sole discretion of the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 2020 Incentive Award Plan after the tenth anniversary of the effective date (as defined therein), but awards granted before then may extend beyond that date.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6" w:name="page187"/>
    <w:bookmarkEnd w:id="18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right="1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Committee may grant non-qualified stock options and incentive stock options, under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with terms and conditions determined by the Committee that are not inconsistent with our 2020 Incentive Award Plan. All stock options granted under our 2020 Incentive Award Plan are required to have a per share exercise price that is not less than 100% of the fair market value of our Class B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2020 Incentive Award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Class B common stock is prohibited by our insider trading policy (or “blackout period” imposed by us), the term will automatically be extended to the 30th day following the end of such period. The purchase price for the shares as to which a stock option is exercised may be paid to us, to the extent permitted by law, (1) in cash or its equivalent at the time the stock option is exercised;</w:t>
      </w:r>
    </w:p>
    <w:p>
      <w:pPr>
        <w:spacing w:after="0" w:line="2" w:lineRule="exact"/>
        <w:rPr>
          <w:sz w:val="20"/>
          <w:szCs w:val="20"/>
          <w:color w:val="auto"/>
        </w:rPr>
      </w:pPr>
    </w:p>
    <w:p>
      <w:pPr>
        <w:ind w:left="140" w:right="179" w:firstLine="4"/>
        <w:spacing w:after="0" w:line="265" w:lineRule="auto"/>
        <w:tabs>
          <w:tab w:leader="none" w:pos="39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shares having a fair market value equal to the aggregate exercise price for the shares being purchased and satisfying any requirements that may be imposed by the Committee (so long as such shares have been held by the participant for at least six months or such other period established by the Committee to avoid adverse accounting treatment); or (3) by such other method as the Committee may permit in its sole discretion, including, without limitation,</w:t>
      </w:r>
    </w:p>
    <w:p>
      <w:pPr>
        <w:ind w:left="140" w:right="17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Class B common stock will be settled in cash. If an exercisable option is scheduled to expire and the exercise price per share of Class B common stock of such option is less than the then-current fair market value of a share of Class B common stock, then on the date immediately preceding the date on which the option will expire, the option will be automatically exercised on behalf of the participant through a “net exercise” procedure.</w:t>
      </w:r>
    </w:p>
    <w:p>
      <w:pPr>
        <w:spacing w:after="0" w:line="83" w:lineRule="exact"/>
        <w:rPr>
          <w:sz w:val="20"/>
          <w:szCs w:val="20"/>
          <w:color w:val="auto"/>
        </w:rPr>
      </w:pPr>
    </w:p>
    <w:p>
      <w:pPr>
        <w:ind w:left="140" w:right="2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grant stock appreciation rights under our 2020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with terms and conditions determined by the Committee that are not inconsistent with our 2020 Incentive Award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Class B common stock, over (B) the strike price per share, times (2) the number of shares of Class B common stock covered by the stock appreciation right. The strike price per share of a stock appreciation right will be determined by the Committee at the time of grant but in no event may such amount be less than 100% of the fair market value of a share of Class B common stock on the date the stock appreciation right is granted (other than in the case of stock appreciation rights granted in substitution of previously granted awards). The maximum term for stock appreciation rights under our 2020 Incentive Award Plan will be ten years from the initial date of grant. However, if a stock appreciation right would expire at a time when trading of shares of our Class B common stock is prohibited by our insider trading policy (or “blackout period” imposed by us), the term will automatically be extended to the 30th day following the end of such period. If an exercisable stock appreciation right is scheduled to expire and the exercise price per share of Class B Common Stock of such stock appreciation right is less than the then-current fair market value of a share of Class B Common Stock, then on the date immediately preceding the date on which the option will expire, the stock appreciation right will be automatically exercised on behalf of the participant through a “net exercise” procedure.</w:t>
      </w:r>
    </w:p>
    <w:p>
      <w:pPr>
        <w:spacing w:after="0" w:line="84"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and Restricted Stock Units. </w:t>
      </w:r>
      <w:r>
        <w:rPr>
          <w:rFonts w:ascii="Times New Roman" w:cs="Times New Roman" w:eastAsia="Times New Roman" w:hAnsi="Times New Roman"/>
          <w:sz w:val="18"/>
          <w:szCs w:val="18"/>
          <w:color w:val="auto"/>
        </w:rPr>
        <w:t>The Committee may grant restricted shares of our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restricted stock units, representing the right to receive, upon vesting and the expiration of any applicable restricted period, one share of Class B common stock for each restricted stock unit, or, in the sole discretion of the Committee, the cash value thereof (or any combination thereof). As to restricted shares of our Class B common stock, subject to the other provisions of our 2020 Incentive Award Plan, the holder will generally have the rights and privileges of a stockholder as to such restricted shares of Class B common stock, including, without limitation, the right to vote such restricted shares of Class B common stock. Participants have no rights or privileges as a stockholder with respect to restricted stock units.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7" w:name="page188"/>
    <w:bookmarkEnd w:id="18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right="3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Other Equity-Based Awards and Cash-Based Awards</w:t>
      </w:r>
      <w:r>
        <w:rPr>
          <w:rFonts w:ascii="Times New Roman" w:cs="Times New Roman" w:eastAsia="Times New Roman" w:hAnsi="Times New Roman"/>
          <w:sz w:val="18"/>
          <w:szCs w:val="18"/>
          <w:color w:val="auto"/>
        </w:rPr>
        <w:t>. The Committee may grant other equity-based or cash-based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our 2020 Incentive Award Plan, with terms and conditions determined by the Committee that are not inconsistent with our 2020 Incentive Award Plan.</w:t>
      </w:r>
    </w:p>
    <w:p>
      <w:pPr>
        <w:spacing w:after="0" w:line="65" w:lineRule="exact"/>
        <w:rPr>
          <w:sz w:val="20"/>
          <w:szCs w:val="20"/>
          <w:color w:val="auto"/>
        </w:rPr>
      </w:pPr>
    </w:p>
    <w:p>
      <w:pPr>
        <w:ind w:left="140" w:right="21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Effect of Certain Events on the 2020 Incentive Award Plan and Awards. </w:t>
      </w:r>
      <w:r>
        <w:rPr>
          <w:rFonts w:ascii="Times New Roman" w:cs="Times New Roman" w:eastAsia="Times New Roman" w:hAnsi="Times New Roman"/>
          <w:sz w:val="18"/>
          <w:szCs w:val="18"/>
          <w:color w:val="auto"/>
        </w:rPr>
        <w:t>In the event of (1) any dividend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 cash dividends) or other distribution (whether in the form of cash, shares of Class B common stock, other securities or other property), recapitalization, stock split, reverse stock split, reorganization, merger, consolidation, split-up, split-off, spin-off, combination, repurchase or exchange of shares of Class B common stock or other securities, issuance of warrants or other rights to acquire shares of Class B common stock or other securities, or other similar corporate transaction or event that affects the shares of Class B common stock (including a change in control, as defined in our 2020 Incentive Award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 (A) the Absolute Share Limit, or any other limit applicable under our 2020 Incentive Award Plan with respect to the number of awards which may be granted thereunder, (B) the number of shares of Class B common stock or other securities of the Company (or number and kind of other securities or other property) which may be issued in respect of awards or with respect to which awards may be granted under our 2020 Incentive Award Plan or any sub-plan and (C) the terms of any outstanding award, including, without limitation, (1) the number of shares of Class B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Committee will make an equitable or proportionate adjustment to outstanding awards to reflect such equity restructuring.</w:t>
      </w:r>
    </w:p>
    <w:p>
      <w:pPr>
        <w:spacing w:after="0" w:line="83"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immediately prior to, and contingent upon, the consummation of such Change in Control and (2) subject to any limitations or reductions as may be necessary to comply with Section 409A of the Code,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Class B common stock received or to be received by other holders of our Class B common stock in such event), including, in the case of stock options and stock appreciation rights, a cash payment equal to the excess, if any, of the fair market value of the shares of Class B common stock subject to the option or stock appreciation right over the aggregate exercise price or strike price thereof.</w:t>
      </w:r>
    </w:p>
    <w:p>
      <w:pPr>
        <w:spacing w:after="0" w:line="80" w:lineRule="exact"/>
        <w:rPr>
          <w:sz w:val="20"/>
          <w:szCs w:val="20"/>
          <w:color w:val="auto"/>
        </w:rPr>
      </w:pPr>
    </w:p>
    <w:p>
      <w:pPr>
        <w:ind w:left="140" w:right="3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Each award will not be transferable or assignable by a participant other than by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the laws of descent and distribution and any such purported assignment, alienation, pledge, attachment, sale, transfer or encumbrance will be void and unenforceable against us or any of our subsidiaries.</w:t>
      </w:r>
    </w:p>
    <w:p>
      <w:pPr>
        <w:spacing w:after="0" w:line="67" w:lineRule="exact"/>
        <w:rPr>
          <w:sz w:val="20"/>
          <w:szCs w:val="20"/>
          <w:color w:val="auto"/>
        </w:rPr>
      </w:pPr>
    </w:p>
    <w:p>
      <w:pPr>
        <w:ind w:left="140" w:right="259" w:firstLine="324"/>
        <w:spacing w:after="0" w:line="258" w:lineRule="auto"/>
        <w:rPr>
          <w:sz w:val="20"/>
          <w:szCs w:val="20"/>
          <w:color w:val="auto"/>
        </w:rPr>
      </w:pPr>
      <w:r>
        <w:rPr>
          <w:rFonts w:ascii="Times New Roman" w:cs="Times New Roman" w:eastAsia="Times New Roman" w:hAnsi="Times New Roman"/>
          <w:sz w:val="18"/>
          <w:szCs w:val="18"/>
          <w:color w:val="auto"/>
        </w:rPr>
        <w:t>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73"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may amend, alter, suspend, discontinue, or terminate our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 Plan or any portion thereof at any time; but no such amendment, alteration, suspension, discontinuance or termination may be made without stockholder approval if (1) such approval is necessary to comply with any regulatory requirement applicable to our 2020 Incentive Award Plan or for changes in U.S. GAAP to new accounting standards; (2) it would materially increase the number of securities which may be issued under our 2020 Incentive Award Plan (except for adjustments in connection with certain corporate events); or (3) it would materially modify the requirements for participation in our 2020 Incentive Award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8" w:name="page189"/>
    <w:bookmarkEnd w:id="18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our 2020 Incentive Award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our 2020 Incentive Award Plan, (1) 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pacing w:after="0" w:line="77"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in its sole discretion may provide part of an award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75"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Data Protection. </w:t>
      </w:r>
      <w:r>
        <w:rPr>
          <w:rFonts w:ascii="Times New Roman" w:cs="Times New Roman" w:eastAsia="Times New Roman" w:hAnsi="Times New Roman"/>
          <w:sz w:val="18"/>
          <w:szCs w:val="18"/>
          <w:color w:val="auto"/>
        </w:rPr>
        <w:t>By participating in the plan or accepting any rights granted under it, each participant consents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collection and processing of personal data so that we and our affiliates can fulfill our obligations and exercise our rights under our 2020 Incentive Award Plan and generally administer and manage our 2020 Incentive Award Plan. This data will include, but may not be limited to, data about the participant’s participation in our 2020 Incentive Award Plan and shares offered or received, purchased, or sold under our 2020 Incentive Award Plan from time to time and other appropriate financial and other data (such as the date on which the awards were granted under our 2020 Incentive Award Plan).</w:t>
      </w:r>
    </w:p>
    <w:p>
      <w:pPr>
        <w:spacing w:after="0" w:line="75" w:lineRule="exact"/>
        <w:rPr>
          <w:sz w:val="20"/>
          <w:szCs w:val="20"/>
          <w:color w:val="auto"/>
        </w:rPr>
      </w:pPr>
    </w:p>
    <w:p>
      <w:pPr>
        <w:ind w:left="140" w:right="1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Clawback/Repayment. </w:t>
      </w:r>
      <w:r>
        <w:rPr>
          <w:rFonts w:ascii="Times New Roman" w:cs="Times New Roman" w:eastAsia="Times New Roman" w:hAnsi="Times New Roman"/>
          <w:sz w:val="18"/>
          <w:szCs w:val="18"/>
          <w:color w:val="auto"/>
        </w:rPr>
        <w:t>All awards are subject to reduction, cancellation, forfeiture or recoupment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comply with (i) any 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74"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If a participant has engaged in any detrimental activity, as defined in our 2020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Plan, as determined by the Committee, the Committee may, in its sole discretion, provide for one or more of the following: (i) cancellation of any or all of such participant’s outstanding awards or (ii) forfeiture by the participant of any gain realized on the vesting or exercise of awards, and prompt repayment of any such gain to us.</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Global Employee Stock Purchase Plan</w:t>
      </w:r>
    </w:p>
    <w:p>
      <w:pPr>
        <w:spacing w:after="0" w:line="12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Prior to the consummation of this offering, our board of directors expects to adopt, and we expect our stockholders to approve, our Global Employee Stock Purchase Plan (the “Global ESPP”) to become effective on the date immediately preceding, and contingent upon, our initial public offering, and to remain effective until terminated by our board of directors. The purpose of the Global ESPP is to provide an opportunity for eligible employees of the Company and any parent, subsidiary or affiliate of the Company that has been designated by our board of directors or any properly delegated committee or subcommittee thereof (the “committee”) to purchase shares of our Class B common stock at a discount through voluntary payroll deductions from such employees’ eligible compensation. The purchase rights granted under the Global ESPP are intended to be treated as either (i) purchase rights granted under an “employee stock purchase plan,” as that term is defined in Section 423 of the Code (a “Section 423 Offering”), or (ii) purchase rights granted under an employee stock purchase plan that is not subject to the requirements of Section 423 of the Code (a “Non-Section 423 Offering”). The following summary of the Global ESPP is qualified in its entirety by reference to the Global ESPP that is ultimately adopted by our board of directors.</w:t>
      </w:r>
    </w:p>
    <w:p>
      <w:pPr>
        <w:spacing w:after="0" w:line="80" w:lineRule="exact"/>
        <w:rPr>
          <w:sz w:val="20"/>
          <w:szCs w:val="20"/>
          <w:color w:val="auto"/>
        </w:rPr>
      </w:pPr>
    </w:p>
    <w:p>
      <w:pPr>
        <w:ind w:left="140" w:right="4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Global ESPP will be administered by the committee. The committee will have,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the authority to interpret the Global ESPP, determine eligibility and adjudicate disputed claims under the</w:t>
      </w:r>
    </w:p>
    <w:p>
      <w:pPr>
        <w:sectPr>
          <w:pgSz w:w="11900" w:h="16838" w:orient="portrait"/>
          <w:cols w:equalWidth="0" w:num="1">
            <w:col w:w="9019"/>
          </w:cols>
          <w:pgMar w:left="1440" w:top="661"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9" w:name="page190"/>
    <w:bookmarkEnd w:id="18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spacing w:after="0" w:line="281" w:lineRule="auto"/>
        <w:rPr>
          <w:sz w:val="20"/>
          <w:szCs w:val="20"/>
          <w:color w:val="auto"/>
        </w:rPr>
      </w:pPr>
      <w:r>
        <w:rPr>
          <w:rFonts w:ascii="Times New Roman" w:cs="Times New Roman" w:eastAsia="Times New Roman" w:hAnsi="Times New Roman"/>
          <w:sz w:val="17"/>
          <w:szCs w:val="17"/>
          <w:color w:val="auto"/>
        </w:rPr>
        <w:t>Global ESPP, determine the terms and conditions of purchase rights under the Global ESPP, and to make any other determination and take any other action desirable for the administration of the Global ESPP. To the extent not prohibited by applicable laws, the committee may delegate its authority to a subcommittee, to one or more officers of the Company or to other persons or groups of persons, including to assist with the day-to-day administration of the Global ESPP.</w:t>
      </w:r>
    </w:p>
    <w:p>
      <w:pPr>
        <w:spacing w:after="0" w:line="54" w:lineRule="exact"/>
        <w:rPr>
          <w:sz w:val="20"/>
          <w:szCs w:val="20"/>
          <w:color w:val="auto"/>
        </w:rPr>
      </w:pPr>
    </w:p>
    <w:p>
      <w:pPr>
        <w:ind w:left="140" w:right="1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Generally, any individual in an employee-employer relationship with the Company or a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income tax and employment tax withholding and reporting purposes is eligible to participate in the Global ESPP and may participate by submitting an enrollment agreement or appropriate online form to the Company under procedures specified by the committee. The committee, in its discretion, may determine on a uniform basis for an offering that employees will not be eligible to participate if the employee has not met certain conditions prescribed in the Global ESPP. No employee is eligible for the grant of any purchase rights under the Global ESPP if, immediately after such grant, the employee would own shares of our Class B common stock possessing 5% or more of the total combined voting power or value of all classes of shares of common stock of the Company or of any subsidiary or parent of the Company (including any shares of Class B common stock which such employee may purchase under all outstanding purchase rights), nor will any employee be granted purchase rights to buy more than $25,000 worth of shares of Class B common stock (determined based on the fair market value of the shares of Class B common stock on the date the purchase rights are granted) under the Global ESPP in any calendar year such purchase rights are outstanding. Eligible employees who are citizens or resident of a jurisdiction outside the United States may be excluded from participation in the Global ESPP if their participation is prohibited under local laws or if complying with local laws would cause a Section 423 Offering to fail to qualify under Section 423 of the Code. In the case of a Non-Section 423 Offering, eligible employees may be excluded from participation in the Global ESPP or an offering if the committee has determined that participation of such eligible employees is not advisable or practicable for any reason.</w:t>
      </w:r>
    </w:p>
    <w:p>
      <w:pPr>
        <w:spacing w:after="0" w:line="85"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maximum number of shares of Class B common stock available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Global ESPP will be no more than 25,000,000 shares of Class B common stock. The shares of Class B common stock may be authorized but unissued shares, treasury shares or shares purchased in the open market. In the event of any change affecting the number, class, value, or terms of the shares of Class B common stock resulting from a recapitalization, stock split, reverse stock split, stock dividend, spinoff, split up, combination, reclassification or exchange of shares of Class B common stock, merger, consolidation, rights offering, separation, reorganization or liquidation or any other change in the corporate structure or shares of Class B common stock, including any extraordinary dividend or extraordinary distribution (but excluding any regular cash dividend), then the committee, in order to prevent dilution or enlargement of the benefits or potential benefits intended to be made available under the Global ESPP, will, in such manner as it may deem equitable, adjust the number and class of shares of Class B common stock that may be delivered under the Global ESPP, the purchase price per share and the number of shares of Class B common stock covered by each right under the Global ESPP that has not yet been exercised.</w:t>
      </w:r>
    </w:p>
    <w:p>
      <w:pPr>
        <w:spacing w:after="0" w:line="82"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Non-U.S. Sub-Plans</w:t>
      </w:r>
      <w:r>
        <w:rPr>
          <w:rFonts w:ascii="Times New Roman" w:cs="Times New Roman" w:eastAsia="Times New Roman" w:hAnsi="Times New Roman"/>
          <w:sz w:val="18"/>
          <w:szCs w:val="18"/>
          <w:color w:val="auto"/>
        </w:rPr>
        <w:t>. The committee will also have the authority to adopt such sub-plans as are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to permit the participation in the Global ESPP by employees who are foreign nationals or employed outside the United States. Such sub-plans may vary the terms of the Global ESPP, other than with respect to the number of shares of Class B common stock reserved for issuance under the Global ESPP, to accommodate the requirements of local laws, customs and procedures for non-U.S. jurisdictions.</w:t>
      </w:r>
    </w:p>
    <w:p>
      <w:pPr>
        <w:spacing w:after="0" w:line="75"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The Global ESPP will be implemented by means of consecutive offering periods, with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 commencing on the first trading day on or after January 1, 2021 and ending on the last trading day on or before June 30, 2021. Unless otherwise determined by the committee, offering periods will run from January 1st (or the first trading day thereafter) through June 30th (or the first trading day prior to such date), and from July 1st (or the first trading day thereafter) through December 31st (or the first trading day prior to such date). The committee has the authority to establish additional or alternative sequential or overlapping offering periods, a different number of purchase periods within an offering period, or a different duration for one or more offering periods or purchase periods or different commencement or ending dates for such offering periods with respect to future offerings, provided that no offering period may have a duration that exceeds 27 months.</w:t>
      </w:r>
    </w:p>
    <w:p>
      <w:pPr>
        <w:spacing w:after="0" w:line="80"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Contributions, Purchase Price and Purchase of Shares. </w:t>
      </w:r>
      <w:r>
        <w:rPr>
          <w:rFonts w:ascii="Times New Roman" w:cs="Times New Roman" w:eastAsia="Times New Roman" w:hAnsi="Times New Roman"/>
          <w:sz w:val="18"/>
          <w:szCs w:val="18"/>
          <w:color w:val="auto"/>
        </w:rPr>
        <w:t>Except as otherwise provided by the committee, up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of 15% of an employee's “eligible compensation” (as defined in the Global ESPP) may be contributed by payroll deductions toward the purchase of shares of Class B common stock in each purchase period. An employee may elect to increase or decrease the rate of contributions during a subsequent enrollment period to the Global ESPP.</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0" w:name="page191"/>
    <w:bookmarkEnd w:id="19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19"/>
        <w:spacing w:after="0" w:line="258" w:lineRule="auto"/>
        <w:rPr>
          <w:sz w:val="20"/>
          <w:szCs w:val="20"/>
          <w:color w:val="auto"/>
        </w:rPr>
      </w:pPr>
      <w:r>
        <w:rPr>
          <w:rFonts w:ascii="Times New Roman" w:cs="Times New Roman" w:eastAsia="Times New Roman" w:hAnsi="Times New Roman"/>
          <w:sz w:val="18"/>
          <w:szCs w:val="18"/>
          <w:color w:val="auto"/>
        </w:rPr>
        <w:t>The purchase price per share at which shares of Class B common stock are sold in an offering period under the Global ESPP will be equal to the lesser of 85% of the fair market value of a share of Class B common stock (i) on the first trading day of the offering period, or (ii) on the purchase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last trading day of the purchase period). For this purpose, “fair market value” generally means the closing price of a share of Class B common stock on the applicable date.</w:t>
      </w:r>
    </w:p>
    <w:p>
      <w:pPr>
        <w:spacing w:after="0" w:line="75" w:lineRule="exact"/>
        <w:rPr>
          <w:sz w:val="20"/>
          <w:szCs w:val="20"/>
          <w:color w:val="auto"/>
        </w:rPr>
      </w:pPr>
    </w:p>
    <w:p>
      <w:pPr>
        <w:ind w:left="140" w:right="219" w:firstLine="324"/>
        <w:spacing w:after="0" w:line="270" w:lineRule="auto"/>
        <w:rPr>
          <w:sz w:val="20"/>
          <w:szCs w:val="20"/>
          <w:color w:val="auto"/>
        </w:rPr>
      </w:pPr>
      <w:r>
        <w:rPr>
          <w:rFonts w:ascii="Times New Roman" w:cs="Times New Roman" w:eastAsia="Times New Roman" w:hAnsi="Times New Roman"/>
          <w:sz w:val="17"/>
          <w:szCs w:val="17"/>
          <w:color w:val="auto"/>
        </w:rPr>
        <w:t>Each purchase right automatically will be exercised on the applicable purchase date, and shares of Class B common stock will be purchased on behalf of each employee by applying the employee’s contributions for the applicable purchase period to the purchase of whole shares of Class B common stock at the purchase price in effect for that purchase date. The maximum number of shares of Class B common stock purchasable per employee during any single</w:t>
      </w:r>
    </w:p>
    <w:p>
      <w:pPr>
        <w:spacing w:after="0" w:line="3" w:lineRule="exact"/>
        <w:rPr>
          <w:sz w:val="20"/>
          <w:szCs w:val="20"/>
          <w:color w:val="auto"/>
        </w:rPr>
      </w:pPr>
    </w:p>
    <w:p>
      <w:pPr>
        <w:ind w:left="140"/>
        <w:spacing w:after="0"/>
        <w:tabs>
          <w:tab w:leader="none" w:pos="2780" w:val="left"/>
        </w:tabs>
        <w:rPr>
          <w:sz w:val="20"/>
          <w:szCs w:val="20"/>
          <w:color w:val="auto"/>
        </w:rPr>
      </w:pPr>
      <w:r>
        <w:rPr>
          <w:rFonts w:ascii="Times New Roman" w:cs="Times New Roman" w:eastAsia="Times New Roman" w:hAnsi="Times New Roman"/>
          <w:sz w:val="18"/>
          <w:szCs w:val="18"/>
          <w:color w:val="auto"/>
        </w:rPr>
        <w:t>offering period may not exceed</w:t>
      </w:r>
      <w:r>
        <w:rPr>
          <w:sz w:val="20"/>
          <w:szCs w:val="20"/>
          <w:color w:val="auto"/>
        </w:rPr>
        <w:tab/>
      </w:r>
      <w:r>
        <w:rPr>
          <w:rFonts w:ascii="Times New Roman" w:cs="Times New Roman" w:eastAsia="Times New Roman" w:hAnsi="Times New Roman"/>
          <w:sz w:val="17"/>
          <w:szCs w:val="17"/>
          <w:color w:val="auto"/>
        </w:rPr>
        <w:t>shares, or such other amount as may be designated by the committee.</w:t>
      </w:r>
    </w:p>
    <w:p>
      <w:pPr>
        <w:spacing w:after="0" w:line="97"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Withdrawals and Termination of Employment. </w:t>
      </w:r>
      <w:r>
        <w:rPr>
          <w:rFonts w:ascii="Times New Roman" w:cs="Times New Roman" w:eastAsia="Times New Roman" w:hAnsi="Times New Roman"/>
          <w:sz w:val="18"/>
          <w:szCs w:val="18"/>
          <w:color w:val="auto"/>
        </w:rPr>
        <w:t>An employee may withdraw from participating in the Global ESPP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offering period and receive a refund of his or her contributions by following the procedures prescribed by the committee. Upon receipt of a notice of withdrawal, deductions of contributions on behalf of the employee will be discontinued commencing with the payroll period immediately following the effective date of the notice of withdrawal, and such employee will be ineligible to participate in the Global ESPP until the next enrollment period. Amounts credited to the account of any employee who withdraws will be refunded, without interest, as soon as practicable. Upon termination of employment or other loss of eligible employee status for any reason, Global ESPP participation is immediately terminated, contributions will be discontinued and any amounts then credited to the employee’s contribution account will be refunded, without interest, as soon as practicable</w:t>
      </w:r>
    </w:p>
    <w:p>
      <w:pPr>
        <w:spacing w:after="0" w:line="80"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(as defined in the Global ESPP but excluding a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dissolution of the Company), our board of directors or the committee may take any action it deems necessary with respect to the outstanding rights to purchase shares of Class B common stock, including but not limited to, accelerating the purchase date or discontinuing contributions and refunding any previously made contributions, without interest, as soon as practicable. Our board of directors or committee has the right to determine the treatment of outstanding purchase rights under the Global ESPP in the event of a liquidation or dissolution of the Company.</w:t>
      </w:r>
    </w:p>
    <w:p>
      <w:pPr>
        <w:spacing w:after="0" w:line="7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of ESPP. </w:t>
      </w:r>
      <w:r>
        <w:rPr>
          <w:rFonts w:ascii="Times New Roman" w:cs="Times New Roman" w:eastAsia="Times New Roman" w:hAnsi="Times New Roman"/>
          <w:sz w:val="18"/>
          <w:szCs w:val="18"/>
          <w:color w:val="auto"/>
        </w:rPr>
        <w:t>Our board of directors or the committee may amend the Global ESPP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provided that if shareholder approval is required pursuant to the Code, securities laws or regulations, or the rules or regulations of the securities exchange on which the Company’s shares of Class B common stock are listed or traded, then no such amendment will be effective unless approved by the Company’s shareholders within such time period as may be required. Our board of directors may suspend the Global ESPP or discontinue the Global ESPP at any time, including shortening an offering period in connection with a spin-off or similar corporate event. Upon termination of the Global ESPP, all contributions will cease, all amounts credited to an employee’s account will be equitably applied to the purchase of whole shares of Class B common stock then available for sale, and any remaining amounts will be promptly refunded, without interest, to the employees.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or paid to each of our non-employee directors for fiscal year 2019.</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gridSpan w:val="3"/>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5"/>
                <w:szCs w:val="15"/>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40" w:type="dxa"/>
            <w:vAlign w:val="bottom"/>
          </w:tcPr>
          <w:p>
            <w:pPr>
              <w:spacing w:after="0"/>
              <w:rPr>
                <w:sz w:val="15"/>
                <w:szCs w:val="15"/>
                <w:color w:val="auto"/>
              </w:rPr>
            </w:pP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16,500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84,858</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379" w:hanging="316"/>
        <w:spacing w:after="0" w:line="282"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 annual cash retainer of $15,000 for Kirk Griswold’s service as chair of the audit committee of our board of directors.</w:t>
      </w:r>
    </w:p>
    <w:p>
      <w:pPr>
        <w:spacing w:after="0" w:line="53" w:lineRule="exact"/>
        <w:rPr>
          <w:rFonts w:ascii="Times New Roman" w:cs="Times New Roman" w:eastAsia="Times New Roman" w:hAnsi="Times New Roman"/>
          <w:sz w:val="18"/>
          <w:szCs w:val="18"/>
          <w:color w:val="auto"/>
        </w:rPr>
      </w:pPr>
    </w:p>
    <w:p>
      <w:pPr>
        <w:ind w:left="460" w:right="199" w:hanging="316"/>
        <w:spacing w:after="0" w:line="277" w:lineRule="auto"/>
        <w:tabs>
          <w:tab w:leader="none" w:pos="4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Kirk Griswold elected to receive shares of Class B common stock in lieu of a $50,000 annual cash retainer, which he was entitled to in connection with his service on our board of directors. This amount reflects the grant-date fair value of such stock award computed in accordance with ASC Topic 718, rather than the amounts paid to or realized by Kirk Griswold. We provide information regarding the assumptions used to calculate the value of all stock awards made to our directors in Note 13 to our consolidated financial statements included elsewhere in this prospectus.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1" w:name="page192"/>
    <w:bookmarkEnd w:id="19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right="579" w:hanging="316"/>
        <w:spacing w:after="0" w:line="261"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stock options granted during fiscal year 2019 computed in accordance with ASC Topic 718, rather than the amounts paid to or realized by Kirk Griswold. We provide information regarding the assumptions used to calculate the value of all option awards made to our directors in Note 13 to our consolidated financial statements included elsewhere in this prospectus.</w:t>
      </w:r>
    </w:p>
    <w:p>
      <w:pPr>
        <w:spacing w:after="0" w:line="71" w:lineRule="exact"/>
        <w:rPr>
          <w:rFonts w:ascii="Times New Roman" w:cs="Times New Roman" w:eastAsia="Times New Roman" w:hAnsi="Times New Roman"/>
          <w:sz w:val="18"/>
          <w:szCs w:val="18"/>
          <w:color w:val="auto"/>
        </w:rPr>
      </w:pPr>
    </w:p>
    <w:p>
      <w:pPr>
        <w:ind w:left="460" w:right="2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was our only non-employee director in fiscal year 2019. The below reflects the aggregate number of outstanding equity awards held by Kirk Griswold as of December 31, 2019:</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7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at Fiscal</w:t>
            </w:r>
          </w:p>
        </w:tc>
        <w:tc>
          <w:tcPr>
            <w:tcW w:w="0" w:type="dxa"/>
            <w:vAlign w:val="bottom"/>
          </w:tcPr>
          <w:p>
            <w:pPr>
              <w:spacing w:after="0"/>
              <w:rPr>
                <w:sz w:val="1"/>
                <w:szCs w:val="1"/>
                <w:color w:val="auto"/>
              </w:rPr>
            </w:pPr>
          </w:p>
        </w:tc>
      </w:tr>
      <w:tr>
        <w:trPr>
          <w:trHeight w:val="173"/>
        </w:trPr>
        <w:tc>
          <w:tcPr>
            <w:tcW w:w="7800" w:type="dxa"/>
            <w:vAlign w:val="bottom"/>
            <w:gridSpan w:val="4"/>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 Griswold</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399" w:hanging="316"/>
        <w:spacing w:after="0" w:line="282"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 Griswold holds options to purchase 60,000 shares of our Class B common stock, 27,500 shares of which are vested and 32,500 shares of which are unvested.</w:t>
      </w:r>
    </w:p>
    <w:p>
      <w:pPr>
        <w:spacing w:after="0" w:line="54"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Our employee directors for fiscal year 2019, Barry J. Bentley, Gregory S. Bentley, Keith A. Bentley, and Raymond B. Bentley, did not receive any additional compensation for their service on our board of directors and it continues to be the case in fiscal year 2020 that employee directors will not receive additional compensation for such service. See the section titled “Executive and Director Compensation” above for more information about Gregory S. Bentley and Keith A. Bentley’s compensation for fiscal year 2019.</w:t>
      </w:r>
    </w:p>
    <w:p>
      <w:pPr>
        <w:spacing w:after="0" w:line="75"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Prior to our adoption of the Bentley Systems, Incorporated Non-Employee Director Compensation Policy described below, our non-employee directors were entitled to receive an annual cash retainer of $50,000 (paid in equal quarterly installments) for service on our board of directors, as well as an additional cash retainer of $15,000 for service on the audit committee of our board of directors. Prior to each applicable year, each such director could elect to receive shares of our Class B common stock with a fair market value of $50,000 as of the commencement of such year (paid quarterly in equal installments) in lieu of the $50,000 annual cash retainer. Each non-employee director was also entitled to receive an initial option award to purchase 25,000 shares of our Class B common stock upon his or her appointment to our board of directors and an annual option award to purchase 10,000 shares of our Class B common stock. All options granted to non-employee directors (including all options granted to Kirk Griswold described herein) vest ratably on each of the first four anniversaries of the grant date, subject to the director’s continued service with us through the applicable vesting dates.</w:t>
      </w:r>
    </w:p>
    <w:p>
      <w:pPr>
        <w:spacing w:after="0" w:line="84"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Kirk Griswold was our only non-employee director in fiscal year 2019 and elected to receive shares of our Class B common stock in lieu of the annual cash retainer payable in fiscal year 2019. As a result, in fiscal year 2019 Kirk Griswold received a $15,000 cash retainer for his service on the audit committee as well as an aggregate of 7,016 shares of our Class B common stock in four installments occurring on each original quarterly payment date for his annual cash retainer.</w:t>
      </w:r>
    </w:p>
    <w:p>
      <w:pPr>
        <w:spacing w:after="0" w:line="75" w:lineRule="exact"/>
        <w:rPr>
          <w:sz w:val="20"/>
          <w:szCs w:val="20"/>
          <w:color w:val="auto"/>
        </w:rPr>
      </w:pPr>
    </w:p>
    <w:p>
      <w:pPr>
        <w:ind w:left="140" w:right="299" w:firstLine="324"/>
        <w:spacing w:after="0" w:line="256" w:lineRule="auto"/>
        <w:rPr>
          <w:sz w:val="20"/>
          <w:szCs w:val="20"/>
          <w:color w:val="auto"/>
        </w:rPr>
      </w:pPr>
      <w:r>
        <w:rPr>
          <w:rFonts w:ascii="Times New Roman" w:cs="Times New Roman" w:eastAsia="Times New Roman" w:hAnsi="Times New Roman"/>
          <w:sz w:val="18"/>
          <w:szCs w:val="18"/>
          <w:color w:val="auto"/>
        </w:rPr>
        <w:t>Further, on May 15, 2019, Kirk Griswold received an annual option grant to purchase 10,000 shares of Class B common stock at an exercise price per share of $7.24. Additionally, Kirk Griswold previously received option grants in connection with his service on our board of directors of: an option for 20,000 shares of our Class B common stock, granted on May 11, 2016 at an exercise price per share of $5.23; an option for 20,000 shares of our Class B common stock, granted on May 10, 2017 at an exercise price per share of $5.38; and an option for 10,000 shares of our Class B common stock, granted on May 29, 2018 at an exercise price per share of $6.805.</w:t>
      </w:r>
    </w:p>
    <w:p>
      <w:pPr>
        <w:spacing w:after="0" w:line="79"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As discussed above in “—Other Benefits and Perquisites—Nonqualified Deferred Compensation,” our non-employee directors are eligible to participate in our Nonqualified Deferred Compensation Plan for Non-Employee Directors, which permits such directors to defer all or any part of their director compensation. Deferrals under our Nonqualified Deferred Compensation Plan for Non-Employee Directors will be paid out, as elected by the participating non-employee director, after the earliest to occur of (i) his or her separation from service (within the meaning of Code Section 409A), (ii) a date or dates chosen by the director, or (iii) a change in control that meets the requirements of Code Section 409A. As elected by the non-employee director, distributions will be made as a single distribution or in annual installments for a period of two to ten years. All deferrals are deemed invested in phantom shares of our Class B common stock, dividend equivalents are credited on such phantom shares and deemed reinvested as additional phantom shares, and all benefits are distributed in actual shares of our Class B common stock. 500,000 shares of our Class B common stock are authorized for issuance under our Nonqualified Deferred Compensation Plan for Non-Employee Directors. Our board of directors may terminate or amend this plan at any</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92" w:name="page193"/>
    <w:bookmarkEnd w:id="19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79"/>
        <w:spacing w:after="0" w:line="282" w:lineRule="auto"/>
        <w:rPr>
          <w:sz w:val="20"/>
          <w:szCs w:val="20"/>
          <w:color w:val="auto"/>
        </w:rPr>
      </w:pPr>
      <w:r>
        <w:rPr>
          <w:rFonts w:ascii="Times New Roman" w:cs="Times New Roman" w:eastAsia="Times New Roman" w:hAnsi="Times New Roman"/>
          <w:sz w:val="18"/>
          <w:szCs w:val="18"/>
          <w:color w:val="auto"/>
        </w:rPr>
        <w:t>time, but no termination or amendment can materially impair the rights of a participant without his or her consent. Kirk Griswold did not defer any compensation under such plan during fiscal year 2019.</w:t>
      </w:r>
    </w:p>
    <w:p>
      <w:pPr>
        <w:spacing w:after="0" w:line="54"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On March 12, 2020, we adopted the Bentley Systems, Incorporated Independent Director Compensation Policy, which we amended and renamed the Bentley Systems, Incorporated Non-Employee Director Compensation Policy on September 3, 2020. The Bentley Systems, Incorporated Non-Employee Director Compensation Policy, which will be effective upon the consummation of this offering, will be implemented for directors elected or re-elected in 2020 and supersedes the director compensation policy described above. The new policy provides that all non-employee directors will be paid compensation for services provided to us as set forth below:</w:t>
      </w:r>
    </w:p>
    <w:p>
      <w:pPr>
        <w:spacing w:after="0" w:line="79" w:lineRule="exact"/>
        <w:rPr>
          <w:sz w:val="20"/>
          <w:szCs w:val="20"/>
          <w:color w:val="auto"/>
        </w:rPr>
      </w:pPr>
    </w:p>
    <w:p>
      <w:pPr>
        <w:ind w:left="1120" w:right="199" w:hanging="328"/>
        <w:spacing w:after="0" w:line="266" w:lineRule="auto"/>
        <w:tabs>
          <w:tab w:leader="none" w:pos="1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payable upon the non-employee director’s first election or appointment to our board of directors if upon election such director is an independent director under the rules and regulations of any exchange on which the Company’s stock is listed;</w:t>
      </w:r>
    </w:p>
    <w:p>
      <w:pPr>
        <w:spacing w:after="0" w:line="67" w:lineRule="exact"/>
        <w:rPr>
          <w:rFonts w:ascii="Times New Roman" w:cs="Times New Roman" w:eastAsia="Times New Roman" w:hAnsi="Times New Roman"/>
          <w:sz w:val="18"/>
          <w:szCs w:val="18"/>
          <w:color w:val="auto"/>
        </w:rPr>
      </w:pPr>
    </w:p>
    <w:p>
      <w:pPr>
        <w:ind w:left="1120" w:right="179" w:hanging="328"/>
        <w:spacing w:after="0" w:line="261" w:lineRule="auto"/>
        <w:tabs>
          <w:tab w:leader="none" w:pos="1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$100,000 worth of our Class B common stock (awarded pursuant to our 2015 Equity Incentive Plan, or any successor plan then in effect), granted upon the non-employee director’s first election or appointment to our board of directors;</w:t>
      </w:r>
    </w:p>
    <w:p>
      <w:pPr>
        <w:spacing w:after="0" w:line="71" w:lineRule="exact"/>
        <w:rPr>
          <w:rFonts w:ascii="Times New Roman" w:cs="Times New Roman" w:eastAsia="Times New Roman" w:hAnsi="Times New Roman"/>
          <w:sz w:val="18"/>
          <w:szCs w:val="18"/>
          <w:color w:val="auto"/>
        </w:rPr>
      </w:pPr>
    </w:p>
    <w:p>
      <w:pPr>
        <w:ind w:left="1120" w:right="179" w:hanging="328"/>
        <w:spacing w:after="0" w:line="261" w:lineRule="auto"/>
        <w:tabs>
          <w:tab w:leader="none" w:pos="1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director has never been an employee of the Company or its subsidiaries, a fully vested award of $150,000 worth of our Class B common stock (awarded pursuant to our 2015 Equity Incentive Plan, or any successor plan then in effect), granted immediately following the non-employee director’s re-election to our board of directors at our Annual Meeting of Stockholders;</w:t>
      </w:r>
    </w:p>
    <w:p>
      <w:pPr>
        <w:spacing w:after="0" w:line="71"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our board of directors;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$50,000 for service on one or more committees of our board of directors; and</w:t>
      </w:r>
    </w:p>
    <w:p>
      <w:pPr>
        <w:spacing w:after="0" w:line="117" w:lineRule="exact"/>
        <w:rPr>
          <w:rFonts w:ascii="Times New Roman" w:cs="Times New Roman" w:eastAsia="Times New Roman" w:hAnsi="Times New Roman"/>
          <w:sz w:val="18"/>
          <w:szCs w:val="18"/>
          <w:color w:val="auto"/>
        </w:rPr>
      </w:pPr>
    </w:p>
    <w:p>
      <w:pPr>
        <w:ind w:left="1120" w:right="479" w:hanging="328"/>
        <w:spacing w:after="0" w:line="282" w:lineRule="auto"/>
        <w:tabs>
          <w:tab w:leader="none" w:pos="112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$75,000 for service as the chairperson on one or more committees of our board of directors.</w:t>
      </w:r>
    </w:p>
    <w:p>
      <w:pPr>
        <w:spacing w:after="0" w:line="54"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All cash retainers will be paid annually in advance, with 25% of each such retainer deemed to be compensation for each calendar quarter of service during the applicable calendar year. If a director resigns from our board of directors or is removed for cause, such director will be obligated to repay to us any cash retainer amounts attributable to calendar quarters for which services will not be rendered for a full calendar quarter during the applicable year (with no pro-rata credit for service during part of a quarter). A non-employee director who serves as a member of more than one board committee will only receive one annual committee member service retainer and a non-employee director who serves as the chairperson of more than one board committee will only receive one annual committee chairperson service retainer. A non-employee director who receives an annual retainer for service as a committee chairperson will not also receive an annual retainer for service as a member of a committee.</w:t>
      </w:r>
    </w:p>
    <w:p>
      <w:pPr>
        <w:spacing w:after="0" w:line="80"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Except for the annual retainer for service as the chairperson of a board committee, each non-employee director who has never been an employee of the Company or its subsidiaries may elect to receive his or her annual cash retainer in the form of an award of restricted stock (awarded under our 2015 Equity Incentive Plan, or any successor plan then in effect), based on the fair market value of our Class B common stock on the applicable award date, which restricted stock award will be subject to vesting as to 25% of the award at the end of each calendar quarter during the applicable year of service.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3" w:name="page194"/>
    <w:bookmarkEnd w:id="19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not been a party to any transactions since January 1, 2017 in which the amount involved exceeded $120,000 and in which any of our executive officers, directors or beneficial holders of more than five percent of our capital stock had or will have a direct or indirect material interest, other than the arrangements described below or under the section titled “Executive and Director Compensation.”</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Our Relationship with Siemens AG</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121"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In September 2016, we and the Bentleys (other than Richard P. Bentley, who is not a party to the Common Stock Purchase Agreement) and certain of their family members and family trusts entered into a Common Stock Purchase Agreement with Siemens AG (“Siemens”), as amended, pursuant to which Siemens was authorized, and agreed, to acquire (prior to our IPO) up to $100 million of our Class B common stock from our existing stockholders. Subsequent amendments increased this amount to $250 million (the “Maximum Purchase Amount”). The Maximum Purchase Amount, upon the earlier of September 2021 or the Maximum Purchase Amount being reached, increases by $20 million on each subsequent anniversary of the date of the Common Stock Purchase Agreement so long as the Strategic Collaboration Agreement (as defined below) remains in effect on each subsequent anniversary, with the next increase to the Maximum Purchase Amount set to occur on September 23, 2020. For the years ended December 31, 2017, 2018, and 2019, Siemens paid $58.1 million, $39.0 million, and $5.7 million, respectively, for an aggregate of 16.4 million shares of our Class B common stock. As of December 31, 2019, Siemens beneficially owned, through one or more of its affiliates, 30,995,246 shares of our Class B common stock. On June 18, 2020, Siemens purchased an additional 4,574,399 Class B common shares from our existing stockholders for $15.48 per share to reach the Maximum Purchase Amount of $250 million. As of June 30, 2020, Siemens beneficially owned, through one or more of its affiliates, 35,569,645 shares of our Class B common stock.</w:t>
      </w:r>
    </w:p>
    <w:p>
      <w:pPr>
        <w:spacing w:after="0" w:line="88"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to the opportunity to acquire shares of our Class B common stock, the Common Stock Purchase Agreement also granted to Siemens: (i) certain information rights prior to the effectiveness of the registration statement of which this prospectus forms a part, including the right to receive our financial statements and information regarding our capital structure; and (ii) certain protective rights prior to the effectiveness of the registration statement of which this prospectus forms a part, including provisions that (A) limit our ability to amend, alter or repeal any provision of our certificate of incorporation and by-laws in a manner that disproportionately affects the powers, preferences or rights of our Class B common stock (other than, for the avoidance of doubt, any amendments, restatements or other modifications that by their terms are only effective upon the effectiveness of a registration statement in connection with an underwritten public offering of our common stock), and (B) limit the extent to which we could engage in repurchases of our common stock prior to Siemens’ cumulatively reaching the Maximum Purchase Amount. In addition, the Common Stock Purchase Agreement provides that upon the effectiveness of the registration statement of which this prospectus forms a part, (i) our Class B common stock will have voting rights and will be the class of securities offered to the public in such offering and (ii) our certificate of incorporation and any other related documentation shall be amended to reflect the voting rights, including voting ratios and sunset provisions agreed to in the Common Stock Purchase Agreement, and the Company shall not deviate from such voting structure in any manner adverse to Siemens in any material respect without Siemens’ prior written consent.</w:t>
      </w:r>
    </w:p>
    <w:p>
      <w:pPr>
        <w:spacing w:after="0" w:line="87"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along with the Bentley family members party to the Common Stock Purchase Agreement, also granted to Siemens a right of first refusal (and, as applicable, tag-along rights) on any fundamental sale transaction undertaken by the Company, as well as any new issuance of stock, and, subject to certain exceptions, sales of stock by the Bentley family members party thereto.</w:t>
      </w:r>
    </w:p>
    <w:p>
      <w:pPr>
        <w:spacing w:after="0" w:line="72" w:lineRule="exact"/>
        <w:rPr>
          <w:sz w:val="20"/>
          <w:szCs w:val="20"/>
          <w:color w:val="auto"/>
        </w:rPr>
      </w:pPr>
    </w:p>
    <w:p>
      <w:pPr>
        <w:ind w:left="140" w:right="3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effectiveness of the registration statement of which this prospectus forms a part, Siemens’ right of first refusal terminates (see “Prospectus Summary—Recent Developments—Relationship with Siemens”), but certain rights and restrictions set forth in the Common Stock Purchase Agreement continue to apply, including the following: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4" w:name="page195"/>
    <w:bookmarkEnd w:id="19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2"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Right of Participation. </w:t>
      </w:r>
      <w:r>
        <w:rPr>
          <w:rFonts w:ascii="Times New Roman" w:cs="Times New Roman" w:eastAsia="Times New Roman" w:hAnsi="Times New Roman"/>
          <w:sz w:val="18"/>
          <w:szCs w:val="18"/>
          <w:color w:val="auto"/>
        </w:rPr>
        <w:t>Following the effectiveness of the registration statement of which this prospectus forms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we and the Bentley family members party to the Common Stock Purchase Agreement have agreed, as applicable, to notify Siemens of our intent to undertake any fundamental sale transaction, non-public offering of stock by us or sale by any Bentley family member party thereto of more than 1% of our fully-diluted capital stock, including any such transaction that may come about as a result of a non-public offer from a third party. Upon receipt of such notice, Siemens has twenty days to submit to the Company or the relevant Bentley family member, as applicable, a binding offer to engage in such transaction and to propose material transaction terms. Siemens may from time to time improve its proposed terms subject to our or the relevant seller’s right to request “best and final” offers from Siemens and any other relevant third party. Neither we nor any member of the Bentley family party to the Common Stock Purchase Agreement is obligated to accept any offer submitted by Siemens, subject only to our agreement not to consummate any subject transaction with a third party on terms less favorable in the aggregate than those proposed by Siemens during the period beginning on the date Siemens proposes such offer and expiring twelve months thereafter or upon the expiration, withdrawal or revocation of Siemens’ offer, whichever comes first.</w:t>
      </w:r>
    </w:p>
    <w:p>
      <w:pPr>
        <w:spacing w:after="0" w:line="79" w:lineRule="exact"/>
        <w:rPr>
          <w:sz w:val="20"/>
          <w:szCs w:val="20"/>
          <w:color w:val="auto"/>
        </w:rPr>
      </w:pPr>
    </w:p>
    <w:p>
      <w:pPr>
        <w:ind w:left="140" w:right="31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Rights in a Public Offering. </w:t>
      </w:r>
      <w:r>
        <w:rPr>
          <w:rFonts w:ascii="Times New Roman" w:cs="Times New Roman" w:eastAsia="Times New Roman" w:hAnsi="Times New Roman"/>
          <w:sz w:val="18"/>
          <w:szCs w:val="18"/>
          <w:color w:val="auto"/>
        </w:rPr>
        <w:t>If this offering is consummated after September 23, 2020, we are required to sell,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Siemens is required to purchase, at the initial public offering price, shares, which represents the number of additional shares necessary so that upon the consummation of this offering, Siemens shall have acquired (including pursuant to private sale transactions under the Common Stock Purchase Agreement prior to the effectiveness of the registration statement of which this prospectus forms a part) an aggregate of $270 million worth of our Class B common stock. We currently anticipate consummating this offering prior to September 23, 2020.</w:t>
      </w:r>
    </w:p>
    <w:p>
      <w:pPr>
        <w:spacing w:after="0" w:line="76"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If, following this offering, the Company issues shares of capital stock in a public offering, Siemens has the right to purchase, for the price per share used in such public offering, additional shares as are necessary so that Siemens’ percentage ownership on a fully diluted basis at the time of such public offering, is unchanged as a result of such public offering.</w:t>
      </w:r>
    </w:p>
    <w:p>
      <w:pPr>
        <w:spacing w:after="0" w:line="70"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Siemens has agreed in the Common Stock Purchase Agreement that, upon the effectiveness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of which this prospectus forms a part, it will not sell, make any short sale of, loan or otherwise dispose of any shares of Class B common stock (other than any shares sold to the underwriters) for a period of 180 days from the date of effectiveness. The Common Stock Purchase Agreement also requires Siemens to execute and deliver to the underwriters a lock-up agreement reflecting the foregoing terms.</w:t>
      </w:r>
    </w:p>
    <w:p>
      <w:pPr>
        <w:spacing w:after="0" w:line="75"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Standstill Agreement. </w:t>
      </w:r>
      <w:r>
        <w:rPr>
          <w:rFonts w:ascii="Times New Roman" w:cs="Times New Roman" w:eastAsia="Times New Roman" w:hAnsi="Times New Roman"/>
          <w:sz w:val="18"/>
          <w:szCs w:val="18"/>
          <w:color w:val="auto"/>
        </w:rPr>
        <w:t>Siemens has agreed that following the effectiveness of the registration statement of which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forms a part, it will not directly or indirectly acquire shares of our Class B common stock such that following such acquisition Siemens and its affiliates, and the Company’s affiliates (each as determined under Rule 144) would beneficially own 80% or more of our issued and outstanding shares of capital stock.</w:t>
      </w:r>
    </w:p>
    <w:p>
      <w:pPr>
        <w:spacing w:after="0" w:line="72" w:lineRule="exact"/>
        <w:rPr>
          <w:sz w:val="20"/>
          <w:szCs w:val="20"/>
          <w:color w:val="auto"/>
        </w:rPr>
      </w:pPr>
    </w:p>
    <w:p>
      <w:pPr>
        <w:jc w:val="both"/>
        <w:ind w:left="140" w:right="2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Disclaimer of Corporate Opportunity. </w:t>
      </w:r>
      <w:r>
        <w:rPr>
          <w:rFonts w:ascii="Times New Roman" w:cs="Times New Roman" w:eastAsia="Times New Roman" w:hAnsi="Times New Roman"/>
          <w:sz w:val="18"/>
          <w:szCs w:val="18"/>
          <w:color w:val="auto"/>
        </w:rPr>
        <w:t>We have waived to the fullest extent permitted by applicable law any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Siemens based upon the corporate opportunity doctrine or otherwise that could limit Siemens’ ability to pursue other opportunities, including acquisitions or investments, that may compete with or be complimentary to our business, and Siemens is under no obligation to offer any such opportunities to us.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 with such registration. In connection with any of these the registrations, we will indemnify Siemens and we will bear all fees, costs, and expenses (except underwriting commissions and discounts).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Collaboration Agreement</w:t>
      </w:r>
    </w:p>
    <w:p>
      <w:pPr>
        <w:spacing w:after="0" w:line="121" w:lineRule="exact"/>
        <w:rPr>
          <w:sz w:val="20"/>
          <w:szCs w:val="20"/>
          <w:color w:val="auto"/>
        </w:rPr>
      </w:pPr>
    </w:p>
    <w:p>
      <w:pPr>
        <w:ind w:left="140" w:right="339" w:firstLine="324"/>
        <w:spacing w:after="0" w:line="312" w:lineRule="auto"/>
        <w:rPr>
          <w:sz w:val="20"/>
          <w:szCs w:val="20"/>
          <w:color w:val="auto"/>
        </w:rPr>
      </w:pPr>
      <w:r>
        <w:rPr>
          <w:rFonts w:ascii="Times New Roman" w:cs="Times New Roman" w:eastAsia="Times New Roman" w:hAnsi="Times New Roman"/>
          <w:sz w:val="17"/>
          <w:szCs w:val="17"/>
          <w:color w:val="auto"/>
        </w:rPr>
        <w:t>In conjunction with the Common Stock Purchase Agreement, we entered into a strategic collaboration agreement with Siemens. This agreement governs our collaboration with Siemens and certain of its divisions on the development,</w:t>
      </w:r>
    </w:p>
    <w:p>
      <w:pPr>
        <w:sectPr>
          <w:pgSz w:w="11900" w:h="16838" w:orient="portrait"/>
          <w:cols w:equalWidth="0" w:num="1">
            <w:col w:w="9019"/>
          </w:cols>
          <w:pgMar w:left="1440" w:top="661"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95" w:name="page196"/>
    <w:bookmarkEnd w:id="19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339"/>
        <w:spacing w:after="0" w:line="258" w:lineRule="auto"/>
        <w:rPr>
          <w:sz w:val="20"/>
          <w:szCs w:val="20"/>
          <w:color w:val="auto"/>
        </w:rPr>
      </w:pPr>
      <w:r>
        <w:rPr>
          <w:rFonts w:ascii="Times New Roman" w:cs="Times New Roman" w:eastAsia="Times New Roman" w:hAnsi="Times New Roman"/>
          <w:sz w:val="18"/>
          <w:szCs w:val="18"/>
          <w:color w:val="auto"/>
        </w:rPr>
        <w:t>marketing, and distribution of agreed upon software and software development projects. The initial term of the agreement lasts until December 31, 2026 and automatically renews for successive one year terms unless either party elects to terminate the agreement by providing notice of termination at least one year prior to the expiration of the then current term. In addition, Siemens has the right to terminate the agreement and any related collaboration projects if the Bentleys no longer own a majority of our voting power or if we otherwise undergo a change of control.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Licensing Transactions</w:t>
      </w:r>
    </w:p>
    <w:p>
      <w:pPr>
        <w:spacing w:after="0" w:line="121" w:lineRule="exact"/>
        <w:rPr>
          <w:sz w:val="20"/>
          <w:szCs w:val="20"/>
          <w:color w:val="auto"/>
        </w:rPr>
      </w:pPr>
    </w:p>
    <w:p>
      <w:pPr>
        <w:ind w:left="140" w:right="439" w:firstLine="324"/>
        <w:spacing w:after="0" w:line="282" w:lineRule="auto"/>
        <w:rPr>
          <w:sz w:val="20"/>
          <w:szCs w:val="20"/>
          <w:color w:val="auto"/>
        </w:rPr>
      </w:pPr>
      <w:r>
        <w:rPr>
          <w:rFonts w:ascii="Times New Roman" w:cs="Times New Roman" w:eastAsia="Times New Roman" w:hAnsi="Times New Roman"/>
          <w:sz w:val="18"/>
          <w:szCs w:val="18"/>
          <w:color w:val="auto"/>
        </w:rPr>
        <w:t>Siemens, through its various affiliates, has historically been and continues to be a user of our software, including pursuant to one or more SELECT Agreements.</w:t>
      </w:r>
    </w:p>
    <w:p>
      <w:pPr>
        <w:spacing w:after="0" w:line="54"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We are also party to several royalty-bearing license agreements with certain Siemens affiliates pursuant to which each party has licensed technology from the other for use in its own software products. Certain of these arrangements generally pre-date Siemens’ acquisition of our Class B common stock. In addition, under the framework of the strategic collaboration agreement referenced above, we are party to several agreements with Siemens affiliates pursuant to which each party has the right to offer licenses and subscriptions to certain technology of the other party both independent of, and in connection with, interoperable solutions developed under the strategic collaboration agreement. For the years ended December 31, 2017, 2018, and 2019, Siemens paid us $2.0 million, $2.4 million, and $2.6 million, respectively, pursuant to the foregoing arrangements. For the years ended December 31, 2017, 2018, and 2019, we paid Siemens approximately $903,000, $968,000, and $1.0 million, respectively, pursuant to the foregoing arrangements.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40" w:right="719" w:firstLine="324"/>
        <w:spacing w:after="0" w:line="312" w:lineRule="auto"/>
        <w:rPr>
          <w:sz w:val="20"/>
          <w:szCs w:val="20"/>
          <w:color w:val="auto"/>
        </w:rPr>
      </w:pPr>
      <w:r>
        <w:rPr>
          <w:rFonts w:ascii="Times New Roman" w:cs="Times New Roman" w:eastAsia="Times New Roman" w:hAnsi="Times New Roman"/>
          <w:sz w:val="17"/>
          <w:szCs w:val="17"/>
          <w:color w:val="auto"/>
        </w:rPr>
        <w:t>At the completion of this offering, the Bentleys and certain of their permitted transferees will be parties to an amended and restated stockholders agreement (the “Stockholders Agreement”), to which we will not be a party.</w:t>
      </w:r>
    </w:p>
    <w:p>
      <w:pPr>
        <w:spacing w:after="0" w:line="32"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The Stockholders Agreement will provide that the parties thereto, by a majority vote, will have the right to nominate a single slate of nominees for election in each election of our board of directors. Each party to the Stockholders Agreement will agree to vote all of such party’s shares to elect such slate of nominees to our board of directors, and no party to the Stockholders Agreement will approve the removal of any director nominated by majority vote without the consent of the parties to the Stockholders Agreement voting with the majority. In addition, the Stockholders Agreement will provide that the parties to the Stockholders Agreement, by a majority vote among them, shall determine the manner in which each party to the Stockholders Agreement shall vote all of the voting shares held by each party to the Stockholders Agreement on all other matters at meetings of the stockholders of the Company. No person who is not a Bentley or a permitted transferee thereof will have the right to participate in any majority vote under the Stockholders Agreement.</w:t>
      </w:r>
    </w:p>
    <w:p>
      <w:pPr>
        <w:spacing w:after="0" w:line="86"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The Stockholders Agreement will also set forth certain restrictions on the ability of the parties thereto to freely transfer shares of our Class A common stock, except for permitted transfers to family members, entities controlled by or for the benefit of such party or such party’s family members, and parties taking a security interest in shares of our Class A common stock to secure indebtedness. In addition, the Stockholders Agreement will provide the parties thereto with</w:t>
      </w:r>
    </w:p>
    <w:p>
      <w:pPr>
        <w:spacing w:after="0" w:line="3" w:lineRule="exact"/>
        <w:rPr>
          <w:sz w:val="20"/>
          <w:szCs w:val="20"/>
          <w:color w:val="auto"/>
        </w:rPr>
      </w:pPr>
    </w:p>
    <w:p>
      <w:pPr>
        <w:ind w:left="140" w:right="259" w:firstLine="4"/>
        <w:spacing w:after="0" w:line="252" w:lineRule="auto"/>
        <w:tabs>
          <w:tab w:leader="none" w:pos="3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drag-along rights in the event the parties to the Stockholders Agreement determine by a majority vote to sell all shares of our stock held by them, (ii) rights of first refusal in the event a party to the Stockholders Agreement wishes to sell shares of our Class A common stock to a person who is not a permitted transferee and (iii) rights to purchase shares of our Class A common stock held by a party to the Stockholders Agreement prior to their transfer by reason of bankruptcy or insolvency proceedings, attachment or garnishment, divorce or other involuntary transfer (other than by reason of death).</w:t>
      </w:r>
    </w:p>
    <w:p>
      <w:pPr>
        <w:spacing w:after="0" w:line="82"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the beneficial ownership of shares of our common stock by the Bentleys and the Bentley Family, see the section titled “Principal and Selling Stockholders.”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Indemnification of our Directors and Officers</w:t>
      </w:r>
    </w:p>
    <w:p>
      <w:pPr>
        <w:spacing w:after="0" w:line="121" w:lineRule="exact"/>
        <w:rPr>
          <w:sz w:val="20"/>
          <w:szCs w:val="20"/>
          <w:color w:val="auto"/>
        </w:rPr>
      </w:pPr>
    </w:p>
    <w:p>
      <w:pPr>
        <w:ind w:left="140" w:right="199" w:firstLine="648"/>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by-laws will require us to indemnify our directors and the officers designated by our board of directors to the fullest extent permitted by Delaware law. Subject to certain limitations, our amended and restated by-laws also require us to advance expenses incurred by our directors and such officers.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6" w:name="page197"/>
    <w:bookmarkEnd w:id="19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Procedures for Approval of Related-Party Transactions</w:t>
      </w:r>
    </w:p>
    <w:p>
      <w:pPr>
        <w:spacing w:after="0" w:line="121"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our Class B common stock, we have adopted a written policy relating to the approval of related-party transactions. We will review relationships and transactions in which we and our directors, executive officers or certain stockholders or their immediate family members are participants to determine whether such persons have a direct or indirect material interest. Our legal, accounting, and finance staff will be primarily responsible for the development and implementation of processes and controls to obtain information from our directors and executive officers with respect to related-party transactions and for determining, based on the facts and circumstances, whether we or a related person have a direct or indirect material interest in the transaction.</w:t>
      </w:r>
    </w:p>
    <w:p>
      <w:pPr>
        <w:spacing w:after="0" w:line="81" w:lineRule="exact"/>
        <w:rPr>
          <w:sz w:val="20"/>
          <w:szCs w:val="20"/>
          <w:color w:val="auto"/>
        </w:rPr>
      </w:pPr>
    </w:p>
    <w:p>
      <w:pPr>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In addition, our Audit Committee will review and approve or ratify any related-party transaction reaching a certain threshold of significance. In approving or rejecting any such transaction, we expect that our Audit Committee will consider the relevant facts and circumstances available and deemed relevant to the Audit Committee.</w:t>
      </w:r>
    </w:p>
    <w:p>
      <w:pPr>
        <w:spacing w:after="0" w:line="68"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will not be permitted to participate in the deliberations or vote on approval or ratification of the transaction.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7" w:name="page198"/>
    <w:bookmarkEnd w:id="19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21"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4, 2020, after giving effect to the Charter Amendments and as adjusted to reflect the sale of shares of our Class B common stock offered by this prospectus (but assuming no exercise of the underwriters’ option to purchase additional shares), by:</w:t>
      </w:r>
    </w:p>
    <w:p>
      <w:pPr>
        <w:spacing w:after="0" w:line="72" w:lineRule="exact"/>
        <w:rPr>
          <w:sz w:val="20"/>
          <w:szCs w:val="20"/>
          <w:color w:val="auto"/>
        </w:rPr>
      </w:pPr>
    </w:p>
    <w:p>
      <w:pPr>
        <w:ind w:left="1120" w:hanging="328"/>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stockholders;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stockholders or groups of each holding less than 1%;</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120" w:right="419" w:hanging="328"/>
        <w:spacing w:after="0" w:line="282" w:lineRule="auto"/>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five percent of any class of our voting securities.</w:t>
      </w:r>
    </w:p>
    <w:p>
      <w:pPr>
        <w:spacing w:after="0" w:line="54" w:lineRule="exact"/>
        <w:rPr>
          <w:sz w:val="20"/>
          <w:szCs w:val="20"/>
          <w:color w:val="auto"/>
        </w:rPr>
      </w:pPr>
    </w:p>
    <w:p>
      <w:pPr>
        <w:ind w:left="140" w:right="219" w:firstLine="324"/>
        <w:spacing w:after="0" w:line="267"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set forth opposite such person’s name, subject to community property laws where applicable. We have deemed shares of our common stock to be outstanding and beneficially owned by a person for the purpose of computing their percentage ownership if that person has the right to acquire voting or investment power in respect of such common stock within 60 days of September 4, 2020. Our calculation of the percentage of beneficial ownership before the offering is based on 11,601,757 shares of Class A common stock and 247,856,647 shares of Class B common stock outstanding as of September 4, 2020, and, with respect to such percentages following the offering, as adjusted to reflect the issuance of 994,912 total shares of restricted Class B common stock and restricted stock units issued in July 2020 that will vest automatically upon the consummation of this offering, reduced by 32,238 of such restricted stock</w:t>
      </w:r>
    </w:p>
    <w:p>
      <w:pPr>
        <w:spacing w:after="0" w:line="2" w:lineRule="exact"/>
        <w:rPr>
          <w:sz w:val="20"/>
          <w:szCs w:val="20"/>
          <w:color w:val="auto"/>
        </w:rPr>
      </w:pPr>
    </w:p>
    <w:p>
      <w:pPr>
        <w:ind w:left="140" w:right="599"/>
        <w:spacing w:after="0" w:line="260" w:lineRule="auto"/>
        <w:rPr>
          <w:sz w:val="20"/>
          <w:szCs w:val="20"/>
          <w:color w:val="auto"/>
        </w:rPr>
      </w:pPr>
      <w:r>
        <w:rPr>
          <w:rFonts w:ascii="Times New Roman" w:cs="Times New Roman" w:eastAsia="Times New Roman" w:hAnsi="Times New Roman"/>
          <w:sz w:val="18"/>
          <w:szCs w:val="18"/>
          <w:color w:val="auto"/>
        </w:rPr>
        <w:t>units that will be settled in cash, and shares of Class B common stock to be sold in this offering following the exercise of stock options for such shares.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8" w:name="page199"/>
    <w:bookmarkEnd w:id="19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address of each of the persons in this table is c/o Bentley Systems, Incorporated, 685 Stockton Drive, Exton, PA 19341.</w:t>
      </w:r>
    </w:p>
    <w:p>
      <w:pPr>
        <w:sectPr>
          <w:pgSz w:w="11900" w:h="16838" w:orient="portrait"/>
          <w:cols w:equalWidth="0" w:num="1">
            <w:col w:w="9019"/>
          </w:cols>
          <w:pgMar w:left="1440" w:top="661" w:right="1440" w:bottom="1440" w:gutter="0" w:footer="0" w:header="0"/>
        </w:sectPr>
      </w:pPr>
    </w:p>
    <w:p>
      <w:pPr>
        <w:spacing w:after="0" w:line="78"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6"/>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 owned</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total</w:t>
            </w: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6"/>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before the offering</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voting power</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gridSpan w:val="3"/>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vMerge w:val="restart"/>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auto"/>
            </w:tcBorders>
            <w:gridSpan w:val="3"/>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bottom w:val="single" w:sz="8" w:color="auto"/>
            </w:tcBorders>
            <w:gridSpan w:val="3"/>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before the</w:t>
            </w:r>
          </w:p>
        </w:tc>
        <w:tc>
          <w:tcPr>
            <w:tcW w:w="0" w:type="dxa"/>
            <w:vAlign w:val="bottom"/>
          </w:tcPr>
          <w:p>
            <w:pPr>
              <w:spacing w:after="0"/>
              <w:rPr>
                <w:sz w:val="1"/>
                <w:szCs w:val="1"/>
                <w:color w:val="auto"/>
              </w:rPr>
            </w:pPr>
          </w:p>
        </w:tc>
      </w:tr>
      <w:tr>
        <w:trPr>
          <w:trHeight w:val="155"/>
        </w:trPr>
        <w:tc>
          <w:tcPr>
            <w:tcW w:w="1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offering</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08"/>
        </w:trPr>
        <w:tc>
          <w:tcPr>
            <w:tcW w:w="1700" w:type="dxa"/>
            <w:vAlign w:val="bottom"/>
            <w:tcBorders>
              <w:top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Executive Officers, Directors</w:t>
            </w:r>
          </w:p>
        </w:tc>
        <w:tc>
          <w:tcPr>
            <w:tcW w:w="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60" w:type="dxa"/>
            <w:vAlign w:val="bottom"/>
            <w:gridSpan w:val="3"/>
          </w:tcPr>
          <w:p>
            <w:pPr>
              <w:ind w:left="140"/>
              <w:spacing w:after="0" w:line="137" w:lineRule="exact"/>
              <w:rPr>
                <w:sz w:val="20"/>
                <w:szCs w:val="20"/>
                <w:color w:val="auto"/>
              </w:rPr>
            </w:pPr>
            <w:r>
              <w:rPr>
                <w:rFonts w:ascii="Times New Roman" w:cs="Times New Roman" w:eastAsia="Times New Roman" w:hAnsi="Times New Roman"/>
                <w:sz w:val="13"/>
                <w:szCs w:val="13"/>
                <w:b w:val="1"/>
                <w:bCs w:val="1"/>
                <w:color w:val="auto"/>
              </w:rPr>
              <w:t>and Director Nominee</w:t>
            </w:r>
            <w:r>
              <w:rPr>
                <w:rFonts w:ascii="Times New Roman" w:cs="Times New Roman" w:eastAsia="Times New Roman" w:hAnsi="Times New Roman"/>
                <w:sz w:val="13"/>
                <w:szCs w:val="13"/>
                <w:color w:val="auto"/>
              </w:rPr>
              <w:t>:</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Keith A. Bentley</w:t>
            </w:r>
            <w:r>
              <w:rPr>
                <w:rFonts w:ascii="Times New Roman" w:cs="Times New Roman" w:eastAsia="Times New Roman" w:hAnsi="Times New Roman"/>
                <w:sz w:val="15"/>
                <w:szCs w:val="15"/>
                <w:color w:val="auto"/>
                <w:vertAlign w:val="superscript"/>
              </w:rPr>
              <w:t>(2)(9)</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3,340,793</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28.8%</w:t>
            </w: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15,779,747</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Barry J. Bentley</w:t>
            </w:r>
            <w:r>
              <w:rPr>
                <w:rFonts w:ascii="Times New Roman" w:cs="Times New Roman" w:eastAsia="Times New Roman" w:hAnsi="Times New Roman"/>
                <w:sz w:val="15"/>
                <w:szCs w:val="15"/>
                <w:color w:val="auto"/>
                <w:vertAlign w:val="superscript"/>
              </w:rPr>
              <w:t>(3)(9)</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3,340,793</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28.8%</w:t>
            </w: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13,575,643</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Gregory S. Bentley</w:t>
            </w:r>
            <w:r>
              <w:rPr>
                <w:rFonts w:ascii="Times New Roman" w:cs="Times New Roman" w:eastAsia="Times New Roman" w:hAnsi="Times New Roman"/>
                <w:sz w:val="15"/>
                <w:szCs w:val="15"/>
                <w:color w:val="auto"/>
                <w:vertAlign w:val="superscript"/>
              </w:rPr>
              <w:t>(4)(9)</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1,926,509</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16.6%</w:t>
            </w: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6,480,738</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Raymond B. Bentley</w:t>
            </w:r>
            <w:r>
              <w:rPr>
                <w:rFonts w:ascii="Times New Roman" w:cs="Times New Roman" w:eastAsia="Times New Roman" w:hAnsi="Times New Roman"/>
                <w:sz w:val="15"/>
                <w:szCs w:val="15"/>
                <w:color w:val="auto"/>
                <w:vertAlign w:val="superscript"/>
              </w:rPr>
              <w:t>(5)(9)</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1,655,397</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w w:val="95"/>
              </w:rPr>
              <w:t>14.3%</w:t>
            </w: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18,811,889</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Kirk B. Griswold</w:t>
            </w:r>
            <w:r>
              <w:rPr>
                <w:rFonts w:ascii="Times New Roman" w:cs="Times New Roman" w:eastAsia="Times New Roman" w:hAnsi="Times New Roman"/>
                <w:sz w:val="15"/>
                <w:szCs w:val="15"/>
                <w:color w:val="auto"/>
                <w:vertAlign w:val="superscript"/>
              </w:rPr>
              <w:t>(6)</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477,849</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Brian F. Hughes</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11,531</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Janet B. Haugen</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David J. Hollister</w:t>
            </w:r>
            <w:r>
              <w:rPr>
                <w:rFonts w:ascii="Times New Roman" w:cs="Times New Roman" w:eastAsia="Times New Roman" w:hAnsi="Times New Roman"/>
                <w:sz w:val="15"/>
                <w:szCs w:val="15"/>
                <w:color w:val="auto"/>
                <w:vertAlign w:val="superscript"/>
              </w:rPr>
              <w:t>(7)</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1,491,112</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All executive officers, directors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and director nominee as a</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6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1"/>
                <w:szCs w:val="11"/>
                <w:color w:val="auto"/>
              </w:rPr>
              <w:t>group (9 persons)</w:t>
            </w:r>
            <w:r>
              <w:rPr>
                <w:rFonts w:ascii="Times New Roman" w:cs="Times New Roman" w:eastAsia="Times New Roman" w:hAnsi="Times New Roman"/>
                <w:sz w:val="15"/>
                <w:szCs w:val="15"/>
                <w:color w:val="auto"/>
                <w:vertAlign w:val="superscript"/>
              </w:rPr>
              <w:t>(8)</w:t>
            </w:r>
          </w:p>
        </w:tc>
        <w:tc>
          <w:tcPr>
            <w:tcW w:w="8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10,263,492</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w w:val="95"/>
              </w:rPr>
              <w:t>88.5%</w:t>
            </w:r>
          </w:p>
        </w:tc>
        <w:tc>
          <w:tcPr>
            <w:tcW w:w="8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57,267,763</w:t>
            </w:r>
          </w:p>
        </w:tc>
        <w:tc>
          <w:tcPr>
            <w:tcW w:w="6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23.1%</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37"/>
        </w:trPr>
        <w:tc>
          <w:tcPr>
            <w:tcW w:w="17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5% Stockholders</w:t>
            </w:r>
            <w:r>
              <w:rPr>
                <w:rFonts w:ascii="Times New Roman" w:cs="Times New Roman" w:eastAsia="Times New Roman" w:hAnsi="Times New Roman"/>
                <w:sz w:val="13"/>
                <w:szCs w:val="13"/>
                <w:color w:val="auto"/>
              </w:rPr>
              <w:t>:</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1"/>
                <w:szCs w:val="11"/>
                <w:color w:val="auto"/>
              </w:rPr>
              <w:t>Richard P. Bentley</w:t>
            </w:r>
            <w:r>
              <w:rPr>
                <w:rFonts w:ascii="Times New Roman" w:cs="Times New Roman" w:eastAsia="Times New Roman" w:hAnsi="Times New Roman"/>
                <w:sz w:val="15"/>
                <w:szCs w:val="15"/>
                <w:color w:val="auto"/>
                <w:vertAlign w:val="superscript"/>
              </w:rPr>
              <w:t>(9)</w:t>
            </w: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1,000,000</w:t>
            </w:r>
          </w:p>
        </w:tc>
        <w:tc>
          <w:tcPr>
            <w:tcW w:w="4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8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3,000,000</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Siemens International Holding</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60" w:type="dxa"/>
            <w:vAlign w:val="bottom"/>
            <w:gridSpan w:val="3"/>
          </w:tcPr>
          <w:p>
            <w:pPr>
              <w:ind w:left="140"/>
              <w:spacing w:after="0" w:line="133" w:lineRule="exact"/>
              <w:rPr>
                <w:sz w:val="20"/>
                <w:szCs w:val="20"/>
                <w:color w:val="auto"/>
              </w:rPr>
            </w:pPr>
            <w:r>
              <w:rPr>
                <w:rFonts w:ascii="Times New Roman" w:cs="Times New Roman" w:eastAsia="Times New Roman" w:hAnsi="Times New Roman"/>
                <w:sz w:val="11"/>
                <w:szCs w:val="11"/>
                <w:color w:val="auto"/>
              </w:rPr>
              <w:t>B.V.</w:t>
            </w:r>
            <w:r>
              <w:rPr>
                <w:rFonts w:ascii="Times New Roman" w:cs="Times New Roman" w:eastAsia="Times New Roman" w:hAnsi="Times New Roman"/>
                <w:sz w:val="15"/>
                <w:szCs w:val="15"/>
                <w:color w:val="auto"/>
                <w:vertAlign w:val="superscript"/>
              </w:rPr>
              <w:t>(10)</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35,569,645</w:t>
            </w:r>
          </w:p>
        </w:tc>
        <w:tc>
          <w:tcPr>
            <w:tcW w:w="6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14.4%</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Selling Stockholders or Groups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6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of Selling Stockholders</w:t>
            </w:r>
            <w:r>
              <w:rPr>
                <w:rFonts w:ascii="Times New Roman" w:cs="Times New Roman" w:eastAsia="Times New Roman" w:hAnsi="Times New Roman"/>
                <w:sz w:val="13"/>
                <w:szCs w:val="13"/>
                <w:color w:val="auto"/>
              </w:rPr>
              <w:t>:</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Other selling stockholders or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groups of selling stockholders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3"/>
                <w:szCs w:val="13"/>
                <w:color w:val="auto"/>
              </w:rPr>
              <w:t>each holding less than 1%</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stockholders)</w:t>
            </w:r>
            <w:r>
              <w:rPr>
                <w:rFonts w:ascii="Times New Roman" w:cs="Times New Roman" w:eastAsia="Times New Roman" w:hAnsi="Times New Roman"/>
                <w:sz w:val="18"/>
                <w:szCs w:val="18"/>
                <w:color w:val="auto"/>
                <w:vertAlign w:val="superscript"/>
              </w:rPr>
              <w:t>(11)</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-2043430</wp:posOffset>
            </wp:positionV>
            <wp:extent cx="552894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28945" cy="17970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-1777365</wp:posOffset>
            </wp:positionV>
            <wp:extent cx="5528945"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28945" cy="857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-1605915</wp:posOffset>
            </wp:positionV>
            <wp:extent cx="5528945"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28945" cy="857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-1434465</wp:posOffset>
            </wp:positionV>
            <wp:extent cx="5528945"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28945" cy="857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-1263015</wp:posOffset>
            </wp:positionV>
            <wp:extent cx="5528945"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528945" cy="857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-920115</wp:posOffset>
            </wp:positionV>
            <wp:extent cx="5528945"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28945" cy="8572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-748665</wp:posOffset>
            </wp:positionV>
            <wp:extent cx="552894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28945" cy="17145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-405765</wp:posOffset>
            </wp:positionV>
            <wp:extent cx="5528945" cy="3429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28945" cy="34290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90805</wp:posOffset>
            </wp:positionV>
            <wp:extent cx="13887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 owned</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 of total</w:t>
            </w:r>
          </w:p>
        </w:tc>
        <w:tc>
          <w:tcPr>
            <w:tcW w:w="0" w:type="dxa"/>
            <w:vAlign w:val="bottom"/>
          </w:tcPr>
          <w:p>
            <w:pPr>
              <w:spacing w:after="0"/>
              <w:rPr>
                <w:sz w:val="1"/>
                <w:szCs w:val="1"/>
                <w:color w:val="auto"/>
              </w:rPr>
            </w:pPr>
          </w:p>
        </w:tc>
      </w:tr>
      <w:tr>
        <w:trPr>
          <w:trHeight w:val="155"/>
        </w:trPr>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70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after the offering</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voting</w:t>
            </w:r>
          </w:p>
        </w:tc>
        <w:tc>
          <w:tcPr>
            <w:tcW w:w="0" w:type="dxa"/>
            <w:vAlign w:val="bottom"/>
          </w:tcPr>
          <w:p>
            <w:pPr>
              <w:spacing w:after="0"/>
              <w:rPr>
                <w:sz w:val="1"/>
                <w:szCs w:val="1"/>
                <w:color w:val="auto"/>
              </w:rPr>
            </w:pPr>
          </w:p>
        </w:tc>
      </w:tr>
      <w:tr>
        <w:trPr>
          <w:trHeight w:val="27"/>
        </w:trPr>
        <w:tc>
          <w:tcPr>
            <w:tcW w:w="700" w:type="dxa"/>
            <w:vAlign w:val="bottom"/>
            <w:gridSpan w:val="2"/>
            <w:vMerge w:val="restart"/>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of</w:t>
            </w: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8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2"/>
              </w:rPr>
              <w:t>power</w:t>
            </w:r>
          </w:p>
        </w:tc>
        <w:tc>
          <w:tcPr>
            <w:tcW w:w="0" w:type="dxa"/>
            <w:vAlign w:val="bottom"/>
          </w:tcPr>
          <w:p>
            <w:pPr>
              <w:spacing w:after="0"/>
              <w:rPr>
                <w:sz w:val="1"/>
                <w:szCs w:val="1"/>
                <w:color w:val="auto"/>
              </w:rPr>
            </w:pPr>
          </w:p>
        </w:tc>
      </w:tr>
      <w:tr>
        <w:trPr>
          <w:trHeight w:val="68"/>
        </w:trPr>
        <w:tc>
          <w:tcPr>
            <w:tcW w:w="700" w:type="dxa"/>
            <w:vAlign w:val="bottom"/>
            <w:gridSpan w:val="2"/>
            <w:vMerge w:val="continue"/>
          </w:tcPr>
          <w:p>
            <w:pPr>
              <w:spacing w:after="0"/>
              <w:rPr>
                <w:sz w:val="5"/>
                <w:szCs w:val="5"/>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40" w:type="dxa"/>
            <w:vAlign w:val="bottom"/>
            <w:vMerge w:val="restart"/>
          </w:tcPr>
          <w:p>
            <w:pPr>
              <w:spacing w:after="0"/>
              <w:rPr>
                <w:sz w:val="5"/>
                <w:szCs w:val="5"/>
                <w:color w:val="auto"/>
              </w:rPr>
            </w:pPr>
          </w:p>
        </w:tc>
        <w:tc>
          <w:tcPr>
            <w:tcW w:w="7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7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780" w:type="dxa"/>
            <w:vAlign w:val="bottom"/>
            <w:tcBorders>
              <w:bottom w:val="single" w:sz="8" w:color="auto"/>
            </w:tcBorders>
            <w:gridSpan w:val="3"/>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80" w:type="dxa"/>
            <w:vAlign w:val="bottom"/>
            <w:tcBorders>
              <w:bottom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2"/>
              </w:rPr>
              <w:t>after the</w:t>
            </w:r>
          </w:p>
        </w:tc>
        <w:tc>
          <w:tcPr>
            <w:tcW w:w="0" w:type="dxa"/>
            <w:vAlign w:val="bottom"/>
          </w:tcPr>
          <w:p>
            <w:pPr>
              <w:spacing w:after="0"/>
              <w:rPr>
                <w:sz w:val="1"/>
                <w:szCs w:val="1"/>
                <w:color w:val="auto"/>
              </w:rPr>
            </w:pPr>
          </w:p>
        </w:tc>
      </w:tr>
      <w:tr>
        <w:trPr>
          <w:trHeight w:val="155"/>
        </w:trPr>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offered</w:t>
            </w:r>
          </w:p>
        </w:tc>
        <w:tc>
          <w:tcPr>
            <w:tcW w:w="120" w:type="dxa"/>
            <w:vAlign w:val="bottom"/>
          </w:tcPr>
          <w:p>
            <w:pPr>
              <w:spacing w:after="0"/>
              <w:rPr>
                <w:sz w:val="13"/>
                <w:szCs w:val="13"/>
                <w:color w:val="auto"/>
              </w:rPr>
            </w:pPr>
          </w:p>
        </w:tc>
        <w:tc>
          <w:tcPr>
            <w:tcW w:w="9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w:t>
            </w:r>
          </w:p>
        </w:tc>
        <w:tc>
          <w:tcPr>
            <w:tcW w:w="12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offering</w:t>
            </w:r>
            <w:r>
              <w:rPr>
                <w:rFonts w:ascii="Times New Roman" w:cs="Times New Roman" w:eastAsia="Times New Roman" w:hAnsi="Times New Roman"/>
                <w:sz w:val="17"/>
                <w:szCs w:val="17"/>
                <w:b w:val="1"/>
                <w:bCs w:val="1"/>
                <w:color w:val="auto"/>
                <w:w w:val="95"/>
                <w:vertAlign w:val="superscript"/>
              </w:rPr>
              <w:t>(1)(2)</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5" w:lineRule="exact"/>
        <w:rPr>
          <w:sz w:val="20"/>
          <w:szCs w:val="20"/>
          <w:color w:val="auto"/>
        </w:rPr>
      </w:pPr>
    </w:p>
    <w:p>
      <w:pPr>
        <w:sectPr>
          <w:pgSz w:w="11900" w:h="16838" w:orient="portrait"/>
          <w:cols w:equalWidth="0" w:num="2">
            <w:col w:w="5520" w:space="140"/>
            <w:col w:w="3359"/>
          </w:cols>
          <w:pgMar w:left="1440" w:top="661" w:right="1440" w:bottom="1440" w:gutter="0" w:footer="0" w:header="0"/>
          <w:type w:val="continuous"/>
        </w:sectPr>
      </w:pPr>
    </w:p>
    <w:p>
      <w:pPr>
        <w:spacing w:after="0" w:line="32" w:lineRule="exact"/>
        <w:rPr>
          <w:sz w:val="20"/>
          <w:szCs w:val="20"/>
          <w:color w:val="auto"/>
        </w:rPr>
      </w:pPr>
    </w:p>
    <w:p>
      <w:pPr>
        <w:ind w:left="460" w:hanging="316"/>
        <w:spacing w:after="0"/>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class.</w:t>
      </w:r>
    </w:p>
    <w:p>
      <w:pPr>
        <w:spacing w:after="0" w:line="117" w:lineRule="exact"/>
        <w:rPr>
          <w:sz w:val="20"/>
          <w:szCs w:val="20"/>
          <w:color w:val="auto"/>
        </w:rPr>
      </w:pPr>
    </w:p>
    <w:p>
      <w:pPr>
        <w:ind w:left="460" w:right="159" w:hanging="316"/>
        <w:spacing w:after="0" w:line="254" w:lineRule="auto"/>
        <w:tabs>
          <w:tab w:leader="none" w:pos="4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and Class B common stock, as a single class, and assumes the effectiveness of our Charter Amendments. Upon the completion of this offering, the holders of our Class A common stock will be entitled to 29 votes per share, and holders of our Class B common stock will be entitled to one vote per share. For more information about the voting rights of our Class A and Class B common stock, see the section titled “Description of Capital Stock.” We have deemed shares of our common stock to be outstanding and beneficially owned by a person for the purpose of computing the percentage ownership of that person if that person has the right to acquire voting or investment power in respect of such common stock within 60 days of September 4, 2020.</w:t>
      </w:r>
    </w:p>
    <w:p>
      <w:pPr>
        <w:spacing w:after="0" w:line="83" w:lineRule="exact"/>
        <w:rPr>
          <w:rFonts w:ascii="Times New Roman" w:cs="Times New Roman" w:eastAsia="Times New Roman" w:hAnsi="Times New Roman"/>
          <w:sz w:val="18"/>
          <w:szCs w:val="18"/>
          <w:color w:val="auto"/>
        </w:rPr>
      </w:pPr>
    </w:p>
    <w:p>
      <w:pPr>
        <w:ind w:left="460" w:right="179" w:hanging="316"/>
        <w:spacing w:after="0" w:line="256" w:lineRule="auto"/>
        <w:tabs>
          <w:tab w:leader="none" w:pos="4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2,103,211 shares of Class B common stock distributable under our DCP within 60 days of September 4, 2020 assuming Keith A. Bentley’s termination of employment on such date, (ii) 680 shares of restricted Class B common stock that will vest upon the consummation of this offering and (iii) 92,654 shares of Class B common stock held in our 401(k) plan. Excludes 38,805,572 shares of Class B common stock held by various trusts of which Keith A. Bentley’s spouse, family members or third-party trustees serve as trustee and as to which Keith A. Bentley disclaims beneficial ownership.</w:t>
      </w:r>
    </w:p>
    <w:p>
      <w:pPr>
        <w:spacing w:after="0" w:line="79" w:lineRule="exact"/>
        <w:rPr>
          <w:rFonts w:ascii="Times New Roman" w:cs="Times New Roman" w:eastAsia="Times New Roman" w:hAnsi="Times New Roman"/>
          <w:sz w:val="18"/>
          <w:szCs w:val="18"/>
          <w:color w:val="auto"/>
        </w:rPr>
      </w:pPr>
    </w:p>
    <w:p>
      <w:pPr>
        <w:ind w:left="460" w:right="199" w:hanging="316"/>
        <w:spacing w:after="0" w:line="258" w:lineRule="auto"/>
        <w:tabs>
          <w:tab w:leader="none" w:pos="4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433,879 shares of Class B common stock that are issuable to Barry J. Bentley pursuant to our DCP in connection with his termination of employment on December 31, 2019 and (ii) 92,654 shares of Class B common stock held in our 401(k) plan. Excludes 33,707,989 shares of Class B common stock held by various trusts of which Barry J. Bentley’s spouse, family members or third-party trustees serve as trustee and as to which Barry J. Bentley disclaims beneficial ownership.</w:t>
      </w:r>
    </w:p>
    <w:p>
      <w:pPr>
        <w:spacing w:after="0" w:line="75" w:lineRule="exact"/>
        <w:rPr>
          <w:rFonts w:ascii="Times New Roman" w:cs="Times New Roman" w:eastAsia="Times New Roman" w:hAnsi="Times New Roman"/>
          <w:sz w:val="18"/>
          <w:szCs w:val="18"/>
          <w:color w:val="auto"/>
        </w:rPr>
      </w:pPr>
    </w:p>
    <w:p>
      <w:pPr>
        <w:ind w:left="460" w:right="199" w:hanging="316"/>
        <w:spacing w:after="0" w:line="255" w:lineRule="auto"/>
        <w:tabs>
          <w:tab w:leader="none" w:pos="4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3,472,950 shares of Class B common stock pledged as security for a credit facility from PNC Bank, N.A., (ii) 971,027 shares of Class B common stock distributable under our DCP within 60 days of September 4, 2020 assuming Gregory S. Bentley’s termination of employment on such date, (iii) 680 shares of restricted Class B common stock that will vest upon the consummation of this offering and (iv) 92,654 shares of Class B common stock held in our 401(k) plan. Excludes 29,981,604 shares of Class B common stock held by various trusts of which Gregory S. Bentley’s spouse, family members or third-party trustees serve as trustee and as to which Gregory S. Bentley disclaims beneficial ownership.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99" w:name="page200"/>
    <w:bookmarkEnd w:id="19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460" w:right="239" w:hanging="316"/>
        <w:spacing w:after="0" w:line="261" w:lineRule="auto"/>
        <w:tabs>
          <w:tab w:leader="none" w:pos="4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680 shares of restricted Class B common stock that will vest upon the consummation of this offering and (ii) 92,654 shares of Class B common stock held in our 401(k) plan. Excludes 2,597,400 shares of Class B common stock held by a trust of which Raymond B. Bentley’s spouse, family members or third-party trustees serve as trustee and as to which Raymond B. Bentley disclaims beneficial ownership.</w:t>
      </w:r>
    </w:p>
    <w:p>
      <w:pPr>
        <w:spacing w:after="0" w:line="71" w:lineRule="exact"/>
        <w:rPr>
          <w:rFonts w:ascii="Times New Roman" w:cs="Times New Roman" w:eastAsia="Times New Roman" w:hAnsi="Times New Roman"/>
          <w:sz w:val="18"/>
          <w:szCs w:val="18"/>
          <w:color w:val="auto"/>
        </w:rPr>
      </w:pPr>
    </w:p>
    <w:p>
      <w:pPr>
        <w:ind w:left="520" w:right="219" w:hanging="376"/>
        <w:spacing w:after="0" w:line="282" w:lineRule="auto"/>
        <w:tabs>
          <w:tab w:leader="none" w:pos="49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42,500 shares of Class B common stock issuable pursuant to options that are exercisable within 60 days of September 4, 2020.</w:t>
      </w:r>
    </w:p>
    <w:p>
      <w:pPr>
        <w:spacing w:after="0" w:line="53" w:lineRule="exact"/>
        <w:rPr>
          <w:rFonts w:ascii="Times New Roman" w:cs="Times New Roman" w:eastAsia="Times New Roman" w:hAnsi="Times New Roman"/>
          <w:sz w:val="18"/>
          <w:szCs w:val="18"/>
          <w:color w:val="auto"/>
        </w:rPr>
      </w:pPr>
    </w:p>
    <w:p>
      <w:pPr>
        <w:ind w:left="460" w:right="319" w:hanging="316"/>
        <w:spacing w:after="0" w:line="261" w:lineRule="auto"/>
        <w:tabs>
          <w:tab w:leader="none" w:pos="4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509,926 shares of Class B common stock distributable under our DCP within 60 days of September 4, 2020 assuming David J. Hollister’s termination of employment on such date, (ii) 680 shares of restricted Class B common stock that will vest upon the consummation of this offering and (iii) 20,447 shares of Class B common stock held in our 401(k) plan.</w:t>
      </w:r>
    </w:p>
    <w:p>
      <w:pPr>
        <w:spacing w:after="0" w:line="71" w:lineRule="exact"/>
        <w:rPr>
          <w:rFonts w:ascii="Times New Roman" w:cs="Times New Roman" w:eastAsia="Times New Roman" w:hAnsi="Times New Roman"/>
          <w:sz w:val="18"/>
          <w:szCs w:val="18"/>
          <w:color w:val="auto"/>
        </w:rPr>
      </w:pPr>
    </w:p>
    <w:p>
      <w:pPr>
        <w:ind w:left="460" w:right="219" w:hanging="316"/>
        <w:spacing w:after="0" w:line="254" w:lineRule="auto"/>
        <w:tabs>
          <w:tab w:leader="none" w:pos="4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aggregate total of 3,660,550 shares of Class B common stock pledged as security for credit facilities from PNC Bank, N.A. and M&amp;T Bank, (ii) 285,707 shares of Class B common stock issuable pursuant to options that are exercisable within 60 days of September 4, 2020, (iii) 4,018,043 shares of Class B common stock distributable under our DCP within 60 days of September 4, 2020 assuming such persons’ termination of employment on such date, (iv) 4,294 restricted shares of Class B common stock which will vest upon the consummation of this offering and (v) 423,699 shares of Class B common stock held in our 401(k) plan. Excludes all shares of Class B common stock held in trust as to which Barry J. Bentley, Gregory S. Bentley, Keith A. Bentley and Raymond B. Bentley disclaim beneficial ownership as set forth above.</w:t>
      </w:r>
    </w:p>
    <w:p>
      <w:pPr>
        <w:spacing w:after="0" w:line="83" w:lineRule="exact"/>
        <w:rPr>
          <w:rFonts w:ascii="Times New Roman" w:cs="Times New Roman" w:eastAsia="Times New Roman" w:hAnsi="Times New Roman"/>
          <w:sz w:val="18"/>
          <w:szCs w:val="18"/>
          <w:color w:val="auto"/>
        </w:rPr>
      </w:pPr>
    </w:p>
    <w:p>
      <w:pPr>
        <w:ind w:left="460" w:right="179" w:hanging="316"/>
        <w:spacing w:after="0" w:line="258" w:lineRule="auto"/>
        <w:tabs>
          <w:tab w:leader="none" w:pos="4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completion of this offering, Barry J. Bentley, Gregory S. Bentley, Keith A. Bentley, Raymond B. Bentley and Richard P. Bentley and certain of their family members will be parties to an amended and restated stockholders agreement, to which we will not be a party. See the section titled “Certain Relationships and Related Party Transactions—Stockholders Agreement” for information regarding the voting and transfer arrangements among the parties to such agreement.</w:t>
      </w:r>
    </w:p>
    <w:p>
      <w:pPr>
        <w:spacing w:after="0" w:line="75" w:lineRule="exact"/>
        <w:rPr>
          <w:rFonts w:ascii="Times New Roman" w:cs="Times New Roman" w:eastAsia="Times New Roman" w:hAnsi="Times New Roman"/>
          <w:sz w:val="18"/>
          <w:szCs w:val="18"/>
          <w:color w:val="auto"/>
        </w:rPr>
      </w:pPr>
    </w:p>
    <w:p>
      <w:pPr>
        <w:ind w:left="460" w:right="239" w:hanging="316"/>
        <w:spacing w:after="0" w:line="282" w:lineRule="auto"/>
        <w:tabs>
          <w:tab w:leader="none" w:pos="5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Class B common stock are held of record by Siemens International Holding B.V., the address of which is c/o Siemens AG, Werner von Siemens Str. 50 91052 Erlangen, Germany.</w:t>
      </w:r>
    </w:p>
    <w:p>
      <w:pPr>
        <w:spacing w:after="0" w:line="53" w:lineRule="exact"/>
        <w:rPr>
          <w:rFonts w:ascii="Times New Roman" w:cs="Times New Roman" w:eastAsia="Times New Roman" w:hAnsi="Times New Roman"/>
          <w:sz w:val="18"/>
          <w:szCs w:val="18"/>
          <w:color w:val="auto"/>
        </w:rPr>
      </w:pPr>
    </w:p>
    <w:p>
      <w:pPr>
        <w:ind w:left="500" w:right="519" w:hanging="356"/>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do not include additional equity awards for Class B common stock that are not exercisable, or for which any service condition would not be satisfied, within 60 days of September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0" w:name="page201"/>
    <w:bookmarkEnd w:id="20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40" w:right="299" w:firstLine="324"/>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of the rights of our capital stock and related provisions of our amended and restated certificate of incorporation and amended and restated by-laws that will be in effect upon the completion of this offering. For more detailed information, we refer you to the forms of our amended and restated certificate of incorporation and amended and restated by-laws that are filed as exhibits to the registration statement of which this prospectus is a part and to applicable provisions of Delaware law. Note 11 to our audited consolidated financial statements included elsewhere in this prospectus includes a description of the terms of our Class B common stock pursuant to our amended and restated certificate of incorporation then in effect for the periods reported and does not reflect the Charter Amendments.</w:t>
      </w:r>
    </w:p>
    <w:p>
      <w:pPr>
        <w:spacing w:after="0" w:line="84"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under our amended and restated certificate of incorporation, we will provide for two classes of common stock: Class A common stock, which will have 29 votes per share, and Class B common stock, which will have one vote per share. The beneficial owners of our Class A common stock are primarily the Bentleys. Any holder of Class A common stock may convert all or a portion of such holder’s shares at any time into shares of Class B common stock on a share-for-share basis. In addition, Class A common stock will convert automatically into Class B common stock upon the occurrence of specified events, including transfers, except for certain permitted transfers described below. Except as specified below, the holders of Class A and Class B common stock will vote together as a single class. Except as expressly provided in our amended and restated certificate of incorporation, including with respect to voting rights and conversion rights, the rights of the two classes of common stock are identical. In addition, our amended and restated certificate of incorporation authorizes shares of undesignated preferred stock, the rights, preferences and privileges of which may be designated from time to time by our board of directors.</w:t>
      </w:r>
    </w:p>
    <w:p>
      <w:pPr>
        <w:spacing w:after="0" w:line="84"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2,000,000,000 shares, each with a par value of $0.01 per share, of which:</w:t>
      </w:r>
    </w:p>
    <w:p>
      <w:pPr>
        <w:spacing w:after="0" w:line="54" w:lineRule="exact"/>
        <w:rPr>
          <w:sz w:val="20"/>
          <w:szCs w:val="20"/>
          <w:color w:val="auto"/>
        </w:rPr>
      </w:pPr>
    </w:p>
    <w:p>
      <w:pPr>
        <w:ind w:left="940" w:hanging="148"/>
        <w:spacing w:after="0"/>
        <w:tabs>
          <w:tab w:leader="none" w:pos="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A common stock;</w:t>
      </w:r>
    </w:p>
    <w:p>
      <w:pPr>
        <w:spacing w:after="0" w:line="117"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1,800,000,000 shares are designated as Class B common stock; and</w:t>
      </w:r>
    </w:p>
    <w:p>
      <w:pPr>
        <w:spacing w:after="0" w:line="117" w:lineRule="exact"/>
        <w:rPr>
          <w:rFonts w:ascii="Times New Roman" w:cs="Times New Roman" w:eastAsia="Times New Roman" w:hAnsi="Times New Roman"/>
          <w:sz w:val="18"/>
          <w:szCs w:val="18"/>
          <w:color w:val="auto"/>
        </w:rPr>
      </w:pPr>
    </w:p>
    <w:p>
      <w:pPr>
        <w:ind w:left="940" w:hanging="148"/>
        <w:spacing w:after="0"/>
        <w:tabs>
          <w:tab w:leader="none" w:pos="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undesignated preferred stock.</w:t>
      </w:r>
    </w:p>
    <w:p>
      <w:pPr>
        <w:spacing w:after="0" w:line="117" w:lineRule="exact"/>
        <w:rPr>
          <w:sz w:val="20"/>
          <w:szCs w:val="20"/>
          <w:color w:val="auto"/>
        </w:rPr>
      </w:pPr>
    </w:p>
    <w:p>
      <w:pPr>
        <w:ind w:left="140" w:right="179" w:firstLine="324"/>
        <w:spacing w:after="0" w:line="267" w:lineRule="auto"/>
        <w:rPr>
          <w:sz w:val="20"/>
          <w:szCs w:val="20"/>
          <w:color w:val="auto"/>
        </w:rPr>
      </w:pPr>
      <w:r>
        <w:rPr>
          <w:rFonts w:ascii="Times New Roman" w:cs="Times New Roman" w:eastAsia="Times New Roman" w:hAnsi="Times New Roman"/>
          <w:sz w:val="17"/>
          <w:szCs w:val="17"/>
          <w:color w:val="auto"/>
        </w:rPr>
        <w:t>As of June 30, 2020, we had outstanding 11,601,757 shares of Class A common stock held of record by 17 stockholders, 247,607,598 shares of Class B common stock held of record by 807 stockholders, and no shares of preferred stock, 15,999,363 shares of Class B common stock issuable upon exercise of stock options outstanding as of June 30, 2020 at a weighted average exercise price of $6.34 per share of Class B common stock (which does not give effect to the exercise price adjustment in connection with the Special Dividend), 45,151 shares of Class B common stock issuable upon the settlement of restricted stock units outstanding as of June 30, 2020, and 27,941,520 shares of Class B common stock held by colleagues and directors as phantom shares under our DCPs as of June 30, 2020. In addition, in July 2020 we granted 994,912 total shares of restricted Class B common stock and restricted stock units that will vest automatically upon the consummation of this offering, with 32,238 of such restricted stock units that will be settled in</w:t>
      </w:r>
    </w:p>
    <w:p>
      <w:pPr>
        <w:spacing w:after="0" w:line="5" w:lineRule="exact"/>
        <w:rPr>
          <w:sz w:val="20"/>
          <w:szCs w:val="20"/>
          <w:color w:val="auto"/>
        </w:rPr>
      </w:pPr>
    </w:p>
    <w:p>
      <w:pPr>
        <w:ind w:left="140" w:right="379"/>
        <w:spacing w:after="0" w:line="260" w:lineRule="auto"/>
        <w:rPr>
          <w:sz w:val="20"/>
          <w:szCs w:val="20"/>
          <w:color w:val="auto"/>
        </w:rPr>
      </w:pPr>
      <w:r>
        <w:rPr>
          <w:rFonts w:ascii="Times New Roman" w:cs="Times New Roman" w:eastAsia="Times New Roman" w:hAnsi="Times New Roman"/>
          <w:sz w:val="18"/>
          <w:szCs w:val="18"/>
          <w:color w:val="auto"/>
        </w:rPr>
        <w:t>cash, and shares of unvested restricted Class B common stock and restricted stock units that will not vest upon consummation of this offering.</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1" w:name="page202"/>
    <w:bookmarkEnd w:id="20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the holders of our Class A common stock will be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Upon the completion of this offering, holders of our Class B common stock, which is the class of common stock that the selling stockholders are selling pursuant to this prospectus and is the only class that will be publicly traded and listed, will be entitled to one vote per share. The holders of our Class A common stock and Class B common stock vote together as a single class, unless otherwise required by our amended and restated certificate of incorporation or law. Delaware law could require either holders of our Class A common stock or our Class B common stock to vote separately as a single class in the following circumstances:</w:t>
      </w:r>
    </w:p>
    <w:p>
      <w:pPr>
        <w:spacing w:after="0" w:line="80" w:lineRule="exact"/>
        <w:rPr>
          <w:sz w:val="20"/>
          <w:szCs w:val="20"/>
          <w:color w:val="auto"/>
        </w:rPr>
      </w:pPr>
    </w:p>
    <w:p>
      <w:pPr>
        <w:ind w:left="1120" w:right="339" w:hanging="328"/>
        <w:spacing w:after="0" w:line="266" w:lineRule="auto"/>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120" w:right="179" w:hanging="328"/>
        <w:spacing w:after="0" w:line="266" w:lineRule="auto"/>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68" w:lineRule="exact"/>
        <w:rPr>
          <w:sz w:val="20"/>
          <w:szCs w:val="20"/>
          <w:color w:val="auto"/>
        </w:rPr>
      </w:pPr>
    </w:p>
    <w:p>
      <w:pPr>
        <w:ind w:left="140" w:right="299" w:firstLine="324"/>
        <w:spacing w:after="0" w:line="282" w:lineRule="auto"/>
        <w:rPr>
          <w:sz w:val="20"/>
          <w:szCs w:val="20"/>
          <w:color w:val="auto"/>
        </w:rPr>
      </w:pPr>
      <w:r>
        <w:rPr>
          <w:rFonts w:ascii="Times New Roman" w:cs="Times New Roman" w:eastAsia="Times New Roman" w:hAnsi="Times New Roman"/>
          <w:sz w:val="18"/>
          <w:szCs w:val="18"/>
          <w:color w:val="auto"/>
        </w:rPr>
        <w:t>In addition, the affirmative vote of the holders of the Class A common stock is required to amend the provisions of our amended and restated certificate of incorporation that relate to our dual class structure.</w:t>
      </w:r>
    </w:p>
    <w:p>
      <w:pPr>
        <w:spacing w:after="0" w:line="54" w:lineRule="exact"/>
        <w:rPr>
          <w:sz w:val="20"/>
          <w:szCs w:val="20"/>
          <w:color w:val="auto"/>
        </w:rPr>
      </w:pPr>
    </w:p>
    <w:p>
      <w:pPr>
        <w:ind w:left="140" w:right="279" w:firstLine="324"/>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not able to engage in certain mergers or other transactions in which the holders of Class A common stock and Class B common stock are not given the same consideration, without the affirmative vote of the holders of a majority of the outstanding shares of Class A common stock, voting separately as a class, and Class B common stock, voting separately as a class. No such separate class vote will be required, however, if the holders of each class of common stock receive equity securities in the surviving entity with voting and related rights substantially similar to the rights of the class of common stock held by such holders prior to the merger or other transaction.</w:t>
      </w:r>
    </w:p>
    <w:p>
      <w:pPr>
        <w:spacing w:after="0" w:line="8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Except as otherwise required by Delaware law, all stockholder action, other than the election of directors, is decided by the vote of the holders of a majority in voting power of the shares of our capital stock issued and outstanding at a meeting in which a quorum, consisting of a majority in voting power of the shares of our capital stock issued and outstanding and entitled to vote at the meeting, is present. The election of directors is determined by a plurality of the votes cast in respect of the shares present at the meeting and entitled to vote on the election of directors. Stockholders do not have the ability to cumulate votes for the election of directors. Our amended and restated by-laws provide that the number of directors will be determined from time to time by resolution of our board of directors.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140" w:right="199" w:firstLine="324"/>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rights and are not subject to redemption or sinking fund provisions.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2" w:name="page203"/>
    <w:bookmarkEnd w:id="20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40" w:right="159" w:firstLine="324"/>
        <w:spacing w:after="0" w:line="252" w:lineRule="auto"/>
        <w:rPr>
          <w:sz w:val="20"/>
          <w:szCs w:val="20"/>
          <w:color w:val="auto"/>
        </w:rPr>
      </w:pPr>
      <w:r>
        <w:rPr>
          <w:rFonts w:ascii="Times New Roman" w:cs="Times New Roman" w:eastAsia="Times New Roman" w:hAnsi="Times New Roman"/>
          <w:sz w:val="18"/>
          <w:szCs w:val="18"/>
          <w:color w:val="auto"/>
        </w:rPr>
        <w:t>Our Class B common stock is not convertible into any other shares of capital stock. Each outstanding share of Class A common stock is convertible at any time at the option of the holder into one share of Class B common stock. In addition, each share of Class A common stock will convert automatically into one share of Class B common stock upon the occurrence of specified events, including any transfer, whether or not for value, except for certain transfers described in our amended and restated certificate of incorporation, including transfers to family members, trusts primarily for the benefit of the stockholder or the stockholder’s family members, certain entities or fiduciaries controlled by the stockholder or the stockholder’s family members, and transfers by operation of law pursuant to a qualified domestic order or in connection with a divorce settlement. Each share of Class A common stock will also convert automatically into one share of Class B common stock upon the death of a Class A common stockholder, except if such shares are transferred in accordance with the foregoing sentence. Further, each share of Class A common stock will convert into one share of Class B common stock if such conversion is approved by the holders of at least 90% of the then-outstanding shares of Class A common stock or if the Bentley Family ceases to beneficially own, in the aggregate, at least 20% of the issued and outstanding shares of Class B common stock (on a fully diluted basis and assuming the conversion of all issued and outstanding shares of Class A common stock). Once converted into Class B common stock, a share of Class A common stock may not be reissued.</w:t>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there were outstanding options to purchase 15,999,363 shares of our Class B common stock.</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140" w:right="799"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there were outstanding restricted stock units representing 45,151 shares of our Class B common stock.</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2020, there were outstanding 125,488 shares of restricted Class B common stock.</w:t>
      </w:r>
    </w:p>
    <w:p>
      <w:pPr>
        <w:spacing w:after="0" w:line="117"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On July 10, 2020 and July 21, 2020, we granted a total of 179,188 and 6,136 shares of restricted stock and restricted stock units, respectively, under our 2015 Plan, at a grant date fair value of $15.48 per share, all of which were subject to performance-based vesting as determined by the achievement of certain business growth targets which include growth in annual recurring revenues as well as actual bookings for perpetual licenses and non-recurring services. Annual performance targets are seasonalized and targets are set for quarterly and annual performance periods ending on December 31, 2020. These performance-based restricted shares carry dividend, but not voting rights.</w:t>
      </w:r>
    </w:p>
    <w:p>
      <w:pPr>
        <w:spacing w:after="0" w:line="79"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On July 10, 2020, we granted a total of 189,188 shares of restricted stock and restricted stock units under the 2015 Plan at a grant date fair value of $15.48 per share, of which 179,188 vest ratably on each of the first four anniversaries of the grant date and 10,000 vest ratably on July 13, 2021 and the three subsequent anniversaries of that date. These restricted shares and units do not have voting rights and any dividends declared accrue on such shares and are paid only upon vesting.</w:t>
      </w:r>
    </w:p>
    <w:p>
      <w:pPr>
        <w:spacing w:after="0" w:line="75"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On July 10, 2020, our board of directors approved the grant of 994,912 total shares of restricted stock and restricted stock units under the 2015 Plan to substantially all of our full-time colleagues, including 680 shares to each named executive officer, that vest upon the earlier of December 31, 2020 or the consummation of this offering.</w:t>
      </w:r>
    </w:p>
    <w:p>
      <w:pPr>
        <w:spacing w:after="0" w:line="176"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On July 21, 2020, we granted a total of 1,020,472 shares of restricted stock and restricted stock units under the 2015 Plan at a grant date fair value of $15.48 per share, which vest ratably on each of the first four anniversaries of the grant date. These restricted shares and units do not have voting rights and any dividends declared accrue on such shares and are paid only upon vesting.</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DCP Phantom Shares</w:t>
      </w:r>
    </w:p>
    <w:p>
      <w:pPr>
        <w:spacing w:after="0" w:line="12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As of June 30, 2020, there were outstanding 27,941,520 phantom shares of our Class B common stock pursuant to our DCPs. See the section titled “Executive and Director Compensation—Other Benefits and Perquisites—Nonqualified Deferred Compensation.”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3" w:name="page204"/>
    <w:bookmarkEnd w:id="20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Transactions—Registration Rights Agreement” for more information about registration rights of existing stockholders.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40" w:right="239" w:firstLine="324"/>
        <w:spacing w:after="0" w:line="255"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of the DGCL summarized below may have an anti-takeover effect and may delay, deter, or prevent a tender offer or takeover attempt that you might consider in your best interest, including an attempt that might result in your receipt of a premium over the market price for your shares of Class B common stock.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08" w:lineRule="exact"/>
        <w:rPr>
          <w:sz w:val="20"/>
          <w:szCs w:val="20"/>
          <w:color w:val="auto"/>
        </w:rPr>
      </w:pPr>
    </w:p>
    <w:p>
      <w:pPr>
        <w:ind w:left="140" w:right="179" w:firstLine="324"/>
        <w:spacing w:after="0" w:line="223" w:lineRule="auto"/>
        <w:rPr>
          <w:sz w:val="20"/>
          <w:szCs w:val="20"/>
          <w:color w:val="auto"/>
        </w:rPr>
      </w:pPr>
      <w:r>
        <w:rPr>
          <w:rFonts w:ascii="Times New Roman" w:cs="Times New Roman" w:eastAsia="Times New Roman" w:hAnsi="Times New Roman"/>
          <w:sz w:val="18"/>
          <w:szCs w:val="18"/>
          <w:color w:val="auto"/>
        </w:rPr>
        <w:t>We intend to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However, in our case, the Bentley Family and any of their respective direct or indirect transferees receiving 15% or more of our outstanding voting stock will not be deemed to be interested stockholders regardless of the percentage of our outstanding voting stock owned by them, and accordingly will not be subject to such restrictions.</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94" w:lineRule="exact"/>
        <w:rPr>
          <w:sz w:val="20"/>
          <w:szCs w:val="20"/>
          <w:color w:val="auto"/>
        </w:rPr>
      </w:pPr>
    </w:p>
    <w:p>
      <w:pPr>
        <w:ind w:left="140" w:right="259" w:firstLine="324"/>
        <w:spacing w:after="0" w:line="23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5" w:lineRule="exact"/>
        <w:rPr>
          <w:sz w:val="20"/>
          <w:szCs w:val="20"/>
          <w:color w:val="auto"/>
        </w:rPr>
      </w:pPr>
    </w:p>
    <w:p>
      <w:pPr>
        <w:ind w:left="1120" w:right="299" w:hanging="328"/>
        <w:spacing w:after="0" w:line="225" w:lineRule="auto"/>
        <w:tabs>
          <w:tab w:leader="none" w:pos="11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Pursuant to Section 228 of the DGCL, any action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if the Bentley Family ceases to own a majority of the voting power of our outstanding capital stock.</w:t>
      </w:r>
    </w:p>
    <w:p>
      <w:pPr>
        <w:spacing w:after="0" w:line="49" w:lineRule="exact"/>
        <w:rPr>
          <w:rFonts w:ascii="Times New Roman" w:cs="Times New Roman" w:eastAsia="Times New Roman" w:hAnsi="Times New Roman"/>
          <w:sz w:val="18"/>
          <w:szCs w:val="18"/>
          <w:color w:val="auto"/>
        </w:rPr>
      </w:pPr>
    </w:p>
    <w:p>
      <w:pPr>
        <w:ind w:left="1120" w:right="199" w:hanging="328"/>
        <w:spacing w:after="0" w:line="228" w:lineRule="auto"/>
        <w:tabs>
          <w:tab w:leader="none" w:pos="11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amended and restated certificate of incorporation and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by-laws further provide that special meetings of our stockholders may be called only by a majority of our total number of directors, the chair of our board of directors, our chief executive officer, or our president (in the absence of a chief executive officer). This provision could have the effect of preventing or delaying significant corporate actions that would otherwise be taken by the holders of at least a majority of the combined voting power of our Class A and Class B common stock.</w:t>
      </w:r>
    </w:p>
    <w:p>
      <w:pPr>
        <w:spacing w:after="0" w:line="62" w:lineRule="exact"/>
        <w:rPr>
          <w:rFonts w:ascii="Times New Roman" w:cs="Times New Roman" w:eastAsia="Times New Roman" w:hAnsi="Times New Roman"/>
          <w:sz w:val="18"/>
          <w:szCs w:val="18"/>
          <w:color w:val="auto"/>
        </w:rPr>
      </w:pPr>
    </w:p>
    <w:p>
      <w:pPr>
        <w:ind w:left="1120" w:right="279" w:hanging="328"/>
        <w:spacing w:after="0" w:line="256" w:lineRule="auto"/>
        <w:tabs>
          <w:tab w:leader="none" w:pos="112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if proper procedures are not followed. We expect that these provisions may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4" w:name="page205"/>
    <w:bookmarkEnd w:id="20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120" w:right="179"/>
        <w:spacing w:after="0" w:line="282" w:lineRule="auto"/>
        <w:rPr>
          <w:sz w:val="20"/>
          <w:szCs w:val="20"/>
          <w:color w:val="auto"/>
        </w:rPr>
      </w:pPr>
      <w:r>
        <w:rPr>
          <w:rFonts w:ascii="Times New Roman" w:cs="Times New Roman" w:eastAsia="Times New Roman" w:hAnsi="Times New Roman"/>
          <w:sz w:val="18"/>
          <w:szCs w:val="18"/>
          <w:color w:val="auto"/>
        </w:rPr>
        <w:t>also discourage or deter a potential acquirer from conducting a solicitation of proxies to elect the acquirer’s own slate of directors or otherwise attempting to obtain control of our company.</w:t>
      </w:r>
    </w:p>
    <w:p>
      <w:pPr>
        <w:spacing w:after="0" w:line="11" w:lineRule="exact"/>
        <w:rPr>
          <w:sz w:val="20"/>
          <w:szCs w:val="20"/>
          <w:color w:val="auto"/>
        </w:rPr>
      </w:pPr>
    </w:p>
    <w:p>
      <w:pPr>
        <w:ind w:left="1120" w:right="199" w:hanging="328"/>
        <w:spacing w:after="0" w:line="226" w:lineRule="auto"/>
        <w:tabs>
          <w:tab w:leader="none" w:pos="112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Class A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be available for future issuance without stockholder approval, subject to any limitations imposed by the listing standards of The Nasdaq Global Select Market. These additional shares may be utilized for a variety of corporate purposes, including future public offerings to raise additional capital, corporate acquisitions and employee benefit plans. The existence of authorized but unissued shares of Class A and Class B common stock enables our board of directors to make more difficult or to discourage an attempt to obtain control of us by means of a merger, tender offer, proxy contest or otherwise.</w:t>
      </w:r>
    </w:p>
    <w:p>
      <w:pPr>
        <w:spacing w:after="0" w:line="53" w:lineRule="exact"/>
        <w:rPr>
          <w:rFonts w:ascii="Times New Roman" w:cs="Times New Roman" w:eastAsia="Times New Roman" w:hAnsi="Times New Roman"/>
          <w:sz w:val="18"/>
          <w:szCs w:val="18"/>
          <w:color w:val="auto"/>
        </w:rPr>
      </w:pPr>
    </w:p>
    <w:p>
      <w:pPr>
        <w:ind w:left="1120" w:right="219" w:hanging="328"/>
        <w:spacing w:after="0" w:line="228" w:lineRule="auto"/>
        <w:tabs>
          <w:tab w:leader="none" w:pos="112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amended and restated certificate of incorporation allows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without prior stockholder approval, issue shares of authorized, undesignated preferred stock with dividend, liquidation, conversion, voting or other rights that could adversely affect the relative voting power or other rights of our common stock. The existence of such authorized but unissued shares of preferred stock may enable our board of directors to discourage an attempt to acquire control of our company, whether by means of a merger, tender offer, proxy contest or otherwise.</w:t>
      </w:r>
    </w:p>
    <w:p>
      <w:pPr>
        <w:spacing w:after="0" w:line="48" w:lineRule="exact"/>
        <w:rPr>
          <w:rFonts w:ascii="Times New Roman" w:cs="Times New Roman" w:eastAsia="Times New Roman" w:hAnsi="Times New Roman"/>
          <w:sz w:val="18"/>
          <w:szCs w:val="18"/>
          <w:color w:val="auto"/>
        </w:rPr>
      </w:pPr>
    </w:p>
    <w:p>
      <w:pPr>
        <w:ind w:left="1120" w:right="399" w:hanging="328"/>
        <w:spacing w:after="0" w:line="237" w:lineRule="auto"/>
        <w:tabs>
          <w:tab w:leader="none" w:pos="112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cumulate votes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unless a corporation’s certificate of incorporation provides otherwise. Our amended and restated certificate of incorporation will not provide for cumulative voting.</w:t>
      </w:r>
    </w:p>
    <w:p>
      <w:pPr>
        <w:spacing w:after="0" w:line="34" w:lineRule="exact"/>
        <w:rPr>
          <w:rFonts w:ascii="Times New Roman" w:cs="Times New Roman" w:eastAsia="Times New Roman" w:hAnsi="Times New Roman"/>
          <w:sz w:val="18"/>
          <w:szCs w:val="18"/>
          <w:color w:val="auto"/>
        </w:rPr>
      </w:pPr>
    </w:p>
    <w:p>
      <w:pPr>
        <w:ind w:left="1120" w:right="179" w:hanging="328"/>
        <w:spacing w:after="0" w:line="229" w:lineRule="auto"/>
        <w:tabs>
          <w:tab w:leader="none" w:pos="112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of Certificate of Incorporation or By-laws. </w:t>
      </w:r>
      <w:r>
        <w:rPr>
          <w:rFonts w:ascii="Times New Roman" w:cs="Times New Roman" w:eastAsia="Times New Roman" w:hAnsi="Times New Roman"/>
          <w:sz w:val="17"/>
          <w:szCs w:val="17"/>
          <w:color w:val="auto"/>
        </w:rPr>
        <w:t>The DGCL provides generally that the affirmative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pursuant to the affirmative vote of the holders of at least 66</w:t>
      </w:r>
      <w:r>
        <w:rPr>
          <w:rFonts w:ascii="Times New Roman" w:cs="Times New Roman" w:eastAsia="Times New Roman" w:hAnsi="Times New Roman"/>
          <w:sz w:val="13"/>
          <w:szCs w:val="13"/>
          <w:color w:val="auto"/>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voting power of the capital stock of the corporation. In addition, the affirmative vote of the holders of at least</w:t>
      </w:r>
    </w:p>
    <w:p>
      <w:pPr>
        <w:spacing w:after="0" w:line="3" w:lineRule="exact"/>
        <w:rPr>
          <w:rFonts w:ascii="Times New Roman" w:cs="Times New Roman" w:eastAsia="Times New Roman" w:hAnsi="Times New Roman"/>
          <w:sz w:val="17"/>
          <w:szCs w:val="17"/>
          <w:color w:val="auto"/>
        </w:rPr>
      </w:pPr>
    </w:p>
    <w:p>
      <w:pPr>
        <w:ind w:left="1120" w:right="239"/>
        <w:spacing w:after="0" w:line="2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the capital stock of the corporation will be required to amend or repeal or to adopt any provisions inconsistent with any of the provisions of our certificate described above.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Stockholder Litigation Matters</w:t>
      </w:r>
    </w:p>
    <w:p>
      <w:pPr>
        <w:spacing w:after="0" w:line="108" w:lineRule="exact"/>
        <w:rPr>
          <w:sz w:val="20"/>
          <w:szCs w:val="20"/>
          <w:color w:val="auto"/>
        </w:rPr>
      </w:pPr>
    </w:p>
    <w:p>
      <w:pPr>
        <w:ind w:left="140" w:right="239" w:firstLine="324"/>
        <w:spacing w:after="0" w:line="22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any derivative action or proceeding brought on our behalf; any action asserting a breach of fiduciary duty owed to us; any action asserting a claim arising pursuant to the DGCL, our amended and restated certificate of incorporation or our amended and restated by-laws; any action to interpret, apply, enforce or determine the validity of any provision of our amended and restated certificate of incorporation or our amended and restated by-laws; or any action asserting a claim that is governed by the internal affairs doctrine. The federal district court for the District of Delaware will be the exclusive forum for any claims brought under the Securities Act or the Exchange Act, as the Company is incorporated in the State of Delaware.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left="140" w:right="779"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“Executive and Director Compensation—Limitations on Liability and Indemnification Matters.”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We have applied to have our Class B common stock approved for listing on The Nasdaq Global Select Market under the symbol “BSY.” Our Class A common stock will not be listed on any stock market or exchange.</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08" w:lineRule="exact"/>
        <w:rPr>
          <w:sz w:val="20"/>
          <w:szCs w:val="20"/>
          <w:color w:val="auto"/>
        </w:rPr>
      </w:pPr>
    </w:p>
    <w:p>
      <w:pPr>
        <w:ind w:left="140" w:right="279" w:firstLine="324"/>
        <w:spacing w:after="0" w:line="250"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5" w:name="page206"/>
    <w:bookmarkEnd w:id="20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21"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and a liquid trading market for our common stock may not develop or be sustained after this offering. We cannot predict the effect, if any, that market sales of shares of our common stock or the availability of shares of our common stock for sale will have on the market price of our common stock prevailing from time to time. Future sales of substantial amounts of our Class B common stock in the public market, or the perception that such sales could occur, could adversely affect market prices prevailing from time to time, may make it more difficult for you to sell your Class B common stock at a time and price that you deem appropriate and could impair our ability to raise capital through the sale of our equity securities. Furthermore, because only a limited number of shares will be available for sale shortly after this offering due to existing contractual and legal restrictions on resale as described below, there may be sales of substantial amounts of our Class B common stock in the public market after the restrictions lapse. This circumstance may adversely affect the prevailing market price and our ability to raise equity capital in the future. Although we have applied to list our Class B common stock on The Nasdaq Global Select Market under the symbol “BSY,” we cannot assure you that there will be an active public market for our Class B common stock.</w:t>
      </w:r>
    </w:p>
    <w:p>
      <w:pPr>
        <w:spacing w:after="0" w:line="79" w:lineRule="exact"/>
        <w:rPr>
          <w:sz w:val="20"/>
          <w:szCs w:val="20"/>
          <w:color w:val="auto"/>
        </w:rPr>
      </w:pPr>
    </w:p>
    <w:p>
      <w:pPr>
        <w:ind w:left="140" w:right="219" w:firstLine="324"/>
        <w:spacing w:after="0" w:line="257"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2020 and after giving effect to (A) 994,912 total shares of restricted Class B common stock and restricted stock units issued in July 2020 that will vest automatically upon the consummation of this offering, reduced by 32,238 of such restricted stock units that will be settled in cash, and (B)</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shares of Class B common stock to be sold in this offering following the exercise of stock options for such</w:t>
      </w:r>
    </w:p>
    <w:p>
      <w:pPr>
        <w:spacing w:after="0" w:line="9" w:lineRule="exact"/>
        <w:rPr>
          <w:sz w:val="20"/>
          <w:szCs w:val="20"/>
          <w:color w:val="auto"/>
        </w:rPr>
      </w:pPr>
    </w:p>
    <w:p>
      <w:pPr>
        <w:ind w:left="140" w:right="159"/>
        <w:spacing w:after="0" w:line="250" w:lineRule="auto"/>
        <w:rPr>
          <w:sz w:val="20"/>
          <w:szCs w:val="20"/>
          <w:color w:val="auto"/>
        </w:rPr>
      </w:pPr>
      <w:r>
        <w:rPr>
          <w:rFonts w:ascii="Times New Roman" w:cs="Times New Roman" w:eastAsia="Times New Roman" w:hAnsi="Times New Roman"/>
          <w:sz w:val="18"/>
          <w:szCs w:val="18"/>
          <w:color w:val="auto"/>
        </w:rPr>
        <w:t>shares, upon the closing of this offering, 11,601,757 shares of our Class A common stock and shares of our Class B common stock will be outstanding. Of the shares to be outstanding immediately after the closing of this offering,</w:t>
      </w:r>
    </w:p>
    <w:p>
      <w:pPr>
        <w:spacing w:after="0" w:line="1" w:lineRule="exact"/>
        <w:rPr>
          <w:sz w:val="20"/>
          <w:szCs w:val="20"/>
          <w:color w:val="auto"/>
        </w:rPr>
      </w:pPr>
    </w:p>
    <w:p>
      <w:pPr>
        <w:jc w:val="both"/>
        <w:ind w:left="140" w:right="499"/>
        <w:spacing w:after="0" w:line="260" w:lineRule="auto"/>
        <w:rPr>
          <w:sz w:val="20"/>
          <w:szCs w:val="20"/>
          <w:color w:val="auto"/>
        </w:rPr>
      </w:pPr>
      <w:r>
        <w:rPr>
          <w:rFonts w:ascii="Times New Roman" w:cs="Times New Roman" w:eastAsia="Times New Roman" w:hAnsi="Times New Roman"/>
          <w:sz w:val="18"/>
          <w:szCs w:val="18"/>
          <w:color w:val="auto"/>
        </w:rPr>
        <w:t>the shares of our Class B common stock to be sold in this offering will be freely tradable without restriction under the Securities Act unless purchased by our “affiliates,” as that term is defined in Rule 144 under the Securities Act.</w:t>
      </w:r>
    </w:p>
    <w:p>
      <w:pPr>
        <w:spacing w:after="0" w:line="289" w:lineRule="exact"/>
        <w:rPr>
          <w:sz w:val="20"/>
          <w:szCs w:val="20"/>
          <w:color w:val="auto"/>
        </w:rPr>
      </w:pPr>
    </w:p>
    <w:p>
      <w:pPr>
        <w:ind w:left="140" w:right="259" w:firstLine="324"/>
        <w:spacing w:after="0" w:line="282" w:lineRule="auto"/>
        <w:rPr>
          <w:sz w:val="20"/>
          <w:szCs w:val="20"/>
          <w:color w:val="auto"/>
        </w:rPr>
      </w:pPr>
      <w:r>
        <w:rPr>
          <w:rFonts w:ascii="Times New Roman" w:cs="Times New Roman" w:eastAsia="Times New Roman" w:hAnsi="Times New Roman"/>
          <w:sz w:val="18"/>
          <w:szCs w:val="18"/>
          <w:color w:val="auto"/>
        </w:rPr>
        <w:t>The remaining shares of our Class B common stock and all of the shares of our Class A common stock will be “restricted securities” under Rule 144.</w:t>
      </w:r>
    </w:p>
    <w:p>
      <w:pPr>
        <w:spacing w:after="0" w:line="54" w:lineRule="exact"/>
        <w:rPr>
          <w:sz w:val="20"/>
          <w:szCs w:val="20"/>
          <w:color w:val="auto"/>
        </w:rPr>
      </w:pPr>
    </w:p>
    <w:p>
      <w:pPr>
        <w:ind w:left="140" w:right="459" w:firstLine="324"/>
        <w:spacing w:after="0" w:line="282"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Rules 144 and 701 under the Securities Act, these restricted securities will be available for sale in the public market as follows:</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Available for Sale</w:t>
            </w: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Eligible</w:t>
            </w:r>
          </w:p>
        </w:tc>
        <w:tc>
          <w:tcPr>
            <w:tcW w:w="37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3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Sale</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 of Prospectus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sold in the offering</w:t>
            </w:r>
          </w:p>
        </w:tc>
        <w:tc>
          <w:tcPr>
            <w:tcW w:w="0" w:type="dxa"/>
            <w:vAlign w:val="bottom"/>
          </w:tcPr>
          <w:p>
            <w:pPr>
              <w:spacing w:after="0"/>
              <w:rPr>
                <w:sz w:val="1"/>
                <w:szCs w:val="1"/>
                <w:color w:val="auto"/>
              </w:rPr>
            </w:pPr>
          </w:p>
        </w:tc>
      </w:tr>
      <w:tr>
        <w:trPr>
          <w:trHeight w:val="179"/>
        </w:trPr>
        <w:tc>
          <w:tcPr>
            <w:tcW w:w="3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Shares salable under Rule 144 that are not subject</w:t>
            </w:r>
          </w:p>
        </w:tc>
        <w:tc>
          <w:tcPr>
            <w:tcW w:w="0" w:type="dxa"/>
            <w:vAlign w:val="bottom"/>
          </w:tcPr>
          <w:p>
            <w:pPr>
              <w:spacing w:after="0"/>
              <w:rPr>
                <w:sz w:val="1"/>
                <w:szCs w:val="1"/>
                <w:color w:val="auto"/>
              </w:rPr>
            </w:pPr>
          </w:p>
        </w:tc>
      </w:tr>
      <w:tr>
        <w:trPr>
          <w:trHeight w:val="25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 of Prospectus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to a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6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Shares salable under Rules 144 and 701 that are not</w:t>
            </w:r>
          </w:p>
        </w:tc>
        <w:tc>
          <w:tcPr>
            <w:tcW w:w="0" w:type="dxa"/>
            <w:vAlign w:val="bottom"/>
          </w:tcPr>
          <w:p>
            <w:pPr>
              <w:spacing w:after="0"/>
              <w:rPr>
                <w:sz w:val="1"/>
                <w:szCs w:val="1"/>
                <w:color w:val="auto"/>
              </w:rPr>
            </w:pPr>
          </w:p>
        </w:tc>
      </w:tr>
      <w:tr>
        <w:trPr>
          <w:trHeight w:val="25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90 Days after Date of Prospectus</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subject to a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released; shares salable under Rules 144</w:t>
            </w: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 Days after Date of Prospectus</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701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In addition, of the 15,999,363 shares of Class B common stock that were issuable upon exercise of stock options outstanding as of June 30, 2020, options to purchase 8,412,928 shares of our Class B common stock were exercisable as of that date, and upon exercise these shares will be eligible for sale, subject to the lock-up agreements described below and Rules 144 and 701 under the Securities Act.</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our directors, executive officers, and holders of substantially all of our common stock and securities convertible into or exchangeable for our common stock (including the selling stockholders, but excluding the shares sold by them in this offering) have entered into lock up agreements with Goldman Sachs &amp; Co. LLC (“Goldman Sachs”) under which they may not, subject to specific exceptions, sell any of our common stock for 180 days after the date of this prospectus without the prior written consent of Goldman Sachs. Goldman Sachs may, at its discretion, remove or reduce the lock-up restrictions applicable to any number of shares of our common stock on terms and conditions and in ratios and numbers that it may fix in its sole discretion. Siemens is subject to a contractual lock-up pursuant to the Common Stock Agreement with us, as described in the section titled “Certain Relationships and Related Party Transactions—Our Relationship with Siemens—Common Stock Purchase Agreement.” See the section titled “Underwriting.”</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6" w:name="page207"/>
    <w:bookmarkEnd w:id="20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jc w:val="both"/>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After this offering, our colleagues, including our executive officers and our directors, may enter into written trading plans that are intended to comply with Rule 10b5-1 under the Exchange Act. Sales under these trading plans would not be permitted until the expiration of the lock-up provisions described above.</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requirements of Rule 144.</w:t>
      </w:r>
    </w:p>
    <w:p>
      <w:pPr>
        <w:spacing w:after="0" w:line="84"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within any three-month period beginning 90 days after the date of this prospectus, a number of shares that does not exceed the greater of:</w:t>
      </w:r>
    </w:p>
    <w:p>
      <w:pPr>
        <w:spacing w:after="0" w:line="68" w:lineRule="exact"/>
        <w:rPr>
          <w:sz w:val="20"/>
          <w:szCs w:val="20"/>
          <w:color w:val="auto"/>
        </w:rPr>
      </w:pPr>
    </w:p>
    <w:p>
      <w:pPr>
        <w:jc w:val="right"/>
        <w:ind w:left="1840" w:right="399" w:hanging="1048"/>
        <w:spacing w:after="0" w:line="276" w:lineRule="auto"/>
        <w:tabs>
          <w:tab w:leader="none" w:pos="113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Class B common stock then outstanding, which will equal approximately shares immediately after our initial public offering based on shares outstanding as of June 30,</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2020; or</w:t>
      </w:r>
    </w:p>
    <w:p>
      <w:pPr>
        <w:spacing w:after="0" w:line="99" w:lineRule="exact"/>
        <w:rPr>
          <w:sz w:val="20"/>
          <w:szCs w:val="20"/>
          <w:color w:val="auto"/>
        </w:rPr>
      </w:pPr>
    </w:p>
    <w:p>
      <w:pPr>
        <w:ind w:left="1120" w:right="159" w:hanging="328"/>
        <w:spacing w:after="0" w:line="282" w:lineRule="auto"/>
        <w:tabs>
          <w:tab w:leader="none" w:pos="11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B common stock during the four calendar weeks preceding the filing of a notice on Form 144 with respect to such sale.</w:t>
      </w:r>
    </w:p>
    <w:p>
      <w:pPr>
        <w:spacing w:after="0" w:line="54"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Rule 144 does not supersede the terms of the lock-up agreements described above, which may restrict sales of shares of our Class B common stock for 180 days from the date of this prospectus. Sales under Rule 144 by our affiliates or persons selling shares on behalf of our affiliates are also subject to certain manner of sale provisions and notice requirements and to the availability of current public information about us.</w:t>
      </w: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40" w:right="259" w:firstLine="324"/>
        <w:spacing w:after="0" w:line="258" w:lineRule="auto"/>
        <w:rPr>
          <w:sz w:val="20"/>
          <w:szCs w:val="20"/>
          <w:color w:val="auto"/>
        </w:rPr>
      </w:pPr>
      <w:r>
        <w:rPr>
          <w:rFonts w:ascii="Times New Roman" w:cs="Times New Roman" w:eastAsia="Times New Roman" w:hAnsi="Times New Roman"/>
          <w:sz w:val="18"/>
          <w:szCs w:val="18"/>
          <w:color w:val="auto"/>
        </w:rPr>
        <w:t>Under Rule 701, common stock acquired upon the exercise of certain currently outstanding options or pursuant to other rights granted under our stock plans may be resold, to the extent not subject to lock-up agreements, (a) by persons other than affiliates, beginning 90 days after the effective date of this offering, and (b) by affiliates, subject to the manner-of-sale, volume limitations, current public information and filing requirements of Rule 144, in each case, without compliance with the holding period requirement of Rule 144.</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Common Stock Purchase Agreement, we and an affiliate of Siemens entered into a registration rights agreement. Beginning eighteen months following the effectiveness of the registration statement of which this prospectus forms a part, Siemens may request one consummated registration by the Company of its shares on Form S-1 and unlimited registrations on Form S-3 (to the extent available, and no more than two per year). In addition, subject to certain exceptions, if we propose to register any of our securities under the Securities Act in connection with the public offering of such securities, upon the request of Siemens, we will register all of the capital stock that Siemens has requested to be included in such registration, subject to any proportionate cut back at the request of any underwriter used in connection with such registration. In connection with any of these the registrations, we will indemnify Siemens and we will bear all fees, costs and expenses (except underwriting commissions and discounts).</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21"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covering all of the shares of our Class B common stock issuable or reserved for issuance under our 2015 Equity Incentive Plan, the DCP, the 2020 Incentive Award Plan, the Global ESPP and our future compensation plans and programs currently under consideration. We expect to file that registration statement as soon as practicable after this offering. To the extent not subject to the Rule 144 limitations applicable to affiliates, vesting restrictions, and lock-up agreements, the shares registered on Form S-8 will be eligible for resale.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7" w:name="page208"/>
    <w:bookmarkEnd w:id="20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21"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84"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75" w:lineRule="exact"/>
        <w:rPr>
          <w:sz w:val="20"/>
          <w:szCs w:val="20"/>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120" w:right="89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120" w:right="29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120" w:right="79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 and</w:t>
      </w:r>
    </w:p>
    <w:p>
      <w:pPr>
        <w:spacing w:after="0" w:line="53"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54"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68"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OR LEGAL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8" w:name="page209"/>
    <w:bookmarkEnd w:id="20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21"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8" w:lineRule="exact"/>
        <w:rPr>
          <w:sz w:val="20"/>
          <w:szCs w:val="20"/>
          <w:color w:val="auto"/>
        </w:rPr>
      </w:pPr>
    </w:p>
    <w:p>
      <w:pPr>
        <w:ind w:left="1120" w:hanging="328"/>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120" w:right="319" w:hanging="328"/>
        <w:spacing w:after="0" w:line="282" w:lineRule="auto"/>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120" w:hanging="328"/>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120" w:right="279" w:hanging="328"/>
        <w:spacing w:after="0" w:line="266" w:lineRule="auto"/>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As described in the section titled “Dividend Policy,” the declaration and payment of dividends is within the discretion of our board of directors.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common stock will be subject to U.S. federal withholding tax at a rate of 30% of the gross amount of the dividends (or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such lower rate specified by an applicable income tax treaty, provided the Non-U.S. Holder furnishes a valid IRS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Form W-8BEN or W-8BEN-E (or other applicable documentation) certifying qualification for the lower treaty rate). If a</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Non-U.S. Holder holds the stock through a financial institution or other intermediary, the Non-U.S. Holder will be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required to provide appropriate documentation to the intermediary, which then will be required to provide certification to</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applicable withholding agent, either directly or through other intermediaries. A Non-U.S. Holder that does not timely</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furnish the required documentation, but that qualifies for a reduced treaty rate, may obtain a refund of any excess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withheld by timely filing an appropriate claim for refund with the IRS. Non-U.S. Holders should consult their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tax advisors regarding their entitlement to benefits under any applicable income tax treaty.</w:t>
      </w:r>
    </w:p>
    <w:p>
      <w:pPr>
        <w:spacing w:after="0" w:line="99"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79"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75" w:lineRule="exact"/>
        <w:rPr>
          <w:sz w:val="20"/>
          <w:szCs w:val="20"/>
          <w:color w:val="auto"/>
        </w:rPr>
      </w:pPr>
    </w:p>
    <w:p>
      <w:pPr>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9" w:name="page210"/>
    <w:bookmarkEnd w:id="20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21" w:lineRule="exact"/>
        <w:rPr>
          <w:sz w:val="20"/>
          <w:szCs w:val="20"/>
          <w:color w:val="auto"/>
        </w:rPr>
      </w:pPr>
    </w:p>
    <w:p>
      <w:pPr>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54" w:lineRule="exact"/>
        <w:rPr>
          <w:sz w:val="20"/>
          <w:szCs w:val="20"/>
          <w:color w:val="auto"/>
        </w:rPr>
      </w:pPr>
    </w:p>
    <w:p>
      <w:pPr>
        <w:ind w:left="1120" w:right="579" w:hanging="328"/>
        <w:spacing w:after="0" w:line="266" w:lineRule="auto"/>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120" w:right="479" w:hanging="328"/>
        <w:spacing w:after="0" w:line="282" w:lineRule="auto"/>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53" w:lineRule="exact"/>
        <w:rPr>
          <w:rFonts w:ascii="Times New Roman" w:cs="Times New Roman" w:eastAsia="Times New Roman" w:hAnsi="Times New Roman"/>
          <w:sz w:val="18"/>
          <w:szCs w:val="18"/>
          <w:color w:val="auto"/>
        </w:rPr>
      </w:pPr>
    </w:p>
    <w:p>
      <w:pPr>
        <w:ind w:left="1120" w:right="339" w:hanging="328"/>
        <w:spacing w:after="0" w:line="282" w:lineRule="auto"/>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(“USRPHC”), for U.S. federal income tax purposes.</w:t>
      </w:r>
    </w:p>
    <w:p>
      <w:pPr>
        <w:spacing w:after="0" w:line="54"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72"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any gain,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72" w:lineRule="exact"/>
        <w:rPr>
          <w:sz w:val="20"/>
          <w:szCs w:val="20"/>
          <w:color w:val="auto"/>
        </w:rPr>
      </w:pPr>
    </w:p>
    <w:p>
      <w:pPr>
        <w:ind w:left="140" w:right="599" w:firstLine="324"/>
        <w:spacing w:after="0" w:line="282"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w:t>
      </w:r>
    </w:p>
    <w:p>
      <w:pPr>
        <w:spacing w:after="0" w:line="54" w:lineRule="exact"/>
        <w:rPr>
          <w:sz w:val="20"/>
          <w:szCs w:val="20"/>
          <w:color w:val="auto"/>
        </w:rPr>
      </w:pPr>
    </w:p>
    <w:p>
      <w:pPr>
        <w:ind w:left="140" w:right="459" w:firstLine="324"/>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Payments of dividends on our common stock to a Non-U.S. Holder generally will not be subject to backup withholding, provided the Non-U.S. Holder certifies its non-U.S. status, such as by furnishing a valid IRS Form W-8BEN, W-8BEN-E or W-8ECI, or otherwise establishes an exemption. Notwithstanding the foregoing, backup withholding may apply if the applicable withholding agent has actual knowledge, or reason to know, that the holder is a United States person that is not an exempt recipient.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(other than certain U.S.-related brokers) generally will not be subject to backup withholding or information reporting.</w:t>
      </w:r>
    </w:p>
    <w:p>
      <w:pPr>
        <w:spacing w:after="0" w:line="82" w:lineRule="exact"/>
        <w:rPr>
          <w:sz w:val="20"/>
          <w:szCs w:val="20"/>
          <w:color w:val="auto"/>
        </w:rPr>
      </w:pPr>
    </w:p>
    <w:p>
      <w:pPr>
        <w:ind w:left="140" w:right="559" w:firstLine="324"/>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68" w:lineRule="exact"/>
        <w:rPr>
          <w:sz w:val="20"/>
          <w:szCs w:val="20"/>
          <w:color w:val="auto"/>
        </w:rPr>
      </w:pPr>
    </w:p>
    <w:p>
      <w:pPr>
        <w:ind w:left="140" w:right="519"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0" w:name="page211"/>
    <w:bookmarkEnd w:id="21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140" w:right="199" w:firstLine="324"/>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88" w:lineRule="exact"/>
        <w:rPr>
          <w:sz w:val="20"/>
          <w:szCs w:val="20"/>
          <w:color w:val="auto"/>
        </w:rPr>
      </w:pPr>
    </w:p>
    <w:p>
      <w:pPr>
        <w:ind w:left="140" w:right="359" w:firstLine="324"/>
        <w:spacing w:after="0" w:line="258"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75"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Prospective Non-U.S. Holders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1" w:name="page212"/>
    <w:bookmarkEnd w:id="21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140" w:right="379" w:firstLine="324"/>
        <w:spacing w:after="0" w:line="261" w:lineRule="auto"/>
        <w:rPr>
          <w:sz w:val="20"/>
          <w:szCs w:val="20"/>
          <w:color w:val="auto"/>
        </w:rPr>
      </w:pPr>
      <w:r>
        <w:rPr>
          <w:rFonts w:ascii="Times New Roman" w:cs="Times New Roman" w:eastAsia="Times New Roman" w:hAnsi="Times New Roman"/>
          <w:sz w:val="18"/>
          <w:szCs w:val="18"/>
          <w:color w:val="auto"/>
        </w:rPr>
        <w:t>We, the selling stockholders and the underwriters named below will enter into an underwriting agreement with respect to the shares being offered. Subject to certain conditions, each underwriter will severally agree to purchase the number of shares indicated in the following table. Goldman Sachs &amp; Co. LLC and BofA Securities, Inc. are the representatives of the underwriters.</w:t>
      </w:r>
    </w:p>
    <w:p>
      <w:pPr>
        <w:spacing w:after="0" w:line="6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300" w:type="dxa"/>
            <w:vAlign w:val="bottom"/>
          </w:tcPr>
          <w:p>
            <w:pPr>
              <w:jc w:val="center"/>
              <w:ind w:left="26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3300" w:type="dxa"/>
            <w:vAlign w:val="bottom"/>
          </w:tcPr>
          <w:p>
            <w:pPr>
              <w:jc w:val="center"/>
              <w:ind w:left="266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-8890</wp:posOffset>
            </wp:positionV>
            <wp:extent cx="4423410"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423410" cy="145415"/>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-19050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-19050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-19050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-19050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-19050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-19050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-19050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-19050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-19050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-19050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-19050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-19050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-19050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-19050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-19050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-19050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-19050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-19050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-19050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-19050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-19050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-19050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-19050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-19050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-19050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-19050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-19050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-19050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-19050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-19050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-19050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-19050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-19050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-19050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-19050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-19050</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-19050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-19050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-19050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-19050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-19050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-19050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-19050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-19050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-19050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-19050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-19050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-19050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-19050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-19050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-19050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-19050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-19050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-19050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-19050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-19050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-19050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-19050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-19050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-19050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-19050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-19050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-19050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-19050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-19050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-19050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-19050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-19050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-19050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-19050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-19050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-19050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-19050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-19050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-19050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-19050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-19050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-19050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-19050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-19050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-19050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-19050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-19050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-19050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-19050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-19050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-19050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-19050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-19050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-19050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-19050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-19050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-19050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-19050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-19050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-19050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-19050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-19050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-19050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-19050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-19050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-19050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-19050</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-19050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-19050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-19050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-19050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-19050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-19050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-19050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-19050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-19050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-19050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-19050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-19050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-19050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-19050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-19050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-19050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-19050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-19050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-19050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-19050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-19050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-19050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-19050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-19050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-19050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-19050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-19050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-19050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-19050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-19050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-19050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-19050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-19050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-19050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-19050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-19050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-19050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-19050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-19050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-19050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-19050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-19050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-19050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-19050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-19050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-19050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-19050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-19050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-19050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-19050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-19050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-19050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-19050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-19050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-19050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-19050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-19050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-19050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-19050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-19050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-19050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-19050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-19050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-19050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-19050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-19050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-19050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-19050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-19050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-19050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-19050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-19050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-19050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-19050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-19050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-19050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-19050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-19050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-19050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-19050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-19050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-19050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-19050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-19050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-19050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-19050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-19050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-19050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-19050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-19050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-19050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-19050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-19050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-19050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-19050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-19050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-19050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-19050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-19050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-19050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-19050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-19050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-19050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-19050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-19050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-19050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-19050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-19050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-19050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-19050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-19050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-19050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-19050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-19050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-19050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-19050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-19050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-19050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5715</wp:posOffset>
            </wp:positionV>
            <wp:extent cx="442341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42341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-19050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-19050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-19050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-19050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-19050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-19050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-19050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-19050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-19050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-19050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-19050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-19050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-19050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-19050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-19050</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-19050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-19050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-19050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-19050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-19050</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-19050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-19050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-19050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-19050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-19050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-19050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-19050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-19050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-19050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-19050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-19050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-19050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-19050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-19050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-19050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-19050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-19050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-19050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-19050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-19050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-19050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-19050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-19050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-19050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-19050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-19050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-19050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-19050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-19050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-19050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-19050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-19050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-19050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-19050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-19050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-19050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-19050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-19050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-19050</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-19050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-19050</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-19050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-19050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-19050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-19050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-19050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-19050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-19050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-19050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-19050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-19050</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-19050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-19050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-19050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-19050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-19050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-19050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-19050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-19050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-19050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-19050</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-19050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-19050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-19050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-19050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-19050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-19050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-19050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-19050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-19050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-19050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-19050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-19050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-19050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-19050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-19050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-19050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-19050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-19050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-19050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-19050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-19050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-19050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-19050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-19050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-19050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-19050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-19050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-19050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-19050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-19050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-19050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-19050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-19050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-19050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-19050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-19050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-19050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-19050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-19050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-19050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-19050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-19050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-19050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-19050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-19050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-19050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-19050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-19050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-19050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-19050</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-19050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-19050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-19050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-19050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-19050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-19050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-19050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-19050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-19050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-19050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-19050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-19050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-19050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-19050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-19050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-19050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-19050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-19050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-19050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-19050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-19050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-19050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-19050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-19050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-19050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-19050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-19050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-19050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-19050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-19050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-19050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-19050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-19050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-19050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-19050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-19050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-19050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-19050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-19050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-19050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-19050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-19050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-19050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-19050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-19050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-19050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-19050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-19050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-19050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-19050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-19050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-19050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-19050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-19050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-19050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-19050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-19050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-19050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-19050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-19050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-19050</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-19050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-19050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-19050</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-19050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-19050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-19050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-19050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-19050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-19050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-19050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-19050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-19050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-19050</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-19050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-19050</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-19050</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-19050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-19050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-19050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-19050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-19050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-19050</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-19050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-19050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-19050</wp:posOffset>
            </wp:positionV>
            <wp:extent cx="825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-19050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-19050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-19050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-19050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5715</wp:posOffset>
            </wp:positionV>
            <wp:extent cx="4423410" cy="13716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42341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-19050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-19050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-19050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-19050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-19050</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-19050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-19050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-19050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-19050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-19050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-19050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-19050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-19050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-19050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-19050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-19050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-19050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-19050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-19050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-19050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-19050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-19050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-19050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-19050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-19050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-19050</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-19050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-19050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-19050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-19050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-19050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-19050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-19050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-19050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-19050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-19050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-19050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-19050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-19050</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-19050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-19050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-19050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-19050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-19050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-19050</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-19050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-19050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-19050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-19050</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-19050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-19050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-19050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-19050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-19050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-19050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-19050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-19050</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-19050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-19050</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-19050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-19050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-19050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-19050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-19050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-19050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-19050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-19050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-19050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-19050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-19050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-19050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-19050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-19050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-19050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-19050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-19050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-19050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-19050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-19050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-19050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-19050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-19050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-19050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-19050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-19050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-19050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-19050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-19050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-19050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-19050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-19050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-19050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-19050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-19050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-19050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-19050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-19050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-19050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-19050</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-19050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-19050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-19050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-19050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-19050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-19050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-19050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-19050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-19050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-19050</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-19050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-19050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-19050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-19050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-19050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-19050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-19050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-19050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-19050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-19050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-19050</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-19050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-19050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-19050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-19050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-19050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-19050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-19050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-19050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-19050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-19050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-19050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-19050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-19050</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-19050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-19050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-19050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-19050</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-19050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-19050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-19050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-19050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-19050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-19050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-19050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-19050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-19050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-19050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-19050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-19050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-19050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-19050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-19050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-19050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-19050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-19050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-19050</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-19050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-19050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-19050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-19050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-19050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-19050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-19050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-19050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-19050</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-19050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-19050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-19050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-19050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-19050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-19050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-19050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-19050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-19050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-19050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-19050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-19050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-19050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-19050</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-19050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-19050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-19050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-19050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-19050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-19050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-19050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-19050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-19050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-19050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-19050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-19050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-19050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-19050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-19050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-19050</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-19050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-19050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-19050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-19050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-19050</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-19050</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-19050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-19050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-19050</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-19050</wp:posOffset>
            </wp:positionV>
            <wp:extent cx="825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-19050</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-19050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-19050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-19050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-19050</wp:posOffset>
            </wp:positionV>
            <wp:extent cx="825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-19050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-19050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-19050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-19050</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-19050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-19050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-19050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-19050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-19050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-19050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-19050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-19050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5715</wp:posOffset>
            </wp:positionV>
            <wp:extent cx="4423410" cy="13716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4423410" cy="137160"/>
                    </a:xfrm>
                    <a:prstGeom prst="rect">
                      <a:avLst/>
                    </a:prstGeom>
                    <a:noFill/>
                  </pic:spPr>
                </pic:pic>
              </a:graphicData>
            </a:graphic>
          </wp:anchor>
        </w:drawing>
      </w:r>
    </w:p>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7"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54"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The underwriters will have an option to buy up to an additional shares from the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72" w:lineRule="exact"/>
        <w:rPr>
          <w:sz w:val="20"/>
          <w:szCs w:val="20"/>
          <w:color w:val="auto"/>
        </w:rPr>
      </w:pPr>
    </w:p>
    <w:p>
      <w:pPr>
        <w:ind w:left="140" w:right="379" w:firstLine="324"/>
        <w:spacing w:after="0" w:line="272" w:lineRule="auto"/>
        <w:rPr>
          <w:sz w:val="20"/>
          <w:szCs w:val="20"/>
          <w:color w:val="auto"/>
        </w:rPr>
      </w:pPr>
      <w:r>
        <w:rPr>
          <w:rFonts w:ascii="Times New Roman" w:cs="Times New Roman" w:eastAsia="Times New Roman" w:hAnsi="Times New Roman"/>
          <w:sz w:val="17"/>
          <w:szCs w:val="17"/>
          <w:color w:val="auto"/>
        </w:rPr>
        <w:t>We have agreed to pay certain expenses in connection with this offering on behalf of the selling stockholders, including all the underwriting discounts and commissions. The following table shows the per share and total underwriting discounts and commissions to be paid to the underwriters by us. Such amounts are shown assuming both</w:t>
      </w:r>
    </w:p>
    <w:p>
      <w:pPr>
        <w:spacing w:after="0" w:line="2" w:lineRule="exact"/>
        <w:rPr>
          <w:sz w:val="20"/>
          <w:szCs w:val="20"/>
          <w:color w:val="auto"/>
        </w:rPr>
      </w:pPr>
    </w:p>
    <w:p>
      <w:pPr>
        <w:ind w:left="140" w:right="779"/>
        <w:spacing w:after="0" w:line="260" w:lineRule="auto"/>
        <w:rPr>
          <w:sz w:val="20"/>
          <w:szCs w:val="20"/>
          <w:color w:val="auto"/>
        </w:rPr>
      </w:pPr>
      <w:r>
        <w:rPr>
          <w:rFonts w:ascii="Times New Roman" w:cs="Times New Roman" w:eastAsia="Times New Roman" w:hAnsi="Times New Roman"/>
          <w:sz w:val="18"/>
          <w:szCs w:val="18"/>
          <w:color w:val="auto"/>
        </w:rPr>
        <w:t>no exercise and full exercise of the underwriters’ option to purchase additional shares from the selling stockholders.</w:t>
      </w:r>
    </w:p>
    <w:p>
      <w:pPr>
        <w:spacing w:after="0" w:line="80"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Full Exercise</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-176530</wp:posOffset>
            </wp:positionV>
            <wp:extent cx="325755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-39370</wp:posOffset>
            </wp:positionV>
            <wp:extent cx="325755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5" w:lineRule="exact"/>
        <w:rPr>
          <w:sz w:val="20"/>
          <w:szCs w:val="20"/>
          <w:color w:val="auto"/>
        </w:rPr>
      </w:pPr>
    </w:p>
    <w:p>
      <w:pPr>
        <w:ind w:left="140" w:right="299" w:firstLine="324"/>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page of this prospectus. Any shares sold by the underwriters to securities dealers may be sold at a discount of</w:t>
      </w:r>
    </w:p>
    <w:p>
      <w:pPr>
        <w:ind w:left="140" w:right="279"/>
        <w:spacing w:after="0" w:line="255" w:lineRule="auto"/>
        <w:rPr>
          <w:sz w:val="20"/>
          <w:szCs w:val="20"/>
          <w:color w:val="auto"/>
        </w:rPr>
      </w:pPr>
      <w:r>
        <w:rPr>
          <w:rFonts w:ascii="Times New Roman" w:cs="Times New Roman" w:eastAsia="Times New Roman" w:hAnsi="Times New Roman"/>
          <w:sz w:val="18"/>
          <w:szCs w:val="18"/>
          <w:color w:val="auto"/>
        </w:rPr>
        <w:t>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78"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our common stock, including the selling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The Company lock-up contained in the underwriting agreement to be entered into by us with the underwriters in this offering will permit us and selling stockholders to sell shares of Class B common stock in an aggregate amount equal to up to 20% of our total Class B common stock outstanding at such time beginning on December 1, 2020. This agreement does not apply to any existing employee benefit plans. See the section titled “Shares Available for Future Sale” for a discussion of certain transfer restrictions.</w:t>
      </w:r>
    </w:p>
    <w:p>
      <w:pPr>
        <w:spacing w:after="0" w:line="80"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the representatives and us.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 We have applied to list the common stock on the Nasdaq Global Select Market under the symbol “BSY.”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2" w:name="page213"/>
    <w:bookmarkEnd w:id="21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199"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our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87"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80" w:lineRule="exact"/>
        <w:rPr>
          <w:sz w:val="20"/>
          <w:szCs w:val="20"/>
          <w:color w:val="auto"/>
        </w:rPr>
      </w:pPr>
    </w:p>
    <w:p>
      <w:pPr>
        <w:ind w:left="140" w:right="199" w:firstLine="324"/>
        <w:spacing w:after="0" w:line="276" w:lineRule="auto"/>
        <w:rPr>
          <w:sz w:val="20"/>
          <w:szCs w:val="20"/>
          <w:color w:val="auto"/>
        </w:rPr>
      </w:pPr>
      <w:r>
        <w:rPr>
          <w:rFonts w:ascii="Times New Roman" w:cs="Times New Roman" w:eastAsia="Times New Roman" w:hAnsi="Times New Roman"/>
          <w:sz w:val="17"/>
          <w:szCs w:val="17"/>
          <w:color w:val="auto"/>
        </w:rPr>
        <w:t>The underwriters do not expect sales to discretionary accounts to exceed five percent of the total number of shares offered. We will agree to reimburse the underwriters for certain FINRA-related expenses incurred by them in connection</w:t>
      </w:r>
    </w:p>
    <w:p>
      <w:pPr>
        <w:spacing w:after="0" w:line="1" w:lineRule="exact"/>
        <w:rPr>
          <w:sz w:val="20"/>
          <w:szCs w:val="20"/>
          <w:color w:val="auto"/>
        </w:rPr>
      </w:pPr>
    </w:p>
    <w:p>
      <w:pPr>
        <w:ind w:left="140"/>
        <w:spacing w:after="0"/>
        <w:tabs>
          <w:tab w:leader="none" w:pos="4040" w:val="left"/>
        </w:tabs>
        <w:rPr>
          <w:sz w:val="20"/>
          <w:szCs w:val="20"/>
          <w:color w:val="auto"/>
        </w:rPr>
      </w:pPr>
      <w:r>
        <w:rPr>
          <w:rFonts w:ascii="Times New Roman" w:cs="Times New Roman" w:eastAsia="Times New Roman" w:hAnsi="Times New Roman"/>
          <w:sz w:val="18"/>
          <w:szCs w:val="18"/>
          <w:color w:val="auto"/>
        </w:rPr>
        <w:t>with the offering in an amount not to exceed $</w:t>
      </w:r>
      <w:r>
        <w:rPr>
          <w:sz w:val="20"/>
          <w:szCs w:val="20"/>
          <w:color w:val="auto"/>
        </w:rPr>
        <w:tab/>
      </w:r>
      <w:r>
        <w:rPr>
          <w:rFonts w:ascii="Times New Roman" w:cs="Times New Roman" w:eastAsia="Times New Roman" w:hAnsi="Times New Roman"/>
          <w:sz w:val="18"/>
          <w:szCs w:val="18"/>
          <w:color w:val="auto"/>
        </w:rPr>
        <w:t>as set forth in the underwriting agreement.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including all underwriting discounts and</w:t>
      </w:r>
    </w:p>
    <w:p>
      <w:pPr>
        <w:spacing w:after="0" w:line="27" w:lineRule="exact"/>
        <w:rPr>
          <w:sz w:val="20"/>
          <w:szCs w:val="20"/>
          <w:color w:val="auto"/>
        </w:rPr>
      </w:pPr>
    </w:p>
    <w:p>
      <w:pPr>
        <w:ind w:left="140"/>
        <w:spacing w:after="0"/>
        <w:tabs>
          <w:tab w:leader="none" w:pos="7620" w:val="left"/>
        </w:tabs>
        <w:rPr>
          <w:sz w:val="20"/>
          <w:szCs w:val="20"/>
          <w:color w:val="auto"/>
        </w:rPr>
      </w:pPr>
      <w:r>
        <w:rPr>
          <w:rFonts w:ascii="Times New Roman" w:cs="Times New Roman" w:eastAsia="Times New Roman" w:hAnsi="Times New Roman"/>
          <w:sz w:val="18"/>
          <w:szCs w:val="18"/>
          <w:color w:val="auto"/>
        </w:rPr>
        <w:t>commissions applicable to the sale of shares by the selling stockholders, will be approximately $</w:t>
      </w:r>
      <w:r>
        <w:rPr>
          <w:sz w:val="20"/>
          <w:szCs w:val="20"/>
          <w:color w:val="auto"/>
        </w:rPr>
        <w:tab/>
      </w:r>
      <w:r>
        <w:rPr>
          <w:rFonts w:ascii="Times New Roman" w:cs="Times New Roman" w:eastAsia="Times New Roman" w:hAnsi="Times New Roman"/>
          <w:sz w:val="16"/>
          <w:szCs w:val="16"/>
          <w:color w:val="auto"/>
        </w:rPr>
        <w:t>.</w:t>
      </w:r>
    </w:p>
    <w:p>
      <w:pPr>
        <w:spacing w:after="0" w:line="99" w:lineRule="exact"/>
        <w:rPr>
          <w:sz w:val="20"/>
          <w:szCs w:val="20"/>
          <w:color w:val="auto"/>
        </w:rPr>
      </w:pPr>
    </w:p>
    <w:p>
      <w:pPr>
        <w:ind w:left="140" w:right="199" w:firstLine="324"/>
        <w:spacing w:after="0" w:line="282" w:lineRule="auto"/>
        <w:rPr>
          <w:sz w:val="20"/>
          <w:szCs w:val="20"/>
          <w:color w:val="auto"/>
        </w:rPr>
      </w:pPr>
      <w:r>
        <w:rPr>
          <w:rFonts w:ascii="Times New Roman" w:cs="Times New Roman" w:eastAsia="Times New Roman" w:hAnsi="Times New Roman"/>
          <w:sz w:val="18"/>
          <w:szCs w:val="18"/>
          <w:color w:val="auto"/>
        </w:rPr>
        <w:t>We and the selling stockholders will agree to indemnify the several underwriters against certain liabilities, including liabilities under the Securities Act.</w:t>
      </w:r>
    </w:p>
    <w:p>
      <w:pPr>
        <w:spacing w:after="0" w:line="54" w:lineRule="exact"/>
        <w:rPr>
          <w:sz w:val="20"/>
          <w:szCs w:val="20"/>
          <w:color w:val="auto"/>
        </w:rPr>
      </w:pPr>
    </w:p>
    <w:p>
      <w:pPr>
        <w:ind w:left="140" w:right="339" w:firstLine="324"/>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An affiliate of BofA Securities, Inc. is a lender under our Credit Facility.</w:t>
      </w:r>
    </w:p>
    <w:p>
      <w:pPr>
        <w:spacing w:after="0" w:line="79" w:lineRule="exact"/>
        <w:rPr>
          <w:sz w:val="20"/>
          <w:szCs w:val="20"/>
          <w:color w:val="auto"/>
        </w:rPr>
      </w:pPr>
    </w:p>
    <w:p>
      <w:pPr>
        <w:ind w:left="140" w:right="299"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3" w:name="page214"/>
    <w:bookmarkEnd w:id="21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21"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has implemented the Prospectus Regulation or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Regulation:</w:t>
      </w:r>
    </w:p>
    <w:p>
      <w:pPr>
        <w:spacing w:after="0" w:line="72" w:lineRule="exact"/>
        <w:rPr>
          <w:sz w:val="20"/>
          <w:szCs w:val="20"/>
          <w:color w:val="auto"/>
        </w:rPr>
      </w:pPr>
    </w:p>
    <w:p>
      <w:pPr>
        <w:ind w:left="1120" w:hanging="328"/>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7" w:lineRule="exact"/>
        <w:rPr>
          <w:rFonts w:ascii="Times New Roman" w:cs="Times New Roman" w:eastAsia="Times New Roman" w:hAnsi="Times New Roman"/>
          <w:sz w:val="18"/>
          <w:szCs w:val="18"/>
          <w:color w:val="auto"/>
        </w:rPr>
      </w:pPr>
    </w:p>
    <w:p>
      <w:pPr>
        <w:ind w:left="1120" w:right="599" w:hanging="328"/>
        <w:spacing w:after="0" w:line="312" w:lineRule="auto"/>
        <w:tabs>
          <w:tab w:leader="none" w:pos="11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in the Prospectus Regulation), subject to obtaining the prior consent of the representatives for any such offer; or</w:t>
      </w:r>
    </w:p>
    <w:p>
      <w:pPr>
        <w:spacing w:after="0" w:line="31" w:lineRule="exact"/>
        <w:rPr>
          <w:rFonts w:ascii="Times New Roman" w:cs="Times New Roman" w:eastAsia="Times New Roman" w:hAnsi="Times New Roman"/>
          <w:sz w:val="17"/>
          <w:szCs w:val="17"/>
          <w:color w:val="auto"/>
        </w:rPr>
      </w:pPr>
    </w:p>
    <w:p>
      <w:pPr>
        <w:ind w:left="1120" w:hanging="328"/>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31(4)(2) of the Prospectus Regulation;</w:t>
      </w:r>
    </w:p>
    <w:p>
      <w:pPr>
        <w:spacing w:after="0" w:line="117" w:lineRule="exact"/>
        <w:rPr>
          <w:sz w:val="20"/>
          <w:szCs w:val="20"/>
          <w:color w:val="auto"/>
        </w:rPr>
      </w:pPr>
    </w:p>
    <w:p>
      <w:pPr>
        <w:jc w:val="both"/>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provided that no such offer or shares of our common stock shall result in a requirement for the publication by us or any placement agent or underwriter of a prospectus pursuant to Article 3 of the Prospectus Regulation or supplement a prospectus pursuant to Article 23 of the Prospectus Regulation.</w:t>
      </w:r>
    </w:p>
    <w:p>
      <w:pPr>
        <w:spacing w:after="0" w:line="68" w:lineRule="exact"/>
        <w:rPr>
          <w:sz w:val="20"/>
          <w:szCs w:val="20"/>
          <w:color w:val="auto"/>
        </w:rPr>
      </w:pPr>
    </w:p>
    <w:p>
      <w:pPr>
        <w:jc w:val="both"/>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68"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In the case of any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representatives has been obtained to each such proposed offer or resale.</w:t>
      </w:r>
    </w:p>
    <w:p>
      <w:pPr>
        <w:spacing w:after="0" w:line="79" w:lineRule="exact"/>
        <w:rPr>
          <w:sz w:val="20"/>
          <w:szCs w:val="20"/>
          <w:color w:val="auto"/>
        </w:rPr>
      </w:pPr>
    </w:p>
    <w:p>
      <w:pPr>
        <w:ind w:left="140" w:right="979" w:firstLine="324"/>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54"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public” in relation to our common stock in any Relevant Member State means the communication in any form and by any means of sufficient information on the terms of the offer and our common stock to be offered so as to enable an investor to decide to purchase our common stock, as the same may be varied in that Relevant Member State by any measure implementing the Prospectus Directive in that Relevant Member State, the expression “Prospectus Regulation” means Regulation (EU) 2017/1129 and includes any relevant implementing measure in the Relevant Member State.</w:t>
      </w:r>
    </w:p>
    <w:p>
      <w:pPr>
        <w:spacing w:after="0" w:line="79"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United Kingdom, the Prospectus Regulation as it forms part of UK domestic law by virtue of the European Union (Withdrawal) Act 2018.</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United Kingdom, this prospectus is only addressed to and directed as qualified investors who are</w:t>
      </w:r>
    </w:p>
    <w:p>
      <w:pPr>
        <w:spacing w:after="0" w:line="27" w:lineRule="exact"/>
        <w:rPr>
          <w:sz w:val="20"/>
          <w:szCs w:val="20"/>
          <w:color w:val="auto"/>
        </w:rPr>
      </w:pPr>
    </w:p>
    <w:p>
      <w:pPr>
        <w:ind w:left="140" w:right="159" w:firstLine="4"/>
        <w:spacing w:after="0" w:line="251" w:lineRule="auto"/>
        <w:tabs>
          <w:tab w:leader="none" w:pos="3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or the Order, (ii) high net worth entities and other persons to whom it may lawfully be communicated, falling within Article 49(2)(a) to (d) of the Order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with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4" w:name="page215"/>
    <w:bookmarkEnd w:id="21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40" w:right="219" w:firstLine="324"/>
        <w:spacing w:after="0" w:line="277" w:lineRule="auto"/>
        <w:rPr>
          <w:sz w:val="20"/>
          <w:szCs w:val="20"/>
          <w:color w:val="auto"/>
        </w:rPr>
      </w:pPr>
      <w:r>
        <w:rPr>
          <w:rFonts w:ascii="Times New Roman" w:cs="Times New Roman" w:eastAsia="Times New Roman" w:hAnsi="Times New Roman"/>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60" w:lineRule="exact"/>
        <w:rPr>
          <w:sz w:val="20"/>
          <w:szCs w:val="20"/>
          <w:color w:val="auto"/>
        </w:rPr>
      </w:pPr>
    </w:p>
    <w:p>
      <w:pPr>
        <w:ind w:left="140" w:right="299"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75"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80" w:lineRule="exact"/>
        <w:rPr>
          <w:sz w:val="20"/>
          <w:szCs w:val="20"/>
          <w:color w:val="auto"/>
        </w:rPr>
      </w:pPr>
    </w:p>
    <w:p>
      <w:pPr>
        <w:ind w:left="140" w:right="279" w:firstLine="324"/>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5" w:name="page216"/>
    <w:bookmarkEnd w:id="21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4"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86" w:lineRule="exact"/>
        <w:rPr>
          <w:sz w:val="20"/>
          <w:szCs w:val="20"/>
          <w:color w:val="auto"/>
        </w:rPr>
      </w:pPr>
    </w:p>
    <w:p>
      <w:pPr>
        <w:ind w:left="140" w:right="519" w:firstLine="324"/>
        <w:spacing w:after="0" w:line="258"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1" w:lineRule="exact"/>
        <w:rPr>
          <w:sz w:val="20"/>
          <w:szCs w:val="20"/>
          <w:color w:val="auto"/>
        </w:rPr>
      </w:pPr>
    </w:p>
    <w:p>
      <w:pPr>
        <w:ind w:left="140" w:right="219" w:firstLine="324"/>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6" w:name="page217"/>
    <w:bookmarkEnd w:id="21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The validity of the shares of Class B common stock will be passed upon for us by Simpson Thacher &amp; Bartlett LLP, New York, New York. Certain legal matters in connection with this offering will be passed upon for the underwriters by Goodwin Procter LLP, Redwood City, California and for the selling stockholders by Whalen LLP, Newport Beach, California.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140" w:right="219"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Bentley Systems, Incorporated as of and for the years ended December 31, 2018 and 2019 have been included herein and in the registration statement in reliance upon the report of KPMG LLP, independent registered public accounting firm, appearing elsewhere herein, and upon the authority of said firm as experts in accounting and auditing. The audit report refers to changes in accounting principle for revenue from contracts with customers and sales commissions due to the adoption of new accounting standards as of January 1, 2019.</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40" w:right="239" w:firstLine="324"/>
        <w:spacing w:after="0" w:line="271"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Class B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B common stock, we refer you to the registration statement of which this prospectus forms a part, including the exhibits filed as a part of the registration statement. If a contract or document has been filed as an exhibit to the registration statement of which this prospectus forms a part, please see the copy of the contract or document that has been filed. The SEC maintains an Internet website that contains reports, proxy statements and other information about issuers, like us, that file electronically with the SEC. The address of that website is www.sec.gov.</w:t>
      </w:r>
    </w:p>
    <w:p>
      <w:pPr>
        <w:spacing w:after="0" w:line="65"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www.bentley.com.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7" w:name="page218"/>
    <w:bookmarkEnd w:id="217"/>
    <w:tbl>
      <w:tblPr>
        <w:tblLayout w:type="fixed"/>
        <w:tblInd w:w="140" w:type="dxa"/>
        <w:tblCellMar>
          <w:top w:w="0" w:type="dxa"/>
          <w:left w:w="0" w:type="dxa"/>
          <w:bottom w:w="0" w:type="dxa"/>
          <w:right w:w="0" w:type="dxa"/>
        </w:tblCellMar>
      </w:tblPr>
      <w:tr>
        <w:trPr>
          <w:trHeight w:val="234"/>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8"/>
        </w:trPr>
        <w:tc>
          <w:tcPr>
            <w:tcW w:w="78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8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1"/>
        </w:trPr>
        <w:tc>
          <w:tcPr>
            <w:tcW w:w="7820" w:type="dxa"/>
            <w:vAlign w:val="bottom"/>
          </w:tcPr>
          <w:p>
            <w:pPr>
              <w:spacing w:after="0" w:line="191" w:lineRule="exact"/>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Report of Independent Registered Public Accounting Firm</w:t>
              </w:r>
            </w:hyperlink>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6"/>
                <w:szCs w:val="16"/>
                <w:color w:val="auto"/>
              </w:rPr>
            </w:pP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Consolidated Balance Sheets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1">
              <w:r>
                <w:rPr>
                  <w:rFonts w:ascii="Times New Roman" w:cs="Times New Roman" w:eastAsia="Times New Roman" w:hAnsi="Times New Roman"/>
                  <w:sz w:val="18"/>
                  <w:szCs w:val="18"/>
                  <w:u w:val="single" w:color="auto"/>
                  <w:color w:val="0000EE"/>
                </w:rPr>
                <w:t>Consolidated Statements of Operations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Consolidated Statements of Comprehensive Income</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3">
              <w:r>
                <w:rPr>
                  <w:rFonts w:ascii="Times New Roman" w:cs="Times New Roman" w:eastAsia="Times New Roman" w:hAnsi="Times New Roman"/>
                  <w:sz w:val="18"/>
                  <w:szCs w:val="18"/>
                  <w:u w:val="single" w:color="auto"/>
                  <w:color w:val="0000EE"/>
                </w:rPr>
                <w:t>Consolidated Statements of Stockholders’ Equity</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Consolidated Statements of Cash Flows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Notes to Consolidated Financial Statements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r>
      <w:tr>
        <w:trPr>
          <w:trHeight w:val="64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1"/>
        </w:trPr>
        <w:tc>
          <w:tcPr>
            <w:tcW w:w="7820" w:type="dxa"/>
            <w:vAlign w:val="bottom"/>
          </w:tcPr>
          <w:p>
            <w:pPr>
              <w:spacing w:after="0" w:line="191" w:lineRule="exact"/>
              <w:rPr>
                <w:rFonts w:ascii="Times New Roman" w:cs="Times New Roman" w:eastAsia="Times New Roman" w:hAnsi="Times New Roman"/>
                <w:sz w:val="18"/>
                <w:szCs w:val="18"/>
                <w:u w:val="single" w:color="auto"/>
                <w:color w:val="0000EE"/>
              </w:rPr>
            </w:pPr>
            <w:hyperlink w:anchor="page263">
              <w:r>
                <w:rPr>
                  <w:rFonts w:ascii="Times New Roman" w:cs="Times New Roman" w:eastAsia="Times New Roman" w:hAnsi="Times New Roman"/>
                  <w:sz w:val="18"/>
                  <w:szCs w:val="18"/>
                  <w:u w:val="single" w:color="auto"/>
                  <w:color w:val="0000EE"/>
                </w:rPr>
                <w:t>Consolidated Balance Sheets</w:t>
              </w:r>
            </w:hyperlink>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F-46</w:t>
            </w:r>
          </w:p>
        </w:tc>
        <w:tc>
          <w:tcPr>
            <w:tcW w:w="20" w:type="dxa"/>
            <w:vAlign w:val="bottom"/>
          </w:tcPr>
          <w:p>
            <w:pPr>
              <w:spacing w:after="0"/>
              <w:rPr>
                <w:sz w:val="16"/>
                <w:szCs w:val="16"/>
                <w:color w:val="auto"/>
              </w:rPr>
            </w:pP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64">
              <w:r>
                <w:rPr>
                  <w:rFonts w:ascii="Times New Roman" w:cs="Times New Roman" w:eastAsia="Times New Roman" w:hAnsi="Times New Roman"/>
                  <w:sz w:val="18"/>
                  <w:szCs w:val="18"/>
                  <w:u w:val="single" w:color="auto"/>
                  <w:color w:val="0000EE"/>
                </w:rPr>
                <w:t>Consolidated Statements of Operations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F-47</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65">
              <w:r>
                <w:rPr>
                  <w:rFonts w:ascii="Times New Roman" w:cs="Times New Roman" w:eastAsia="Times New Roman" w:hAnsi="Times New Roman"/>
                  <w:sz w:val="18"/>
                  <w:szCs w:val="18"/>
                  <w:u w:val="single" w:color="auto"/>
                  <w:color w:val="0000EE"/>
                </w:rPr>
                <w:t>Consolidated Statements of Comprehensive Income</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F-48</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66">
              <w:r>
                <w:rPr>
                  <w:rFonts w:ascii="Times New Roman" w:cs="Times New Roman" w:eastAsia="Times New Roman" w:hAnsi="Times New Roman"/>
                  <w:sz w:val="18"/>
                  <w:szCs w:val="18"/>
                  <w:u w:val="single" w:color="auto"/>
                  <w:color w:val="0000EE"/>
                </w:rPr>
                <w:t>Consolidated Statements of Stockholders’ Equity</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F-49</w:t>
            </w:r>
          </w:p>
        </w:tc>
      </w:tr>
      <w:tr>
        <w:trPr>
          <w:trHeight w:val="216"/>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68">
              <w:r>
                <w:rPr>
                  <w:rFonts w:ascii="Times New Roman" w:cs="Times New Roman" w:eastAsia="Times New Roman" w:hAnsi="Times New Roman"/>
                  <w:sz w:val="18"/>
                  <w:szCs w:val="18"/>
                  <w:u w:val="single" w:color="auto"/>
                  <w:color w:val="0000EE"/>
                </w:rPr>
                <w:t>Consolidated Statements of Cash Flows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F-51</w:t>
            </w:r>
          </w:p>
        </w:tc>
      </w:tr>
      <w:tr>
        <w:trPr>
          <w:trHeight w:val="234"/>
        </w:trPr>
        <w:tc>
          <w:tcPr>
            <w:tcW w:w="7820" w:type="dxa"/>
            <w:vAlign w:val="bottom"/>
          </w:tcPr>
          <w:p>
            <w:pPr>
              <w:spacing w:after="0"/>
              <w:rPr>
                <w:rFonts w:ascii="Times New Roman" w:cs="Times New Roman" w:eastAsia="Times New Roman" w:hAnsi="Times New Roman"/>
                <w:sz w:val="18"/>
                <w:szCs w:val="18"/>
                <w:u w:val="single" w:color="auto"/>
                <w:color w:val="0000EE"/>
              </w:rPr>
            </w:pPr>
            <w:hyperlink w:anchor="page269">
              <w:r>
                <w:rPr>
                  <w:rFonts w:ascii="Times New Roman" w:cs="Times New Roman" w:eastAsia="Times New Roman" w:hAnsi="Times New Roman"/>
                  <w:sz w:val="18"/>
                  <w:szCs w:val="18"/>
                  <w:u w:val="single" w:color="auto"/>
                  <w:color w:val="0000EE"/>
                </w:rPr>
                <w:t>Notes to Consolidated Financial Statements</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8" w:name="page219"/>
    <w:bookmarkEnd w:id="21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Bentley Systems, Incorporated and subsidiaries (the Company) as of December 31, 2019 and 2018, the related consolidated statements of operations, comprehensive income, stockholders’ equity,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9"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revenue from contracts with customers and sales commissions as of January 1, 2019 due to the adoption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Subtopic 340-40,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Deferred Costs—Contracts with Customers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March 6,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9" w:name="page220"/>
    <w:bookmarkEnd w:id="21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48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$7,611 and $7,274, 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204,501</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16"/>
        </w:trPr>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23,413</w:t>
            </w:r>
          </w:p>
        </w:tc>
      </w:tr>
      <w:tr>
        <w:trPr>
          <w:trHeight w:val="209"/>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353,558</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480,065</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50"/>
        </w:trPr>
        <w:tc>
          <w:tcPr>
            <w:tcW w:w="6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994,599</w:t>
            </w:r>
          </w:p>
        </w:tc>
      </w:tr>
      <w:tr>
        <w:trPr>
          <w:trHeight w:val="196"/>
        </w:trPr>
        <w:tc>
          <w:tcPr>
            <w:tcW w:w="6480" w:type="dxa"/>
            <w:vAlign w:val="bottom"/>
            <w:shd w:val="clear" w:color="auto" w:fill="CCEEFF"/>
          </w:tcPr>
          <w:p>
            <w:pPr>
              <w:ind w:left="18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167,517</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204,991</w:t>
            </w:r>
          </w:p>
        </w:tc>
      </w:tr>
      <w:tr>
        <w:trPr>
          <w:trHeight w:val="216"/>
        </w:trPr>
        <w:tc>
          <w:tcPr>
            <w:tcW w:w="6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10"/>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392,413</w:t>
            </w:r>
          </w:p>
        </w:tc>
      </w:tr>
      <w:tr>
        <w:trPr>
          <w:trHeight w:val="216"/>
        </w:trPr>
        <w:tc>
          <w:tcPr>
            <w:tcW w:w="64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1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r>
      <w:tr>
        <w:trPr>
          <w:trHeight w:val="210"/>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659,980</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98"/>
        </w:trPr>
        <w:tc>
          <w:tcPr>
            <w:tcW w:w="64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320,000,000 shares; issued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11,601,757 shares as of December 31, 2018 and 2019 and Class B Common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 par value, authorized 600,000,000 shares; issued 238,681,756 and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243,241,192 shares as of December 31, 2018 and 2019,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6480" w:type="dxa"/>
            <w:vAlign w:val="bottom"/>
            <w:shd w:val="clear" w:color="auto" w:fill="CCEEFF"/>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408,667</w:t>
            </w: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16"/>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w:t>
            </w:r>
          </w:p>
        </w:tc>
      </w:tr>
      <w:tr>
        <w:trPr>
          <w:trHeight w:val="210"/>
        </w:trPr>
        <w:tc>
          <w:tcPr>
            <w:tcW w:w="6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147,431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334,619</w:t>
            </w:r>
          </w:p>
        </w:tc>
      </w:tr>
      <w:tr>
        <w:trPr>
          <w:trHeight w:val="210"/>
        </w:trPr>
        <w:tc>
          <w:tcPr>
            <w:tcW w:w="6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994,599</w:t>
            </w: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0" w:name="page221"/>
    <w:bookmarkEnd w:id="22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Operations (in thousands, except share and per share data)</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Perpetual licenses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10"/>
        </w:trPr>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0" w:type="dxa"/>
            <w:vAlign w:val="bottom"/>
          </w:tcPr>
          <w:p>
            <w:pPr>
              <w:spacing w:after="0"/>
              <w:rPr>
                <w:sz w:val="1"/>
                <w:szCs w:val="1"/>
                <w:color w:val="auto"/>
              </w:rPr>
            </w:pPr>
          </w:p>
        </w:tc>
      </w:tr>
      <w:tr>
        <w:trPr>
          <w:trHeight w:val="210"/>
        </w:trPr>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(29,250)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0"/>
        </w:trPr>
        <w:tc>
          <w:tcPr>
            <w:tcW w:w="6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0" w:type="dxa"/>
            <w:vAlign w:val="bottom"/>
          </w:tcPr>
          <w:p>
            <w:pPr>
              <w:spacing w:after="0"/>
              <w:rPr>
                <w:sz w:val="1"/>
                <w:szCs w:val="1"/>
                <w:color w:val="auto"/>
              </w:rPr>
            </w:pPr>
          </w:p>
        </w:tc>
      </w:tr>
      <w:tr>
        <w:trPr>
          <w:trHeight w:val="197"/>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285,805,096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284,625,642</w:t>
            </w:r>
          </w:p>
        </w:tc>
        <w:tc>
          <w:tcPr>
            <w:tcW w:w="0" w:type="dxa"/>
            <w:vAlign w:val="bottom"/>
          </w:tcPr>
          <w:p>
            <w:pPr>
              <w:spacing w:after="0"/>
              <w:rPr>
                <w:sz w:val="1"/>
                <w:szCs w:val="1"/>
                <w:color w:val="auto"/>
              </w:rPr>
            </w:pPr>
          </w:p>
        </w:tc>
      </w:tr>
      <w:tr>
        <w:trPr>
          <w:trHeight w:val="197"/>
        </w:trPr>
        <w:tc>
          <w:tcPr>
            <w:tcW w:w="63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292,624,496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293,796,707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1" w:name="page222"/>
    <w:bookmarkEnd w:id="22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Comprehensive Income (in thousands, except share and per share data)</w:t>
      </w:r>
    </w:p>
    <w:p>
      <w:pPr>
        <w:spacing w:after="0" w:line="74"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r>
      <w:tr>
        <w:trPr>
          <w:trHeight w:val="216"/>
        </w:trPr>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($62) and $203</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9"/>
        </w:trPr>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108,583</w:t>
            </w:r>
          </w:p>
        </w:tc>
      </w:tr>
      <w:tr>
        <w:trPr>
          <w:trHeight w:val="20"/>
        </w:trPr>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2" w:name="page223"/>
    <w:bookmarkEnd w:id="22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Stockholders’ Equity (in thousands, except share and per share data)</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480" w:type="dxa"/>
            <w:vAlign w:val="bottom"/>
            <w:gridSpan w:val="3"/>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Class B</w:t>
            </w:r>
          </w:p>
        </w:tc>
        <w:tc>
          <w:tcPr>
            <w:tcW w:w="86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9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480" w:type="dxa"/>
            <w:vAlign w:val="bottom"/>
            <w:gridSpan w:val="3"/>
          </w:tcPr>
          <w:p>
            <w:pPr>
              <w:jc w:val="right"/>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100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500" w:type="dxa"/>
            <w:vAlign w:val="bottom"/>
          </w:tcPr>
          <w:p>
            <w:pPr>
              <w:jc w:val="right"/>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2017</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247,465,176</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$ 2,474</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$ 377,809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(18,540)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(309,576)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52,167</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142,112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(20,005)</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Profit sharing plan shares, net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(465,979)</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0" w:type="dxa"/>
            <w:vAlign w:val="bottom"/>
          </w:tcPr>
          <w:p>
            <w:pPr>
              <w:spacing w:after="0"/>
              <w:rPr>
                <w:sz w:val="1"/>
                <w:szCs w:val="1"/>
                <w:color w:val="auto"/>
              </w:rPr>
            </w:pPr>
          </w:p>
        </w:tc>
      </w:tr>
      <w:tr>
        <w:trPr>
          <w:trHeight w:val="126"/>
        </w:trPr>
        <w:tc>
          <w:tcPr>
            <w:tcW w:w="33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 deferred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2,332,585</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(6,861)</w:t>
            </w:r>
          </w:p>
        </w:tc>
        <w:tc>
          <w:tcPr>
            <w:tcW w:w="0" w:type="dxa"/>
            <w:vAlign w:val="bottom"/>
          </w:tcPr>
          <w:p>
            <w:pPr>
              <w:spacing w:after="0"/>
              <w:rPr>
                <w:sz w:val="1"/>
                <w:szCs w:val="1"/>
                <w:color w:val="auto"/>
              </w:rPr>
            </w:pPr>
          </w:p>
        </w:tc>
      </w:tr>
      <w:tr>
        <w:trPr>
          <w:trHeight w:val="171"/>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plan</w:t>
            </w:r>
          </w:p>
        </w:tc>
        <w:tc>
          <w:tcPr>
            <w:tcW w:w="82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Deferred compensation plan voluntary contributions</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vesting of awards</w:t>
            </w: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shareholder Put and Call rights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(1,131,928)</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Purchase Agreement, net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(1,281,633)</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(9,673)</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 exercises, net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2,812,998</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0" w:type="dxa"/>
            <w:vAlign w:val="bottom"/>
          </w:tcPr>
          <w:p>
            <w:pPr>
              <w:spacing w:after="0"/>
              <w:rPr>
                <w:sz w:val="1"/>
                <w:szCs w:val="1"/>
                <w:color w:val="auto"/>
              </w:rPr>
            </w:pPr>
          </w:p>
        </w:tc>
      </w:tr>
      <w:tr>
        <w:trPr>
          <w:trHeight w:val="149"/>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Shares related to restricted stock, net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546,783</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26"/>
        </w:trPr>
        <w:tc>
          <w:tcPr>
            <w:tcW w:w="33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Cumulative effect adjustment on deferred tax</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71"/>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2018</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250,283,513</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392,896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(29,414)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(218,553)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147,431</w:t>
            </w:r>
          </w:p>
        </w:tc>
        <w:tc>
          <w:tcPr>
            <w:tcW w:w="0" w:type="dxa"/>
            <w:vAlign w:val="bottom"/>
          </w:tcPr>
          <w:p>
            <w:pPr>
              <w:spacing w:after="0"/>
              <w:rPr>
                <w:sz w:val="1"/>
                <w:szCs w:val="1"/>
                <w:color w:val="auto"/>
              </w:rPr>
            </w:pPr>
          </w:p>
        </w:tc>
      </w:tr>
      <w:tr>
        <w:trPr>
          <w:trHeight w:val="142"/>
        </w:trPr>
        <w:tc>
          <w:tcPr>
            <w:tcW w:w="33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Cumulative effect of accounting changes</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107,822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103,096</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5,487</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(25,390)</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Profit sharing plan shares, net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(318,203)</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 deferred</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2,322,983</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plan</w:t>
            </w:r>
          </w:p>
        </w:tc>
        <w:tc>
          <w:tcPr>
            <w:tcW w:w="82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Deferred compensation plan voluntary contributions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0" w:type="dxa"/>
            <w:vAlign w:val="bottom"/>
          </w:tcPr>
          <w:p>
            <w:pPr>
              <w:spacing w:after="0"/>
              <w:rPr>
                <w:sz w:val="1"/>
                <w:szCs w:val="1"/>
                <w:color w:val="auto"/>
              </w:rPr>
            </w:pPr>
          </w:p>
        </w:tc>
      </w:tr>
      <w:tr>
        <w:trPr>
          <w:trHeight w:val="171"/>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and vesting of awards</w:t>
            </w: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shareholder Put and Call rights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(1,126,747)</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(8,838)</w:t>
            </w:r>
          </w:p>
        </w:tc>
        <w:tc>
          <w:tcPr>
            <w:tcW w:w="0" w:type="dxa"/>
            <w:vAlign w:val="bottom"/>
          </w:tcPr>
          <w:p>
            <w:pPr>
              <w:spacing w:after="0"/>
              <w:rPr>
                <w:sz w:val="1"/>
                <w:szCs w:val="1"/>
                <w:color w:val="auto"/>
              </w:rPr>
            </w:pPr>
          </w:p>
        </w:tc>
      </w:tr>
      <w:tr>
        <w:trPr>
          <w:trHeight w:val="149"/>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Purchase Agreement, net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64,509</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 exercises, net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3,214,542</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75"/>
        </w:trPr>
        <w:tc>
          <w:tcPr>
            <w:tcW w:w="338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Shares related to restricted stock, net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395,336</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48"/>
        </w:trPr>
        <w:tc>
          <w:tcPr>
            <w:tcW w:w="3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2019</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254,842,949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$ 2,548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$ 408,667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(52,669)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334,619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3" w:name="page224"/>
    <w:bookmarkEnd w:id="22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Cash Flows (in thousands, except share and per share data)</w:t>
      </w:r>
    </w:p>
    <w:p>
      <w:pPr>
        <w:spacing w:after="0" w:line="74"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32,160</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accounts receivable allowance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compensation plan activity</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line="184" w:lineRule="exact"/>
              <w:rPr>
                <w:sz w:val="20"/>
                <w:szCs w:val="20"/>
                <w:color w:val="auto"/>
              </w:rPr>
            </w:pPr>
            <w:r>
              <w:rPr>
                <w:rFonts w:ascii="Times New Roman" w:cs="Times New Roman" w:eastAsia="Times New Roman" w:hAnsi="Times New Roman"/>
                <w:sz w:val="16"/>
                <w:szCs w:val="16"/>
                <w:color w:val="auto"/>
              </w:rPr>
              <w:t>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Decrease in fair value of call options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remeasurement loss (gain)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Equity in loss of joint venture, net of tax</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03"/>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assets and liabilities, net of effect from acquisitions: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 net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03"/>
        </w:trPr>
        <w:tc>
          <w:tcPr>
            <w:tcW w:w="6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and other assets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41,880</w:t>
            </w:r>
          </w:p>
        </w:tc>
        <w:tc>
          <w:tcPr>
            <w:tcW w:w="0" w:type="dxa"/>
            <w:vAlign w:val="bottom"/>
          </w:tcPr>
          <w:p>
            <w:pPr>
              <w:spacing w:after="0"/>
              <w:rPr>
                <w:sz w:val="1"/>
                <w:szCs w:val="1"/>
                <w:color w:val="auto"/>
              </w:rPr>
            </w:pPr>
          </w:p>
        </w:tc>
      </w:tr>
      <w:tr>
        <w:trPr>
          <w:trHeight w:val="203"/>
        </w:trPr>
        <w:tc>
          <w:tcPr>
            <w:tcW w:w="6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revenues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Income taxes payable</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161,465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170,773</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and investment in capitalized software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Capitalization of costs to translate software products into foreign languages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net of cash acquired of $7,774 and $2,523, respectively</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(34,054)</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(154,757)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(53,693)</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191,250</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credit facilities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(216,250)</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acquisition debt and other consideration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of dividends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for shares acquired including shares withheld for taxes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(24,166)</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Common Stock Purchase Agreement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Net proceeds from exercise of common stock options and restricted stock</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(77,048)</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39,918</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134,467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25,782</w:t>
            </w:r>
          </w:p>
        </w:tc>
        <w:tc>
          <w:tcPr>
            <w:tcW w:w="3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refunds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line="184" w:lineRule="exact"/>
              <w:rPr>
                <w:sz w:val="20"/>
                <w:szCs w:val="20"/>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contingent acquisition consideration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deferred acquisition consideration</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4" w:name="page225"/>
    <w:bookmarkEnd w:id="22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17"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Description of Business and Operations</w:t>
      </w:r>
      <w:r>
        <w:rPr>
          <w:rFonts w:ascii="Times New Roman" w:cs="Times New Roman" w:eastAsia="Times New Roman" w:hAnsi="Times New Roman"/>
          <w:sz w:val="18"/>
          <w:szCs w:val="18"/>
          <w:color w:val="auto"/>
        </w:rPr>
        <w:t>—Bentley Systems, Incorporated (“Bentley” or the “Company”)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185" w:lineRule="exact"/>
        <w:rPr>
          <w:sz w:val="20"/>
          <w:szCs w:val="20"/>
          <w:color w:val="auto"/>
        </w:rPr>
      </w:pPr>
    </w:p>
    <w:p>
      <w:pPr>
        <w:ind w:left="140" w:right="25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r>
        <w:rPr>
          <w:rFonts w:ascii="Times New Roman" w:cs="Times New Roman" w:eastAsia="Times New Roman" w:hAnsi="Times New Roman"/>
          <w:sz w:val="18"/>
          <w:szCs w:val="18"/>
          <w:color w:val="auto"/>
        </w:rPr>
        <w:t>—The consolidated financial statements and accompanying notes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prepared in United States (“U.S.”) dollars and in accordance with accounting principles generally accepted in the United States of America (“U.S. GAAP”). The accompanying consolidated financial statements include the accounts of the Company and its wholly-owned subsidiaries. All significant intercompany accounts and transactions have been eliminated in consolidation.</w:t>
      </w:r>
    </w:p>
    <w:p>
      <w:pPr>
        <w:spacing w:after="0" w:line="75"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176"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Stock Dividend</w:t>
      </w:r>
      <w:r>
        <w:rPr>
          <w:rFonts w:ascii="Times New Roman" w:cs="Times New Roman" w:eastAsia="Times New Roman" w:hAnsi="Times New Roman"/>
          <w:sz w:val="18"/>
          <w:szCs w:val="18"/>
          <w:color w:val="auto"/>
        </w:rPr>
        <w:t>—On May 1, 2018, the Company paid a previously declared stock dividend (the “Dividend”) to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Company’s common stock as of April 30, 2018. Under the terms of the Dividend, each stockholder received one share of the Company’s Class B Common Stock for each share of either Class A or Class B Common Stock then owned, including shares held in the Company’s 401(k)/Profit Sharing plan. Because the Dividend had the economic effect of a 2-for-1 stock split (with twice as many shares issued, each worth half the original value of a share), all prior period share and per share amounts presented in the consolidated financial statements and notes have been adjusted on a retroactive basis to give effect to the Dividend.</w:t>
      </w:r>
    </w:p>
    <w:p>
      <w:pPr>
        <w:spacing w:after="0" w:line="79" w:lineRule="exact"/>
        <w:rPr>
          <w:sz w:val="20"/>
          <w:szCs w:val="20"/>
          <w:color w:val="auto"/>
        </w:rPr>
      </w:pPr>
    </w:p>
    <w:p>
      <w:pPr>
        <w:ind w:left="140" w:right="399"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terms of the Company’s equity incentive plans and instruments, all outstanding awards and instruments were automatically adjusted as required by their terms to reflect the Dividend, including, as it relates to stock options, by doubling the number of outstanding options and reducing by one-half the exercise prices of all outstanding options.</w:t>
      </w:r>
    </w:p>
    <w:p>
      <w:pPr>
        <w:spacing w:after="0" w:line="176"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consolidated financial statements and related disclosures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critical estimates and assumptions include revenue recognition, adequacy of allowance for accounts receivable, determination of the fair value of acquired assets and liabilities, the fair value of derivative financial instruments, the fair value of stock-based compensation, useful lives for depreciation and amortization, impairment of goodwill and intangible assets, and accounting for income taxes. Actual results could differ materially from these estimates.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25" w:name="page226"/>
    <w:bookmarkEnd w:id="22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17" w:lineRule="exact"/>
        <w:rPr>
          <w:sz w:val="20"/>
          <w:szCs w:val="20"/>
          <w:color w:val="auto"/>
        </w:rPr>
      </w:pPr>
    </w:p>
    <w:p>
      <w:pPr>
        <w:ind w:left="140" w:right="71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—Certain prior year amounts have been reclassified for consistency with the current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presentation. These reclassifications had no effect on the reported results of operations.</w:t>
      </w:r>
    </w:p>
    <w:p>
      <w:pPr>
        <w:spacing w:after="0" w:line="155" w:lineRule="exact"/>
        <w:rPr>
          <w:sz w:val="20"/>
          <w:szCs w:val="20"/>
          <w:color w:val="auto"/>
        </w:rPr>
      </w:pPr>
    </w:p>
    <w:p>
      <w:pPr>
        <w:ind w:left="140" w:right="29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all highly liquid investments with a maturity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or less at the date of purchase to be cash equivalents. At December 31, 2018 and 2019, all of the Company’s cash and cash equivalents consisted of money market funds and cash held in checking accounts maintained at various financial institutions. Cash equivalents are recorded at cost, which approximates fair value.</w:t>
      </w:r>
    </w:p>
    <w:p>
      <w:pPr>
        <w:spacing w:after="0" w:line="176"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—On January 1, 2019, the Company adopted Accounting Standards Update (“ASU”) No.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related amendments (“Topic 606”) as discussed further in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Adopted Accounting Guidance below. Results for reporting periods beginning on or after January 1, 2019 are presented under Topic 606, while prior period amounts are not adjusted and continue to be reported in accordance with the guidance provided by Accounting Standards Codification (“ASC”) 985-605, </w:t>
      </w:r>
      <w:r>
        <w:rPr>
          <w:rFonts w:ascii="Times New Roman" w:cs="Times New Roman" w:eastAsia="Times New Roman" w:hAnsi="Times New Roman"/>
          <w:sz w:val="18"/>
          <w:szCs w:val="18"/>
          <w:i w:val="1"/>
          <w:iCs w:val="1"/>
          <w:color w:val="auto"/>
        </w:rPr>
        <w:t>Software-Revenue Recognition,</w:t>
      </w:r>
      <w:r>
        <w:rPr>
          <w:rFonts w:ascii="Times New Roman" w:cs="Times New Roman" w:eastAsia="Times New Roman" w:hAnsi="Times New Roman"/>
          <w:sz w:val="18"/>
          <w:szCs w:val="18"/>
          <w:color w:val="auto"/>
        </w:rPr>
        <w:t xml:space="preserve"> and revenues for non-software deliverables in accordance with Topic 605-25, </w:t>
      </w:r>
      <w:r>
        <w:rPr>
          <w:rFonts w:ascii="Times New Roman" w:cs="Times New Roman" w:eastAsia="Times New Roman" w:hAnsi="Times New Roman"/>
          <w:sz w:val="18"/>
          <w:szCs w:val="18"/>
          <w:i w:val="1"/>
          <w:iCs w:val="1"/>
          <w:color w:val="auto"/>
        </w:rPr>
        <w:t>Revenue Recognition, Multiple-Element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The Company refers to ASC 985-605 and Topic 605-25 collectively as Topic 605.</w:t>
      </w:r>
    </w:p>
    <w:p>
      <w:pPr>
        <w:spacing w:after="0" w:line="79"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for the Company’s revenue recognition are explained in Note 3, Revenue from Contracts with Customers.</w:t>
      </w:r>
    </w:p>
    <w:p>
      <w:pPr>
        <w:spacing w:after="0" w:line="158"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Cost of Revenues</w:t>
      </w:r>
      <w:r>
        <w:rPr>
          <w:rFonts w:ascii="Times New Roman" w:cs="Times New Roman" w:eastAsia="Times New Roman" w:hAnsi="Times New Roman"/>
          <w:sz w:val="18"/>
          <w:szCs w:val="18"/>
          <w:color w:val="auto"/>
        </w:rPr>
        <w:t>—Cost of subscriptions and licenses includes salaries and other related costs,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of property 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cloud-related costs incurred for servicing our customers using cloud deployed hosted solutions and those using our SELECT program. Cost of services includes salaries for internal and third-party personnel and related overhead costs, including depreciation of property and equipment, for providing training, implementation, configuration, and customization services to customers, amortization of capitalized software costs, and related out-of-pocket expenses incurred.</w:t>
      </w:r>
    </w:p>
    <w:p>
      <w:pPr>
        <w:spacing w:after="0" w:line="185" w:lineRule="exact"/>
        <w:rPr>
          <w:sz w:val="20"/>
          <w:szCs w:val="20"/>
          <w:color w:val="auto"/>
        </w:rPr>
      </w:pPr>
    </w:p>
    <w:p>
      <w:pPr>
        <w:ind w:left="140" w:right="27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are recorded at cost less accumulated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is calculated using the straight-line method over the estimated useful lives of the assets, which range from three to twenty-five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85"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6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6" w:name="page227"/>
    <w:bookmarkEnd w:id="22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17" w:lineRule="exact"/>
        <w:rPr>
          <w:sz w:val="20"/>
          <w:szCs w:val="20"/>
          <w:color w:val="auto"/>
        </w:rPr>
      </w:pPr>
    </w:p>
    <w:p>
      <w:pPr>
        <w:ind w:left="140" w:right="4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r>
        <w:rPr>
          <w:rFonts w:ascii="Times New Roman" w:cs="Times New Roman" w:eastAsia="Times New Roman" w:hAnsi="Times New Roman"/>
          <w:sz w:val="18"/>
          <w:szCs w:val="18"/>
          <w:color w:val="auto"/>
        </w:rPr>
        <w:t>—Intangible assets arise from acquisitions and principally consist of goodwill,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trademarks, customer relationships, in-process research and development, and acquired software and technology. Intangibles, other than goodwill and in-process research and development, are amortized on a straight-line basis over their estimated useful lives, which range from three to ten years (see Note 6).</w:t>
      </w:r>
    </w:p>
    <w:p>
      <w:pPr>
        <w:spacing w:after="0" w:line="72"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or more frequently if events occur or circumstances change that would more likely than not reduce its fair value below its carrying amount. The Company operates as a single reporting unit.</w:t>
      </w:r>
    </w:p>
    <w:p>
      <w:pPr>
        <w:spacing w:after="0" w:line="72"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the Company to determine the reporting unit’s fair value and compare it to the carrying value, including goodwill, of such reporting unit. As part of the assessment, the Company may first qualitatively assess whether it is more likely than not (a likelihood of more than 50 percent) that a goodwill impairment exists. In evaluating whether it is more likely than not that a goodwill impairment exists, the Company considers the factors identified in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also considers whether there are significant differences between the carrying amount and the estimated fair value of its assets and liabilities, and the existence of significant unrecognized intangible assets. Based upon the Company’s most recent annual impairment assessment completed as of October 1, 2019, it is not more likely than not that a goodwill impairment exists. There was no impairment of goodwill as a result of the Company’s annual impairment assessments conducted during the years ended December 31, 2018 or 2019.</w:t>
      </w:r>
    </w:p>
    <w:p>
      <w:pPr>
        <w:spacing w:after="0" w:line="190"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evaluates the recoverability of long-lived assets, such as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amortizable intangible assets, in accordance with authoritative guidance on accounting for the impairment or disposal of long-lived assets, which includes evaluating long-lived assets for impairment whenever events or changes in circumstances indicate that the carrying value of these assets may not be recoverable. If circumstances require a long-lived asset to be tested for possible impairment, the Company first compares the undiscounted cash flows expected to be generated by that asset to its carrying value. If the carrying value of the long-lived asset is not recoverable on an undiscounted cash flow basis, an impairment is recognized to the extent that the carrying value exceeds its fair value. No impairment of long-lived assets occurred during the years ended December 31, 2018 or 2019.</w:t>
      </w:r>
    </w:p>
    <w:p>
      <w:pPr>
        <w:spacing w:after="0" w:line="185"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—Research and development expenses, which are generally expensed as incurred,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consist of personnel and related costs of our research and development staff, including salaries, benefits, bonuses, stock-based compensation, and costs of certain third-party contractors, as well as allocated overhead costs. The Company expenses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7" w:name="page228"/>
    <w:bookmarkEnd w:id="22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2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capitalizes certain development costs related to certain projects under its Accelerated Commercial Development Program (the Company’s structured approach to an in-house business incubator function)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high-risk development issues. Once the software is ready for its intended use, amortization is recorded over the software’s estimated useful life (generally three years). During the years ended December 31, 2018 and 2019, total costs capitalized under the Accelerated Commercial Development Program were $5,735 and $6,060, respectively. Additionally, during the years ended December 31, 2018 and 2019, total Accelerated Commercial Development Program related amortization recorded in </w:t>
      </w:r>
      <w:r>
        <w:rPr>
          <w:rFonts w:ascii="Times New Roman" w:cs="Times New Roman" w:eastAsia="Times New Roman" w:hAnsi="Times New Roman"/>
          <w:sz w:val="18"/>
          <w:szCs w:val="18"/>
          <w:i w:val="1"/>
          <w:iCs w:val="1"/>
          <w:color w:val="auto"/>
        </w:rPr>
        <w:t>Costs of subscriptions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licenses </w:t>
      </w:r>
      <w:r>
        <w:rPr>
          <w:rFonts w:ascii="Times New Roman" w:cs="Times New Roman" w:eastAsia="Times New Roman" w:hAnsi="Times New Roman"/>
          <w:sz w:val="18"/>
          <w:szCs w:val="18"/>
          <w:color w:val="auto"/>
        </w:rPr>
        <w:t>was $2,052 and $3,516, respectively.</w:t>
      </w:r>
    </w:p>
    <w:p>
      <w:pPr>
        <w:spacing w:after="0" w:line="86" w:lineRule="exact"/>
        <w:rPr>
          <w:sz w:val="20"/>
          <w:szCs w:val="20"/>
          <w:color w:val="auto"/>
        </w:rPr>
      </w:pPr>
    </w:p>
    <w:p>
      <w:pPr>
        <w:ind w:left="140" w:right="899" w:firstLine="324"/>
        <w:spacing w:after="0" w:line="282" w:lineRule="auto"/>
        <w:rPr>
          <w:sz w:val="20"/>
          <w:szCs w:val="20"/>
          <w:color w:val="auto"/>
        </w:rPr>
      </w:pPr>
      <w:r>
        <w:rPr>
          <w:rFonts w:ascii="Times New Roman" w:cs="Times New Roman" w:eastAsia="Times New Roman" w:hAnsi="Times New Roman"/>
          <w:sz w:val="18"/>
          <w:szCs w:val="18"/>
          <w:color w:val="auto"/>
        </w:rPr>
        <w:t>Certain costs related to the creation of foreign language translations are capitalized and amortized over the economic life of the software.</w:t>
      </w:r>
    </w:p>
    <w:p>
      <w:pPr>
        <w:spacing w:after="0" w:line="158" w:lineRule="exact"/>
        <w:rPr>
          <w:sz w:val="20"/>
          <w:szCs w:val="20"/>
          <w:color w:val="auto"/>
        </w:rPr>
      </w:pPr>
    </w:p>
    <w:p>
      <w:pPr>
        <w:ind w:left="140" w:right="4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Advertising Expense</w:t>
      </w:r>
      <w:r>
        <w:rPr>
          <w:rFonts w:ascii="Times New Roman" w:cs="Times New Roman" w:eastAsia="Times New Roman" w:hAnsi="Times New Roman"/>
          <w:sz w:val="18"/>
          <w:szCs w:val="18"/>
          <w:color w:val="auto"/>
        </w:rPr>
        <w:t>—The Company expenses advertising costs as incurred. Advertising expense of $2,378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$1,579 is included in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expense in the accompanying consolidated statements of operations for the years ended December 31, 2018 and 2019, respectively.</w:t>
      </w:r>
    </w:p>
    <w:p>
      <w:pPr>
        <w:spacing w:after="0" w:line="171" w:lineRule="exact"/>
        <w:rPr>
          <w:sz w:val="20"/>
          <w:szCs w:val="20"/>
          <w:color w:val="auto"/>
        </w:rPr>
      </w:pPr>
    </w:p>
    <w:p>
      <w:pPr>
        <w:ind w:left="140" w:right="4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—The Company recognizes deferred income tax assets and liabilities for the expected future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of net operating loss 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72"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Interest expense and penalties are included in </w:t>
      </w: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 the consolidated statements of operations.</w:t>
      </w:r>
    </w:p>
    <w:p>
      <w:pPr>
        <w:spacing w:after="0" w:line="183"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 Tax Reform</w:t>
      </w:r>
      <w:r>
        <w:rPr>
          <w:rFonts w:ascii="Times New Roman" w:cs="Times New Roman" w:eastAsia="Times New Roman" w:hAnsi="Times New Roman"/>
          <w:sz w:val="18"/>
          <w:szCs w:val="18"/>
          <w:color w:val="auto"/>
        </w:rPr>
        <w:t>—On December 22, 2017, the Tax Cuts and Jobs Act (the “Act” or “U.S. tax reform”)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has completed its accounting for the effects of the Act in 2018 and has included those effects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w:t>
      </w:r>
    </w:p>
    <w:p>
      <w:pPr>
        <w:spacing w:after="0" w:line="182"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Segment</w:t>
      </w:r>
      <w:r>
        <w:rPr>
          <w:rFonts w:ascii="Times New Roman" w:cs="Times New Roman" w:eastAsia="Times New Roman" w:hAnsi="Times New Roman"/>
          <w:sz w:val="18"/>
          <w:szCs w:val="18"/>
          <w:color w:val="auto"/>
        </w:rPr>
        <w:t>—Operating segments are defined as components of an enterprise about which separate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is evaluated regularly by the chief 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United States and its wholly-owned branches and subsidiaries internationally.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8" w:name="page229"/>
    <w:bookmarkEnd w:id="22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17"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r>
        <w:rPr>
          <w:rFonts w:ascii="Times New Roman" w:cs="Times New Roman" w:eastAsia="Times New Roman" w:hAnsi="Times New Roman"/>
          <w:sz w:val="18"/>
          <w:szCs w:val="18"/>
          <w:color w:val="auto"/>
        </w:rPr>
        <w:t>—Gains and losses resulting from foreign currency transactions denominated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currencies other than the functional currency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(see Note 20).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 w:cs="Times New Roman" w:eastAsia="Times New Roman" w:hAnsi="Times New Roman"/>
          <w:sz w:val="18"/>
          <w:szCs w:val="18"/>
          <w:i w:val="1"/>
          <w:iCs w:val="1"/>
          <w:color w:val="auto"/>
        </w:rPr>
        <w:t>Other comprehensive income (loss), 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the consolidated statements of comprehensive income.</w:t>
      </w:r>
    </w:p>
    <w:p>
      <w:pPr>
        <w:spacing w:after="0" w:line="182"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—Financial instruments that potentially subject the Company to concentration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risk consist primarily of its cash and 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area. No single customer accounted for more than 2.5% of the Company’s revenue in the years ended December 31, 2018 or 2019.</w:t>
      </w:r>
    </w:p>
    <w:p>
      <w:pPr>
        <w:spacing w:after="0" w:line="79" w:lineRule="exact"/>
        <w:rPr>
          <w:sz w:val="20"/>
          <w:szCs w:val="20"/>
          <w:color w:val="auto"/>
        </w:rPr>
      </w:pPr>
    </w:p>
    <w:p>
      <w:pPr>
        <w:ind w:left="14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158" w:lineRule="exact"/>
        <w:rPr>
          <w:sz w:val="20"/>
          <w:szCs w:val="20"/>
          <w:color w:val="auto"/>
        </w:rPr>
      </w:pPr>
    </w:p>
    <w:p>
      <w:pPr>
        <w:ind w:left="14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Investment in Joint Venture</w:t>
      </w:r>
      <w:r>
        <w:rPr>
          <w:rFonts w:ascii="Times New Roman" w:cs="Times New Roman" w:eastAsia="Times New Roman" w:hAnsi="Times New Roman"/>
          <w:sz w:val="18"/>
          <w:szCs w:val="18"/>
          <w:color w:val="auto"/>
        </w:rPr>
        <w:t>—The Company is party to a joint venture which is accounted for using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The Company applies the equity method to investments in which its ownership interest is 50 percent or less and in which it exercises significant influence over operating and financial policies of the investee. Under the equity method, original investments are recorded at cost and adjusted by the Company’s share of undistributed earnings and losses of these investments. The joint venture is not material to the Company’s financial results (see Note 7).</w:t>
      </w:r>
    </w:p>
    <w:p>
      <w:pPr>
        <w:spacing w:after="0" w:line="179" w:lineRule="exact"/>
        <w:rPr>
          <w:sz w:val="20"/>
          <w:szCs w:val="20"/>
          <w:color w:val="auto"/>
        </w:rPr>
      </w:pPr>
    </w:p>
    <w:p>
      <w:pPr>
        <w:ind w:left="140" w:right="55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r>
        <w:rPr>
          <w:rFonts w:ascii="Times New Roman" w:cs="Times New Roman" w:eastAsia="Times New Roman" w:hAnsi="Times New Roman"/>
          <w:sz w:val="18"/>
          <w:szCs w:val="18"/>
          <w:color w:val="auto"/>
        </w:rPr>
        <w:t>—Accounts receivable represent receivables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for products and services invoiced by the Company for which payment is outstanding. Receivables are recorded at the invoiced amount and do not bear interest.</w:t>
      </w:r>
    </w:p>
    <w:p>
      <w:pPr>
        <w:spacing w:after="0" w:line="67" w:lineRule="exact"/>
        <w:rPr>
          <w:sz w:val="20"/>
          <w:szCs w:val="20"/>
          <w:color w:val="auto"/>
        </w:rPr>
      </w:pPr>
    </w:p>
    <w:p>
      <w:pPr>
        <w:ind w:left="140" w:right="239" w:firstLine="324"/>
        <w:spacing w:after="0" w:line="255"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estimated losses expected during the accounts receivable collection process. The allowance for doubtful accounts reduces the accounts receivable balance to the net realizable value of the outstanding accounts and installment receivables. The development of the allowance for doubtful accounts is based on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81" w:lineRule="exact"/>
        <w:rPr>
          <w:sz w:val="20"/>
          <w:szCs w:val="20"/>
          <w:color w:val="auto"/>
        </w:rPr>
      </w:pPr>
    </w:p>
    <w:p>
      <w:pPr>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9" w:name="page230"/>
    <w:bookmarkEnd w:id="22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was as follows:</w:t>
      </w:r>
    </w:p>
    <w:p>
      <w:pPr>
        <w:spacing w:after="0" w:line="124"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16"/>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Allowances (recoveries) recorded</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40" w:right="2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—The Company records all stock-based compensation as an expense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operations measured at the grant date fair value of the award. The fair value of stock option awards is determined using the Black-Scholes option pricing model. For all other equity-based arrangements, the share-based compensation expense is based on the share price at the grant date (see Note 14).</w:t>
      </w:r>
    </w:p>
    <w:p>
      <w:pPr>
        <w:spacing w:after="0" w:line="176" w:lineRule="exact"/>
        <w:rPr>
          <w:sz w:val="20"/>
          <w:szCs w:val="20"/>
          <w:color w:val="auto"/>
        </w:rPr>
      </w:pPr>
    </w:p>
    <w:p>
      <w:pPr>
        <w:ind w:left="140" w:right="23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—The Company’s software license agreements typically provide for indemnification of customers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infringement 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warranty-related obligations.</w:t>
      </w:r>
    </w:p>
    <w:p>
      <w:pPr>
        <w:spacing w:after="0" w:line="182"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Derivative Arrangements</w:t>
      </w:r>
      <w:r>
        <w:rPr>
          <w:rFonts w:ascii="Times New Roman" w:cs="Times New Roman" w:eastAsia="Times New Roman" w:hAnsi="Times New Roman"/>
          <w:sz w:val="18"/>
          <w:szCs w:val="18"/>
          <w:color w:val="auto"/>
        </w:rPr>
        <w:t>—The Company records derivative instruments as an asset or liability measured at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 w:cs="Times New Roman" w:eastAsia="Times New Roman" w:hAnsi="Times New Roman"/>
          <w:sz w:val="18"/>
          <w:szCs w:val="18"/>
          <w:i w:val="1"/>
          <w:iCs w:val="1"/>
          <w:color w:val="auto"/>
        </w:rPr>
        <w:t>Other comprehensive income (loss), 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until the hedged item is recognized in the consolidated statements of operations. The ineffective portion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change in fair value is recognized in earnings. Also, changes in the entire fair value of a derivative that is not designated as a hedge are recognized in earnings (see Note 16).</w:t>
      </w:r>
    </w:p>
    <w:p>
      <w:pPr>
        <w:spacing w:after="0" w:line="185"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—The Company categorizes its assets and liabilities measured at fair value into a three-level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 (see Note 16).</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0" w:name="page231"/>
    <w:bookmarkEnd w:id="23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21" w:lineRule="exact"/>
        <w:rPr>
          <w:sz w:val="20"/>
          <w:szCs w:val="20"/>
          <w:color w:val="auto"/>
        </w:rPr>
      </w:pPr>
    </w:p>
    <w:p>
      <w:pPr>
        <w:ind w:left="140" w:right="5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ASU No. 2018-15, Intangibles— Goodwill and Other—Internal-Use Software (Subtopic 350-40): </w:t>
      </w:r>
      <w:r>
        <w:rPr>
          <w:rFonts w:ascii="Times New Roman" w:cs="Times New Roman" w:eastAsia="Times New Roman" w:hAnsi="Times New Roman"/>
          <w:sz w:val="18"/>
          <w:szCs w:val="18"/>
          <w:i w:val="1"/>
          <w:iCs w:val="1"/>
          <w:color w:val="auto"/>
        </w:rPr>
        <w:t>Customer’s Accounting for Implementation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Incurred in a Cloud Computing Arrangement That is a Service Contract</w:t>
      </w:r>
      <w:r>
        <w:rPr>
          <w:rFonts w:ascii="Times New Roman" w:cs="Times New Roman" w:eastAsia="Times New Roman" w:hAnsi="Times New Roman"/>
          <w:sz w:val="18"/>
          <w:szCs w:val="18"/>
          <w:color w:val="auto"/>
        </w:rPr>
        <w:t>, which clarifies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82"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Fair Value Measurement (Topic 820):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ASU 2018-13 modifies certain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and establishes new requirements related to fair value measurement. Additionally, the disclosure requirement to state the reasons for transfers between Level 1 and Level 2, the policy for timing transfers between levels, and the valuation process for Level 3 measurements have been removed. The ASU is effective for the Company for the annual period beginning after December 15, 2019, including interim periods within that annual period. Early adoption is permitted. The Company does not believe the adoption of this guidance will have a material impact on the Company’s consolidated results of operations and financial position.</w:t>
      </w:r>
    </w:p>
    <w:p>
      <w:pPr>
        <w:spacing w:after="0" w:line="77"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Test for Goodwill Impairment</w:t>
      </w:r>
      <w:r>
        <w:rPr>
          <w:rFonts w:ascii="Times New Roman" w:cs="Times New Roman" w:eastAsia="Times New Roman" w:hAnsi="Times New Roman"/>
          <w:sz w:val="18"/>
          <w:szCs w:val="18"/>
          <w:color w:val="auto"/>
        </w:rPr>
        <w:t>, which removes Step 2 of the goodwill impairment test. A goodwill impairment will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74"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Financial Instruments—Credit Losses (Topic 326):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 Losses on Financial Instruments</w:t>
      </w:r>
      <w:r>
        <w:rPr>
          <w:rFonts w:ascii="Times New Roman" w:cs="Times New Roman" w:eastAsia="Times New Roman" w:hAnsi="Times New Roman"/>
          <w:sz w:val="18"/>
          <w:szCs w:val="18"/>
          <w:color w:val="auto"/>
        </w:rPr>
        <w:t>. Current guidance requires the allowance for doubtful accounts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an incurred loss model, which considers past and current conditions. ASU 2016-13 requires companies to use an expected loss model that also considers reasonable and supportable forecasts of future conditions. ASU 2016-13 is effective for the Company for the annual period beginning after December 15, 2020, including interim periods within that annual period. Early adoption is permitted. The Company plans to adopt ASU 2016-13 as of January 1, 2020 and does not believe the adoption of this guidance will have a material impact on the Company’s consolidated results of operations and financial position.</w:t>
      </w:r>
    </w:p>
    <w:p>
      <w:pPr>
        <w:spacing w:after="0" w:line="77"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The new standard is effective for the Company for the fiscal year beginning after December 15, 2020, including interim periods within the fiscal year beginning after December 15, 2020. Early adoption is permitted.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 2018-20,</w:t>
      </w:r>
      <w:r>
        <w:rPr>
          <w:rFonts w:ascii="Times New Roman" w:cs="Times New Roman" w:eastAsia="Times New Roman" w:hAnsi="Times New Roman"/>
          <w:sz w:val="18"/>
          <w:szCs w:val="18"/>
          <w:i w:val="1"/>
          <w:iCs w:val="1"/>
          <w:color w:val="auto"/>
        </w:rPr>
        <w:t xml:space="preserve"> Narrow-Scope Improvements for Lessors</w:t>
      </w:r>
      <w:r>
        <w:rPr>
          <w:rFonts w:ascii="Times New Roman" w:cs="Times New Roman" w:eastAsia="Times New Roman" w:hAnsi="Times New Roman"/>
          <w:sz w:val="18"/>
          <w:szCs w:val="18"/>
          <w:color w:val="auto"/>
        </w:rPr>
        <w:t>. These ASUs do not change the core principle of the guidance in ASU 2016-02. Instead,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are intended to clarify and improve operability of certain topics included within the lease standard. These ASUs will have the same effective date and transition requirements as ASU 2016-02.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1" w:name="page232"/>
    <w:bookmarkEnd w:id="23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21" w:lineRule="exact"/>
        <w:rPr>
          <w:sz w:val="20"/>
          <w:szCs w:val="20"/>
          <w:color w:val="auto"/>
        </w:rPr>
      </w:pPr>
    </w:p>
    <w:p>
      <w:pPr>
        <w:jc w:val="both"/>
        <w:ind w:left="140" w:right="319" w:firstLine="324"/>
        <w:spacing w:after="0" w:line="289" w:lineRule="auto"/>
        <w:rPr>
          <w:sz w:val="20"/>
          <w:szCs w:val="20"/>
          <w:color w:val="auto"/>
        </w:rPr>
      </w:pPr>
      <w:r>
        <w:rPr>
          <w:rFonts w:ascii="Times New Roman" w:cs="Times New Roman" w:eastAsia="Times New Roman" w:hAnsi="Times New Roman"/>
          <w:sz w:val="17"/>
          <w:szCs w:val="17"/>
          <w:color w:val="auto"/>
        </w:rPr>
        <w:t>The Company will adopt Topic 842 as of January 1, 2020 using the modified retrospective method for all existing leases. Upon adoption, the Company is required to recognize its lease assets and its lease liabilities measured by taking the present value of all future fixed lease payments discounted using the Company’s incremental borrowing rate.</w:t>
      </w:r>
    </w:p>
    <w:p>
      <w:pPr>
        <w:spacing w:after="0" w:line="50" w:lineRule="exact"/>
        <w:rPr>
          <w:sz w:val="20"/>
          <w:szCs w:val="20"/>
          <w:color w:val="auto"/>
        </w:rPr>
      </w:pPr>
    </w:p>
    <w:p>
      <w:pPr>
        <w:ind w:left="140" w:right="359"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opt for the package of practical expedients and to not reassess whether any existing contracts are leases or contain a lease, the lease classification of existing leases, and initial direct costs for existing leases. Additionally, the Company has elected the practical expedients to combine lease and non-lease components for new leases post adoption and to not recognize lease assets and lease liabilities for leases with a term of 12 months or less.</w:t>
      </w:r>
    </w:p>
    <w:p>
      <w:pPr>
        <w:spacing w:after="0" w:line="75"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The adoption of Topic 842 will materially increase the Company’s total assets and total liabilities as compared to amounts reported prior to adoption. Upon adoption, the Company expects to recognize right of use assets of approximately $46,000 and lease liabilities of approximately $48,000 calculated based on the present value of the remaining minimum lease payments as of the adoption date. Topic 842 is not expected to have a material impact to the Company’s consolidated statement of operations.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17" w:lineRule="exact"/>
        <w:rPr>
          <w:sz w:val="20"/>
          <w:szCs w:val="20"/>
          <w:color w:val="auto"/>
        </w:rPr>
      </w:pPr>
    </w:p>
    <w:p>
      <w:pPr>
        <w:ind w:left="140" w:right="1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ASU 2016-15</w:t>
      </w:r>
      <w:r>
        <w:rPr>
          <w:rFonts w:ascii="Times New Roman" w:cs="Times New Roman" w:eastAsia="Times New Roman" w:hAnsi="Times New Roman"/>
          <w:sz w:val="18"/>
          <w:szCs w:val="18"/>
          <w:color w:val="auto"/>
        </w:rPr>
        <w:t>—In August 2016, the FASB issued ASU No. 2016-15, Statement of Cash Flows (Topic 230):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ASU 2016-15 addresses eight specific cash flow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objective of reducing diversity in how certain cash receipts and cash payments are presented and classified in the statement of cash flows. The Company adopted the standard effective January 1, 2019. The adoption of this ASU did not have a material impact on the Company’s consolidated statements of cash flows.</w:t>
      </w:r>
    </w:p>
    <w:p>
      <w:pPr>
        <w:spacing w:after="0" w:line="179"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ASU 2016-16</w:t>
      </w:r>
      <w:r>
        <w:rPr>
          <w:rFonts w:ascii="Times New Roman" w:cs="Times New Roman" w:eastAsia="Times New Roman" w:hAnsi="Times New Roman"/>
          <w:sz w:val="18"/>
          <w:szCs w:val="18"/>
          <w:color w:val="auto"/>
        </w:rPr>
        <w:t>—In October 2016, the FASB issued ASU No. 2016-16,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Intra-Entity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Transfer of Assets Other than Inventory</w:t>
      </w:r>
      <w:r>
        <w:rPr>
          <w:rFonts w:ascii="Times New Roman" w:cs="Times New Roman" w:eastAsia="Times New Roman" w:hAnsi="Times New Roman"/>
          <w:sz w:val="18"/>
          <w:szCs w:val="18"/>
          <w:color w:val="auto"/>
        </w:rPr>
        <w:t>, which requires the recognition of the income tax effects of an intra-entity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 of an asset, other than inventory, when the transfer occurs, eliminating an exception under previous U.S. GAAP in which the tax effects of intra-entity asset transfers were deferred until the transferred asset is sold to a third party or otherwise recovered through use. The Company adopted this standard effective January 1, 2018 by applying the required modified retrospective approach with a cumulative-effect adjustment to retained earnings of certain previously deferred tax benefits. Accordingly, a cumulative-effect adjustment on deferred tax expense of $379 was recorded in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deficit </w:t>
      </w:r>
      <w:r>
        <w:rPr>
          <w:rFonts w:ascii="Times New Roman" w:cs="Times New Roman" w:eastAsia="Times New Roman" w:hAnsi="Times New Roman"/>
          <w:sz w:val="18"/>
          <w:szCs w:val="18"/>
          <w:color w:val="auto"/>
        </w:rPr>
        <w:t>during the year ended December 31, 2018.</w:t>
      </w:r>
    </w:p>
    <w:p>
      <w:pPr>
        <w:spacing w:after="0" w:line="81"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2018, the Company had intercompany sales of certain intangible operating assets between its foreign subsidiaries. The sales resulted in a 2018 net tax benefit of $46,369. For the year ended December 31, 2018, the impact of adopting ASU 2016-16 resulted in a reduction of $45,596 in </w:t>
      </w:r>
      <w:r>
        <w:rPr>
          <w:rFonts w:ascii="Times New Roman" w:cs="Times New Roman" w:eastAsia="Times New Roman" w:hAnsi="Times New Roman"/>
          <w:sz w:val="18"/>
          <w:szCs w:val="18"/>
          <w:i w:val="1"/>
          <w:iCs w:val="1"/>
          <w:color w:val="auto"/>
        </w:rPr>
        <w:t>Provision of income taxes</w:t>
      </w:r>
      <w:r>
        <w:rPr>
          <w:rFonts w:ascii="Times New Roman" w:cs="Times New Roman" w:eastAsia="Times New Roman" w:hAnsi="Times New Roman"/>
          <w:sz w:val="18"/>
          <w:szCs w:val="18"/>
          <w:color w:val="auto"/>
        </w:rPr>
        <w:t xml:space="preserve">, as well as a $45,596 increase in </w:t>
      </w:r>
      <w:r>
        <w:rPr>
          <w:rFonts w:ascii="Times New Roman" w:cs="Times New Roman" w:eastAsia="Times New Roman" w:hAnsi="Times New Roman"/>
          <w:sz w:val="18"/>
          <w:szCs w:val="18"/>
          <w:i w:val="1"/>
          <w:iCs w:val="1"/>
          <w:color w:val="auto"/>
        </w:rPr>
        <w:t>Deferred income taxes</w:t>
      </w:r>
      <w:r>
        <w:rPr>
          <w:rFonts w:ascii="Times New Roman" w:cs="Times New Roman" w:eastAsia="Times New Roman" w:hAnsi="Times New Roman"/>
          <w:sz w:val="18"/>
          <w:szCs w:val="18"/>
          <w:color w:val="auto"/>
        </w:rPr>
        <w:t xml:space="preserve"> (asset) and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compared to what the Company would have recognized under previous U.S. GAAP. Furthermore, the impact of adoption resulted in a $0.16 increase in both basic and diluted earnings per share for the year ended December 31, 2018.</w:t>
      </w:r>
    </w:p>
    <w:p>
      <w:pPr>
        <w:spacing w:after="0" w:line="143" w:lineRule="exact"/>
        <w:rPr>
          <w:sz w:val="20"/>
          <w:szCs w:val="20"/>
          <w:color w:val="auto"/>
        </w:rPr>
      </w:pPr>
    </w:p>
    <w:p>
      <w:pPr>
        <w:ind w:left="140" w:right="379"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—On January 1, 2019, the Company adopted Topic 606, which supersedes substantially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existing revenue recognition guidance under U.S. GAAP. The Company adopted Topic 606 using the modified retrospective method, under which the cumulative effect of initially applying Topic 606 of $125,464 ($101,489, net of tax) was recorded as a cumulative decrease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The Company applied the standard only to contracts that were not completed as of the date of initial application. The comparative information has not been adjusted and continues to be reported under Topic 605.</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2" w:name="page233"/>
    <w:bookmarkEnd w:id="23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21" w:lineRule="exact"/>
        <w:rPr>
          <w:sz w:val="20"/>
          <w:szCs w:val="20"/>
          <w:color w:val="auto"/>
        </w:rPr>
      </w:pPr>
    </w:p>
    <w:p>
      <w:pPr>
        <w:ind w:left="140" w:right="339" w:firstLine="324"/>
        <w:spacing w:after="0" w:line="270" w:lineRule="auto"/>
        <w:rPr>
          <w:sz w:val="20"/>
          <w:szCs w:val="20"/>
          <w:color w:val="auto"/>
        </w:rPr>
      </w:pPr>
      <w:r>
        <w:rPr>
          <w:rFonts w:ascii="Times New Roman" w:cs="Times New Roman" w:eastAsia="Times New Roman" w:hAnsi="Times New Roman"/>
          <w:sz w:val="17"/>
          <w:szCs w:val="17"/>
          <w:color w:val="auto"/>
        </w:rPr>
        <w:t>The core principle of Topic 606 is to recognize revenue when promised goods or services are transferred to a customer in an amount that reflects the consideration that is expected to be received for those goods or services. Under the new guidance, the Company is required to evaluate revenue recognition through a five-step process: (1) identify a contract with a customer; (2) identify the performance obligations in the contract; (3) determine the transaction price;</w:t>
      </w:r>
    </w:p>
    <w:p>
      <w:pPr>
        <w:spacing w:after="0" w:line="3" w:lineRule="exact"/>
        <w:rPr>
          <w:sz w:val="20"/>
          <w:szCs w:val="20"/>
          <w:color w:val="auto"/>
        </w:rPr>
      </w:pPr>
    </w:p>
    <w:p>
      <w:pPr>
        <w:ind w:left="140" w:right="179" w:firstLine="4"/>
        <w:spacing w:after="0" w:line="252" w:lineRule="auto"/>
        <w:tabs>
          <w:tab w:leader="none" w:pos="3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(5) recognize revenue when (or as) the Company satisfies a performance obligation. The standard also requires disclosure of the nature, amount, timing, and uncertainty of revenue and cash flows arising from contracts with customers. In applying the principles of Topic 606, more judgment and estimates are required within the revenue recognition process than was required under previous U.S. GAAP, including identifying performance obligations, estimating the amount of variable consideration to include in the transaction price, and estimating the value of each performance obligation to allocate the total transaction price to each separate performance obligation.</w:t>
      </w:r>
    </w:p>
    <w:p>
      <w:pPr>
        <w:spacing w:after="0" w:line="80" w:lineRule="exact"/>
        <w:rPr>
          <w:sz w:val="20"/>
          <w:szCs w:val="20"/>
          <w:color w:val="auto"/>
        </w:rPr>
      </w:pPr>
    </w:p>
    <w:p>
      <w:pPr>
        <w:ind w:left="140" w:right="259" w:firstLine="324"/>
        <w:spacing w:after="0" w:line="254" w:lineRule="auto"/>
        <w:rPr>
          <w:sz w:val="20"/>
          <w:szCs w:val="20"/>
          <w:color w:val="auto"/>
        </w:rPr>
      </w:pPr>
      <w:r>
        <w:rPr>
          <w:rFonts w:ascii="Times New Roman" w:cs="Times New Roman" w:eastAsia="Times New Roman" w:hAnsi="Times New Roman"/>
          <w:sz w:val="18"/>
          <w:szCs w:val="18"/>
          <w:color w:val="auto"/>
        </w:rPr>
        <w:t>The most significant impact to the Company resulting from the adoption of Topic 606 relates to timing of revenue recognition for perpetual licenses and the accounting for certain of the Company’s subscription arrangements that include term-based software licenses bundled with support. Under prior guidance, revenue for perpetual licenses was recognized ratably over a three-year period, while revenue attributable to the term-based software licenses was recognized ratably over the term. Under Topic 606, both perpetual license and term-based software license revenue will be recognized up-front upon delivery of the software license. Revenue recognition related to support, hosting, usage-based offerings, and services is substantially unchanged, with support and hosting revenue recorded ratably over the contract term, usage-based revenue recognized upon usage or delivery, and services revenue as delivered.</w:t>
      </w:r>
    </w:p>
    <w:p>
      <w:pPr>
        <w:spacing w:after="0" w:line="147"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Costs to Obtain a Contract with a Customer</w:t>
      </w:r>
      <w:r>
        <w:rPr>
          <w:rFonts w:ascii="Times New Roman" w:cs="Times New Roman" w:eastAsia="Times New Roman" w:hAnsi="Times New Roman"/>
          <w:sz w:val="18"/>
          <w:szCs w:val="18"/>
          <w:color w:val="auto"/>
        </w:rPr>
        <w:t>—With the adoption of Topic 606, the Company also adopted ASC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Topic 340-40, </w:t>
      </w:r>
      <w:r>
        <w:rPr>
          <w:rFonts w:ascii="Times New Roman" w:cs="Times New Roman" w:eastAsia="Times New Roman" w:hAnsi="Times New Roman"/>
          <w:sz w:val="18"/>
          <w:szCs w:val="18"/>
          <w:i w:val="1"/>
          <w:iCs w:val="1"/>
          <w:color w:val="auto"/>
        </w:rPr>
        <w:t>Other Assets and Deferred Costs-Contracts with Customers</w:t>
      </w:r>
      <w:r>
        <w:rPr>
          <w:rFonts w:ascii="Times New Roman" w:cs="Times New Roman" w:eastAsia="Times New Roman" w:hAnsi="Times New Roman"/>
          <w:sz w:val="18"/>
          <w:szCs w:val="18"/>
          <w:color w:val="auto"/>
        </w:rPr>
        <w:t xml:space="preserve"> (Topic 340-40). Prior to the adoption of Topic 340-40, the Company previously recognized compensation paid to sales employees and certain channel partners related to obtaining customer contracts when incurred. Under Topic 340-40, 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 Under the modified retrospective method, the Company recorded a cumulative decrease of $7,734 ($6,333, net of tax)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as of January 1, 2019. The comparative information has not been adjusted and continues to be reported as incurred.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3" w:name="page234"/>
    <w:bookmarkEnd w:id="23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Quantitative Effect of Topics 606 and 340-40 Adoption</w:t>
      </w:r>
    </w:p>
    <w:p>
      <w:pPr>
        <w:spacing w:after="0" w:line="121" w:lineRule="exact"/>
        <w:rPr>
          <w:sz w:val="20"/>
          <w:szCs w:val="20"/>
          <w:color w:val="auto"/>
        </w:rPr>
      </w:pPr>
    </w:p>
    <w:p>
      <w:pPr>
        <w:ind w:left="140" w:right="4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reported consolidated balance sheet and statements of operations, as of and for the year ended December 31, 2019, to the amounts had Topic 605 been in effect.</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Impact from</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adoption of</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Topic 606 and</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08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4"/>
                <w:szCs w:val="14"/>
                <w:b w:val="1"/>
                <w:bCs w:val="1"/>
                <w:color w:val="auto"/>
              </w:rPr>
              <w:t>Topic 340</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jc w:val="center"/>
              <w:ind w:right="225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204,501</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income taxes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(2,189)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gridSpan w:val="2"/>
          </w:tcPr>
          <w:p>
            <w:pPr>
              <w:ind w:left="220"/>
              <w:spacing w:after="0" w:line="202" w:lineRule="exact"/>
              <w:rPr>
                <w:sz w:val="20"/>
                <w:szCs w:val="20"/>
                <w:color w:val="auto"/>
              </w:rPr>
            </w:pPr>
            <w:r>
              <w:rPr>
                <w:rFonts w:ascii="Times New Roman" w:cs="Times New Roman" w:eastAsia="Times New Roman" w:hAnsi="Times New Roman"/>
                <w:sz w:val="16"/>
                <w:szCs w:val="16"/>
                <w:color w:val="auto"/>
              </w:rPr>
              <w:t>Prepaid and other current assets</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23,413</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352,181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353,558</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0" w:type="dxa"/>
            <w:vAlign w:val="bottom"/>
          </w:tcPr>
          <w:p>
            <w:pPr>
              <w:spacing w:after="0"/>
              <w:rPr>
                <w:sz w:val="1"/>
                <w:szCs w:val="1"/>
                <w:color w:val="auto"/>
              </w:rPr>
            </w:pPr>
          </w:p>
        </w:tc>
      </w:tr>
      <w:tr>
        <w:trPr>
          <w:trHeight w:val="202"/>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480,065</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(21,543)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32,238</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923,596</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1,009,044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994,599</w:t>
            </w:r>
          </w:p>
        </w:tc>
        <w:tc>
          <w:tcPr>
            <w:tcW w:w="0" w:type="dxa"/>
            <w:vAlign w:val="bottom"/>
          </w:tcPr>
          <w:p>
            <w:pPr>
              <w:spacing w:after="0"/>
              <w:rPr>
                <w:sz w:val="1"/>
                <w:szCs w:val="1"/>
                <w:color w:val="auto"/>
              </w:rPr>
            </w:pPr>
          </w:p>
        </w:tc>
      </w:tr>
      <w:tr>
        <w:trPr>
          <w:trHeight w:val="183"/>
        </w:trPr>
        <w:tc>
          <w:tcPr>
            <w:tcW w:w="5000" w:type="dxa"/>
            <w:vAlign w:val="bottom"/>
            <w:gridSpan w:val="2"/>
            <w:shd w:val="clear" w:color="auto" w:fill="CCEEFF"/>
          </w:tcPr>
          <w:p>
            <w:pPr>
              <w:jc w:val="center"/>
              <w:ind w:right="59"/>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167,517</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282,070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(77,079)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204,991</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467,994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392,413</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debt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233,750</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(47,967)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w:t>
            </w: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776,165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781,076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(121,096)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659,980</w:t>
            </w:r>
          </w:p>
        </w:tc>
        <w:tc>
          <w:tcPr>
            <w:tcW w:w="0" w:type="dxa"/>
            <w:vAlign w:val="bottom"/>
          </w:tcPr>
          <w:p>
            <w:pPr>
              <w:spacing w:after="0"/>
              <w:rPr>
                <w:sz w:val="1"/>
                <w:szCs w:val="1"/>
                <w:color w:val="auto"/>
              </w:rPr>
            </w:pPr>
          </w:p>
        </w:tc>
      </w:tr>
      <w:tr>
        <w:trPr>
          <w:trHeight w:val="19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6"/>
                <w:szCs w:val="16"/>
                <w:color w:val="auto"/>
              </w:rPr>
              <w:t>Additional paid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 capital</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408,667</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(29,414)</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(23,086)</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(23,927)</w:t>
            </w: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6"/>
                <w:szCs w:val="16"/>
                <w:color w:val="auto"/>
              </w:rPr>
              <w:t>Accumulated deficit</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(218,553)</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(160,161)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(52,669)</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147,431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227,968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334,619</w:t>
            </w:r>
          </w:p>
        </w:tc>
        <w:tc>
          <w:tcPr>
            <w:tcW w:w="0" w:type="dxa"/>
            <w:vAlign w:val="bottom"/>
          </w:tcPr>
          <w:p>
            <w:pPr>
              <w:spacing w:after="0"/>
              <w:rPr>
                <w:sz w:val="1"/>
                <w:szCs w:val="1"/>
                <w:color w:val="auto"/>
              </w:rPr>
            </w:pPr>
          </w:p>
        </w:tc>
      </w:tr>
      <w:tr>
        <w:trPr>
          <w:trHeight w:val="196"/>
        </w:trPr>
        <w:tc>
          <w:tcPr>
            <w:tcW w:w="50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923,596</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1,009,044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994,599</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60" w:right="539" w:hanging="316"/>
        <w:spacing w:after="0" w:line="284"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2019, contract cost assets of $2,690 were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and $5,235 were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460" w:right="939" w:hanging="316"/>
        <w:spacing w:after="0" w:line="284"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on the opening balance of January 1, 2019 is $107,822, net of tax, for the cumulative effect adjustment of adopting Topics 606 and 340-40.</w:t>
      </w:r>
    </w:p>
    <w:p>
      <w:pPr>
        <w:sectPr>
          <w:pgSz w:w="11900" w:h="16838" w:orient="portrait"/>
          <w:cols w:equalWidth="0" w:num="1">
            <w:col w:w="9019"/>
          </w:cols>
          <w:pgMar w:left="1440" w:top="661"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34" w:name="page235"/>
    <w:bookmarkEnd w:id="23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Impact from</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13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adoption of</w:t>
            </w:r>
          </w:p>
        </w:tc>
        <w:tc>
          <w:tcPr>
            <w:tcW w:w="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Topics 606</w:t>
            </w: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Topic 605</w:t>
            </w:r>
          </w:p>
        </w:tc>
        <w:tc>
          <w:tcPr>
            <w:tcW w:w="20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Topic 605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4"/>
                <w:szCs w:val="14"/>
                <w:b w:val="1"/>
                <w:bCs w:val="1"/>
                <w:color w:val="auto"/>
              </w:rPr>
              <w:t>and 340</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40</w:t>
            </w:r>
          </w:p>
        </w:tc>
        <w:tc>
          <w:tcPr>
            <w:tcW w:w="2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$ 557,421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$ 613,925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$ 608,300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Perpetual licenses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0" w:type="dxa"/>
            <w:vAlign w:val="bottom"/>
          </w:tcPr>
          <w:p>
            <w:pPr>
              <w:spacing w:after="0"/>
              <w:rPr>
                <w:sz w:val="1"/>
                <w:szCs w:val="1"/>
                <w:color w:val="auto"/>
              </w:rPr>
            </w:pPr>
          </w:p>
        </w:tc>
      </w:tr>
      <w:tr>
        <w:trPr>
          <w:trHeight w:val="209"/>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9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2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revenues</w:t>
            </w:r>
          </w:p>
        </w:tc>
        <w:tc>
          <w:tcPr>
            <w:tcW w:w="9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2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0"/>
        </w:trPr>
        <w:tc>
          <w:tcPr>
            <w:tcW w:w="3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$ 142,112</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$ 103,426</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$ 103,096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21" w:lineRule="exact"/>
        <w:rPr>
          <w:sz w:val="20"/>
          <w:szCs w:val="20"/>
          <w:color w:val="auto"/>
        </w:rPr>
      </w:pPr>
    </w:p>
    <w:p>
      <w:pPr>
        <w:ind w:left="140" w:right="3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1, 2019, the Company adopted Topic 606 using the modified retrospective method, under which the cumulative effect of initially applying Topic 606 of $125,464 ($101,489, net of tax)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The impact from adoption was primarily derived from the timing of revenue recognition for perpetual licenses and the accounting for certain of the Company’s subscription arrangements that include term-based software licenses bundled with support. Under prior guidance, revenue for perpetual licenses was recognized over a three-year period, while revenue attributable to the term-based software licenses was recognized ratably over the term. Under Topic 606, both perpetual license and term-based software license revenue will be recognized up-front upon delivery of the software license. The comparative information has not been adjusted and continues to be reported under Topic 605. Refer to Note 2, Recent Accounting Pronouncements, for a qualitative and quantitative discussion of the adoption impact.</w:t>
      </w:r>
    </w:p>
    <w:p>
      <w:pPr>
        <w:spacing w:after="0" w:line="86" w:lineRule="exact"/>
        <w:rPr>
          <w:sz w:val="20"/>
          <w:szCs w:val="20"/>
          <w:color w:val="auto"/>
        </w:rPr>
      </w:pPr>
    </w:p>
    <w:p>
      <w:pPr>
        <w:ind w:left="140" w:right="679" w:firstLine="324"/>
        <w:spacing w:after="0" w:line="282"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5" w:name="page236"/>
    <w:bookmarkEnd w:id="23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19"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SELECT subscriptions</w:t>
      </w:r>
      <w:r>
        <w:rPr>
          <w:rFonts w:ascii="Times New Roman" w:cs="Times New Roman" w:eastAsia="Times New Roman" w:hAnsi="Times New Roman"/>
          <w:sz w:val="18"/>
          <w:szCs w:val="18"/>
          <w:color w:val="auto"/>
        </w:rPr>
        <w:t>—A prepaid annual recurring subscription that accounts can elect to add to a new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purchased perpetual license. SELECT provides accounts with benefits, including upgrades, comprehensive technical support, pooled licensing benefits, annual portfolio balancing exchange rights, learning benefits, certain Azure-based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80"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Enterprise subscriptions</w:t>
      </w:r>
      <w:r>
        <w:rPr>
          <w:rFonts w:ascii="Times New Roman" w:cs="Times New Roman" w:eastAsia="Times New Roman" w:hAnsi="Times New Roman"/>
          <w:sz w:val="18"/>
          <w:szCs w:val="18"/>
          <w:color w:val="auto"/>
        </w:rPr>
        <w:t>—The Company also provides Enterprise subscription offerings which provide its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with complete and unlimited global access to the Company’s comprehensive portfolio of solutions. Enterprise License Subscriptions (“ELS”) provide access for a prepaid fee, which is based on the account’s usage of software in the preceding year, effectively a fee-certain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86"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are charged based upon daily usage. The daily usage fee includes a term license component, SELECT maintenance and support, and Success Plan services, which are designed to achieve business outcomes through more efficient and effective use of our software. E365 revenues are recognized based upon usage incurred by the account under both Topics 606 and 605. Usage is defined as distinct user access on a daily basis. The term of E365 subscriptions aligns with calendar quarters and revenue is recognized based on actual usage.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6" w:name="page237"/>
    <w:bookmarkEnd w:id="23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9"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color w:val="auto"/>
        </w:rPr>
        <w:t>—The Company provides annual, quarterly, and monthly term licenses for its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ATL revenues were recognized on a ratable basis, over the subscription term. For usage-based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79" w:lineRule="exact"/>
        <w:rPr>
          <w:sz w:val="20"/>
          <w:szCs w:val="20"/>
          <w:color w:val="auto"/>
        </w:rPr>
      </w:pPr>
    </w:p>
    <w:p>
      <w:pPr>
        <w:jc w:val="both"/>
        <w:ind w:left="140" w:right="519" w:firstLine="324"/>
        <w:spacing w:after="0" w:line="266" w:lineRule="auto"/>
        <w:rPr>
          <w:sz w:val="20"/>
          <w:szCs w:val="20"/>
          <w:color w:val="auto"/>
        </w:rPr>
      </w:pP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w:t>
      </w:r>
    </w:p>
    <w:p>
      <w:pPr>
        <w:spacing w:after="0" w:line="68"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21" w:lineRule="exact"/>
        <w:rPr>
          <w:sz w:val="20"/>
          <w:szCs w:val="20"/>
          <w:color w:val="auto"/>
        </w:rPr>
      </w:pPr>
    </w:p>
    <w:p>
      <w:pPr>
        <w:ind w:left="140" w:right="339" w:firstLine="324"/>
        <w:spacing w:after="0" w:line="258"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 606. Under Topic 605, the Company recognized perpetual licenses revenue ratably over a three-year term due to the portfolio balancing feature users obtain through their SELECT subscriptions.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140" w:right="259" w:firstLine="324"/>
        <w:spacing w:after="0" w:line="255"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 under both Topic 606 and 605.</w:t>
      </w:r>
    </w:p>
    <w:p>
      <w:pPr>
        <w:spacing w:after="0" w:line="81"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37" w:name="page238"/>
    <w:bookmarkEnd w:id="23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21"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82"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2019, the Company has deferred $18,060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on the consolidated balance sheet.</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213,145</w:t>
            </w:r>
          </w:p>
        </w:tc>
      </w:tr>
    </w:tbl>
    <w:p>
      <w:pPr>
        <w:spacing w:after="0" w:line="179"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December 31, 2019.</w:t>
      </w:r>
    </w:p>
    <w:p>
      <w:pPr>
        <w:spacing w:after="0" w:line="68" w:lineRule="exact"/>
        <w:rPr>
          <w:sz w:val="20"/>
          <w:szCs w:val="20"/>
          <w:color w:val="auto"/>
        </w:rPr>
      </w:pPr>
    </w:p>
    <w:p>
      <w:pPr>
        <w:ind w:left="140" w:right="559" w:firstLine="324"/>
        <w:spacing w:after="0" w:line="266"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SELECT, and professional services. The timing of revenue recognition may differ from the timing of billings to users.</w:t>
      </w:r>
    </w:p>
    <w:p>
      <w:pPr>
        <w:spacing w:after="0" w:line="68" w:lineRule="exact"/>
        <w:rPr>
          <w:sz w:val="20"/>
          <w:szCs w:val="20"/>
          <w:color w:val="auto"/>
        </w:rPr>
      </w:pPr>
    </w:p>
    <w:p>
      <w:pPr>
        <w:jc w:val="both"/>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$202,354 of revenue that was included in the January 1, 2019 deferred revenue opening balance was recognized. There were additional deferrals of $202,806, which were primarily related to new billings.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8" w:name="page239"/>
    <w:bookmarkEnd w:id="23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ind w:left="140" w:right="159" w:firstLine="324"/>
        <w:spacing w:after="0" w:line="289" w:lineRule="auto"/>
        <w:rPr>
          <w:sz w:val="20"/>
          <w:szCs w:val="20"/>
          <w:color w:val="auto"/>
        </w:rPr>
      </w:pPr>
      <w:r>
        <w:rPr>
          <w:rFonts w:ascii="Times New Roman" w:cs="Times New Roman" w:eastAsia="Times New Roman" w:hAnsi="Times New Roman"/>
          <w:sz w:val="17"/>
          <w:szCs w:val="17"/>
          <w:color w:val="auto"/>
        </w:rPr>
        <w:t>The Company’s contracts with customers include amounts allocated to performance obligations that will be satisfied at a later date. As of December 31, 2019, amounts allocated to these remaining performance obligations are $213,145, of which the Company expects to recognize 96.2% over the next 12 months with the remaining amount thereafter.</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800" w:type="dxa"/>
            <w:vAlign w:val="bottom"/>
            <w:tcBorders>
              <w:bottom w:val="single" w:sz="8" w:color="auto"/>
            </w:tcBorders>
            <w:gridSpan w:val="7"/>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92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720" w:type="dxa"/>
            <w:vAlign w:val="bottom"/>
            <w:tcBorders>
              <w:bottom w:val="single" w:sz="8" w:color="auto"/>
            </w:tcBorders>
          </w:tcPr>
          <w:p>
            <w:pPr>
              <w:spacing w:after="0"/>
              <w:rPr>
                <w:sz w:val="12"/>
                <w:szCs w:val="12"/>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SELECT subscription revenues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$ 273,745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$ 267,340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267,249</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184,833</w:t>
            </w: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100,860</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156,218</w:t>
            </w:r>
          </w:p>
        </w:tc>
      </w:tr>
      <w:tr>
        <w:trPr>
          <w:trHeight w:val="210"/>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Perpetual licenses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59,693</w:t>
            </w:r>
          </w:p>
        </w:tc>
      </w:tr>
      <w:tr>
        <w:trPr>
          <w:trHeight w:val="209"/>
        </w:trPr>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667,993</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w:t>
            </w:r>
          </w:p>
        </w:tc>
      </w:tr>
      <w:tr>
        <w:trPr>
          <w:trHeight w:val="216"/>
        </w:trPr>
        <w:tc>
          <w:tcPr>
            <w:tcW w:w="5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Professional services (all 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r>
      <w:tr>
        <w:trPr>
          <w:trHeight w:val="210"/>
        </w:trPr>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r>
      <w:tr>
        <w:trPr>
          <w:trHeight w:val="210"/>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$ 691,710</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$ 734,849</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r>
      <w:tr>
        <w:trPr>
          <w:trHeight w:val="20"/>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year ended December 31, 2019, the Company recognized $311,689 of license related revenues, of which $251,996 was attributable to the term license component of the Company’s subscription based commercial offerings recorded in Subscriptions.</w:t>
      </w:r>
    </w:p>
    <w:p>
      <w:pPr>
        <w:spacing w:after="0" w:line="72" w:lineRule="exact"/>
        <w:rPr>
          <w:sz w:val="20"/>
          <w:szCs w:val="20"/>
          <w:color w:val="auto"/>
        </w:rPr>
      </w:pPr>
    </w:p>
    <w:p>
      <w:pPr>
        <w:ind w:left="140" w:right="779" w:firstLine="324"/>
        <w:spacing w:after="0" w:line="282" w:lineRule="auto"/>
        <w:rPr>
          <w:sz w:val="20"/>
          <w:szCs w:val="20"/>
          <w:color w:val="auto"/>
        </w:rPr>
      </w:pPr>
      <w:r>
        <w:rPr>
          <w:rFonts w:ascii="Times New Roman" w:cs="Times New Roman" w:eastAsia="Times New Roman" w:hAnsi="Times New Roman"/>
          <w:sz w:val="18"/>
          <w:szCs w:val="18"/>
          <w:color w:val="auto"/>
        </w:rPr>
        <w:t>Under Topic 606, the Company derived 8% of its total revenues through channel partners for the year ended December 31, 2019.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9" w:name="page240"/>
    <w:bookmarkEnd w:id="23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0" w:type="dxa"/>
            <w:vAlign w:val="bottom"/>
            <w:tcBorders>
              <w:bottom w:val="single" w:sz="8" w:color="auto"/>
            </w:tcBorders>
            <w:gridSpan w:val="7"/>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2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720" w:type="dxa"/>
            <w:vAlign w:val="bottom"/>
            <w:tcBorders>
              <w:bottom w:val="single" w:sz="8" w:color="auto"/>
            </w:tcBorders>
          </w:tcPr>
          <w:p>
            <w:pPr>
              <w:spacing w:after="0"/>
              <w:rPr>
                <w:sz w:val="12"/>
                <w:szCs w:val="12"/>
                <w:color w:val="auto"/>
              </w:rPr>
            </w:pPr>
          </w:p>
        </w:tc>
      </w:tr>
      <w:tr>
        <w:trPr>
          <w:trHeight w:val="142"/>
        </w:trPr>
        <w:tc>
          <w:tcPr>
            <w:tcW w:w="220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Topic 605</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8"/>
              </w:rPr>
              <w:t>Topic 606</w:t>
            </w:r>
          </w:p>
        </w:tc>
      </w:tr>
      <w:tr>
        <w:trPr>
          <w:trHeight w:val="20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Americas</w:t>
            </w:r>
            <w:r>
              <w:rPr>
                <w:rFonts w:ascii="Times New Roman" w:cs="Times New Roman" w:eastAsia="Times New Roman" w:hAnsi="Times New Roman"/>
                <w:sz w:val="25"/>
                <w:szCs w:val="25"/>
                <w:color w:val="auto"/>
                <w:vertAlign w:val="superscript"/>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$ 328,749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$ 360,934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356,331</w:t>
            </w: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Europe, the Middle East, and Africa</w:t>
            </w:r>
            <w:r>
              <w:rPr>
                <w:rFonts w:ascii="Times New Roman" w:cs="Times New Roman" w:eastAsia="Times New Roman" w:hAnsi="Times New Roman"/>
                <w:sz w:val="25"/>
                <w:szCs w:val="25"/>
                <w:color w:val="auto"/>
                <w:vertAlign w:val="superscript"/>
              </w:rPr>
              <w:t>(2)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131,475</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143,721</w:t>
            </w:r>
          </w:p>
        </w:tc>
      </w:tr>
      <w:tr>
        <w:trPr>
          <w:trHeight w:val="209"/>
        </w:trPr>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$ 691,710</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$ 734,849</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r>
      <w:tr>
        <w:trPr>
          <w:trHeight w:val="20"/>
        </w:trPr>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20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460" w:right="219" w:hanging="316"/>
        <w:spacing w:after="0" w:line="266"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$277,706 (Topic 605) for the year ended December 31, 2018 and $307,259 (Topic 605) and $306,493 (Topic 606) for the year ended December 31, 2019.</w:t>
      </w:r>
    </w:p>
    <w:p>
      <w:pPr>
        <w:spacing w:after="0" w:line="67" w:lineRule="exact"/>
        <w:rPr>
          <w:rFonts w:ascii="Times New Roman" w:cs="Times New Roman" w:eastAsia="Times New Roman" w:hAnsi="Times New Roman"/>
          <w:sz w:val="18"/>
          <w:szCs w:val="18"/>
          <w:color w:val="auto"/>
        </w:rPr>
      </w:pPr>
    </w:p>
    <w:p>
      <w:pPr>
        <w:ind w:left="460" w:right="179" w:hanging="316"/>
        <w:spacing w:after="0" w:line="282"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$59,086 (Topic 605) for the year ended December 31, 2018 and $59,524 (Topic 605) and $57,321 (Topic 606) for the year ended December 31, 2019.</w:t>
      </w:r>
    </w:p>
    <w:p>
      <w:pPr>
        <w:spacing w:after="0" w:line="54" w:lineRule="exact"/>
        <w:rPr>
          <w:sz w:val="20"/>
          <w:szCs w:val="20"/>
          <w:color w:val="auto"/>
        </w:rPr>
      </w:pPr>
    </w:p>
    <w:p>
      <w:pPr>
        <w:ind w:left="140" w:right="699" w:firstLine="324"/>
        <w:spacing w:after="0" w:line="282" w:lineRule="auto"/>
        <w:rPr>
          <w:sz w:val="20"/>
          <w:szCs w:val="20"/>
          <w:color w:val="auto"/>
        </w:rPr>
      </w:pPr>
      <w:r>
        <w:rPr>
          <w:rFonts w:ascii="Times New Roman" w:cs="Times New Roman" w:eastAsia="Times New Roman" w:hAnsi="Times New Roman"/>
          <w:sz w:val="18"/>
          <w:szCs w:val="18"/>
          <w:color w:val="auto"/>
        </w:rPr>
        <w:t>Adoption of the standards had no impact to net cash provided by or used in operating, financing, or investing activities on the Company’s consolidated statement of cash flows.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21" w:lineRule="exact"/>
        <w:rPr>
          <w:sz w:val="20"/>
          <w:szCs w:val="20"/>
          <w:color w:val="auto"/>
        </w:rPr>
      </w:pPr>
    </w:p>
    <w:p>
      <w:pPr>
        <w:ind w:left="140" w:right="399"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completed a number of acquisitions, none of which were material, individually or in the aggregate, to the Company’s consolidated statements of operations. The aggregate details of the Company’s acquisition activity are as follows:</w:t>
      </w:r>
    </w:p>
    <w:p>
      <w:pPr>
        <w:spacing w:after="0" w:line="75"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Acquisitions Completed</w:t>
      </w:r>
    </w:p>
    <w:p>
      <w:pPr>
        <w:jc w:val="center"/>
        <w:ind w:left="5280"/>
        <w:spacing w:after="0" w:line="229" w:lineRule="auto"/>
        <w:rPr>
          <w:sz w:val="20"/>
          <w:szCs w:val="20"/>
          <w:color w:val="auto"/>
        </w:rPr>
      </w:pPr>
      <w:r>
        <w:rPr>
          <w:rFonts w:ascii="Times New Roman" w:cs="Times New Roman" w:eastAsia="Times New Roman" w:hAnsi="Times New Roman"/>
          <w:sz w:val="14"/>
          <w:szCs w:val="14"/>
          <w:b w:val="1"/>
          <w:bCs w:val="1"/>
          <w:color w:val="auto"/>
        </w:rPr>
        <w:t>in Year Ended</w:t>
      </w:r>
    </w:p>
    <w:p>
      <w:pPr>
        <w:jc w:val="center"/>
        <w:ind w:left="528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3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at closing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$ 143,038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$ 36,577</w:t>
            </w: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acquired</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$ 135,264</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$ 34,054</w:t>
            </w:r>
          </w:p>
        </w:tc>
      </w:tr>
      <w:tr>
        <w:trPr>
          <w:trHeight w:val="20"/>
        </w:trPr>
        <w:tc>
          <w:tcPr>
            <w:tcW w:w="5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4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2018, the fair value of the contingent consideration related to acquisitions totaled $4,316, of which $2,390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$1,926 is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consolidated balance sheet.</w:t>
      </w:r>
    </w:p>
    <w:p>
      <w:pPr>
        <w:spacing w:after="0" w:line="68" w:lineRule="exact"/>
        <w:rPr>
          <w:sz w:val="20"/>
          <w:szCs w:val="20"/>
          <w:color w:val="auto"/>
        </w:rPr>
      </w:pPr>
    </w:p>
    <w:p>
      <w:pPr>
        <w:ind w:left="140" w:right="4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consolidated balance sheet.</w:t>
      </w:r>
    </w:p>
    <w:p>
      <w:pPr>
        <w:spacing w:after="0" w:line="68"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One of the 2018 acquisitions required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The remaining contingent consideration as of December 31, 2018 was payable to former shareholders across 2017 and 2018 acquisitions if certain acquisition related key employees remained employed with the Company through certain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0" w:name="page241"/>
    <w:bookmarkEnd w:id="24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21" w:lineRule="exact"/>
        <w:rPr>
          <w:sz w:val="20"/>
          <w:szCs w:val="20"/>
          <w:color w:val="auto"/>
        </w:rPr>
      </w:pPr>
    </w:p>
    <w:p>
      <w:pPr>
        <w:jc w:val="both"/>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2018 and 2019, total current deferred payment obligations including contingent consideration for all acquisitions were $11,019 and $5,999, respectively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on the consolidated balance sheet.</w:t>
      </w:r>
    </w:p>
    <w:p>
      <w:pPr>
        <w:spacing w:after="0" w:line="68" w:lineRule="exact"/>
        <w:rPr>
          <w:sz w:val="20"/>
          <w:szCs w:val="20"/>
          <w:color w:val="auto"/>
        </w:rPr>
      </w:pPr>
    </w:p>
    <w:p>
      <w:pPr>
        <w:ind w:left="140" w:right="6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2018 and 2019, total long-term deferred payment obligations including contingent consideration for all acquisitions were $2,826 and $1,499, respectively and are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consolidated balance sheets.</w:t>
      </w:r>
    </w:p>
    <w:p>
      <w:pPr>
        <w:spacing w:after="0" w:line="68"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pacing w:after="0" w:line="72"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 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years ended December 31, 2018 and 2019, the fair value adjustments to reduce revenue were $2,469 and $553, respectively.</w:t>
      </w:r>
    </w:p>
    <w:p>
      <w:pPr>
        <w:spacing w:after="0" w:line="8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The purchase accounting for three of our acquisitions, which were completed during the year ended December 31, 2019, is not yet finalized. Identifiable assets acquired and liabilities assumed were provisionally recorded at their estimated fair values on the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84"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years ended December 31, 2018 and 2019, the Company incurred acquisition and integration costs of $1,361 and $950,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in the Company’s consolidated statements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1" w:name="page242"/>
    <w:bookmarkEnd w:id="24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21" w:lineRule="exact"/>
        <w:rPr>
          <w:sz w:val="20"/>
          <w:szCs w:val="20"/>
          <w:color w:val="auto"/>
        </w:rPr>
      </w:pPr>
    </w:p>
    <w:p>
      <w:pPr>
        <w:ind w:left="140" w:right="579"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75"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Acquisitions Completed</w:t>
      </w:r>
    </w:p>
    <w:p>
      <w:pPr>
        <w:jc w:val="center"/>
        <w:ind w:left="5300"/>
        <w:spacing w:after="0" w:line="229" w:lineRule="auto"/>
        <w:rPr>
          <w:sz w:val="20"/>
          <w:szCs w:val="20"/>
          <w:color w:val="auto"/>
        </w:rPr>
      </w:pPr>
      <w:r>
        <w:rPr>
          <w:rFonts w:ascii="Times New Roman" w:cs="Times New Roman" w:eastAsia="Times New Roman" w:hAnsi="Times New Roman"/>
          <w:sz w:val="14"/>
          <w:szCs w:val="14"/>
          <w:b w:val="1"/>
          <w:bCs w:val="1"/>
          <w:color w:val="auto"/>
        </w:rPr>
        <w:t>in Year Ended</w:t>
      </w:r>
    </w:p>
    <w:p>
      <w:pPr>
        <w:jc w:val="center"/>
        <w:ind w:left="530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at closing</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payment obligations to sellers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51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Customer relationship asset (weighted average useful life of 5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 years,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agreement (useful life of 5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 (weighted average useful life of 7 and 5 years)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55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117" w:lineRule="exact"/>
        <w:rPr>
          <w:sz w:val="20"/>
          <w:szCs w:val="20"/>
          <w:color w:val="auto"/>
        </w:rPr>
      </w:pPr>
    </w:p>
    <w:p>
      <w:pPr>
        <w:jc w:val="both"/>
        <w:ind w:left="140" w:right="299"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75" w:lineRule="exact"/>
        <w:rPr>
          <w:sz w:val="20"/>
          <w:szCs w:val="20"/>
          <w:color w:val="auto"/>
        </w:rPr>
      </w:pPr>
    </w:p>
    <w:p>
      <w:pPr>
        <w:ind w:left="140" w:right="159" w:firstLine="324"/>
        <w:spacing w:after="0" w:line="266" w:lineRule="auto"/>
        <w:rPr>
          <w:sz w:val="20"/>
          <w:szCs w:val="20"/>
          <w:color w:val="auto"/>
        </w:rPr>
      </w:pPr>
      <w:r>
        <w:rPr>
          <w:rFonts w:ascii="Times New Roman" w:cs="Times New Roman" w:eastAsia="Times New Roman" w:hAnsi="Times New Roman"/>
          <w:sz w:val="18"/>
          <w:szCs w:val="18"/>
          <w:color w:val="auto"/>
        </w:rPr>
        <w:t>Goodwill recorded in connection with the acquisition was attributable to synergies expected to arise from cost saving opportunities as well as future expected cash flows. Of the goodwill recorded, $6,501 is expected to be deductible for tax purposes.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54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42" w:name="page243"/>
    <w:bookmarkEnd w:id="24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2018 and 2019:</w:t>
      </w:r>
    </w:p>
    <w:p>
      <w:pPr>
        <w:spacing w:after="0" w:line="124"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(68,852)</w:t>
            </w:r>
          </w:p>
        </w:tc>
      </w:tr>
      <w:tr>
        <w:trPr>
          <w:trHeight w:val="210"/>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2018 and 2019 was $9,300 and $9,813, respectively.</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2018 and 2019 are as follows:</w:t>
      </w:r>
    </w:p>
    <w:p>
      <w:pPr>
        <w:spacing w:after="0" w:line="149"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336,982</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123,144</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880" w:type="dxa"/>
            <w:vAlign w:val="bottom"/>
          </w:tcPr>
          <w:p>
            <w:pPr>
              <w:spacing w:after="0"/>
              <w:rPr>
                <w:sz w:val="18"/>
                <w:szCs w:val="18"/>
                <w:color w:val="auto"/>
              </w:rPr>
            </w:pPr>
          </w:p>
        </w:tc>
      </w:tr>
      <w:tr>
        <w:trPr>
          <w:trHeight w:val="209"/>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446,318</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2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8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8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29"/>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4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F-26</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243" w:name="page244"/>
    <w:bookmarkEnd w:id="24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 (Continued)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intangible assets other than goodwill as of December 31, 2018 and 2019 are as follows:</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0"/>
                <w:szCs w:val="10"/>
                <w:color w:val="auto"/>
              </w:rPr>
            </w:pPr>
          </w:p>
        </w:tc>
        <w:tc>
          <w:tcPr>
            <w:tcW w:w="8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0"/>
                <w:szCs w:val="10"/>
                <w:color w:val="auto"/>
              </w:rPr>
            </w:pPr>
          </w:p>
        </w:tc>
        <w:tc>
          <w:tcPr>
            <w:tcW w:w="8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4"/>
        </w:trPr>
        <w:tc>
          <w:tcPr>
            <w:tcW w:w="23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technology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0" w:type="dxa"/>
            <w:vAlign w:val="bottom"/>
            <w:gridSpan w:val="2"/>
            <w:shd w:val="clear" w:color="auto" w:fill="CCEEFF"/>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w w:val="99"/>
              </w:rPr>
              <w:t xml:space="preserve">3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10 years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(52,753)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(59,744)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29,160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w w:val="99"/>
              </w:rPr>
              <w:t xml:space="preserve">3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10 years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(8,952)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(12,461)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agreements</w:t>
            </w:r>
          </w:p>
        </w:tc>
        <w:tc>
          <w:tcPr>
            <w:tcW w:w="10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5 years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(119,642)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53,772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(131,082)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Intangible assets not</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subject to amortization</w:t>
            </w: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46,313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 the years ended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December 31, 2018 and 2019 was reflected in our consolidated statements of operations as follows:</w:t>
      </w:r>
    </w:p>
    <w:p>
      <w:pPr>
        <w:spacing w:after="0" w:line="10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for the years following December 31, 2019 are estimated as follows:</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10"/>
        </w:trPr>
        <w:tc>
          <w:tcPr>
            <w:tcW w:w="6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21" w:lineRule="exact"/>
        <w:rPr>
          <w:sz w:val="20"/>
          <w:szCs w:val="20"/>
          <w:color w:val="auto"/>
        </w:rPr>
      </w:pPr>
    </w:p>
    <w:p>
      <w:pPr>
        <w:ind w:left="140" w:right="399" w:firstLine="324"/>
        <w:spacing w:after="0" w:line="258"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4" w:name="page245"/>
    <w:bookmarkEnd w:id="24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7: Investment in Joint Venture (Continued)</w:t>
      </w:r>
    </w:p>
    <w:p>
      <w:pPr>
        <w:spacing w:after="0" w:line="121" w:lineRule="exact"/>
        <w:rPr>
          <w:sz w:val="20"/>
          <w:szCs w:val="20"/>
          <w:color w:val="auto"/>
        </w:rPr>
      </w:pPr>
    </w:p>
    <w:p>
      <w:pPr>
        <w:ind w:left="14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 and Topcon each have a 50% ownership in DCW and as such, the Company applies the equity method of accounting for its investment in DCW. Under the equity method, the Company recorded its initial investment in the joint venture at cost and subsequently adjusts that investment by the Company’s proportional share of income or losses in DCW. As of December 31, 2019, the aggregate carrying amount of the Company’s investment in the joint venture was $1,725. The Company tests this investment for impairment whenever circumstances indicate that the carrying value of the investment may not be recoverable.</w:t>
      </w:r>
    </w:p>
    <w:p>
      <w:pPr>
        <w:spacing w:after="0" w:line="77" w:lineRule="exact"/>
        <w:rPr>
          <w:sz w:val="20"/>
          <w:szCs w:val="20"/>
          <w:color w:val="auto"/>
        </w:rPr>
      </w:pPr>
    </w:p>
    <w:p>
      <w:pPr>
        <w:ind w:left="140" w:right="1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Pursuant to ASC 850-10-20,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year ended December 31, 2019, transactions between the Company and DCW were immaterial to the Company’s consolidated financial statements.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8: Accruals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benefits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to customers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facility costs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contingent consideration from acquisitions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136,699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2018 and 2019: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secured revolver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258,750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right="4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Bank Credit Facility</w:t>
      </w:r>
      <w:r>
        <w:rPr>
          <w:rFonts w:ascii="Times New Roman" w:cs="Times New Roman" w:eastAsia="Times New Roman" w:hAnsi="Times New Roman"/>
          <w:sz w:val="18"/>
          <w:szCs w:val="18"/>
          <w:color w:val="auto"/>
        </w:rPr>
        <w:t>—On December 19, 2017, the Company entered into an amended and restated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“Credit Facility”), which matures on December 18, 2022. Upon entry into the Credit Facility, the Company obtained a $500,000 senior secured revolving facility and refinanced all indebtedness outstanding under its prior facility.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5" w:name="page246"/>
    <w:bookmarkEnd w:id="24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9: Long-Term Debt (Continued)</w:t>
      </w:r>
    </w:p>
    <w:p>
      <w:pPr>
        <w:spacing w:after="0" w:line="121" w:lineRule="exact"/>
        <w:rPr>
          <w:sz w:val="20"/>
          <w:szCs w:val="20"/>
          <w:color w:val="auto"/>
        </w:rPr>
      </w:pPr>
    </w:p>
    <w:p>
      <w:pPr>
        <w:ind w:left="140" w:right="41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sub-facility. The Company had $631 and $546 of letters of credit and surety bonds outstanding as of December 31, 2018 and 2019, respectively. As of December 31, 2018 and 2019, the Company had $240,619 and $265,704 available under the Credit Facility.</w:t>
      </w:r>
    </w:p>
    <w:p>
      <w:pPr>
        <w:spacing w:after="0" w:line="75"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non-Euro currency interest rate elections. Interest on the Euro currency borrowings is at the one-month London Interbank Offered Rate (“LIBOR”) plus a spread ranging from 100 basis points (“bps”) to 225 bps as determined by the Company’s net leverage ratio. Under non-Euro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81"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2018 and 2019, the Company was in compliance with all covenants in its debt agreements.</w:t>
      </w:r>
    </w:p>
    <w:p>
      <w:pPr>
        <w:spacing w:after="0" w:line="75"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2018 and 2019, the weighted average interest rate under the Credit Facility was 3.28% and 3.47%, respectively. There was no accrued interest or fees as of December 31, 2019. As of December 31, 2018, accrued interest and fees was $31. Interest expense was $8,800 and $8,971 for the years ended December 31, 2018 and 2019, respectively.</w:t>
      </w:r>
    </w:p>
    <w:p>
      <w:pPr>
        <w:spacing w:after="0" w:line="72" w:lineRule="exact"/>
        <w:rPr>
          <w:sz w:val="20"/>
          <w:szCs w:val="20"/>
          <w:color w:val="auto"/>
        </w:rPr>
      </w:pPr>
    </w:p>
    <w:p>
      <w:pPr>
        <w:ind w:left="140" w:right="219" w:firstLine="324"/>
        <w:spacing w:after="0" w:line="282"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$552 and $553 for the years ended December 31, 2018 and 2019.</w:t>
      </w:r>
    </w:p>
    <w:p>
      <w:pPr>
        <w:spacing w:after="0" w:line="158" w:lineRule="exact"/>
        <w:rPr>
          <w:sz w:val="20"/>
          <w:szCs w:val="20"/>
          <w:color w:val="auto"/>
        </w:rPr>
      </w:pPr>
    </w:p>
    <w:p>
      <w:pPr>
        <w:ind w:left="140" w:right="1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—Interest expense related to other obligations was $255 and $207 for the years ended December 31, 2018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respectively.</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10: Executive Bonus Plan</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 adjusted operating profits, as defined in the plan agreement and before deductions for such plan payments, 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years ended December 31, 2018 and 2019, the incentive compensation, including cash payments and deferred compensation to plan participants, recognized under this plan (net of all applicable holdbacks) was $27,641 and $31,061,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6" w:name="page247"/>
    <w:bookmarkEnd w:id="24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11: Retirement Plans</w:t>
      </w:r>
    </w:p>
    <w:p>
      <w:pPr>
        <w:spacing w:after="0" w:line="121" w:lineRule="exact"/>
        <w:rPr>
          <w:sz w:val="20"/>
          <w:szCs w:val="20"/>
          <w:color w:val="auto"/>
        </w:rPr>
      </w:pPr>
    </w:p>
    <w:p>
      <w:pPr>
        <w:ind w:left="140" w:right="259"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U.S.-based full-time colleagues. The Company may make discretionary profit-sharing contributions to the Plan up to a maximum of 5% of “qualified cash compensation” for each eligible participating colleague. Non-discretionary (matching) 401(k) contributions to the Plan, for full-time U.S. colleagues, were $3,337 and $3,311, for the years ended December 31, 2018 and 2019, respectively. The Company also maintains various retirement benefit plans (primarily defined contribution plans) for colleagues of its international subsidiaries. Contributions to these plans were $7,613 and $8,070, for the years ended December 31, 2018 and 2019, respectively.</w:t>
      </w:r>
    </w:p>
    <w:p>
      <w:pPr>
        <w:spacing w:after="0" w:line="8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years ended December 31, 2018 or 2019.</w:t>
      </w:r>
    </w:p>
    <w:p>
      <w:pPr>
        <w:spacing w:after="0" w:line="86"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$2,275 and $2,544 as of December 31, 2018 and 2019,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years ended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December 31, 2018 and 2019:</w:t>
      </w:r>
    </w:p>
    <w:p>
      <w:pPr>
        <w:spacing w:after="0" w:line="10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-3175</wp:posOffset>
            </wp:positionV>
            <wp:extent cx="10369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658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-3175</wp:posOffset>
            </wp:positionV>
            <wp:extent cx="4423410" cy="1454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423410" cy="145415"/>
                    </a:xfrm>
                    <a:prstGeom prst="rect">
                      <a:avLst/>
                    </a:prstGeom>
                    <a:noFill/>
                  </pic:spPr>
                </pic:pic>
              </a:graphicData>
            </a:graphic>
          </wp:anchor>
        </w:drawing>
      </w:r>
    </w:p>
    <w:p>
      <w:pPr>
        <w:ind w:left="1020"/>
        <w:spacing w:after="0"/>
        <w:tabs>
          <w:tab w:leader="none" w:pos="6340" w:val="left"/>
          <w:tab w:leader="none" w:pos="6760" w:val="left"/>
          <w:tab w:leader="none" w:pos="7220" w:val="left"/>
          <w:tab w:leader="none" w:pos="7640" w:val="left"/>
        </w:tabs>
        <w:rPr>
          <w:sz w:val="20"/>
          <w:szCs w:val="20"/>
          <w:color w:val="auto"/>
        </w:rPr>
      </w:pPr>
      <w:r>
        <w:rPr>
          <w:rFonts w:ascii="Times New Roman" w:cs="Times New Roman" w:eastAsia="Times New Roman" w:hAnsi="Times New Roman"/>
          <w:sz w:val="18"/>
          <w:szCs w:val="18"/>
          <w:color w:val="auto"/>
        </w:rPr>
        <w:t>DCP related compensation (income)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w:t>
        <w:tab/>
        <w:t>$</w:t>
      </w:r>
      <w:r>
        <w:rPr>
          <w:sz w:val="20"/>
          <w:szCs w:val="20"/>
          <w:color w:val="auto"/>
        </w:rPr>
        <w:tab/>
      </w:r>
      <w:r>
        <w:rPr>
          <w:rFonts w:ascii="Times New Roman" w:cs="Times New Roman" w:eastAsia="Times New Roman" w:hAnsi="Times New Roman"/>
          <w:sz w:val="18"/>
          <w:szCs w:val="18"/>
          <w:color w:val="auto"/>
        </w:rPr>
        <w:t>408</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Authorized Common Shares</w:t>
      </w:r>
      <w:r>
        <w:rPr>
          <w:rFonts w:ascii="Times New Roman" w:cs="Times New Roman" w:eastAsia="Times New Roman" w:hAnsi="Times New Roman"/>
          <w:sz w:val="17"/>
          <w:szCs w:val="17"/>
          <w:color w:val="auto"/>
        </w:rPr>
        <w:t>—The Company amended and restated its Certificate of Incorporation on April 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2018 to authorize 320,000,000 shares of Class A Voting Common Stock (“Class A Common Stock”) and 600,000,000 shares of Class B Common Stock. As of December 31, 2018 and 2019, outstanding shares of Class A Common Stock totaled 11,601,757 and outstanding shares of Class B Common Stock totaled 238,681,756 and 243,241,192, respectively.</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21" w:lineRule="exact"/>
        <w:rPr>
          <w:sz w:val="20"/>
          <w:szCs w:val="20"/>
          <w:color w:val="auto"/>
        </w:rPr>
      </w:pPr>
    </w:p>
    <w:p>
      <w:pPr>
        <w:ind w:left="140" w:right="339" w:firstLine="324"/>
        <w:spacing w:after="0" w:line="256"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7" w:name="page248"/>
    <w:bookmarkEnd w:id="24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121" w:lineRule="exact"/>
        <w:rPr>
          <w:sz w:val="20"/>
          <w:szCs w:val="20"/>
          <w:color w:val="auto"/>
        </w:rPr>
      </w:pPr>
    </w:p>
    <w:p>
      <w:pPr>
        <w:jc w:val="both"/>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w:t>
      </w:r>
    </w:p>
    <w:p>
      <w:pPr>
        <w:spacing w:after="0" w:line="27" w:lineRule="exact"/>
        <w:rPr>
          <w:sz w:val="20"/>
          <w:szCs w:val="20"/>
          <w:color w:val="auto"/>
        </w:rPr>
      </w:pPr>
    </w:p>
    <w:p>
      <w:pPr>
        <w:ind w:left="140" w:right="339" w:firstLine="4"/>
        <w:spacing w:after="0" w:line="255" w:lineRule="auto"/>
        <w:tabs>
          <w:tab w:leader="none" w:pos="3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78"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investor acquired 5,151,019 shares of Class B Common Stock, with 2,139,466 of such shares having been repurchased by the Company and re-sold to the investor for consideration of $16,220 and 3,011,553 shares were acquired directly by the investor for consideration of $22,792.</w:t>
      </w:r>
    </w:p>
    <w:p>
      <w:pPr>
        <w:spacing w:after="0" w:line="68"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68" w:lineRule="exact"/>
        <w:rPr>
          <w:sz w:val="20"/>
          <w:szCs w:val="20"/>
          <w:color w:val="auto"/>
        </w:rPr>
      </w:pPr>
    </w:p>
    <w:p>
      <w:pPr>
        <w:ind w:left="140" w:right="23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the Company issued net 2,812,998 shares of Class B Common Stock to colleagues who exercised their stock options. Of the total options exercised for 3,726,606 shares, 1,235,204 shares were issued for cash totaling $2,187, and the remaining options for 2,491,402 shares were exercised on a cashless basis, and accordingly, 913,608 shares were sold back to the Company to pay for the cost of the options as well as applicable income tax withholdings of $1,577. During 2018, the Company paid $8,571 for 1,131,928 shares sold back to the Company upon exercise of the Put and Call provisions under the amended option plan (see Note 14).</w:t>
      </w:r>
    </w:p>
    <w:p>
      <w:pPr>
        <w:spacing w:after="0" w:line="79" w:lineRule="exact"/>
        <w:rPr>
          <w:sz w:val="20"/>
          <w:szCs w:val="20"/>
          <w:color w:val="auto"/>
        </w:rPr>
      </w:pPr>
    </w:p>
    <w:p>
      <w:pPr>
        <w:ind w:left="140" w:right="23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2019, the Company issued net 3,214,542 shares of Class B Common Stock to colleagues who exercised their stock options. Of the total options exercised for 4,731,158 shares, 1,273,271 shares were issued for cash totaling $3,627, and the remaining options for 3,457,887 shares were exercised on a cashless basis, and accordingly, 1,516,616 shares were sold back to the Company to pay for the cost of the options as well as applicable income tax withholdings of $2,324. During the year ended December 31, 2019, the Company paid $8,838 for 1,126,747 shares sold back to the Company upon exercise of the Put and Call provisions under the amended option plan (see Note 14).</w:t>
      </w:r>
    </w:p>
    <w:p>
      <w:pPr>
        <w:spacing w:after="0" w:line="81"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2018 and December 31, 2019, the Company issued 2,332,585 and 2,322,983, respectively, of shares of Class B Common Stock to DCP participants for their distribution. The distribution in shares for the year ended December 31, 2018 totaled 3,340,904 of which 1,008,319 shares were sold back to the Company to pay for the cost of applicable income tax withholding of $6,861. The distribution in shares for the year ended December 31, 2019 totaled 3,082,607 shares of which 759,624 shares were sold back to the Company in the same period to pay for applicable income tax withholdings of $5,609.</w:t>
      </w:r>
    </w:p>
    <w:p>
      <w:pPr>
        <w:spacing w:after="0" w:line="79" w:lineRule="exact"/>
        <w:rPr>
          <w:sz w:val="20"/>
          <w:szCs w:val="20"/>
          <w:color w:val="auto"/>
        </w:rPr>
      </w:pPr>
    </w:p>
    <w:p>
      <w:pPr>
        <w:ind w:left="140" w:right="659" w:firstLine="324"/>
        <w:spacing w:after="0" w:line="282" w:lineRule="auto"/>
        <w:rPr>
          <w:sz w:val="20"/>
          <w:szCs w:val="20"/>
          <w:color w:val="auto"/>
        </w:rPr>
      </w:pPr>
      <w:r>
        <w:rPr>
          <w:rFonts w:ascii="Times New Roman" w:cs="Times New Roman" w:eastAsia="Times New Roman" w:hAnsi="Times New Roman"/>
          <w:sz w:val="18"/>
          <w:szCs w:val="18"/>
          <w:color w:val="auto"/>
        </w:rPr>
        <w:t>During 2018 and 2019, the Company repurchased 465,979 and 318,203 shares from its profit sharing plan for $3,387 and $2,417,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8" w:name="page249"/>
    <w:bookmarkEnd w:id="24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12: Common Stock (Continued)</w:t>
      </w:r>
    </w:p>
    <w:p>
      <w:pPr>
        <w:spacing w:after="0" w:line="117" w:lineRule="exact"/>
        <w:rPr>
          <w:sz w:val="20"/>
          <w:szCs w:val="20"/>
          <w:color w:val="auto"/>
        </w:rPr>
      </w:pPr>
    </w:p>
    <w:p>
      <w:pPr>
        <w:ind w:left="140" w:right="2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Selected Terms of Class B Common Stock</w:t>
      </w:r>
      <w:r>
        <w:rPr>
          <w:rFonts w:ascii="Times New Roman" w:cs="Times New Roman" w:eastAsia="Times New Roman" w:hAnsi="Times New Roman"/>
          <w:sz w:val="18"/>
          <w:szCs w:val="18"/>
          <w:color w:val="auto"/>
        </w:rPr>
        <w:t>—Pursuant to the terms of the Company’s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declared cash dividends during the periods presented as follows:</w:t>
      </w:r>
    </w:p>
    <w:p>
      <w:pPr>
        <w:spacing w:after="0" w:line="11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0.080</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2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Actuarial (Loss)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Retirement Plan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0" w:type="dxa"/>
            <w:vAlign w:val="bottom"/>
          </w:tcPr>
          <w:p>
            <w:pPr>
              <w:spacing w:after="0"/>
              <w:rPr>
                <w:sz w:val="1"/>
                <w:szCs w:val="1"/>
                <w:color w:val="auto"/>
              </w:rPr>
            </w:pPr>
          </w:p>
        </w:tc>
      </w:tr>
      <w:tr>
        <w:trPr>
          <w:trHeight w:val="216"/>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expense</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0" w:type="dxa"/>
            <w:vAlign w:val="bottom"/>
          </w:tcPr>
          <w:p>
            <w:pPr>
              <w:spacing w:after="0"/>
              <w:rPr>
                <w:sz w:val="1"/>
                <w:szCs w:val="1"/>
                <w:color w:val="auto"/>
              </w:rPr>
            </w:pPr>
          </w:p>
        </w:tc>
      </w:tr>
      <w:tr>
        <w:trPr>
          <w:trHeight w:val="210"/>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expense</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9" w:name="page250"/>
    <w:bookmarkEnd w:id="24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w:t>
      </w:r>
    </w:p>
    <w:p>
      <w:pPr>
        <w:spacing w:after="0" w:line="121"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 has equity awards outstanding under its 2005 Stock Option Plan and 2015 Equity Incentive Plan. The 2015 Equity Incentive Plan provides for the granting of awards in the form of stock options, stock appreciation rights, dividend equivalent rights, restricted stock, restricted stock units, and stock grants. The 2005 Stock Option Plan expired in April 2015, and no further options may be granted thereunder. The 2015 Equity Incentive Plan, which has substantially similar terms to the 2005 Stock Option Plan as it relates to options, has 50,000,000 shares of Class B Common Stock reserved for issuance and terminates in November 2024.</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under these two stockholder-approved plans.</w:t>
      </w:r>
    </w:p>
    <w:p>
      <w:pPr>
        <w:spacing w:after="0" w:line="2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—The Company has stock options outstanding under its 2005 Stock Option Plan and 2015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Stock options generally vest ratably on each of the first four anniversaries of the grant date. Stock options granted under these plans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 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81"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a total of 20,000 options on March 22, 2018, 5,096,000 options on May 29, 2018, and 10,000 options on September 6, 2018. The fair value of the awards was estimated on the date of grant using the Black-Scholes option pricing model. The grant date fair value of each option was $1.43, $1.46, and $1.96, respectively.</w:t>
      </w:r>
    </w:p>
    <w:p>
      <w:pPr>
        <w:spacing w:after="0" w:line="68"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a total of 4,816,000 options on March 22, 2019 and 10,000 options on May 15, 2019. The fair value of the awards was estimated on the date of grant using the Black-Scholes option pricing model. The grant date fair value of each option was $1.66 and $1.65, respectively.</w:t>
      </w:r>
    </w:p>
    <w:p>
      <w:pPr>
        <w:spacing w:after="0" w:line="172"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Acquisition Options</w:t>
      </w:r>
      <w:r>
        <w:rPr>
          <w:rFonts w:ascii="Times New Roman" w:cs="Times New Roman" w:eastAsia="Times New Roman" w:hAnsi="Times New Roman"/>
          <w:sz w:val="18"/>
          <w:szCs w:val="18"/>
          <w:color w:val="auto"/>
        </w:rPr>
        <w:t>—In connection with an acquisition completed in March 2018, the Company issued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shareholder entities options to acquire an aggregate of up to 900,000 shares of Class B Common Stock. The options have a five-year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(see Note 1 regarding the Dividend). As of December 31, 2019, all 900,000 options remain outstanding.</w:t>
      </w:r>
    </w:p>
    <w:p>
      <w:pPr>
        <w:spacing w:after="0" w:line="182" w:lineRule="exact"/>
        <w:rPr>
          <w:sz w:val="20"/>
          <w:szCs w:val="20"/>
          <w:color w:val="auto"/>
        </w:rPr>
      </w:pPr>
    </w:p>
    <w:p>
      <w:pPr>
        <w:ind w:left="14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 Grants</w:t>
      </w:r>
      <w:r>
        <w:rPr>
          <w:rFonts w:ascii="Times New Roman" w:cs="Times New Roman" w:eastAsia="Times New Roman" w:hAnsi="Times New Roman"/>
          <w:sz w:val="18"/>
          <w:szCs w:val="18"/>
          <w:color w:val="auto"/>
        </w:rPr>
        <w:t>—Under the 2015 Equity Incentive Plan, the Company may grant unrestricted, fully vested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Common Stock to eligible colleagues. Any such shares awarded have Put and Call rights similar to those described above with respect to stock options.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2018 or 2019.</w:t>
      </w:r>
    </w:p>
    <w:p>
      <w:pPr>
        <w:spacing w:after="0" w:line="221" w:lineRule="exact"/>
        <w:rPr>
          <w:sz w:val="20"/>
          <w:szCs w:val="20"/>
          <w:color w:val="auto"/>
        </w:rPr>
      </w:pPr>
    </w:p>
    <w:p>
      <w:pPr>
        <w:ind w:left="140" w:right="1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—Under the 2015 Equity Incentive Plan, the Company may grant both time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restricted Class B Common Stock to eligible colleagues.</w:t>
      </w:r>
    </w:p>
    <w:p>
      <w:pPr>
        <w:sectPr>
          <w:pgSz w:w="11900" w:h="16838" w:orient="portrait"/>
          <w:cols w:equalWidth="0" w:num="1">
            <w:col w:w="9019"/>
          </w:cols>
          <w:pgMar w:left="1440" w:top="661"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54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50" w:name="page251"/>
    <w:bookmarkEnd w:id="25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12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512,616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2018. These restricted shares carried dividend, but not voting rights. During the year ended December 31, 2018, the performance conditions to vesting were satisfied in respect of 451,784 of these shares, of which 76,375 shares were sold back to the Company to settle applicable income tax withholdings of $610. An additional 4,798 shares were sold back to the Company to settle applicable income tax withholdings of $27, related to performance shares that were vested in 2017 and delivered to participants in the year ended December 31, 2018. Additionally, during the year ended December 31, 2018, the Company granted 57,670 shares of restricted stock to a colleague. These restricted shares carry dividend but not voting rights, and are subject to a three-year service condition.</w:t>
      </w:r>
    </w:p>
    <w:p>
      <w:pPr>
        <w:spacing w:after="0" w:line="84"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2019, the Company granted 493,840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year ended December 31, 2019, the performance conditions to vesting were satisfied in respect of 241,709 of these shares, of which 25,677 shares were sold back to the Company to settle applicable income tax withholdings of $192. An additional 23,343 shares were sold back to the Company to settle applicable income tax withholdings of $169, related to performance shares that were vested in 2018 and delivered to participants in the year ended December 31, 2019.</w:t>
      </w:r>
    </w:p>
    <w:p>
      <w:pPr>
        <w:spacing w:after="0" w:line="184" w:lineRule="exact"/>
        <w:rPr>
          <w:sz w:val="20"/>
          <w:szCs w:val="20"/>
          <w:color w:val="auto"/>
        </w:rPr>
      </w:pPr>
    </w:p>
    <w:p>
      <w:pPr>
        <w:ind w:left="140" w:right="19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—Under the 2015 Equity Incentive Plan, the Company may grant both time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restricted stock units (“RSUs”) to eligible colleagues, which entitle the grantee to receive a specific number of shares of our Class B Common Stock upon vesting. These shares also have dividend equivalent rights.</w:t>
      </w:r>
    </w:p>
    <w:p>
      <w:pPr>
        <w:spacing w:after="0" w:line="67"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No restricted stock units were granted during the years ended December 31, 2018 or 2019.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year ended December 31, 2019, 16,746 shares were delivered to colleagues and 5,398 shares were sold back to the Company to settle income tax withholdings of $39. As of December 31, 2018 and 2019, 70,687 and 54,771, respectively, of these RSUs remained outstanding.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1" w:name="page252"/>
    <w:bookmarkEnd w:id="25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plans:</w:t>
      </w:r>
    </w:p>
    <w:p>
      <w:pPr>
        <w:spacing w:after="0" w:line="124"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6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3"/>
            <w:vMerge w:val="continue"/>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18,629,380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$0.31</w:t>
            </w:r>
          </w:p>
        </w:tc>
        <w:tc>
          <w:tcPr>
            <w:tcW w:w="540" w:type="dxa"/>
            <w:vAlign w:val="bottom"/>
            <w:tcBorders>
              <w:top w:val="single" w:sz="8" w:color="auto"/>
            </w:tcBorders>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$5.38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 activity: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gridSpan w:val="2"/>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8.67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(3,738,182)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8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5.38</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(502,750)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80" w:type="dxa"/>
            <w:vAlign w:val="bottom"/>
            <w:gridSpan w:val="2"/>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8.67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19,514,448</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$1.79</w:t>
            </w:r>
          </w:p>
        </w:tc>
        <w:tc>
          <w:tcPr>
            <w:tcW w:w="680" w:type="dxa"/>
            <w:vAlign w:val="bottom"/>
            <w:tcBorders>
              <w:bottom w:val="single" w:sz="8" w:color="CCEEFF"/>
            </w:tcBorders>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$6.81</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Option activity:</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4,826,000</w:t>
            </w:r>
          </w:p>
        </w:tc>
        <w:tc>
          <w:tcPr>
            <w:tcW w:w="140" w:type="dxa"/>
            <w:vAlign w:val="bottom"/>
          </w:tcPr>
          <w:p>
            <w:pPr>
              <w:spacing w:after="0"/>
              <w:rPr>
                <w:sz w:val="18"/>
                <w:szCs w:val="18"/>
                <w:color w:val="auto"/>
              </w:rPr>
            </w:pPr>
          </w:p>
        </w:tc>
        <w:tc>
          <w:tcPr>
            <w:tcW w:w="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(4,731,158)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80" w:type="dxa"/>
            <w:vAlign w:val="bottom"/>
            <w:gridSpan w:val="2"/>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6.81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(917,623)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8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7.24</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w:t>
            </w:r>
          </w:p>
        </w:tc>
        <w:tc>
          <w:tcPr>
            <w:tcW w:w="680" w:type="dxa"/>
            <w:vAlign w:val="bottom"/>
            <w:tcBorders>
              <w:top w:val="single" w:sz="8" w:color="CCEEFF"/>
              <w:bottom w:val="single" w:sz="8" w:color="CCEEFF"/>
            </w:tcBorders>
            <w:gridSpan w:val="2"/>
            <w:shd w:val="clear" w:color="auto" w:fill="CCEEFF"/>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$7.24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55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and 2019, options and other equity awards available for future grants under the 2015 Equity Incentive Plan were 30,607,529 and 28,101,504, respectively.</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as of December 31, 2019:</w:t>
      </w:r>
    </w:p>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73"/>
        </w:trPr>
        <w:tc>
          <w:tcPr>
            <w:tcW w:w="406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 xml:space="preserve">$3.50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1,978,256</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1,978,256</w:t>
            </w:r>
          </w:p>
        </w:tc>
        <w:tc>
          <w:tcPr>
            <w:tcW w:w="0" w:type="dxa"/>
            <w:vAlign w:val="bottom"/>
          </w:tcPr>
          <w:p>
            <w:pPr>
              <w:spacing w:after="0"/>
              <w:rPr>
                <w:sz w:val="1"/>
                <w:szCs w:val="1"/>
                <w:color w:val="auto"/>
              </w:rPr>
            </w:pPr>
          </w:p>
        </w:tc>
      </w:tr>
      <w:tr>
        <w:trPr>
          <w:trHeight w:val="216"/>
        </w:trPr>
        <w:tc>
          <w:tcPr>
            <w:tcW w:w="40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4.01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6.00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7,450,203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4,469,866</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 xml:space="preserve">$6.01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$7.24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9,263,208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1,125,708</w:t>
            </w: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7,573,830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319"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and 2019, the Company received cash proceeds of $2,179 and $3,612, respectively, related to the exercise of stock options.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as of December 31, 2019:</w:t>
      </w:r>
    </w:p>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December 31, 2019</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$ 91,028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7,573,830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$ 43,852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In the years ended December 31, 2018 and 2019, the Company recorded $4,808 and $6,342, respectively, of stock-based compensation expense related to stock options and $3,074 and $1,749, respectively, of compensation expense in connection with restricted stock. As of December 31, 2019, there was $11,911 of unrecognized compensation cost related to unvested stock options, which is expected to be recognized over a weighted average period of approximately 2.6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2" w:name="page253"/>
    <w:bookmarkEnd w:id="25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14: Equity Awards and Instruments (Continued)</w:t>
      </w:r>
    </w:p>
    <w:p>
      <w:pPr>
        <w:spacing w:after="0" w:line="121" w:lineRule="exact"/>
        <w:rPr>
          <w:sz w:val="20"/>
          <w:szCs w:val="20"/>
          <w:color w:val="auto"/>
        </w:rPr>
      </w:pPr>
    </w:p>
    <w:p>
      <w:pPr>
        <w:ind w:left="140" w:right="439"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years ended December 31, 2018 and 2019 was $18,291 and $22,914, respectively.</w:t>
      </w:r>
    </w:p>
    <w:p>
      <w:pPr>
        <w:spacing w:after="0" w:line="54" w:lineRule="exact"/>
        <w:rPr>
          <w:sz w:val="20"/>
          <w:szCs w:val="20"/>
          <w:color w:val="auto"/>
        </w:rPr>
      </w:pPr>
    </w:p>
    <w:p>
      <w:pPr>
        <w:ind w:left="140" w:right="299" w:firstLine="324"/>
        <w:spacing w:after="0" w:line="256"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77" w:lineRule="exact"/>
        <w:rPr>
          <w:sz w:val="20"/>
          <w:szCs w:val="20"/>
          <w:color w:val="auto"/>
        </w:rPr>
      </w:pPr>
    </w:p>
    <w:p>
      <w:pPr>
        <w:ind w:left="460" w:right="3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common stock was estimated by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75" w:lineRule="exact"/>
        <w:rPr>
          <w:sz w:val="20"/>
          <w:szCs w:val="20"/>
          <w:color w:val="auto"/>
        </w:rPr>
      </w:pPr>
    </w:p>
    <w:p>
      <w:pPr>
        <w:ind w:left="460" w:right="15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Prior to 2015, the Company had never declared or paid a cash dividend. Consequently,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used an expected dividend yield of zero for all option grants prior to 2015. 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63" w:lineRule="exact"/>
        <w:rPr>
          <w:sz w:val="20"/>
          <w:szCs w:val="20"/>
          <w:color w:val="auto"/>
        </w:rPr>
      </w:pPr>
    </w:p>
    <w:p>
      <w:pPr>
        <w:ind w:left="460" w:right="1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expected term is based on the simplified method, which represents the average period from vesting to the expiration of the award.</w:t>
      </w:r>
    </w:p>
    <w:p>
      <w:pPr>
        <w:spacing w:after="0" w:line="65" w:lineRule="exact"/>
        <w:rPr>
          <w:sz w:val="20"/>
          <w:szCs w:val="20"/>
          <w:color w:val="auto"/>
        </w:rPr>
      </w:pPr>
    </w:p>
    <w:p>
      <w:pPr>
        <w:ind w:left="46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yields of U.S. Treasury securities with maturities similar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term of the options for each option group.</w:t>
      </w:r>
    </w:p>
    <w:p>
      <w:pPr>
        <w:spacing w:after="0" w:line="59"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425"/>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 xml:space="preserve">26.32%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27.18%</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29.57 %</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1.18 %</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r>
      <w:tr>
        <w:trPr>
          <w:trHeight w:val="216"/>
        </w:trPr>
        <w:tc>
          <w:tcPr>
            <w:tcW w:w="44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2.40 %</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2.48 %</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68" w:lineRule="exact"/>
        <w:rPr>
          <w:sz w:val="20"/>
          <w:szCs w:val="20"/>
          <w:color w:val="auto"/>
        </w:rPr>
      </w:pPr>
    </w:p>
    <w:p>
      <w:pPr>
        <w:ind w:left="140" w:right="499" w:firstLine="324"/>
        <w:spacing w:after="0" w:line="266" w:lineRule="auto"/>
        <w:rPr>
          <w:sz w:val="20"/>
          <w:szCs w:val="20"/>
          <w:color w:val="auto"/>
        </w:rPr>
      </w:pPr>
      <w:r>
        <w:rPr>
          <w:rFonts w:ascii="Times New Roman" w:cs="Times New Roman" w:eastAsia="Times New Roman" w:hAnsi="Times New Roman"/>
          <w:sz w:val="18"/>
          <w:szCs w:val="18"/>
          <w:color w:val="auto"/>
        </w:rPr>
        <w:t>The Company paid $8,571 and $8,838 during the years ended December 31, 2018 and 2019, respectively, to stockholders who exercised their options and elected to sell the shares back to the Company after the mandatory six-month holding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3" w:name="page254"/>
    <w:bookmarkEnd w:id="25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840" w:right="158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124"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61,691</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66,418</w:t>
            </w:r>
          </w:p>
        </w:tc>
      </w:tr>
      <w:tr>
        <w:trPr>
          <w:trHeight w:val="209"/>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at December 31, 2018 and 2019:</w:t>
      </w:r>
    </w:p>
    <w:p>
      <w:pPr>
        <w:spacing w:after="0" w:line="124"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w:t>
            </w:r>
          </w:p>
        </w:tc>
      </w:tr>
      <w:tr>
        <w:trPr>
          <w:trHeight w:val="210"/>
        </w:trPr>
        <w:tc>
          <w:tcPr>
            <w:tcW w:w="5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23,006</w:t>
            </w: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10"/>
        </w:trPr>
        <w:tc>
          <w:tcPr>
            <w:tcW w:w="5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reconciliation of the statutory federal income tax rate to the Company’s effective income tax rate is as follows:</w:t>
      </w:r>
    </w:p>
    <w:p>
      <w:pPr>
        <w:spacing w:after="0" w:line="13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reserves</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sales of certain operating assets</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(41.1)</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tax on foreign earnings (GILTI and FDII)</w:t>
            </w:r>
          </w:p>
        </w:tc>
        <w:tc>
          <w:tcPr>
            <w:tcW w:w="7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reform</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459" w:firstLine="324"/>
        <w:spacing w:after="0" w:line="266" w:lineRule="auto"/>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 foreign subsidiaries. The sales resulted in a 2018 net tax benefit of $46,369. The Company early adopted ASU 2016-16 as of January 1, 2018. Refer to Recently Adopted Accounting Guidance in Note 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4" w:name="page255"/>
    <w:bookmarkEnd w:id="25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deferred tax assets and liabilities:</w:t>
      </w:r>
    </w:p>
    <w:p>
      <w:pPr>
        <w:spacing w:after="0" w:line="124"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4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accruals and DCP</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$ 37,816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$ 36,195</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NOL and credit carryforwards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including 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16"/>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5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70,867</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57,647</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0"/>
        </w:trPr>
        <w:tc>
          <w:tcPr>
            <w:tcW w:w="54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14,839</w:t>
            </w:r>
          </w:p>
        </w:tc>
      </w:tr>
      <w:tr>
        <w:trPr>
          <w:trHeight w:val="210"/>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$ 70,596</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$ 42,808</w:t>
            </w:r>
          </w:p>
        </w:tc>
      </w:tr>
      <w:tr>
        <w:trPr>
          <w:trHeight w:val="20"/>
        </w:trPr>
        <w:tc>
          <w:tcPr>
            <w:tcW w:w="5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The federal net operating loss (“NOL”) carryforwards with a future benefit of $424 expire in 2033 through 2036. The Canadian credit carryforwards of $801 have an indefinite carryforward. The Company’s state NOL carryforwards and state credit carryforwards with a future benefit of $867 expire in 2020 through 2039. In addition, the Company has foreign NOL and credit carryforwards with a future benefit of $7,436 (net of a $2,016 valuation allowance), which predominately have indefinite expirations.</w:t>
      </w:r>
    </w:p>
    <w:p>
      <w:pPr>
        <w:spacing w:after="0" w:line="75"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Some transactions can change the aggregate ownership of certain stockholders, which could cause a shift in the ownership of the Company, which pursuant to Internal Revenue Code (“IRC”) Section 382 could then limit on an annual basis the Company’s ability to utilize its U.S. federal NOL carryforwards (and possibly its state NOL carryforwards as well). If that occurred, the Company’s NOL carryforwards would continue to be available to offset taxable income and tax liabilities in future years (until such NOL carryforwards are either used or expire) subject to any IRC Section 382 annual limitation.</w:t>
      </w:r>
    </w:p>
    <w:p>
      <w:pPr>
        <w:spacing w:after="0" w:line="79" w:lineRule="exact"/>
        <w:rPr>
          <w:sz w:val="20"/>
          <w:szCs w:val="20"/>
          <w:color w:val="auto"/>
        </w:rPr>
      </w:pPr>
    </w:p>
    <w:p>
      <w:pPr>
        <w:ind w:left="140" w:right="259"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by considering both positive and negative evidence related to whether it is more likely than not that the deferred tax assets will be realized. In evaluating the need for a valuation allowance, the Company considers a cumulative loss in recent years as a significant piece of negative evidence.</w:t>
      </w:r>
    </w:p>
    <w:p>
      <w:pPr>
        <w:spacing w:after="0" w:line="72" w:lineRule="exact"/>
        <w:rPr>
          <w:sz w:val="20"/>
          <w:szCs w:val="20"/>
          <w:color w:val="auto"/>
        </w:rPr>
      </w:pPr>
    </w:p>
    <w:p>
      <w:pPr>
        <w:ind w:left="140" w:right="23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has recorded a valuation allowance against its net deferred tax assets of $2,082 and $2,329, respectively. The valuation allowance is principally related to the U.K. net operating losses for which the Company has determined that realization is not more likely than not.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5" w:name="page256"/>
    <w:bookmarkEnd w:id="25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121" w:lineRule="exact"/>
        <w:rPr>
          <w:sz w:val="20"/>
          <w:szCs w:val="20"/>
          <w:color w:val="auto"/>
        </w:rPr>
      </w:pPr>
    </w:p>
    <w:p>
      <w:pPr>
        <w:ind w:left="140" w:right="2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December 22, 2017, the Act 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completed its accounting for the effects of the Act in 2018 and has included those effects in </w:t>
      </w: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in the consolidated statement of operations. The Company will elect to pay the liability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deemed repatriation of foreign earnings in installments, as specified by the Act.</w:t>
      </w:r>
    </w:p>
    <w:p>
      <w:pPr>
        <w:spacing w:after="0" w:line="79"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Additionally, the Act requires certain Global Intangible Low-Taxed Income (“GILTI”) earned by a controlled foreign corporation (“CFC”) to be included in the gross income of the CFC’s U.S. shareholder. The Company has elected the “period cost method” and treats taxes due on future U.S. inclusions in taxable income related to GILTI as a current-period expense when incurred. The Act allows a U.S. corporation a deduction equal to a certain percentage of its foreign-derived intangible income (“FDII”). The Company estimated the impact of the GILTI tax and FDII deduction in determining its 2019 annual effective tax rate that is reflected in its provision for income taxes for the year ended December 31, 2019.</w:t>
      </w:r>
    </w:p>
    <w:p>
      <w:pPr>
        <w:spacing w:after="0" w:line="81"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2019, the Company has accumulated undistributed earnings generated by its foreign subsidiaries of approximately $408,582, of which $359,724 was subject to the one-time transition tax on foreign earnings required by the Act and the tax on GILTI. The Company intends to indefinitely reinvest these earnings, as well as future earnings from its foreign subsidiaries, in order to fund its international operations. In addition, the Company expects future U.S. cash generation will be sufficient to meet future U.S. cash needs. The Company has not provided for any additional outside basis difference inherent in its foreign subsidiaries, as these amounts continue to be indefinitely reinvested in foreign operations. Determining the amount of unrecognized deferred tax liability related to any additional outside basis difference in these entities is not practicable.</w:t>
      </w:r>
    </w:p>
    <w:p>
      <w:pPr>
        <w:spacing w:after="0" w:line="84" w:lineRule="exact"/>
        <w:rPr>
          <w:sz w:val="20"/>
          <w:szCs w:val="20"/>
          <w:color w:val="auto"/>
        </w:rPr>
      </w:pPr>
    </w:p>
    <w:p>
      <w:pPr>
        <w:ind w:left="140" w:right="479"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indefinite reversal criteria, the foreign currency translation adjustments recorded in other comprehensive loss related to the foreign currency translations have not been tax effected.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w:t>
      </w:r>
    </w:p>
    <w:p>
      <w:pPr>
        <w:spacing w:after="0" w:line="1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amount of unrecognized tax benefits at December 31, 2018 and 2019 was $638 and $1,763, respectively, of which $627 and $1,733 would impact the Company’s effective tax rate if recognized. In the years ended December 31, 2018 and 2019, interest expense and penalties related to income taxes resulted in an income tax expense of $8 and $101, respectively. Interest expense and penalties are included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in the consolidated statements of operations. Accrued interest and penalties as of December 31, 2018 and 2019 totaled $252 and $362, respectively. The Company records the amount of uncertain taxes expected to be paid in the next 12 months as a current liability and records the remaining amount as a non-current liability in the accompanying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6" w:name="page257"/>
    <w:bookmarkEnd w:id="25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Income Taxes (Continued)</w:t>
      </w:r>
    </w:p>
    <w:p>
      <w:pPr>
        <w:spacing w:after="0" w:line="121"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as well as numerous state and foreign jurisdictions. The Company is currently under audit in the U.K. for years 2014 through 2017. The Company believes that an adequate provision has been made for any adjustment that may result from the tax examination. The Company’s 2017 through 2019 tax years remain subject to examination by the Irish Revenue Commissioners for Irish tax purposes. The Company’s 2017 through 2019 tax years remain subject to examination by the IRS. In addition, the Company is under audit in various other foreign taxing jurisdictions that are not material to the consolidated financial statements.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2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2018, the Company entered into an agreement with financial institutions to purchase call options to buy British pounds (“GBP”) with a notional amount of 65,000 GBP at a strike price of $1.375. The call options were purchased at a premium of $645. These derivative instruments do not qualify for hedge accounting and as such, are not designated as hedges. The gains or losses from changes in the fair value of such derivative instruments are recognized in </w:t>
      </w: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in the consolidated statements of operations. The fair value of the call options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consolidated balance sheets was $158 and $0 as of December 31, 2018 and 2019, respectively. The call options had an expiration date of February 28, 2019.</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19" w:lineRule="exact"/>
        <w:rPr>
          <w:sz w:val="20"/>
          <w:szCs w:val="20"/>
          <w:color w:val="auto"/>
        </w:rPr>
      </w:pPr>
    </w:p>
    <w:p>
      <w:pPr>
        <w:ind w:left="140" w:right="379"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67" w:lineRule="exact"/>
        <w:rPr>
          <w:sz w:val="20"/>
          <w:szCs w:val="20"/>
          <w:color w:val="auto"/>
        </w:rPr>
      </w:pPr>
    </w:p>
    <w:p>
      <w:pPr>
        <w:ind w:left="140" w:right="359"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54" w:lineRule="exact"/>
        <w:rPr>
          <w:sz w:val="20"/>
          <w:szCs w:val="20"/>
          <w:color w:val="auto"/>
        </w:rPr>
      </w:pPr>
    </w:p>
    <w:p>
      <w:pPr>
        <w:jc w:val="both"/>
        <w:ind w:left="140" w:right="219" w:firstLine="324"/>
        <w:spacing w:after="0" w:line="269" w:lineRule="auto"/>
        <w:rPr>
          <w:sz w:val="20"/>
          <w:szCs w:val="20"/>
          <w:color w:val="auto"/>
        </w:rPr>
      </w:pPr>
      <w:r>
        <w:rPr>
          <w:rFonts w:ascii="Times New Roman" w:cs="Times New Roman" w:eastAsia="Times New Roman" w:hAnsi="Times New Roman"/>
          <w:sz w:val="17"/>
          <w:szCs w:val="17"/>
          <w:color w:val="auto"/>
        </w:rPr>
        <w:t>The carrying values of the Company’s financial instruments excluding long-term debt approximate their fair value due to the short-term nature of those instruments. Additionally, as of December 31, 2018 and 2019,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w:t>
      </w:r>
    </w:p>
    <w:p>
      <w:pPr>
        <w:spacing w:after="0" w:line="3" w:lineRule="exact"/>
        <w:rPr>
          <w:sz w:val="20"/>
          <w:szCs w:val="20"/>
          <w:color w:val="auto"/>
        </w:rPr>
      </w:pPr>
    </w:p>
    <w:p>
      <w:pPr>
        <w:ind w:left="140" w:right="359"/>
        <w:spacing w:after="0" w:line="260" w:lineRule="auto"/>
        <w:rPr>
          <w:sz w:val="20"/>
          <w:szCs w:val="20"/>
          <w:color w:val="auto"/>
        </w:rPr>
      </w:pPr>
      <w:r>
        <w:rPr>
          <w:rFonts w:ascii="Times New Roman" w:cs="Times New Roman" w:eastAsia="Times New Roman" w:hAnsi="Times New Roman"/>
          <w:sz w:val="18"/>
          <w:szCs w:val="18"/>
          <w:color w:val="auto"/>
        </w:rPr>
        <w:t>Accordingly, the estimates presented are not necessarily indicative of the amounts at which these instruments could be purchased, sold, or settled.</w:t>
      </w:r>
    </w:p>
    <w:p>
      <w:pPr>
        <w:spacing w:after="0" w:line="73"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sz w:val="20"/>
          <w:szCs w:val="20"/>
          <w:color w:val="auto"/>
        </w:rPr>
      </w:pPr>
    </w:p>
    <w:p>
      <w:pPr>
        <w:jc w:val="both"/>
        <w:ind w:left="460" w:right="29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68" w:lineRule="exact"/>
        <w:rPr>
          <w:sz w:val="20"/>
          <w:szCs w:val="20"/>
          <w:color w:val="auto"/>
        </w:rPr>
      </w:pPr>
    </w:p>
    <w:p>
      <w:pPr>
        <w:ind w:left="460" w:right="7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7" w:name="page258"/>
    <w:bookmarkEnd w:id="25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00" w:right="182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121" w:lineRule="exact"/>
        <w:rPr>
          <w:sz w:val="20"/>
          <w:szCs w:val="20"/>
          <w:color w:val="auto"/>
        </w:rPr>
      </w:pPr>
    </w:p>
    <w:p>
      <w:pPr>
        <w:ind w:left="140" w:right="8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61"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20" w:type="dxa"/>
            <w:vAlign w:val="bottom"/>
            <w:tcBorders>
              <w:top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2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3"/>
                <w:szCs w:val="23"/>
                <w:color w:val="auto"/>
                <w:vertAlign w:val="superscript"/>
              </w:rPr>
              <w:t>(1)</w:t>
            </w:r>
          </w:p>
        </w:tc>
        <w:tc>
          <w:tcPr>
            <w:tcW w:w="2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30,197</w:t>
            </w:r>
          </w:p>
        </w:tc>
        <w:tc>
          <w:tcPr>
            <w:tcW w:w="20" w:type="dxa"/>
            <w:vAlign w:val="bottom"/>
          </w:tcPr>
          <w:p>
            <w:pPr>
              <w:spacing w:after="0"/>
              <w:rPr>
                <w:sz w:val="17"/>
                <w:szCs w:val="17"/>
                <w:color w:val="auto"/>
              </w:rPr>
            </w:pPr>
          </w:p>
        </w:tc>
        <w:tc>
          <w:tcPr>
            <w:tcW w:w="26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30,197</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Call options</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438"/>
        </w:trPr>
        <w:tc>
          <w:tcPr>
            <w:tcW w:w="4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920" w:type="dxa"/>
            <w:vAlign w:val="bottom"/>
            <w:tcBorders>
              <w:top w:val="single" w:sz="8" w:color="CCEEFF"/>
            </w:tcBorders>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20" w:type="dxa"/>
            <w:vAlign w:val="bottom"/>
            <w:gridSpan w:val="3"/>
            <w:shd w:val="clear" w:color="auto" w:fill="CCEEFF"/>
          </w:tcPr>
          <w:p>
            <w:pPr>
              <w:ind w:left="220"/>
              <w:spacing w:after="0" w:line="202" w:lineRule="exact"/>
              <w:rPr>
                <w:sz w:val="20"/>
                <w:szCs w:val="20"/>
                <w:color w:val="auto"/>
              </w:rPr>
            </w:pPr>
            <w:r>
              <w:rPr>
                <w:rFonts w:ascii="Times New Roman" w:cs="Times New Roman" w:eastAsia="Times New Roman" w:hAnsi="Times New Roman"/>
                <w:sz w:val="16"/>
                <w:szCs w:val="16"/>
                <w:color w:val="auto"/>
              </w:rPr>
              <w:t>Deferred compensation plan</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2,275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 w:type="dxa"/>
            <w:vAlign w:val="bottom"/>
          </w:tcPr>
          <w:p>
            <w:pPr>
              <w:spacing w:after="0"/>
              <w:rPr>
                <w:sz w:val="24"/>
                <w:szCs w:val="24"/>
                <w:color w:val="auto"/>
              </w:rPr>
            </w:pP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0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20" w:type="dxa"/>
            <w:vAlign w:val="bottom"/>
            <w:gridSpan w:val="3"/>
          </w:tcPr>
          <w:p>
            <w:pPr>
              <w:ind w:left="220"/>
              <w:spacing w:after="0" w:line="202"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3"/>
                <w:szCs w:val="23"/>
                <w:color w:val="auto"/>
                <w:vertAlign w:val="superscript"/>
              </w:rPr>
              <w:t>(1)</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70,000</w:t>
            </w:r>
          </w:p>
        </w:tc>
        <w:tc>
          <w:tcPr>
            <w:tcW w:w="20" w:type="dxa"/>
            <w:vAlign w:val="bottom"/>
          </w:tcPr>
          <w:p>
            <w:pPr>
              <w:spacing w:after="0"/>
              <w:rPr>
                <w:sz w:val="17"/>
                <w:szCs w:val="17"/>
                <w:color w:val="auto"/>
              </w:rPr>
            </w:pPr>
          </w:p>
        </w:tc>
        <w:tc>
          <w:tcPr>
            <w:tcW w:w="26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20" w:type="dxa"/>
            <w:vAlign w:val="bottom"/>
            <w:tcBorders>
              <w:top w:val="single" w:sz="8" w:color="CCEEFF"/>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39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contingent consideration</w:t>
            </w:r>
            <w:r>
              <w:rPr>
                <w:rFonts w:ascii="Times New Roman" w:cs="Times New Roman" w:eastAsia="Times New Roman" w:hAnsi="Times New Roman"/>
                <w:sz w:val="26"/>
                <w:szCs w:val="26"/>
                <w:color w:val="auto"/>
                <w:vertAlign w:val="superscript"/>
              </w:rPr>
              <w:t>(3)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20" w:type="dxa"/>
            <w:vAlign w:val="bottom"/>
            <w:tcBorders>
              <w:bottom w:val="single" w:sz="8" w:color="CCEEFF"/>
            </w:tcBorders>
            <w:gridSpan w:val="3"/>
          </w:tcPr>
          <w:p>
            <w:pPr>
              <w:ind w:left="220"/>
              <w:spacing w:after="0" w:line="202" w:lineRule="exact"/>
              <w:rPr>
                <w:sz w:val="20"/>
                <w:szCs w:val="20"/>
                <w:color w:val="auto"/>
              </w:rPr>
            </w:pPr>
            <w:r>
              <w:rPr>
                <w:rFonts w:ascii="Times New Roman" w:cs="Times New Roman" w:eastAsia="Times New Roman" w:hAnsi="Times New Roman"/>
                <w:sz w:val="16"/>
                <w:szCs w:val="16"/>
                <w:color w:val="auto"/>
              </w:rPr>
              <w:t>Deferred compensation plan</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2,544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300" w:hanging="319"/>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117" w:lineRule="exact"/>
        <w:rPr>
          <w:rFonts w:ascii="Times New Roman" w:cs="Times New Roman" w:eastAsia="Times New Roman" w:hAnsi="Times New Roman"/>
          <w:sz w:val="18"/>
          <w:szCs w:val="18"/>
          <w:color w:val="auto"/>
        </w:rPr>
      </w:pPr>
    </w:p>
    <w:p>
      <w:pPr>
        <w:ind w:left="1300" w:hanging="319"/>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accompanying consolidated balance sheets.</w:t>
      </w:r>
    </w:p>
    <w:p>
      <w:pPr>
        <w:spacing w:after="0" w:line="117" w:lineRule="exact"/>
        <w:rPr>
          <w:rFonts w:ascii="Times New Roman" w:cs="Times New Roman" w:eastAsia="Times New Roman" w:hAnsi="Times New Roman"/>
          <w:sz w:val="18"/>
          <w:szCs w:val="18"/>
          <w:color w:val="auto"/>
        </w:rPr>
      </w:pPr>
    </w:p>
    <w:p>
      <w:pPr>
        <w:ind w:left="1300" w:right="199" w:hanging="319"/>
        <w:spacing w:after="0" w:line="258"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75" w:lineRule="exact"/>
        <w:rPr>
          <w:rFonts w:ascii="Times New Roman" w:cs="Times New Roman" w:eastAsia="Times New Roman" w:hAnsi="Times New Roman"/>
          <w:sz w:val="18"/>
          <w:szCs w:val="18"/>
          <w:color w:val="auto"/>
        </w:rPr>
      </w:pPr>
    </w:p>
    <w:p>
      <w:pPr>
        <w:ind w:left="1300" w:right="179" w:hanging="319"/>
        <w:spacing w:after="0" w:line="267" w:lineRule="auto"/>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$115 and $153 as of December 31, 2018 and 2019, respectively, which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8" w:name="page259"/>
    <w:bookmarkEnd w:id="25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16: Fair Value of Financial Instruments (Continued)</w:t>
      </w:r>
    </w:p>
    <w:p>
      <w:pPr>
        <w:spacing w:after="0" w:line="121" w:lineRule="exact"/>
        <w:rPr>
          <w:sz w:val="20"/>
          <w:szCs w:val="20"/>
          <w:color w:val="auto"/>
        </w:rPr>
      </w:pPr>
    </w:p>
    <w:p>
      <w:pPr>
        <w:ind w:left="14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years ended December 31, 2018 and 2019.</w:t>
      </w:r>
    </w:p>
    <w:p>
      <w:pPr>
        <w:spacing w:after="0" w:line="61"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40" w:type="dxa"/>
            <w:vAlign w:val="bottom"/>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4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4,316</w:t>
            </w:r>
          </w:p>
        </w:tc>
      </w:tr>
      <w:tr>
        <w:trPr>
          <w:trHeight w:val="203"/>
        </w:trPr>
        <w:tc>
          <w:tcPr>
            <w:tcW w:w="40" w:type="dxa"/>
            <w:vAlign w:val="bottom"/>
          </w:tcPr>
          <w:p>
            <w:pPr>
              <w:spacing w:after="0"/>
              <w:rPr>
                <w:sz w:val="17"/>
                <w:szCs w:val="17"/>
                <w:color w:val="auto"/>
              </w:rPr>
            </w:pPr>
          </w:p>
        </w:tc>
        <w:tc>
          <w:tcPr>
            <w:tcW w:w="534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(2,513)</w:t>
            </w:r>
          </w:p>
        </w:tc>
      </w:tr>
      <w:tr>
        <w:trPr>
          <w:trHeight w:val="203"/>
        </w:trPr>
        <w:tc>
          <w:tcPr>
            <w:tcW w:w="40" w:type="dxa"/>
            <w:vAlign w:val="bottom"/>
          </w:tcPr>
          <w:p>
            <w:pPr>
              <w:spacing w:after="0"/>
              <w:rPr>
                <w:sz w:val="17"/>
                <w:szCs w:val="17"/>
                <w:color w:val="auto"/>
              </w:rPr>
            </w:pPr>
          </w:p>
        </w:tc>
        <w:tc>
          <w:tcPr>
            <w:tcW w:w="534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Addition</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4,498</w:t>
            </w:r>
          </w:p>
        </w:tc>
      </w:tr>
      <w:tr>
        <w:trPr>
          <w:trHeight w:val="203"/>
        </w:trPr>
        <w:tc>
          <w:tcPr>
            <w:tcW w:w="40" w:type="dxa"/>
            <w:vAlign w:val="bottom"/>
          </w:tcPr>
          <w:p>
            <w:pPr>
              <w:spacing w:after="0"/>
              <w:rPr>
                <w:sz w:val="17"/>
                <w:szCs w:val="17"/>
                <w:color w:val="auto"/>
              </w:rPr>
            </w:pPr>
          </w:p>
        </w:tc>
        <w:tc>
          <w:tcPr>
            <w:tcW w:w="534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6"/>
                <w:szCs w:val="16"/>
                <w:color w:val="auto"/>
              </w:rPr>
              <w:t>Reclassification</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(8,516)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180</w:t>
            </w:r>
          </w:p>
        </w:tc>
      </w:tr>
      <w:tr>
        <w:trPr>
          <w:trHeight w:val="203"/>
        </w:trPr>
        <w:tc>
          <w:tcPr>
            <w:tcW w:w="40" w:type="dxa"/>
            <w:vAlign w:val="bottom"/>
          </w:tcPr>
          <w:p>
            <w:pPr>
              <w:spacing w:after="0"/>
              <w:rPr>
                <w:sz w:val="17"/>
                <w:szCs w:val="17"/>
                <w:color w:val="auto"/>
              </w:rPr>
            </w:pPr>
          </w:p>
        </w:tc>
        <w:tc>
          <w:tcPr>
            <w:tcW w:w="534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03"/>
        </w:trPr>
        <w:tc>
          <w:tcPr>
            <w:tcW w:w="40" w:type="dxa"/>
            <w:vAlign w:val="bottom"/>
          </w:tcPr>
          <w:p>
            <w:pPr>
              <w:spacing w:after="0"/>
              <w:rPr>
                <w:sz w:val="17"/>
                <w:szCs w:val="17"/>
                <w:color w:val="auto"/>
              </w:rPr>
            </w:pPr>
          </w:p>
        </w:tc>
        <w:tc>
          <w:tcPr>
            <w:tcW w:w="534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40" w:type="dxa"/>
            <w:vAlign w:val="bottom"/>
          </w:tcPr>
          <w:p>
            <w:pPr>
              <w:spacing w:after="0"/>
              <w:rPr>
                <w:sz w:val="17"/>
                <w:szCs w:val="17"/>
                <w:color w:val="auto"/>
              </w:rPr>
            </w:pPr>
          </w:p>
        </w:tc>
        <w:tc>
          <w:tcPr>
            <w:tcW w:w="53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6,599</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1300" w:right="199" w:hanging="319"/>
        <w:spacing w:after="0" w:line="261"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of the 2018 acquisitions requires the Company to pay former shareholders a revenue based earn-out contingent on meeting certain 2018 revenue targets. As of December 31, 2018, such revenue targets were met and as a consequence $8,516 was reclassified to non-contingent consideration from acquisitions within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17" w:lineRule="exact"/>
        <w:rPr>
          <w:sz w:val="20"/>
          <w:szCs w:val="20"/>
          <w:color w:val="auto"/>
        </w:rPr>
      </w:pPr>
    </w:p>
    <w:p>
      <w:pPr>
        <w:ind w:left="140" w:right="19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w:t>
      </w:r>
      <w:r>
        <w:rPr>
          <w:rFonts w:ascii="Times New Roman" w:cs="Times New Roman" w:eastAsia="Times New Roman" w:hAnsi="Times New Roman"/>
          <w:sz w:val="18"/>
          <w:szCs w:val="18"/>
          <w:color w:val="auto"/>
        </w:rPr>
        <w:t>—In the normal course of business, the Company enters into various purchase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goods and services. As of December 31, 2018, the non-cancellable future cash purchase commitment for services related to the provisioning of our software solutions was $15,377 through June 2020. As of December 31, 2019, such commitment was fully consumed.</w:t>
      </w:r>
    </w:p>
    <w:p>
      <w:pPr>
        <w:spacing w:after="0" w:line="176" w:lineRule="exact"/>
        <w:rPr>
          <w:sz w:val="20"/>
          <w:szCs w:val="20"/>
          <w:color w:val="auto"/>
        </w:rPr>
      </w:pPr>
    </w:p>
    <w:p>
      <w:pPr>
        <w:ind w:left="140" w:right="1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Leases</w:t>
      </w:r>
      <w:r>
        <w:rPr>
          <w:rFonts w:ascii="Times New Roman" w:cs="Times New Roman" w:eastAsia="Times New Roman" w:hAnsi="Times New Roman"/>
          <w:sz w:val="18"/>
          <w:szCs w:val="18"/>
          <w:color w:val="auto"/>
        </w:rPr>
        <w:t>—The Company leases certain facilities, cars, and equipment under operating leases having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remaining non-cancellable terms in excess of one year.</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future minimum lease payments for the years following December 31, 2019 are as follows:</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10"/>
        </w:trPr>
        <w:tc>
          <w:tcPr>
            <w:tcW w:w="6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0" w:right="199" w:firstLine="324"/>
        <w:spacing w:after="0" w:line="282" w:lineRule="auto"/>
        <w:rPr>
          <w:sz w:val="20"/>
          <w:szCs w:val="20"/>
          <w:color w:val="auto"/>
        </w:rPr>
      </w:pPr>
      <w:r>
        <w:rPr>
          <w:rFonts w:ascii="Times New Roman" w:cs="Times New Roman" w:eastAsia="Times New Roman" w:hAnsi="Times New Roman"/>
          <w:sz w:val="18"/>
          <w:szCs w:val="18"/>
          <w:color w:val="auto"/>
        </w:rPr>
        <w:t>Rent expense is recorded on straight-line basis over the life of the lease. During the years ended December 31, 2018 and 2019, total rent expense was $16,726 and $17,036, respectively.</w:t>
      </w:r>
    </w:p>
    <w:p>
      <w:pPr>
        <w:spacing w:after="0" w:line="158" w:lineRule="exact"/>
        <w:rPr>
          <w:sz w:val="20"/>
          <w:szCs w:val="20"/>
          <w:color w:val="auto"/>
        </w:rPr>
      </w:pPr>
    </w:p>
    <w:p>
      <w:pPr>
        <w:jc w:val="both"/>
        <w:ind w:left="140" w:right="4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—From time to time, the Company is involved in certain legal actions arising in the ordinary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 management’s opinion, based upon the advice of counsel, the outcome of such actions is not expected to have a material adverse effect on the Company’s future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9" w:name="page260"/>
    <w:bookmarkEnd w:id="25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60" w:right="176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18: Geographic Data</w:t>
      </w:r>
    </w:p>
    <w:p>
      <w:pPr>
        <w:spacing w:after="0" w:line="121" w:lineRule="exact"/>
        <w:rPr>
          <w:sz w:val="20"/>
          <w:szCs w:val="20"/>
          <w:color w:val="auto"/>
        </w:rPr>
      </w:pPr>
    </w:p>
    <w:p>
      <w:pPr>
        <w:ind w:left="140" w:right="539"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and Note 6.</w:t>
      </w:r>
    </w:p>
    <w:p>
      <w:pPr>
        <w:spacing w:after="0" w:line="6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8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0" w:type="dxa"/>
            <w:vAlign w:val="bottom"/>
          </w:tcPr>
          <w:p>
            <w:pPr>
              <w:spacing w:after="0"/>
              <w:rPr>
                <w:sz w:val="18"/>
                <w:szCs w:val="18"/>
                <w:color w:val="auto"/>
              </w:rPr>
            </w:pPr>
          </w:p>
        </w:tc>
        <w:tc>
          <w:tcPr>
            <w:tcW w:w="408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0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Americas</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r>
      <w:tr>
        <w:trPr>
          <w:trHeight w:val="216"/>
        </w:trPr>
        <w:tc>
          <w:tcPr>
            <w:tcW w:w="40" w:type="dxa"/>
            <w:vAlign w:val="bottom"/>
          </w:tcPr>
          <w:p>
            <w:pPr>
              <w:spacing w:after="0"/>
              <w:rPr>
                <w:sz w:val="18"/>
                <w:szCs w:val="18"/>
                <w:color w:val="auto"/>
              </w:rPr>
            </w:pPr>
          </w:p>
        </w:tc>
        <w:tc>
          <w:tcPr>
            <w:tcW w:w="4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r>
      <w:tr>
        <w:trPr>
          <w:trHeight w:val="216"/>
        </w:trPr>
        <w:tc>
          <w:tcPr>
            <w:tcW w:w="40" w:type="dxa"/>
            <w:vAlign w:val="bottom"/>
          </w:tcPr>
          <w:p>
            <w:pPr>
              <w:spacing w:after="0"/>
              <w:rPr>
                <w:sz w:val="18"/>
                <w:szCs w:val="18"/>
                <w:color w:val="auto"/>
              </w:rPr>
            </w:pPr>
          </w:p>
        </w:tc>
        <w:tc>
          <w:tcPr>
            <w:tcW w:w="4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Asia/Pacific</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10"/>
        </w:trPr>
        <w:tc>
          <w:tcPr>
            <w:tcW w:w="40" w:type="dxa"/>
            <w:vAlign w:val="bottom"/>
          </w:tcPr>
          <w:p>
            <w:pPr>
              <w:spacing w:after="0"/>
              <w:rPr>
                <w:sz w:val="18"/>
                <w:szCs w:val="18"/>
                <w:color w:val="auto"/>
              </w:rPr>
            </w:pPr>
          </w:p>
        </w:tc>
        <w:tc>
          <w:tcPr>
            <w:tcW w:w="4080" w:type="dxa"/>
            <w:vAlign w:val="bottom"/>
            <w:tcBorders>
              <w:bottom w:val="single" w:sz="8" w:color="CCEEFF"/>
            </w:tcBorders>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w:t>
            </w: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Americas includes the United States, Canada, and Latin America (including the Caribbean).</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19: Interest Expense,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5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20: Other Income (Expense),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p>
      <w:pPr>
        <w:spacing w:after="0" w:line="1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8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0" w:type="dxa"/>
            <w:vAlign w:val="bottom"/>
          </w:tcPr>
          <w:p>
            <w:pPr>
              <w:spacing w:after="0"/>
              <w:rPr>
                <w:sz w:val="18"/>
                <w:szCs w:val="18"/>
                <w:color w:val="auto"/>
              </w:rPr>
            </w:pPr>
          </w:p>
        </w:tc>
        <w:tc>
          <w:tcPr>
            <w:tcW w:w="53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Foreign exchange loss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16"/>
        </w:trPr>
        <w:tc>
          <w:tcPr>
            <w:tcW w:w="40" w:type="dxa"/>
            <w:vAlign w:val="bottom"/>
          </w:tcPr>
          <w:p>
            <w:pPr>
              <w:spacing w:after="0"/>
              <w:rPr>
                <w:sz w:val="18"/>
                <w:szCs w:val="18"/>
                <w:color w:val="auto"/>
              </w:rPr>
            </w:pPr>
          </w:p>
        </w:tc>
        <w:tc>
          <w:tcPr>
            <w:tcW w:w="53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 income (expense), net</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40" w:type="dxa"/>
            <w:vAlign w:val="bottom"/>
          </w:tcPr>
          <w:p>
            <w:pPr>
              <w:spacing w:after="0"/>
              <w:rPr>
                <w:sz w:val="18"/>
                <w:szCs w:val="18"/>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1300" w:right="239" w:hanging="319"/>
        <w:spacing w:after="0" w:line="254"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year ended December 31, 2018, the foreign exchange loss includes a loss of $487 relating to the remeasurement of a derivative instrument (see Note 16). In October 2018, the Company had intercompany sales of certain intangible operating assets between foreign subsidiaries, which resulted in significant U.S. dollar denominated finance transactions and balances between certain of its foreign subsidiaries. For the year ended December 31, 2019, such finance transactions resulted in unrealized foreign currency translation losses of $5,270.</w:t>
      </w:r>
    </w:p>
    <w:p>
      <w:pPr>
        <w:spacing w:after="0" w:line="83" w:lineRule="exact"/>
        <w:rPr>
          <w:rFonts w:ascii="Times New Roman" w:cs="Times New Roman" w:eastAsia="Times New Roman" w:hAnsi="Times New Roman"/>
          <w:sz w:val="18"/>
          <w:szCs w:val="18"/>
          <w:color w:val="auto"/>
        </w:rPr>
      </w:pPr>
    </w:p>
    <w:p>
      <w:pPr>
        <w:ind w:left="1300" w:right="319" w:hanging="319"/>
        <w:spacing w:after="0" w:line="282" w:lineRule="auto"/>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2018, other income (expense), net includes a gain of $707 relating to insurance proceeds received in excess of the net book value of the replaced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0" w:name="page261"/>
    <w:bookmarkEnd w:id="26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640" w:right="1780"/>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21: Realignment Costs</w:t>
      </w:r>
    </w:p>
    <w:p>
      <w:pPr>
        <w:spacing w:after="0" w:line="121" w:lineRule="exact"/>
        <w:rPr>
          <w:sz w:val="20"/>
          <w:szCs w:val="20"/>
          <w:color w:val="auto"/>
        </w:rPr>
      </w:pPr>
    </w:p>
    <w:p>
      <w:pPr>
        <w:ind w:left="140" w:right="3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2015, the Company initiated a strategic realignment program in order to better serve the Company’s users and to better align resources with the evolving needs of the business. The Company incurred total realignment costs of $6,778 and $(584) for the years ended December 31, 2018 and 2019, respectively. As of December 31, 2018 and 2019, accrued realignment costs totaled $6,437 and $491 and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realignment activity during the years ended December 31, 2018 and 2019:</w:t>
      </w:r>
    </w:p>
    <w:p>
      <w:pPr>
        <w:spacing w:after="0" w:line="1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8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16"/>
        </w:trPr>
        <w:tc>
          <w:tcPr>
            <w:tcW w:w="4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Realignment costs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40" w:type="dxa"/>
            <w:vAlign w:val="bottom"/>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16"/>
        </w:trPr>
        <w:tc>
          <w:tcPr>
            <w:tcW w:w="40" w:type="dxa"/>
            <w:vAlign w:val="bottom"/>
          </w:tcPr>
          <w:p>
            <w:pPr>
              <w:spacing w:after="0"/>
              <w:rPr>
                <w:sz w:val="18"/>
                <w:szCs w:val="18"/>
                <w:color w:val="auto"/>
              </w:rPr>
            </w:pPr>
          </w:p>
        </w:tc>
        <w:tc>
          <w:tcPr>
            <w:tcW w:w="2140" w:type="dxa"/>
            <w:vAlign w:val="bottom"/>
          </w:tcPr>
          <w:p>
            <w:pPr>
              <w:ind w:left="220"/>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(1)</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40" w:type="dxa"/>
            <w:vAlign w:val="bottom"/>
          </w:tcPr>
          <w:p>
            <w:pPr>
              <w:spacing w:after="0"/>
              <w:rPr>
                <w:sz w:val="18"/>
                <w:szCs w:val="18"/>
                <w:color w:val="auto"/>
              </w:rPr>
            </w:pPr>
          </w:p>
        </w:tc>
        <w:tc>
          <w:tcPr>
            <w:tcW w:w="2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4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Adjustments includes foreign currency translation.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realignment costs by expense classification for the years ended December 31,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2018 and 2019:</w:t>
      </w:r>
    </w:p>
    <w:p>
      <w:pPr>
        <w:spacing w:after="0" w:line="10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20" w:type="dxa"/>
        <w:tblCellMar>
          <w:top w:w="0" w:type="dxa"/>
          <w:left w:w="0" w:type="dxa"/>
          <w:bottom w:w="0" w:type="dxa"/>
          <w:right w:w="0" w:type="dxa"/>
        </w:tblCellMar>
      </w:tblPr>
      <w:tr>
        <w:trPr>
          <w:trHeight w:val="142"/>
        </w:trPr>
        <w:tc>
          <w:tcPr>
            <w:tcW w:w="40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9"/>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realignment costs</w:t>
            </w: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21" w:lineRule="exact"/>
        <w:rPr>
          <w:sz w:val="20"/>
          <w:szCs w:val="20"/>
          <w:color w:val="auto"/>
        </w:rPr>
      </w:pPr>
    </w:p>
    <w:p>
      <w:pPr>
        <w:ind w:left="140" w:right="619" w:firstLine="324"/>
        <w:spacing w:after="0" w:line="261"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w:t>
      </w:r>
    </w:p>
    <w:p>
      <w:pPr>
        <w:spacing w:after="0" w:line="72" w:lineRule="exact"/>
        <w:rPr>
          <w:sz w:val="20"/>
          <w:szCs w:val="20"/>
          <w:color w:val="auto"/>
        </w:rPr>
      </w:pPr>
    </w:p>
    <w:p>
      <w:pPr>
        <w:ind w:left="140" w:right="479" w:firstLine="324"/>
        <w:spacing w:after="0" w:line="289" w:lineRule="auto"/>
        <w:rPr>
          <w:sz w:val="20"/>
          <w:szCs w:val="20"/>
          <w:color w:val="auto"/>
        </w:rPr>
      </w:pPr>
      <w:r>
        <w:rPr>
          <w:rFonts w:ascii="Times New Roman" w:cs="Times New Roman" w:eastAsia="Times New Roman" w:hAnsi="Times New Roman"/>
          <w:sz w:val="17"/>
          <w:szCs w:val="17"/>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50"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the resulting net income attributable to common stockholders by the weighted-average number of fully diluted common shares outstanding.</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61" w:name="page262"/>
    <w:bookmarkEnd w:id="26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(Continued) (in thousands, except share and per share data)</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121"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two-class method. The details of basic and diluted EPS are as follows (in thousands, except per share amounts):</w:t>
      </w:r>
    </w:p>
    <w:p>
      <w:pPr>
        <w:spacing w:after="0" w:line="79"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0" w:type="dxa"/>
            <w:vAlign w:val="bottom"/>
          </w:tcPr>
          <w:p>
            <w:pPr>
              <w:spacing w:after="0"/>
              <w:rPr>
                <w:sz w:val="1"/>
                <w:szCs w:val="1"/>
                <w:color w:val="auto"/>
              </w:rPr>
            </w:pPr>
          </w:p>
        </w:tc>
      </w:tr>
      <w:tr>
        <w:trPr>
          <w:trHeight w:val="197"/>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Denominator for basic net income per share—weighted average shares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285,805,096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284,625,642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9,171,065</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292,624,496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293,796,707</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21"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years ended December 31, 2018 and 2019, the Company evaluated subsequent events for recognition and measurement through March 6, 2020, the date when the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2" w:name="page263"/>
    <w:bookmarkEnd w:id="26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125,516</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0" w:type="dxa"/>
            <w:vAlign w:val="bottom"/>
          </w:tcPr>
          <w:p>
            <w:pPr>
              <w:spacing w:after="0"/>
              <w:rPr>
                <w:sz w:val="1"/>
                <w:szCs w:val="1"/>
                <w:color w:val="auto"/>
              </w:rPr>
            </w:pPr>
          </w:p>
        </w:tc>
      </w:tr>
      <w:tr>
        <w:trPr>
          <w:trHeight w:val="210"/>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318,083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0" w:type="dxa"/>
            <w:vAlign w:val="bottom"/>
          </w:tcPr>
          <w:p>
            <w:pPr>
              <w:spacing w:after="0"/>
              <w:rPr>
                <w:sz w:val="1"/>
                <w:szCs w:val="1"/>
                <w:color w:val="auto"/>
              </w:rPr>
            </w:pPr>
          </w:p>
        </w:tc>
      </w:tr>
      <w:tr>
        <w:trPr>
          <w:trHeight w:val="249"/>
        </w:trPr>
        <w:tc>
          <w:tcPr>
            <w:tcW w:w="5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994,599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1,059,169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1,059,169</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180,130</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0"/>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395,382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596,583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679,425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1,072,197</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320,000,000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11,601,757 shares as of December 31, 2019 and June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 2020, actual and pro forma, and Class B Common Stock, $0.01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 value, authorized 600,000,000 shares; issued 243,241,192 and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247,607,598 shares as of December 31, 2019 and June 30, 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actual and pro forma,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415,883</w:t>
            </w: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(403,099)</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1,059,169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9"/>
              </w:rPr>
              <w:t>1,059,169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54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63" w:name="page264"/>
    <w:bookmarkEnd w:id="26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Operations (in thousands, except share and per share data) (unaudited)</w:t>
      </w:r>
    </w:p>
    <w:p>
      <w:pPr>
        <w:spacing w:after="0" w:line="74"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60" w:type="dxa"/>
        <w:tblCellMar>
          <w:top w:w="0" w:type="dxa"/>
          <w:left w:w="0" w:type="dxa"/>
          <w:bottom w:w="0" w:type="dxa"/>
          <w:right w:w="0" w:type="dxa"/>
        </w:tblCellMar>
      </w:tblPr>
      <w:tr>
        <w:trPr>
          <w:trHeight w:val="142"/>
        </w:trPr>
        <w:tc>
          <w:tcPr>
            <w:tcW w:w="58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Perpetual licenses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0" w:type="dxa"/>
            <w:vAlign w:val="bottom"/>
          </w:tcPr>
          <w:p>
            <w:pPr>
              <w:spacing w:after="0"/>
              <w:rPr>
                <w:sz w:val="1"/>
                <w:szCs w:val="1"/>
                <w:color w:val="auto"/>
              </w:rPr>
            </w:pPr>
          </w:p>
        </w:tc>
      </w:tr>
      <w:tr>
        <w:trPr>
          <w:trHeight w:val="20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services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73,964</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305,016</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89,353</w:t>
            </w:r>
          </w:p>
        </w:tc>
        <w:tc>
          <w:tcPr>
            <w:tcW w:w="0" w:type="dxa"/>
            <w:vAlign w:val="bottom"/>
          </w:tcPr>
          <w:p>
            <w:pPr>
              <w:spacing w:after="0"/>
              <w:rPr>
                <w:sz w:val="1"/>
                <w:szCs w:val="1"/>
                <w:color w:val="auto"/>
              </w:rPr>
            </w:pPr>
          </w:p>
        </w:tc>
      </w:tr>
      <w:tr>
        <w:trPr>
          <w:trHeight w:val="21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214,464</w:t>
            </w:r>
          </w:p>
        </w:tc>
        <w:tc>
          <w:tcPr>
            <w:tcW w:w="0" w:type="dxa"/>
            <w:vAlign w:val="bottom"/>
          </w:tcPr>
          <w:p>
            <w:pPr>
              <w:spacing w:after="0"/>
              <w:rPr>
                <w:sz w:val="1"/>
                <w:szCs w:val="1"/>
                <w:color w:val="auto"/>
              </w:rPr>
            </w:pPr>
          </w:p>
        </w:tc>
      </w:tr>
      <w:tr>
        <w:trPr>
          <w:trHeight w:val="21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of joint venture, net of tax</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285,529,476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286,068,766</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293,633,255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295,595,234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4" w:name="page265"/>
    <w:bookmarkEnd w:id="26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Comprehensive Income (in thousands) (unaudited)</w:t>
      </w:r>
    </w:p>
    <w:p>
      <w:pPr>
        <w:spacing w:after="0" w:line="74"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wp:posOffset>
            </wp:positionV>
            <wp:extent cx="149161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6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16"/>
        </w:trPr>
        <w:tc>
          <w:tcPr>
            <w:tcW w:w="6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($6) and ($15), respectively</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6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64,268</w:t>
            </w:r>
          </w:p>
        </w:tc>
      </w:tr>
      <w:tr>
        <w:trPr>
          <w:trHeight w:val="20"/>
        </w:trPr>
        <w:tc>
          <w:tcPr>
            <w:tcW w:w="6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5" w:name="page266"/>
    <w:bookmarkEnd w:id="26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40" w:right="159"/>
        <w:spacing w:after="0" w:line="424" w:lineRule="auto"/>
        <w:rPr>
          <w:sz w:val="20"/>
          <w:szCs w:val="20"/>
          <w:color w:val="auto"/>
        </w:rPr>
      </w:pPr>
      <w:r>
        <w:rPr>
          <w:rFonts w:ascii="Times New Roman" w:cs="Times New Roman" w:eastAsia="Times New Roman" w:hAnsi="Times New Roman"/>
          <w:sz w:val="17"/>
          <w:szCs w:val="17"/>
          <w:b w:val="1"/>
          <w:bCs w:val="1"/>
          <w:color w:val="auto"/>
        </w:rPr>
        <w:t>BENTLEY SYSTEMS, INCORPORATED AND SUBSIDIARIES Consolidated Statements of Stockholders’ Equity (in thousands, except share and per share data) (unaudited)</w:t>
      </w:r>
    </w:p>
    <w:p>
      <w:pPr>
        <w:spacing w:after="0" w:line="5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20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9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2018</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250,283,513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392,896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(29,414)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(218,553)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147,431</w:t>
            </w:r>
          </w:p>
        </w:tc>
        <w:tc>
          <w:tcPr>
            <w:tcW w:w="0" w:type="dxa"/>
            <w:vAlign w:val="bottom"/>
          </w:tcPr>
          <w:p>
            <w:pPr>
              <w:spacing w:after="0"/>
              <w:rPr>
                <w:sz w:val="1"/>
                <w:szCs w:val="1"/>
                <w:color w:val="auto"/>
              </w:rPr>
            </w:pPr>
          </w:p>
        </w:tc>
      </w:tr>
      <w:tr>
        <w:trPr>
          <w:trHeight w:val="126"/>
        </w:trPr>
        <w:tc>
          <w:tcPr>
            <w:tcW w:w="2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 accounting</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107,822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107,822</w:t>
            </w:r>
          </w:p>
        </w:tc>
        <w:tc>
          <w:tcPr>
            <w:tcW w:w="0" w:type="dxa"/>
            <w:vAlign w:val="bottom"/>
          </w:tcPr>
          <w:p>
            <w:pPr>
              <w:spacing w:after="0"/>
              <w:rPr>
                <w:sz w:val="1"/>
                <w:szCs w:val="1"/>
                <w:color w:val="auto"/>
              </w:rPr>
            </w:pPr>
          </w:p>
        </w:tc>
      </w:tr>
      <w:tr>
        <w:trPr>
          <w:trHeight w:val="171"/>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46,418</w:t>
            </w: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(12,643)</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(12,643)</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Profit sharing plan shares, net</w:t>
            </w: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(160,963)</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2,230,430</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(4,975)</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net</w:t>
            </w: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Deferred compensation plan voluntary</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171"/>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and vesting of awards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Payment of shareholder Put and Call</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(401,352)</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(3,145)</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rights</w:t>
            </w: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Purchase Agreement,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64,509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1"/>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 net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2,657,027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(2,150)</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related to restricted stock, net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409,665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2019</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255,086,392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401,439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(26,998)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288,321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6" w:name="page267"/>
    <w:bookmarkEnd w:id="26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40" w:right="159"/>
        <w:spacing w:after="0" w:line="424" w:lineRule="auto"/>
        <w:rPr>
          <w:sz w:val="20"/>
          <w:szCs w:val="20"/>
          <w:color w:val="auto"/>
        </w:rPr>
      </w:pPr>
      <w:r>
        <w:rPr>
          <w:rFonts w:ascii="Times New Roman" w:cs="Times New Roman" w:eastAsia="Times New Roman" w:hAnsi="Times New Roman"/>
          <w:sz w:val="17"/>
          <w:szCs w:val="17"/>
          <w:b w:val="1"/>
          <w:bCs w:val="1"/>
          <w:color w:val="auto"/>
        </w:rPr>
        <w:t>BENTLEY SYSTEMS, INCORPORATED AND SUBSIDIARIES Consolidated Statements of Stockholders’ Equity (in thousands, except share and per share data) (unaudited)</w:t>
      </w:r>
    </w:p>
    <w:p>
      <w:pPr>
        <w:spacing w:after="0" w:line="5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20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and Class B</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10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9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as of December 31, 2019</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254,842,949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408,667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334,619</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68,745</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(4,477)</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(15,437)</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(15,437)</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Profit sharing plan shares, net</w:t>
            </w: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(385,568)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(4,424)</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(4,428)</w:t>
            </w:r>
          </w:p>
        </w:tc>
        <w:tc>
          <w:tcPr>
            <w:tcW w:w="0" w:type="dxa"/>
            <w:vAlign w:val="bottom"/>
          </w:tcPr>
          <w:p>
            <w:pPr>
              <w:spacing w:after="0"/>
              <w:rPr>
                <w:sz w:val="1"/>
                <w:szCs w:val="1"/>
                <w:color w:val="auto"/>
              </w:rPr>
            </w:pPr>
          </w:p>
        </w:tc>
      </w:tr>
      <w:tr>
        <w:trPr>
          <w:trHeight w:val="126"/>
        </w:trPr>
        <w:tc>
          <w:tcPr>
            <w:tcW w:w="2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in connection with</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2,959,731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171"/>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compensation plan, net</w:t>
            </w: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compensation plan voluntary</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w:t>
            </w:r>
          </w:p>
        </w:tc>
        <w:tc>
          <w:tcPr>
            <w:tcW w:w="10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Payment of shareholder Put and Call</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(128,176)</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(1,453)</w:t>
            </w: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171"/>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Purchase Agreement,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exercises, net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2,184,628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(3,052)</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stock grants, net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related to restricted stock, net</w:t>
            </w: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(281,789)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as of June 30, 2020</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259,209,355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2,592</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415,883</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(28,404)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(10,327)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379,744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7" w:name="page268"/>
    <w:bookmarkEnd w:id="26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Consolidated Statements of Cash Flows (in thousands, except share and per share data) (unaudited)</w:t>
      </w:r>
    </w:p>
    <w:p>
      <w:pPr>
        <w:spacing w:after="0" w:line="74"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0"/>
        </w:trPr>
        <w:tc>
          <w:tcPr>
            <w:tcW w:w="59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46,418</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68,745</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16,664</w:t>
            </w:r>
          </w:p>
        </w:tc>
      </w:tr>
      <w:tr>
        <w:trPr>
          <w:trHeight w:val="20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accounts receivable allowance</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w:t>
            </w:r>
          </w:p>
        </w:tc>
      </w:tr>
      <w:tr>
        <w:trPr>
          <w:trHeight w:val="20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compensation plan activity</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w:t>
            </w:r>
          </w:p>
        </w:tc>
      </w:tr>
      <w:tr>
        <w:trPr>
          <w:trHeight w:val="20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r>
      <w:tr>
        <w:trPr>
          <w:trHeight w:val="20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remeasurement loss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r>
      <w:tr>
        <w:trPr>
          <w:trHeight w:val="203"/>
        </w:trPr>
        <w:tc>
          <w:tcPr>
            <w:tcW w:w="5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Equity in loss of joint venture, net of tax</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03"/>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 net of effect from acquisitions: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44,263</w:t>
            </w:r>
          </w:p>
        </w:tc>
      </w:tr>
      <w:tr>
        <w:trPr>
          <w:trHeight w:val="203"/>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and other assets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9,089</w:t>
            </w:r>
          </w:p>
        </w:tc>
      </w:tr>
      <w:tr>
        <w:trPr>
          <w:trHeight w:val="203"/>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w:t>
            </w:r>
          </w:p>
        </w:tc>
      </w:tr>
      <w:tr>
        <w:trPr>
          <w:trHeight w:val="203"/>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w:t>
            </w:r>
          </w:p>
        </w:tc>
      </w:tr>
      <w:tr>
        <w:trPr>
          <w:trHeight w:val="202"/>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r>
      <w:tr>
        <w:trPr>
          <w:trHeight w:val="196"/>
        </w:trPr>
        <w:tc>
          <w:tcPr>
            <w:tcW w:w="59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82,758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136,182</w:t>
            </w: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 and investment in capitalized software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(9,419)</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Capitalization of costs to translate software products into foreign languages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net of cash acquired of $980 and $2,064, respectively</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(67,595)</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196"/>
        </w:trPr>
        <w:tc>
          <w:tcPr>
            <w:tcW w:w="5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(78,979)</w:t>
            </w: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164,375</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credit facilities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(191,125)</w:t>
            </w:r>
          </w:p>
        </w:tc>
      </w:tr>
      <w:tr>
        <w:trPr>
          <w:trHeight w:val="202"/>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acquisition debt and other consideration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dividends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(15,901)</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for shares acquired including shares withheld for taxes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(69,307)</w:t>
            </w: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Common Stock Purchase Agreement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58,349</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proceeds from exercise of common stock options and restricted stock</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196"/>
        </w:trPr>
        <w:tc>
          <w:tcPr>
            <w:tcW w:w="5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(42,004)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(52,556)</w:t>
            </w:r>
          </w:p>
        </w:tc>
      </w:tr>
      <w:tr>
        <w:trPr>
          <w:trHeight w:val="19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196"/>
        </w:trPr>
        <w:tc>
          <w:tcPr>
            <w:tcW w:w="5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w:t>
            </w:r>
          </w:p>
        </w:tc>
      </w:tr>
      <w:tr>
        <w:trPr>
          <w:trHeight w:val="20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121,101</w:t>
            </w:r>
          </w:p>
        </w:tc>
      </w:tr>
      <w:tr>
        <w:trPr>
          <w:trHeight w:val="23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5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103,434</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125,516</w:t>
            </w:r>
          </w:p>
        </w:tc>
      </w:tr>
      <w:tr>
        <w:trPr>
          <w:trHeight w:val="183"/>
        </w:trPr>
        <w:tc>
          <w:tcPr>
            <w:tcW w:w="5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Supplemental information:</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21,931</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7,180</w:t>
            </w:r>
          </w:p>
        </w:tc>
      </w:tr>
      <w:tr>
        <w:trPr>
          <w:trHeight w:val="203"/>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refunds</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3"/>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r>
      <w:tr>
        <w:trPr>
          <w:trHeight w:val="202"/>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contingent acquisition consideration</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10"/>
        </w:trPr>
        <w:tc>
          <w:tcPr>
            <w:tcW w:w="5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deferred acquisition consideration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r>
    </w:tbl>
    <w:p>
      <w:pPr>
        <w:spacing w:after="0" w:line="19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68" w:name="page269"/>
    <w:bookmarkEnd w:id="26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0" w:right="159"/>
        <w:spacing w:after="0" w:line="393" w:lineRule="auto"/>
        <w:rPr>
          <w:sz w:val="20"/>
          <w:szCs w:val="20"/>
          <w:color w:val="auto"/>
        </w:rPr>
      </w:pPr>
      <w:r>
        <w:rPr>
          <w:rFonts w:ascii="Times New Roman" w:cs="Times New Roman" w:eastAsia="Times New Roman" w:hAnsi="Times New Roman"/>
          <w:sz w:val="18"/>
          <w:szCs w:val="18"/>
          <w:b w:val="1"/>
          <w:bCs w:val="1"/>
          <w:color w:val="auto"/>
        </w:rPr>
        <w:t>BENTLEY SYSTEMS, INCORPORATED AND SUBSIDIARIES Notes to Consolidated Financial Statements (in thousands, except share and per share data) (unaudited)</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117"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 </w:t>
      </w:r>
      <w:r>
        <w:rPr>
          <w:rFonts w:ascii="Times New Roman" w:cs="Times New Roman" w:eastAsia="Times New Roman" w:hAnsi="Times New Roman"/>
          <w:sz w:val="18"/>
          <w:szCs w:val="18"/>
          <w:color w:val="auto"/>
        </w:rPr>
        <w:t>Bentley Systems, Incorporated (“Bentley” or the “Company”)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 that was founded 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owner-operators who maintain, adapt, and optimize the performance of infrastructure assets.</w:t>
      </w:r>
    </w:p>
    <w:p>
      <w:pPr>
        <w:spacing w:after="0" w:line="185"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 </w:t>
      </w:r>
      <w:r>
        <w:rPr>
          <w:rFonts w:ascii="Times New Roman" w:cs="Times New Roman" w:eastAsia="Times New Roman" w:hAnsi="Times New Roman"/>
          <w:sz w:val="18"/>
          <w:szCs w:val="18"/>
          <w:color w:val="auto"/>
        </w:rPr>
        <w:t>The unaudited consolidated financial statements and accompanying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have been prepared in United States (“U.S.”) dollars and in accordance with accounting principles generally accepted in the United States of America (“U.S. GAAP”). The accompanying consolidated financial statements include the accounts of the Company and its wholly-owned subsidiaries. The Company is party to a joint venture which is accounted for using the equity method. All significant intercompany accounts and transactions have been eliminated in consolidation. In the opinion of management, the accompanying unaudited consolidated financial statements contain all adjustments, consisting only of those of a normal recurring nature, necessary for a fair statement of our financial position, results of operations, and cash flows at the dates and for the periods indicated. The December 31, 2019 consolidated balance sheet included herein is derived from our audited consolidated financial statements. The results of operations for the six months ended June 30, 2020 are not necessarily indicative of the results expected for the remainder of the fiscal year.</w:t>
      </w:r>
    </w:p>
    <w:p>
      <w:pPr>
        <w:spacing w:after="0" w:line="78"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176"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Use of Estimates ––</w:t>
      </w:r>
      <w:r>
        <w:rPr>
          <w:rFonts w:ascii="Times New Roman" w:cs="Times New Roman" w:eastAsia="Times New Roman" w:hAnsi="Times New Roman"/>
          <w:sz w:val="18"/>
          <w:szCs w:val="18"/>
          <w:color w:val="auto"/>
        </w:rPr>
        <w:t>The preparation of consolidated financial statements and related disclosures in conformity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 Company’s significant estimates and assumptions include revenue recognition, adequacy of allowance for accounts receivable, determination of the fair value of acquired assets and liabilities, the fair value of derivative financial instruments, the fair value of common stock and stock-based compensation, operating lease assets and liabilities, useful lives for depreciation and amortization, impairment of goodwill and intangible assets, and accounting for income taxes. Actual results could differ materially from these estimates.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9" w:name="page270"/>
    <w:bookmarkEnd w:id="26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 (Continued)</w:t>
      </w:r>
    </w:p>
    <w:p>
      <w:pPr>
        <w:spacing w:after="0" w:line="131"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Not Designated As Hedging Instruments –– </w:t>
      </w:r>
      <w:r>
        <w:rPr>
          <w:rFonts w:ascii="Times New Roman" w:cs="Times New Roman" w:eastAsia="Times New Roman" w:hAnsi="Times New Roman"/>
          <w:sz w:val="18"/>
          <w:szCs w:val="18"/>
          <w:color w:val="auto"/>
        </w:rPr>
        <w:t>On March 31, 2020, the Company entered into an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rate swap with a notional amount of $200,000 and a ten-year term to reduce the interest rate risk associated with the Company’s Credit Facility (see Note 10).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net </w:t>
      </w:r>
      <w:r>
        <w:rPr>
          <w:rFonts w:ascii="Times New Roman" w:cs="Times New Roman" w:eastAsia="Times New Roman" w:hAnsi="Times New Roman"/>
          <w:sz w:val="18"/>
          <w:szCs w:val="18"/>
          <w:color w:val="auto"/>
        </w:rPr>
        <w:t>and payments related to the swap are recognized in</w:t>
      </w:r>
      <w:r>
        <w:rPr>
          <w:rFonts w:ascii="Times New Roman" w:cs="Times New Roman" w:eastAsia="Times New Roman" w:hAnsi="Times New Roman"/>
          <w:sz w:val="18"/>
          <w:szCs w:val="18"/>
          <w:i w:val="1"/>
          <w:iCs w:val="1"/>
          <w:color w:val="auto"/>
        </w:rPr>
        <w:t xml:space="preserve"> Interest expense, net </w:t>
      </w:r>
      <w:r>
        <w:rPr>
          <w:rFonts w:ascii="Times New Roman" w:cs="Times New Roman" w:eastAsia="Times New Roman" w:hAnsi="Times New Roman"/>
          <w:sz w:val="18"/>
          <w:szCs w:val="18"/>
          <w:color w:val="auto"/>
        </w:rPr>
        <w:t>in the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74"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 </w:t>
      </w:r>
      <w:r>
        <w:rPr>
          <w:rFonts w:ascii="Times New Roman" w:cs="Times New Roman" w:eastAsia="Times New Roman" w:hAnsi="Times New Roman"/>
          <w:sz w:val="18"/>
          <w:szCs w:val="18"/>
          <w:color w:val="auto"/>
        </w:rPr>
        <w:t>The Company determines if an arrangement is a lease at inception. Operating leases are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Operating lease right-of-use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Operating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Long-term operating lease liabilities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consolidated balance sheets. Operating lease right-of-use assets represent the Company’s right to use an underlying asset for the lease term and operating lease liabilities represent the Company’s obligation to make lease payments arising from the lease. Operating lease right-of-use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right-of-use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 line basis over the lease term. The Company’s operating leases are primarily for office space, cars, and office equipment. Finance leases are included in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Company’s consolidated balance sheet.</w:t>
      </w:r>
    </w:p>
    <w:p>
      <w:pPr>
        <w:spacing w:after="0" w:line="183" w:lineRule="exact"/>
        <w:rPr>
          <w:sz w:val="20"/>
          <w:szCs w:val="20"/>
          <w:color w:val="auto"/>
        </w:rPr>
      </w:pPr>
    </w:p>
    <w:p>
      <w:pPr>
        <w:ind w:left="140" w:right="27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 </w:t>
      </w:r>
      <w:r>
        <w:rPr>
          <w:rFonts w:ascii="Times New Roman" w:cs="Times New Roman" w:eastAsia="Times New Roman" w:hAnsi="Times New Roman"/>
          <w:sz w:val="18"/>
          <w:szCs w:val="18"/>
          <w:color w:val="auto"/>
        </w:rPr>
        <w:t>There have been no changes other than what is discussed herein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significant accounting policies as compared to the significant accounting policies described in Note 1 to the Company’s consolidated financial statements as of and for the year ended December 31, 2019. These unaudited consolidated financial statements should be read in conjunction with the consolidated financial statements and related notes as of and for the year ended December 31, 2019.</w:t>
      </w:r>
    </w:p>
    <w:p>
      <w:pPr>
        <w:spacing w:after="0" w:line="179" w:lineRule="exact"/>
        <w:rPr>
          <w:sz w:val="20"/>
          <w:szCs w:val="20"/>
          <w:color w:val="auto"/>
        </w:rPr>
      </w:pPr>
    </w:p>
    <w:p>
      <w:pPr>
        <w:ind w:left="140" w:right="1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Unaudited Pro Forma Financial Information –– </w:t>
      </w:r>
      <w:r>
        <w:rPr>
          <w:rFonts w:ascii="Times New Roman" w:cs="Times New Roman" w:eastAsia="Times New Roman" w:hAnsi="Times New Roman"/>
          <w:sz w:val="18"/>
          <w:szCs w:val="18"/>
          <w:color w:val="auto"/>
        </w:rPr>
        <w:t>The accompanying unaudited pro forma consolidated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sheet as of June 30, 2020 has been prepared to give effect to (i) the payment on September 2, 2020 of a special dividend of $1.50 per share of our common stock (approximately $390,000 in the aggregate) (the “Special Dividend”) declared by the Company’s board of directors on August 28, 2020 and the funding of such Special Dividend with borrowings under a $125,000 senior secured term loan with a maturity date of December 18, 2022 (the “New Term Loan”) provided for by an amendment to the Credit Facility (as defined below) and under the revolving facility under the Credit Facility and (ii) the accrual of the Special Dividend on 2,204,572 shares of outstanding restricted stock and restricted stock units.</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21" w:lineRule="exact"/>
        <w:rPr>
          <w:sz w:val="20"/>
          <w:szCs w:val="20"/>
          <w:color w:val="auto"/>
        </w:rPr>
      </w:pPr>
    </w:p>
    <w:p>
      <w:pPr>
        <w:jc w:val="both"/>
        <w:ind w:left="140" w:right="599"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 August 2018, the Financial Accounting Standards Board (“FASB”) issued ASU No. 2018-15, Intangibles— Goodwill and Other—Internal-Use Software (Subtopic 350-40): </w:t>
      </w:r>
      <w:r>
        <w:rPr>
          <w:rFonts w:ascii="Times New Roman" w:cs="Times New Roman" w:eastAsia="Times New Roman" w:hAnsi="Times New Roman"/>
          <w:sz w:val="17"/>
          <w:szCs w:val="17"/>
          <w:i w:val="1"/>
          <w:iCs w:val="1"/>
          <w:color w:val="auto"/>
        </w:rPr>
        <w:t>Customer’s Accounting for Implementation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Incurred in a Cloud Computing Arrangement That is a Service Contract</w:t>
      </w:r>
      <w:r>
        <w:rPr>
          <w:rFonts w:ascii="Times New Roman" w:cs="Times New Roman" w:eastAsia="Times New Roman" w:hAnsi="Times New Roman"/>
          <w:sz w:val="17"/>
          <w:szCs w:val="17"/>
          <w:color w:val="auto"/>
        </w:rPr>
        <w:t>, which clarifies the accounting for</w:t>
      </w:r>
    </w:p>
    <w:p>
      <w:pPr>
        <w:sectPr>
          <w:pgSz w:w="11900" w:h="16838" w:orient="portrait"/>
          <w:cols w:equalWidth="0" w:num="1">
            <w:col w:w="9019"/>
          </w:cols>
          <w:pgMar w:left="1440" w:top="661"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0" w:name="page271"/>
    <w:bookmarkEnd w:id="27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35" w:lineRule="exact"/>
        <w:rPr>
          <w:sz w:val="20"/>
          <w:szCs w:val="20"/>
          <w:color w:val="auto"/>
        </w:rPr>
      </w:pPr>
    </w:p>
    <w:p>
      <w:pPr>
        <w:ind w:left="140" w:right="519"/>
        <w:spacing w:after="0" w:line="258" w:lineRule="auto"/>
        <w:rPr>
          <w:sz w:val="20"/>
          <w:szCs w:val="20"/>
          <w:color w:val="auto"/>
        </w:rPr>
      </w:pPr>
      <w:r>
        <w:rPr>
          <w:rFonts w:ascii="Times New Roman" w:cs="Times New Roman" w:eastAsia="Times New Roman" w:hAnsi="Times New Roman"/>
          <w:sz w:val="18"/>
          <w:szCs w:val="18"/>
          <w:color w:val="auto"/>
        </w:rPr>
        <w:t>implementation costs in cloud computing arrangements. ASU 2018-15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73" w:lineRule="exact"/>
        <w:rPr>
          <w:sz w:val="20"/>
          <w:szCs w:val="20"/>
          <w:color w:val="auto"/>
        </w:rPr>
      </w:pPr>
    </w:p>
    <w:p>
      <w:pPr>
        <w:ind w:left="140" w:right="1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Intangibles-Goodwill and Other (Topic 350):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Test for Goodwill Impairment</w:t>
      </w:r>
      <w:r>
        <w:rPr>
          <w:rFonts w:ascii="Times New Roman" w:cs="Times New Roman" w:eastAsia="Times New Roman" w:hAnsi="Times New Roman"/>
          <w:sz w:val="18"/>
          <w:szCs w:val="18"/>
          <w:color w:val="auto"/>
        </w:rPr>
        <w:t>, which removes Step 2 of the goodwill impairment test. A goodwill impairment will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119" w:lineRule="exact"/>
        <w:rPr>
          <w:sz w:val="20"/>
          <w:szCs w:val="20"/>
          <w:color w:val="auto"/>
        </w:rPr>
      </w:pPr>
    </w:p>
    <w:p>
      <w:pPr>
        <w:ind w:left="140" w:right="19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Subsequent to the issuance of ASU 2016-02, the FASB issued ASU Nos. 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xml:space="preserve">,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2018-11, Leases (Topic 842):</w:t>
      </w:r>
      <w:r>
        <w:rPr>
          <w:rFonts w:ascii="Times New Roman" w:cs="Times New Roman" w:eastAsia="Times New Roman" w:hAnsi="Times New Roman"/>
          <w:sz w:val="18"/>
          <w:szCs w:val="18"/>
          <w:i w:val="1"/>
          <w:iCs w:val="1"/>
          <w:color w:val="auto"/>
        </w:rPr>
        <w:t xml:space="preserve"> Targeted Improvements, </w:t>
      </w:r>
      <w:r>
        <w:rPr>
          <w:rFonts w:ascii="Times New Roman" w:cs="Times New Roman" w:eastAsia="Times New Roman" w:hAnsi="Times New Roman"/>
          <w:sz w:val="18"/>
          <w:szCs w:val="18"/>
          <w:color w:val="auto"/>
        </w:rPr>
        <w:t>and 2018-20,</w:t>
      </w:r>
      <w:r>
        <w:rPr>
          <w:rFonts w:ascii="Times New Roman" w:cs="Times New Roman" w:eastAsia="Times New Roman" w:hAnsi="Times New Roman"/>
          <w:sz w:val="18"/>
          <w:szCs w:val="18"/>
          <w:i w:val="1"/>
          <w:iCs w:val="1"/>
          <w:color w:val="auto"/>
        </w:rPr>
        <w:t xml:space="preserve"> Narrow-Scope Improvements for Lessors</w:t>
      </w:r>
      <w:r>
        <w:rPr>
          <w:rFonts w:ascii="Times New Roman" w:cs="Times New Roman" w:eastAsia="Times New Roman" w:hAnsi="Times New Roman"/>
          <w:sz w:val="18"/>
          <w:szCs w:val="18"/>
          <w:color w:val="auto"/>
        </w:rPr>
        <w:t>. These ASUs do not change the core principle of the guidance in ASU 2016-</w:t>
      </w:r>
    </w:p>
    <w:p>
      <w:pPr>
        <w:spacing w:after="0" w:line="3" w:lineRule="exact"/>
        <w:rPr>
          <w:sz w:val="20"/>
          <w:szCs w:val="20"/>
          <w:color w:val="auto"/>
        </w:rPr>
      </w:pPr>
    </w:p>
    <w:p>
      <w:pPr>
        <w:ind w:left="140" w:right="219" w:firstLine="4"/>
        <w:spacing w:after="0" w:line="260" w:lineRule="auto"/>
        <w:tabs>
          <w:tab w:leader="none" w:pos="4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these amendments are intended to clarify and improve operability of certain topics included within the lease standard.</w:t>
      </w:r>
    </w:p>
    <w:p>
      <w:pPr>
        <w:spacing w:after="0" w:line="73" w:lineRule="exact"/>
        <w:rPr>
          <w:sz w:val="20"/>
          <w:szCs w:val="20"/>
          <w:color w:val="auto"/>
        </w:rPr>
      </w:pPr>
    </w:p>
    <w:p>
      <w:pPr>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Topic 842 as of January 1, 2020 using the modified retrospective method for all existing leases. Upon adoption, the Company recognized its lease assets and lease liabilities measured at the present value of all future fixed lease payments, discounted using the Company’s incremental borrowing rate.</w:t>
      </w:r>
    </w:p>
    <w:p>
      <w:pPr>
        <w:spacing w:after="0" w:line="68" w:lineRule="exact"/>
        <w:rPr>
          <w:sz w:val="20"/>
          <w:szCs w:val="20"/>
          <w:color w:val="auto"/>
        </w:rPr>
      </w:pPr>
    </w:p>
    <w:p>
      <w:pPr>
        <w:ind w:left="14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elected the package of practical expedients as permitted under the transition guidance, which allows the Company: (1) to not reassess whether any existing contracts are leases or contain a lease; (2) 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w:t>
      </w:r>
    </w:p>
    <w:p>
      <w:pPr>
        <w:spacing w:after="0" w:line="75" w:lineRule="exact"/>
        <w:rPr>
          <w:sz w:val="20"/>
          <w:szCs w:val="20"/>
          <w:color w:val="auto"/>
        </w:rPr>
      </w:pPr>
    </w:p>
    <w:p>
      <w:pPr>
        <w:ind w:left="140" w:right="179" w:firstLine="324"/>
        <w:spacing w:after="0" w:line="266" w:lineRule="auto"/>
        <w:rPr>
          <w:sz w:val="20"/>
          <w:szCs w:val="20"/>
          <w:color w:val="auto"/>
        </w:rPr>
      </w:pPr>
      <w:r>
        <w:rPr>
          <w:rFonts w:ascii="Times New Roman" w:cs="Times New Roman" w:eastAsia="Times New Roman" w:hAnsi="Times New Roman"/>
          <w:sz w:val="18"/>
          <w:szCs w:val="18"/>
          <w:color w:val="auto"/>
        </w:rPr>
        <w:t>Upon adoption of Topic 842, the Company recognized right of use assets of $45,850 and lease liabilities of $47,666 calculated based on the present value of the remaining minimum lease payments as of the adoption date. Topic 842 did not have a material impact to the Company’s consolidated statement of operations (see Note 8).</w:t>
      </w:r>
    </w:p>
    <w:p>
      <w:pPr>
        <w:spacing w:after="0" w:line="66" w:lineRule="exact"/>
        <w:rPr>
          <w:sz w:val="20"/>
          <w:szCs w:val="20"/>
          <w:color w:val="auto"/>
        </w:rPr>
      </w:pPr>
    </w:p>
    <w:p>
      <w:pPr>
        <w:ind w:left="140" w:right="3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Current guidance requires the allowance for doubtful accounts to be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an incurred loss model, which considers past and current conditions. Topic 326 requires companies to use an expected loss model that also considers reasonable and supportable forecasts of future conditions. Additionally, Topic 326 requires the allowance for doubtful accounts balance (contra-asset) to be presented separately in the consolidated balance sheets. Topic 326 is effective for the Company for the annual period beginning after December 15, 2020, including interim periods within that annual period. The Company adopted ASU 2016-13 as of January 1, 2020 using the modified retrospective method of adoption. The adoption of the ASU did not have a material impact on the Company’s consolidated results of operations and financial position.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1" w:name="page272"/>
    <w:bookmarkEnd w:id="27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 (Continued)</w:t>
      </w:r>
    </w:p>
    <w:p>
      <w:pPr>
        <w:spacing w:after="0" w:line="133"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8"/>
          <w:szCs w:val="18"/>
          <w:color w:val="auto"/>
        </w:rPr>
        <w:t>. ASU 2018-13 modifies certain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and establishes new requirements related to fair value measurement. Additionally, the disclosure requirement to state the reasons for transfers between Level 1 and Level 2, the policy for timing transfers between levels, and the valuation process for Level 3 measurements have been removed. ASU 2018-13 is effective for the Company for the annual period beginning after December 15, 2019, including interim periods within that annual period. The Company adopted the ASU effective January 1, 2020. The adoption of this ASU did not have a material impact on the Company's consolidated results of operations and financial position.</w:t>
      </w:r>
    </w:p>
    <w:p>
      <w:pPr>
        <w:spacing w:after="0" w:line="77" w:lineRule="exact"/>
        <w:rPr>
          <w:sz w:val="20"/>
          <w:szCs w:val="20"/>
          <w:color w:val="auto"/>
        </w:rPr>
      </w:pPr>
    </w:p>
    <w:p>
      <w:pPr>
        <w:ind w:left="140" w:right="17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which is intended to simplify various aspects related to accounting for income taxes. ASU 2019-12 removes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exceptions to the general principles in Topic 740 and clarifies and amends existing guidance to improve consistent application. ASU 2019-12 is effective for the Company for the annual period beginning after December 15, 2021, including interim periods within that annual period. The Company adopted the ASU effective January 1, 2020. The adoption of this ASU did not have a material impact on the Company's consolidated results of operations and financial position.</w:t>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21" w:lineRule="exact"/>
        <w:rPr>
          <w:sz w:val="20"/>
          <w:szCs w:val="20"/>
          <w:color w:val="auto"/>
        </w:rPr>
      </w:pPr>
    </w:p>
    <w:p>
      <w:pPr>
        <w:ind w:left="140" w:right="37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117"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SELECT subscriptions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A prepaid annual recurring subscription that accounts (which are based on distinct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80"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Enterprise subscriptions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The Company also provides Enterprise subscription offerings which provide its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accounts with complete and unlimited global access to the Company's comprehensive portfolio of solutions. Enterprise License Subscriptions (“ELS”) provide access for a prepaid fee, which is based on the account’s usage of software in the preceding year, effectively a fee-certain consumption-based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540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2" w:name="page273"/>
    <w:bookmarkEnd w:id="27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35"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E365 subscriptions (“E365”), which were introduced during the fourth quarter of 2018, provide unrestricted access to the Company's comprehensive software portfolio, similar to ELS, however, the accounts are charged based upon daily usage. The daily usage fee includes a term license component, SELECT maintenance and support, and Success Plan services, which are designed to achieve business outcomes through more efficient and effective use of the Company’s software. E365 revenues are recognized based upon usage incurred by the account. Usage is defined as distinct user access on a daily basis. The term of E365 subscriptions aligns with calendar quarters and revenue is recognized based on actual usage.</w:t>
      </w:r>
    </w:p>
    <w:p>
      <w:pPr>
        <w:spacing w:after="0" w:line="77"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The Company provides annual, quarterly, and monthly term licenses for its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For usage-based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83" w:lineRule="exact"/>
        <w:rPr>
          <w:sz w:val="20"/>
          <w:szCs w:val="20"/>
          <w:color w:val="auto"/>
        </w:rPr>
      </w:pPr>
    </w:p>
    <w:p>
      <w:pPr>
        <w:jc w:val="both"/>
        <w:ind w:left="140" w:right="519" w:firstLine="324"/>
        <w:spacing w:after="0" w:line="289" w:lineRule="auto"/>
        <w:rPr>
          <w:sz w:val="20"/>
          <w:szCs w:val="20"/>
          <w:color w:val="auto"/>
        </w:rPr>
      </w:pPr>
      <w:r>
        <w:rPr>
          <w:rFonts w:ascii="Times New Roman" w:cs="Times New Roman" w:eastAsia="Times New Roman" w:hAnsi="Times New Roman"/>
          <w:sz w:val="17"/>
          <w:szCs w:val="17"/>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 as described below.</w:t>
      </w:r>
    </w:p>
    <w:p>
      <w:pPr>
        <w:spacing w:after="0" w:line="50" w:lineRule="exact"/>
        <w:rPr>
          <w:sz w:val="20"/>
          <w:szCs w:val="20"/>
          <w:color w:val="auto"/>
        </w:rPr>
      </w:pPr>
    </w:p>
    <w:p>
      <w:pPr>
        <w:ind w:left="140" w:right="2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121" w:lineRule="exact"/>
        <w:rPr>
          <w:sz w:val="20"/>
          <w:szCs w:val="20"/>
          <w:color w:val="auto"/>
        </w:rPr>
      </w:pPr>
    </w:p>
    <w:p>
      <w:pPr>
        <w:ind w:left="140" w:right="379" w:firstLine="324"/>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140" w:right="259" w:firstLine="324"/>
        <w:spacing w:after="0" w:line="255" w:lineRule="auto"/>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subscription-like, packaged offerings which are annually recurring in nature, and (ii) 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3" w:name="page274"/>
    <w:bookmarkEnd w:id="27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35"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end-users. Channel partners are authorized to promote the sale of an authorized set of Bentley products and subscriptions within an authorized geography under a Channel Partner Agreement.</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121" w:lineRule="exact"/>
        <w:rPr>
          <w:sz w:val="20"/>
          <w:szCs w:val="20"/>
          <w:color w:val="auto"/>
        </w:rPr>
      </w:pPr>
    </w:p>
    <w:p>
      <w:pPr>
        <w:ind w:left="140" w:right="259" w:firstLine="324"/>
        <w:spacing w:after="0" w:line="253"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82"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June 30, 2020, the Company has deferred $17,522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shd w:val="clear" w:color="auto" w:fill="CCEEFF"/>
          </w:tcPr>
          <w:p>
            <w:pPr>
              <w:spacing w:after="0"/>
              <w:rPr>
                <w:sz w:val="18"/>
                <w:szCs w:val="18"/>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186,456</w:t>
            </w:r>
          </w:p>
        </w:tc>
        <w:tc>
          <w:tcPr>
            <w:tcW w:w="40" w:type="dxa"/>
            <w:vAlign w:val="bottom"/>
          </w:tcPr>
          <w:p>
            <w:pPr>
              <w:spacing w:after="0"/>
              <w:rPr>
                <w:sz w:val="20"/>
                <w:szCs w:val="20"/>
                <w:color w:val="auto"/>
              </w:rPr>
            </w:pPr>
          </w:p>
        </w:tc>
      </w:tr>
    </w:tbl>
    <w:p>
      <w:pPr>
        <w:spacing w:after="0" w:line="179" w:lineRule="exact"/>
        <w:rPr>
          <w:sz w:val="20"/>
          <w:szCs w:val="20"/>
          <w:color w:val="auto"/>
        </w:rPr>
      </w:pPr>
    </w:p>
    <w:p>
      <w:pPr>
        <w:jc w:val="both"/>
        <w:ind w:left="140" w:right="3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2020,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Contract assets were not impaired as of June 30, 2020.</w:t>
      </w:r>
    </w:p>
    <w:p>
      <w:pPr>
        <w:spacing w:after="0" w:line="68" w:lineRule="exact"/>
        <w:rPr>
          <w:sz w:val="20"/>
          <w:szCs w:val="20"/>
          <w:color w:val="auto"/>
        </w:rPr>
      </w:pPr>
    </w:p>
    <w:p>
      <w:pPr>
        <w:ind w:left="140" w:right="579" w:firstLine="324"/>
        <w:spacing w:after="0" w:line="266"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68" w:lineRule="exact"/>
        <w:rPr>
          <w:sz w:val="20"/>
          <w:szCs w:val="20"/>
          <w:color w:val="auto"/>
        </w:rPr>
      </w:pPr>
    </w:p>
    <w:p>
      <w:pPr>
        <w:ind w:left="140" w:right="29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2020, $144,391 of revenue that was included in the December 31, 2019 deferred revenue balance was recognized. There were additional deferrals of $118,767, which were primarily related to new billings.</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540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4" w:name="page275"/>
    <w:bookmarkEnd w:id="27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140" w:right="159" w:firstLine="324"/>
        <w:spacing w:after="0" w:line="289" w:lineRule="auto"/>
        <w:rPr>
          <w:sz w:val="20"/>
          <w:szCs w:val="20"/>
          <w:color w:val="auto"/>
        </w:rPr>
      </w:pPr>
      <w:r>
        <w:rPr>
          <w:rFonts w:ascii="Times New Roman" w:cs="Times New Roman" w:eastAsia="Times New Roman" w:hAnsi="Times New Roman"/>
          <w:sz w:val="17"/>
          <w:szCs w:val="17"/>
          <w:color w:val="auto"/>
        </w:rPr>
        <w:t>The Company’s contracts with customers include amounts allocated to performance obligations that will be satisfied at a later date. As of June 30, 2020, amounts allocated to these remaining performance obligations are $186,456, of which the Company expects to recognize 96.6% over the next 12 months with the remaining amount thereafter.</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 subscriptions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132,339</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Enterprise license subscriptions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109,290</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80" w:type="dxa"/>
            <w:vAlign w:val="bottom"/>
            <w:shd w:val="clear" w:color="auto" w:fill="CCEEFF"/>
          </w:tcPr>
          <w:p>
            <w:pPr>
              <w:spacing w:after="0"/>
              <w:rPr>
                <w:sz w:val="18"/>
                <w:szCs w:val="18"/>
                <w:color w:val="auto"/>
              </w:rPr>
            </w:pPr>
          </w:p>
        </w:tc>
      </w:tr>
      <w:tr>
        <w:trPr>
          <w:trHeight w:val="210"/>
        </w:trPr>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Subscriptions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327,837</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Perpetual licenses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23,193</w:t>
            </w:r>
          </w:p>
        </w:tc>
        <w:tc>
          <w:tcPr>
            <w:tcW w:w="80" w:type="dxa"/>
            <w:vAlign w:val="bottom"/>
            <w:tcBorders>
              <w:bottom w:val="single" w:sz="8" w:color="CCEEFF"/>
            </w:tcBorders>
          </w:tcPr>
          <w:p>
            <w:pPr>
              <w:spacing w:after="0"/>
              <w:rPr>
                <w:sz w:val="18"/>
                <w:szCs w:val="18"/>
                <w:color w:val="auto"/>
              </w:rPr>
            </w:pPr>
          </w:p>
        </w:tc>
      </w:tr>
      <w:tr>
        <w:trPr>
          <w:trHeight w:val="210"/>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351,030</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8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Professional services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80" w:type="dxa"/>
            <w:vAlign w:val="bottom"/>
            <w:tcBorders>
              <w:bottom w:val="single" w:sz="8" w:color="CCEEFF"/>
            </w:tcBorders>
          </w:tcPr>
          <w:p>
            <w:pPr>
              <w:spacing w:after="0"/>
              <w:rPr>
                <w:sz w:val="18"/>
                <w:szCs w:val="18"/>
                <w:color w:val="auto"/>
              </w:rPr>
            </w:pPr>
          </w:p>
        </w:tc>
      </w:tr>
      <w:tr>
        <w:trPr>
          <w:trHeight w:val="209"/>
        </w:trPr>
        <w:tc>
          <w:tcPr>
            <w:tcW w:w="6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80" w:type="dxa"/>
            <w:vAlign w:val="bottom"/>
            <w:shd w:val="clear" w:color="auto" w:fill="CCEEFF"/>
          </w:tcPr>
          <w:p>
            <w:pPr>
              <w:spacing w:after="0"/>
              <w:rPr>
                <w:sz w:val="18"/>
                <w:szCs w:val="18"/>
                <w:color w:val="auto"/>
              </w:rPr>
            </w:pPr>
          </w:p>
        </w:tc>
      </w:tr>
      <w:tr>
        <w:trPr>
          <w:trHeight w:val="210"/>
        </w:trPr>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8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1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perpetual licenses and the term license component of subscriptions as revenue when either the licenses are delivered or at the start of the subscription term. For the six months ended June 30, 2019 and 2020, the Company recognized $143,742 and $160,270 of license related revenues, respectively, of which $119,274 and $137,077, respectively, was attributable to the term license component of the Company’s subscription based commercial offerings recorded in Subscriptions.</w:t>
      </w:r>
    </w:p>
    <w:p>
      <w:pPr>
        <w:spacing w:after="0" w:line="75" w:lineRule="exact"/>
        <w:rPr>
          <w:sz w:val="20"/>
          <w:szCs w:val="20"/>
          <w:color w:val="auto"/>
        </w:rPr>
      </w:pPr>
    </w:p>
    <w:p>
      <w:pPr>
        <w:ind w:left="140" w:right="299" w:firstLine="324"/>
        <w:spacing w:after="0" w:line="282" w:lineRule="auto"/>
        <w:rPr>
          <w:sz w:val="20"/>
          <w:szCs w:val="20"/>
          <w:color w:val="auto"/>
        </w:rPr>
      </w:pPr>
      <w:r>
        <w:rPr>
          <w:rFonts w:ascii="Times New Roman" w:cs="Times New Roman" w:eastAsia="Times New Roman" w:hAnsi="Times New Roman"/>
          <w:sz w:val="18"/>
          <w:szCs w:val="18"/>
          <w:color w:val="auto"/>
        </w:rPr>
        <w:t>The Company derived 7% and 8% of its total revenues through channel partners for the six months ended June 30, 2019 and 2020,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5" w:name="page276"/>
    <w:bookmarkEnd w:id="27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 (Continued)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Europe, the Middle East, and Africa </w:t>
            </w:r>
            <w:r>
              <w:rPr>
                <w:rFonts w:ascii="Times New Roman" w:cs="Times New Roman" w:eastAsia="Times New Roman" w:hAnsi="Times New Roman"/>
                <w:sz w:val="25"/>
                <w:szCs w:val="25"/>
                <w:color w:val="auto"/>
                <w:vertAlign w:val="superscript"/>
              </w:rPr>
              <w:t>(2)</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347,144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378,980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76" w:lineRule="exact"/>
        <w:rPr>
          <w:sz w:val="20"/>
          <w:szCs w:val="20"/>
          <w:color w:val="auto"/>
        </w:rPr>
      </w:pPr>
    </w:p>
    <w:p>
      <w:pPr>
        <w:ind w:left="460" w:right="199" w:hanging="316"/>
        <w:spacing w:after="0" w:line="282" w:lineRule="auto"/>
        <w:tabs>
          <w:tab w:leader="none" w:pos="4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 Revenue attributable to the United States totaled $142,795 and $159,201 for the six months ended June 30, 2019 and 2020, respectively.</w:t>
      </w:r>
    </w:p>
    <w:p>
      <w:pPr>
        <w:spacing w:after="0" w:line="53" w:lineRule="exact"/>
        <w:rPr>
          <w:rFonts w:ascii="Times New Roman" w:cs="Times New Roman" w:eastAsia="Times New Roman" w:hAnsi="Times New Roman"/>
          <w:sz w:val="18"/>
          <w:szCs w:val="18"/>
          <w:color w:val="auto"/>
        </w:rPr>
      </w:pPr>
    </w:p>
    <w:p>
      <w:pPr>
        <w:ind w:left="460" w:right="359" w:hanging="316"/>
        <w:spacing w:after="0" w:line="282" w:lineRule="auto"/>
        <w:tabs>
          <w:tab w:leader="none" w:pos="4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totaled $27,297 and $27,885 for the six months ended June 30, 2019 and 2020, respectively.</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21" w:lineRule="exact"/>
        <w:rPr>
          <w:sz w:val="20"/>
          <w:szCs w:val="20"/>
          <w:color w:val="auto"/>
        </w:rPr>
      </w:pPr>
    </w:p>
    <w:p>
      <w:pPr>
        <w:ind w:left="140" w:right="41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2019 and the six months ended June 30, 2020,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65"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22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r>
      <w:tr>
        <w:trPr>
          <w:trHeight w:val="117"/>
        </w:trPr>
        <w:tc>
          <w:tcPr>
            <w:tcW w:w="220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1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20" w:type="dxa"/>
            <w:vAlign w:val="bottom"/>
          </w:tcPr>
          <w:p>
            <w:pPr>
              <w:spacing w:after="0"/>
              <w:rPr>
                <w:sz w:val="10"/>
                <w:szCs w:val="10"/>
                <w:color w:val="auto"/>
              </w:rPr>
            </w:pPr>
          </w:p>
        </w:tc>
      </w:tr>
      <w:tr>
        <w:trPr>
          <w:trHeight w:val="149"/>
        </w:trPr>
        <w:tc>
          <w:tcPr>
            <w:tcW w:w="22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200" w:type="dxa"/>
            <w:vAlign w:val="bottom"/>
            <w:tcBorders>
              <w:bottom w:val="single" w:sz="8" w:color="CCEEFF"/>
            </w:tcBorders>
          </w:tcPr>
          <w:p>
            <w:pPr>
              <w:spacing w:after="0"/>
              <w:rPr>
                <w:sz w:val="15"/>
                <w:szCs w:val="15"/>
                <w:color w:val="auto"/>
              </w:rPr>
            </w:pPr>
          </w:p>
        </w:tc>
        <w:tc>
          <w:tcPr>
            <w:tcW w:w="4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acquisitions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626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Cash paid at closing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69,659</w:t>
            </w:r>
          </w:p>
        </w:tc>
        <w:tc>
          <w:tcPr>
            <w:tcW w:w="2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acquired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tcPr>
          <w:p>
            <w:pPr>
              <w:spacing w:after="0"/>
              <w:rPr>
                <w:sz w:val="18"/>
                <w:szCs w:val="18"/>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67,595</w:t>
            </w:r>
          </w:p>
        </w:tc>
        <w:tc>
          <w:tcPr>
            <w:tcW w:w="20" w:type="dxa"/>
            <w:vAlign w:val="bottom"/>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460" w:right="739" w:hanging="316"/>
        <w:spacing w:after="0" w:line="282" w:lineRule="auto"/>
        <w:tabs>
          <w:tab w:leader="none" w:pos="4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during the six months ended June 30, 2020, $3,413 was deposited into an escrow account to secure any potential indemnification and other obligations of the seller.</w:t>
      </w:r>
    </w:p>
    <w:p>
      <w:pPr>
        <w:spacing w:after="0" w:line="54" w:lineRule="exact"/>
        <w:rPr>
          <w:sz w:val="20"/>
          <w:szCs w:val="20"/>
          <w:color w:val="auto"/>
        </w:rPr>
      </w:pPr>
    </w:p>
    <w:p>
      <w:pPr>
        <w:ind w:left="140" w:right="4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the fair value of the contingent consideration related to acquisitions totaled $6,599, of which $5,100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$1,499 is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w:t>
      </w:r>
    </w:p>
    <w:p>
      <w:pPr>
        <w:spacing w:after="0" w:line="68"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2020, the fair value of the contingent consideration related to acquisitions totaled $5,761, of which $4,223 is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$1,538 is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w:t>
      </w:r>
    </w:p>
    <w:p>
      <w:pPr>
        <w:spacing w:after="0" w:line="68" w:lineRule="exact"/>
        <w:rPr>
          <w:sz w:val="20"/>
          <w:szCs w:val="20"/>
          <w:color w:val="auto"/>
        </w:rPr>
      </w:pPr>
    </w:p>
    <w:p>
      <w:pPr>
        <w:jc w:val="both"/>
        <w:ind w:left="140" w:right="5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current deferred payment obligations including contingent consideration for all acquisitions were $5,999 and $4,954, respectively and are included in </w:t>
      </w:r>
      <w:r>
        <w:rPr>
          <w:rFonts w:ascii="Times New Roman" w:cs="Times New Roman" w:eastAsia="Times New Roman" w:hAnsi="Times New Roman"/>
          <w:sz w:val="18"/>
          <w:szCs w:val="18"/>
          <w:i w:val="1"/>
          <w:iCs w:val="1"/>
          <w:color w:val="auto"/>
        </w:rPr>
        <w:t>Accruals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in the consolidated balance sheet</w:t>
      </w:r>
      <w:r>
        <w:rPr>
          <w:rFonts w:ascii="Times New Roman" w:cs="Times New Roman" w:eastAsia="Times New Roman" w:hAnsi="Times New Roman"/>
          <w:sz w:val="18"/>
          <w:szCs w:val="18"/>
          <w:i w:val="1"/>
          <w:iCs w:val="1"/>
          <w:color w:val="auto"/>
        </w:rPr>
        <w:t>.</w:t>
      </w:r>
    </w:p>
    <w:p>
      <w:pPr>
        <w:spacing w:after="0" w:line="68" w:lineRule="exact"/>
        <w:rPr>
          <w:sz w:val="20"/>
          <w:szCs w:val="20"/>
          <w:color w:val="auto"/>
        </w:rPr>
      </w:pPr>
    </w:p>
    <w:p>
      <w:pPr>
        <w:ind w:left="140" w:right="3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2019 and June 30, 2020, respectively, total long-term deferred payment obligations including contingent consideration for all acquisitions were $1,499 and $1,538 and are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6" w:name="page277"/>
    <w:bookmarkEnd w:id="27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35"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June 30, 2020, there is $891 due to the Company related to subsequent net working capital adjustments from a 2020 acquisition, which is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w:t>
      </w:r>
    </w:p>
    <w:p>
      <w:pPr>
        <w:spacing w:after="0" w:line="54" w:lineRule="exact"/>
        <w:rPr>
          <w:sz w:val="20"/>
          <w:szCs w:val="20"/>
          <w:color w:val="auto"/>
        </w:rPr>
      </w:pPr>
    </w:p>
    <w:p>
      <w:pPr>
        <w:ind w:left="140" w:right="179"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acquisition date. Independent valuations are obtained to support purchase price allocations when deemed appropriate.</w:t>
      </w:r>
    </w:p>
    <w:p>
      <w:pPr>
        <w:spacing w:after="0" w:line="72"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cost-build-up approach. The cost-build-up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year ended December 31, 2019 and the six months ended June 30, 2020, the fair value adjustments to reduce revenue were $553 and $195, respectively.</w:t>
      </w:r>
    </w:p>
    <w:p>
      <w:pPr>
        <w:spacing w:after="0" w:line="84" w:lineRule="exact"/>
        <w:rPr>
          <w:sz w:val="20"/>
          <w:szCs w:val="20"/>
          <w:color w:val="auto"/>
        </w:rPr>
      </w:pPr>
    </w:p>
    <w:p>
      <w:pPr>
        <w:ind w:left="140" w:right="259" w:firstLine="324"/>
        <w:spacing w:after="0" w:line="254" w:lineRule="auto"/>
        <w:rPr>
          <w:sz w:val="20"/>
          <w:szCs w:val="20"/>
          <w:color w:val="auto"/>
        </w:rPr>
      </w:pPr>
      <w:r>
        <w:rPr>
          <w:rFonts w:ascii="Times New Roman" w:cs="Times New Roman" w:eastAsia="Times New Roman" w:hAnsi="Times New Roman"/>
          <w:sz w:val="18"/>
          <w:szCs w:val="18"/>
          <w:color w:val="auto"/>
        </w:rPr>
        <w:t>The purchase accounting for two acquisitions completed during the year ended December 31, 2019 and three acquisitions completed during the six months ended June 30, 2020, are not yet completed. Identifiable assets acquired and liabilities assumed were provisionally recorded at their estimated fair values on the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80"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During the six months ended June 30, 2019 and 2020, the Company incurred acquisition and integration costs of $251 and $1,078,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in the Company’s consolidated statements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7" w:name="page278"/>
    <w:bookmarkEnd w:id="27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4: Acquisitions (Continued)</w:t>
      </w:r>
    </w:p>
    <w:p>
      <w:pPr>
        <w:spacing w:after="0" w:line="135" w:lineRule="exact"/>
        <w:rPr>
          <w:sz w:val="20"/>
          <w:szCs w:val="20"/>
          <w:color w:val="auto"/>
        </w:rPr>
      </w:pPr>
    </w:p>
    <w:p>
      <w:pPr>
        <w:ind w:left="140" w:right="579"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75"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Acquisitions Completed in</w:t>
            </w: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at closing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Deferred payment obligations to (from) sellers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7 years)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Trademarks (weighted average useful life of 5 and 9 years, respectively)</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55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cost-build-up approach.</w:t>
      </w:r>
    </w:p>
    <w:p>
      <w:pPr>
        <w:spacing w:after="0" w:line="117" w:lineRule="exact"/>
        <w:rPr>
          <w:sz w:val="20"/>
          <w:szCs w:val="20"/>
          <w:color w:val="auto"/>
        </w:rPr>
      </w:pPr>
    </w:p>
    <w:p>
      <w:pPr>
        <w:jc w:val="both"/>
        <w:ind w:left="140" w:right="299"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75" w:lineRule="exact"/>
        <w:rPr>
          <w:sz w:val="20"/>
          <w:szCs w:val="20"/>
          <w:color w:val="auto"/>
        </w:rPr>
      </w:pPr>
    </w:p>
    <w:p>
      <w:pPr>
        <w:jc w:val="both"/>
        <w:ind w:left="140" w:right="519" w:firstLine="324"/>
        <w:spacing w:after="0" w:line="266"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Of the goodwill recorded as of June 30, 2020, $23,267 is expected to be deductible for tax purposes.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8" w:name="page279"/>
    <w:bookmarkEnd w:id="27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 at December 31, 2019 and June 30, 2020:</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56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102,767</w:t>
            </w:r>
          </w:p>
        </w:tc>
      </w:tr>
      <w:tr>
        <w:trPr>
          <w:trHeight w:val="216"/>
        </w:trPr>
        <w:tc>
          <w:tcPr>
            <w:tcW w:w="4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(72,464)</w:t>
            </w: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30,303</w:t>
            </w:r>
          </w:p>
        </w:tc>
      </w:tr>
      <w:tr>
        <w:trPr>
          <w:trHeight w:val="20"/>
        </w:trPr>
        <w:tc>
          <w:tcPr>
            <w:tcW w:w="4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six months ended June 30, 2019 and 2020 was $4,799 and $4,926, respectively.</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2020 are as follows:</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480,065</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56,258</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r>
      <w:tr>
        <w:trPr>
          <w:trHeight w:val="21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2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2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529,759</w:t>
            </w:r>
          </w:p>
        </w:tc>
      </w:tr>
      <w:tr>
        <w:trPr>
          <w:trHeight w:val="20"/>
        </w:trPr>
        <w:tc>
          <w:tcPr>
            <w:tcW w:w="5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intangible assets other than goodwill as of December 31, 2019 and June 30, 2020 are as follows:</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23"/>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7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7"/>
        </w:trPr>
        <w:tc>
          <w:tcPr>
            <w:tcW w:w="20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Intangible assets subject</w:t>
            </w: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 amortization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Software and technology</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66,063</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67,222</w:t>
            </w:r>
          </w:p>
        </w:tc>
        <w:tc>
          <w:tcPr>
            <w:tcW w:w="380" w:type="dxa"/>
            <w:vAlign w:val="bottom"/>
            <w:gridSpan w:val="2"/>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(60,648)</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 years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3-10 years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10,767</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177,395</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(131,082)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189,457</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(139,449)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9" w:name="page280"/>
    <w:bookmarkEnd w:id="27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 (Continued)</w:t>
      </w:r>
    </w:p>
    <w:p>
      <w:pPr>
        <w:spacing w:after="0" w:line="135" w:lineRule="exact"/>
        <w:rPr>
          <w:sz w:val="20"/>
          <w:szCs w:val="20"/>
          <w:color w:val="auto"/>
        </w:rPr>
      </w:pPr>
    </w:p>
    <w:p>
      <w:pPr>
        <w:ind w:left="140" w:right="499" w:firstLine="324"/>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 the six months ended June 30, 2019 and 2020 was reflected in our consolidated statements of operations as follows:</w:t>
      </w:r>
    </w:p>
    <w:p>
      <w:pPr>
        <w:spacing w:after="0" w:line="61"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-3175</wp:posOffset>
            </wp:positionV>
            <wp:extent cx="89979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8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2,161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7,115</w:t>
            </w:r>
          </w:p>
        </w:tc>
      </w:tr>
      <w:tr>
        <w:trPr>
          <w:trHeight w:val="209"/>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9,276</w:t>
            </w:r>
          </w:p>
        </w:tc>
      </w:tr>
      <w:tr>
        <w:trPr>
          <w:trHeight w:val="20"/>
        </w:trPr>
        <w:tc>
          <w:tcPr>
            <w:tcW w:w="5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21" w:lineRule="exact"/>
        <w:rPr>
          <w:sz w:val="20"/>
          <w:szCs w:val="20"/>
          <w:color w:val="auto"/>
        </w:rPr>
      </w:pPr>
    </w:p>
    <w:p>
      <w:pPr>
        <w:ind w:left="140" w:right="399" w:firstLine="324"/>
        <w:spacing w:after="0" w:line="258" w:lineRule="auto"/>
        <w:rPr>
          <w:sz w:val="20"/>
          <w:szCs w:val="20"/>
          <w:color w:val="auto"/>
        </w:rPr>
      </w:pPr>
      <w:r>
        <w:rPr>
          <w:rFonts w:ascii="Times New Roman" w:cs="Times New Roman" w:eastAsia="Times New Roman" w:hAnsi="Times New Roman"/>
          <w:sz w:val="18"/>
          <w:szCs w:val="18"/>
          <w:color w:val="auto"/>
        </w:rPr>
        <w:t>In September 2019, the Company and Topcon Positioning Systems, Inc. formed Digital Construction Works, Inc. (“DCW”), a joint venture which operates as a digital integrator of software and cloud services for the construction industry. DCW’s focus is to transform the construction industry from its legacy document-centric paradigm by simplifying and enabling digital automated workflows and processes, technology integration, and digital twinning services for infrastructure.</w:t>
      </w:r>
    </w:p>
    <w:p>
      <w:pPr>
        <w:spacing w:after="0" w:line="75" w:lineRule="exact"/>
        <w:rPr>
          <w:sz w:val="20"/>
          <w:szCs w:val="20"/>
          <w:color w:val="auto"/>
        </w:rPr>
      </w:pPr>
    </w:p>
    <w:p>
      <w:pPr>
        <w:ind w:left="140" w:right="199" w:firstLine="324"/>
        <w:spacing w:after="0" w:line="256" w:lineRule="auto"/>
        <w:rPr>
          <w:sz w:val="20"/>
          <w:szCs w:val="20"/>
          <w:color w:val="auto"/>
        </w:rPr>
      </w:pPr>
      <w:r>
        <w:rPr>
          <w:rFonts w:ascii="Times New Roman" w:cs="Times New Roman" w:eastAsia="Times New Roman" w:hAnsi="Times New Roman"/>
          <w:sz w:val="18"/>
          <w:szCs w:val="18"/>
          <w:color w:val="auto"/>
        </w:rPr>
        <w:t>The Company and Topcon each have a 50% ownership in DCW. The Company applies the equity method of accounting for its investment in DCW. Under the equity method, the Company recorded its initial investment in the joint venture at cost and subsequently adjusts that investment by the Company’s proportional share of income or losses in DCW. As of December 31, 2019 and June 30, 2020, the aggregate carrying amount of the Company’s investment in the joint venture was $1,725 and $859, respectively. The Company tests this investment for impairment whenever circumstances indicate that the carrying value of the investment may not be recoverable.</w:t>
      </w:r>
    </w:p>
    <w:p>
      <w:pPr>
        <w:spacing w:after="0" w:line="77" w:lineRule="exact"/>
        <w:rPr>
          <w:sz w:val="20"/>
          <w:szCs w:val="20"/>
          <w:color w:val="auto"/>
        </w:rPr>
      </w:pPr>
    </w:p>
    <w:p>
      <w:pPr>
        <w:ind w:left="140" w:right="339" w:firstLine="324"/>
        <w:spacing w:after="0" w:line="267" w:lineRule="auto"/>
        <w:rPr>
          <w:sz w:val="20"/>
          <w:szCs w:val="20"/>
          <w:color w:val="auto"/>
        </w:rPr>
      </w:pPr>
      <w:r>
        <w:rPr>
          <w:rFonts w:ascii="Times New Roman" w:cs="Times New Roman" w:eastAsia="Times New Roman" w:hAnsi="Times New Roman"/>
          <w:sz w:val="18"/>
          <w:szCs w:val="18"/>
          <w:color w:val="auto"/>
        </w:rPr>
        <w:t xml:space="preserve">Pursuant to ASC 850-10-20,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the Company has determined that DCW is a related party. For the six months ended June 30, 2020, transactions between the Company and DCW were immaterial to the Company’s consolidated financial statements.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cars, and the Company's finance leases consist of office equipment. Finance leases are not material for the periods presented. The Company's leases have remaining terms of less than one year to 7.3 years, some of which include one or more options to renew, with renewal terms of up to six years and some of which include options to terminate the leases within the next four years.</w:t>
      </w:r>
    </w:p>
    <w:p>
      <w:pPr>
        <w:spacing w:after="0" w:line="72"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For contracts with lease and non-lease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right-of-use asset or lease liability for short-term leases (leases with a term of twelve months or less). Short-term leases are recognized in the consolidated statement of operations on a straight-line basis over the lease term. Short-term lease expense was not material for the periods presented.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0" w:name="page281"/>
    <w:bookmarkEnd w:id="28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135" w:lineRule="exact"/>
        <w:rPr>
          <w:sz w:val="20"/>
          <w:szCs w:val="20"/>
          <w:color w:val="auto"/>
        </w:rPr>
      </w:pPr>
    </w:p>
    <w:p>
      <w:pPr>
        <w:ind w:left="14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 of operations for the six months ended June 30, 2020 were as follows: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-146050</wp:posOffset>
            </wp:positionV>
            <wp:extent cx="5528945" cy="14605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528945" cy="1460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4445</wp:posOffset>
            </wp:positionV>
            <wp:extent cx="5528945" cy="13716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5528945"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116205</wp:posOffset>
            </wp:positionV>
            <wp:extent cx="138874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Six Months</w:t>
      </w:r>
    </w:p>
    <w:p>
      <w:pPr>
        <w:jc w:val="center"/>
        <w:ind w:right="145"/>
        <w:spacing w:after="0" w:line="229" w:lineRule="auto"/>
        <w:rPr>
          <w:sz w:val="20"/>
          <w:szCs w:val="20"/>
          <w:color w:val="auto"/>
        </w:rPr>
      </w:pPr>
      <w:r>
        <w:rPr>
          <w:rFonts w:ascii="Times New Roman" w:cs="Times New Roman" w:eastAsia="Times New Roman" w:hAnsi="Times New Roman"/>
          <w:sz w:val="14"/>
          <w:szCs w:val="14"/>
          <w:b w:val="1"/>
          <w:bCs w:val="1"/>
          <w:color w:val="auto"/>
        </w:rPr>
        <w:t>Ended</w:t>
      </w:r>
    </w:p>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June 30, 2020</w:t>
      </w:r>
    </w:p>
    <w:p>
      <w:pPr>
        <w:spacing w:after="0" w:line="9" w:lineRule="exact"/>
        <w:rPr>
          <w:sz w:val="20"/>
          <w:szCs w:val="20"/>
          <w:color w:val="auto"/>
        </w:rPr>
      </w:pPr>
    </w:p>
    <w:p>
      <w:pPr>
        <w:ind w:left="514" w:hanging="514"/>
        <w:spacing w:after="0"/>
        <w:tabs>
          <w:tab w:leader="none" w:pos="51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8,859</w:t>
      </w:r>
    </w:p>
    <w:p>
      <w:pPr>
        <w:spacing w:after="0" w:line="7" w:lineRule="exact"/>
        <w:rPr>
          <w:rFonts w:ascii="Times New Roman" w:cs="Times New Roman" w:eastAsia="Times New Roman" w:hAnsi="Times New Roman"/>
          <w:sz w:val="18"/>
          <w:szCs w:val="18"/>
          <w:color w:val="auto"/>
        </w:rPr>
      </w:pPr>
    </w:p>
    <w:p>
      <w:pPr>
        <w:ind w:left="5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1,882</w:t>
      </w:r>
    </w:p>
    <w:p>
      <w:pPr>
        <w:spacing w:after="0" w:line="9" w:lineRule="exact"/>
        <w:rPr>
          <w:rFonts w:ascii="Times New Roman" w:cs="Times New Roman" w:eastAsia="Times New Roman" w:hAnsi="Times New Roman"/>
          <w:sz w:val="18"/>
          <w:szCs w:val="18"/>
          <w:color w:val="auto"/>
        </w:rPr>
      </w:pPr>
    </w:p>
    <w:p>
      <w:pPr>
        <w:ind w:left="8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1722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434" w:hanging="434"/>
        <w:spacing w:after="0"/>
        <w:tabs>
          <w:tab w:leader="none" w:pos="43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1722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61722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6" w:space="720"/>
            <w:col w:w="1133"/>
          </w:cols>
          <w:pgMar w:left="1440" w:top="661" w:right="1440" w:bottom="1440" w:gutter="0" w:footer="0" w:header="0"/>
          <w:type w:val="continuous"/>
        </w:sectPr>
      </w:pPr>
    </w:p>
    <w:p>
      <w:pPr>
        <w:spacing w:after="0" w:line="61" w:lineRule="exact"/>
        <w:rPr>
          <w:sz w:val="20"/>
          <w:szCs w:val="20"/>
          <w:color w:val="auto"/>
        </w:rPr>
      </w:pPr>
    </w:p>
    <w:p>
      <w:pPr>
        <w:ind w:left="460" w:right="379" w:hanging="316"/>
        <w:spacing w:after="0" w:line="282" w:lineRule="auto"/>
        <w:tabs>
          <w:tab w:leader="none" w:pos="4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rent cost related to operating leases for office facilities of $8,471 for the six months ended June 30, 2020.</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information related to leases for the six months ended June 30, 2020 was as follows:</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6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2020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439"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additional operating lease minimum lease payments of $213 for executed leases that have not yet commenced, primarily for office locations.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81" w:name="page282"/>
    <w:bookmarkEnd w:id="28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8: Leases (Continued)</w:t>
      </w:r>
    </w:p>
    <w:p>
      <w:pPr>
        <w:spacing w:after="0" w:line="135"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Total financing lease liabilities as of June 30, 2020 were $354. Supplemental balance sheet information related to financing leases as of June 30, 2020 are as follows:</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7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73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2019, under the prior lease standard (Topic 840), future minimum lease payments under noncancellable operating leases are as follows:</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Services Subscription deposits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benefits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Due to customers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hosting costs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facility costs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82" w:name="page283"/>
    <w:bookmarkEnd w:id="28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10: Long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2019 and June 30, 2020:</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24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credit facility:</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secured revolver</w:t>
            </w:r>
          </w:p>
        </w:tc>
        <w:tc>
          <w:tcPr>
            <w:tcW w:w="25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233,750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207,000</w:t>
            </w: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233,750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207,000</w:t>
            </w:r>
          </w:p>
        </w:tc>
      </w:tr>
      <w:tr>
        <w:trPr>
          <w:trHeight w:val="20"/>
        </w:trPr>
        <w:tc>
          <w:tcPr>
            <w:tcW w:w="4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40" w:right="43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Bank Credit Facility —</w:t>
      </w:r>
      <w:r>
        <w:rPr>
          <w:rFonts w:ascii="Times New Roman" w:cs="Times New Roman" w:eastAsia="Times New Roman" w:hAnsi="Times New Roman"/>
          <w:sz w:val="18"/>
          <w:szCs w:val="18"/>
          <w:color w:val="auto"/>
        </w:rPr>
        <w:t>On December 19, 2017, the Company entered into an amended and restated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“Credit Facility”), which matures on December 18, 2022. Upon entry into the Credit Facility, the Company obtained a $500,000 senior secured revolving facility and refinanced all indebtedness outstanding under its prior facility.</w:t>
      </w:r>
    </w:p>
    <w:p>
      <w:pPr>
        <w:spacing w:after="0" w:line="72" w:lineRule="exact"/>
        <w:rPr>
          <w:sz w:val="20"/>
          <w:szCs w:val="20"/>
          <w:color w:val="auto"/>
        </w:rPr>
      </w:pPr>
    </w:p>
    <w:p>
      <w:pPr>
        <w:ind w:left="140" w:right="27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multi-currency swing-line sub-facility and a $100,000 incremental "accordion" sub-facility. The Company had $546 and $150 of letters of credit and surety bonds outstanding as of December 31, 2019 and June 30, 2020, respectively. As of December 31, 2019 and June 30, 2020, the Company had $265,704 and $292,850 available under the Credit Facility.</w:t>
      </w:r>
    </w:p>
    <w:p>
      <w:pPr>
        <w:spacing w:after="0" w:line="75"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non-Euro currency interest rate elections. Interest on the Euro currency borrowings is at the one-month London Interbank Offered Rate (“LIBOR”) plus a spread ranging from 100 basis points (“bps”) to 225 bps as determined by the Company’s net leverage ratio. Under the non-Euro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81" w:lineRule="exact"/>
        <w:rPr>
          <w:sz w:val="20"/>
          <w:szCs w:val="20"/>
          <w:color w:val="auto"/>
        </w:rPr>
      </w:pPr>
    </w:p>
    <w:p>
      <w:pPr>
        <w:ind w:left="140" w:right="239"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At December 31, 2019 and June 30, 2020, the Company was in compliance with all covenants in its debt agreements.</w:t>
      </w:r>
    </w:p>
    <w:p>
      <w:pPr>
        <w:spacing w:after="0" w:line="75"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At June 30, 2020, the fair value of the swap was $4,174.</w:t>
      </w:r>
    </w:p>
    <w:p>
      <w:pPr>
        <w:spacing w:after="0" w:line="81" w:lineRule="exact"/>
        <w:rPr>
          <w:sz w:val="20"/>
          <w:szCs w:val="20"/>
          <w:color w:val="auto"/>
        </w:rPr>
      </w:pPr>
    </w:p>
    <w:p>
      <w:pPr>
        <w:ind w:left="140" w:right="319"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and 2020, the weighted average interest rate under the Credit Facility was 3.73% and 2.18%, respectively. There was no accrued interest or fees as of December 31, 2019. As of June 30, 2020, accrued interest and fees was $33. Interest expense was $4,600 and $2,544 for the six months ended June 30, 2019 and 2020, respectively.</w:t>
      </w:r>
    </w:p>
    <w:p>
      <w:pPr>
        <w:spacing w:after="0" w:line="72" w:lineRule="exact"/>
        <w:rPr>
          <w:sz w:val="20"/>
          <w:szCs w:val="20"/>
          <w:color w:val="auto"/>
        </w:rPr>
      </w:pPr>
    </w:p>
    <w:p>
      <w:pPr>
        <w:ind w:left="140" w:right="159" w:firstLine="324"/>
        <w:spacing w:after="0" w:line="282" w:lineRule="auto"/>
        <w:rPr>
          <w:sz w:val="20"/>
          <w:szCs w:val="20"/>
          <w:color w:val="auto"/>
        </w:rPr>
      </w:pPr>
      <w:r>
        <w:rPr>
          <w:rFonts w:ascii="Times New Roman" w:cs="Times New Roman" w:eastAsia="Times New Roman" w:hAnsi="Times New Roman"/>
          <w:sz w:val="18"/>
          <w:szCs w:val="18"/>
          <w:color w:val="auto"/>
        </w:rPr>
        <w:t>In addition, interest expense includes amortization of deferred financing costs of $277 for the six months ended June 30, 2019 and 2020.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3" w:name="page284"/>
    <w:bookmarkEnd w:id="28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10: Long-Term Debt (Continued)</w:t>
      </w:r>
    </w:p>
    <w:p>
      <w:pPr>
        <w:spacing w:after="0" w:line="131" w:lineRule="exact"/>
        <w:rPr>
          <w:sz w:val="20"/>
          <w:szCs w:val="20"/>
          <w:color w:val="auto"/>
        </w:rPr>
      </w:pPr>
    </w:p>
    <w:p>
      <w:pPr>
        <w:ind w:left="140" w:right="2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Interest expense related to other obligations was $144 and $25 for the six months ended June 30, 2019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respectively.</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1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color w:val="auto"/>
        </w:rPr>
        <w:t>The Company has an incentive compensation program under which up to 20% of the Company’s adjusted operating profits, as defined in the plan agreement and before deductions for such plan payments, may be paid to plan participants in the form of cash bonuses, subject to approval by the Company’s board of directors and certain limitations imposed by the Company’s Credit Facility. The plan permits the deduction of certain holdback amounts from the plan’s pool, from which amounts can then be allocated to fund items including equity and/or cash incentive compensation for non-plan participants and participant charitable contributions. During the six months ended June 30, 2019 and 2020, the incentive compensation, including cash payments and deferred compensation to plan participants, recognized under this plan (net of all applicable holdbacks) was $13,639 and $16,564, respectively.</w:t>
      </w: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ind w:left="140" w:right="259"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a qualified 401(k) profit sharing plan (the Plan) for the benefit of substantially all U.S.-based full-time colleagues. The Company may make discretionary profit-sharing contributions to the Plan up to a maximum of 5% of “qualified cash compensation” for each eligible participating colleague. Non-discretionary (matching) 401(k) contributions to the Plan, for full-time U.S. colleagues, were $1,843 and $1,950, for the six months ended June 30, 2019 and 2020, respectively. The Company also maintains various retirement benefit plans (primarily defined contribution plans) for colleagues of its international subsidiaries. Contributions to these plans were $4,075 and $3,764, for the six months ended June 30, 2019 and 2020, respectively.</w:t>
      </w:r>
    </w:p>
    <w:p>
      <w:pPr>
        <w:spacing w:after="0" w:line="81" w:lineRule="exact"/>
        <w:rPr>
          <w:sz w:val="20"/>
          <w:szCs w:val="20"/>
          <w:color w:val="auto"/>
        </w:rPr>
      </w:pPr>
    </w:p>
    <w:p>
      <w:pPr>
        <w:ind w:left="14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(the “DCP”), under which certain officers and key colleagues may elect to defer the receipt of all or a portion of their bonus compensation. In addition, the Company may make discretionary awards under the DCP on behalf of the participants. Elective participant deferrals and discretionary Company awards are required to be in the form of phantom shares of the Company’s Class B Non-Voting Common Stock (“Class B Common Stock”), which are valued for tax and accounting purposes in the same manner as actual shares of Class B Common Stock. All DCP distributions to current colleague participants are made in the form of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six months ended June 30, 2019 and 2020.</w:t>
      </w:r>
    </w:p>
    <w:p>
      <w:pPr>
        <w:spacing w:after="0" w:line="86"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Amounts in the DCP attributable to certain non-colleague participants are settled in cash and are classified as liabilities which are marked to market at the end of each reporting period. The total liability related to the DCP for non-colleague participants was $2,544 and $2,250 as of December 31, 2019 and June 30, 2020,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compensation (income) expense related to the DCP recorded during the six months ended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June 30, 2019 and 2020, respectively:</w:t>
      </w:r>
    </w:p>
    <w:p>
      <w:pPr>
        <w:spacing w:after="0" w:line="106"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3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60" w:type="dxa"/>
        <w:tblCellMar>
          <w:top w:w="0" w:type="dxa"/>
          <w:left w:w="0" w:type="dxa"/>
          <w:bottom w:w="0" w:type="dxa"/>
          <w:right w:w="0" w:type="dxa"/>
        </w:tblCellMar>
      </w:tblPr>
      <w:tr>
        <w:trPr>
          <w:trHeight w:val="142"/>
        </w:trPr>
        <w:tc>
          <w:tcPr>
            <w:tcW w:w="5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DCP related compensation (income) expense</w:t>
            </w:r>
          </w:p>
        </w:tc>
        <w:tc>
          <w:tcPr>
            <w:tcW w:w="2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4" w:name="page285"/>
    <w:bookmarkEnd w:id="28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117" w:lineRule="exact"/>
        <w:rPr>
          <w:sz w:val="20"/>
          <w:szCs w:val="20"/>
          <w:color w:val="auto"/>
        </w:rPr>
      </w:pPr>
    </w:p>
    <w:p>
      <w:pPr>
        <w:ind w:left="140" w:right="219"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Authorized Common Shares—</w:t>
      </w:r>
      <w:r>
        <w:rPr>
          <w:rFonts w:ascii="Times New Roman" w:cs="Times New Roman" w:eastAsia="Times New Roman" w:hAnsi="Times New Roman"/>
          <w:sz w:val="18"/>
          <w:szCs w:val="18"/>
          <w:color w:val="auto"/>
        </w:rPr>
        <w:t>The Company amended and restated its Certificate of Incorporation on April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to authorize 320,000,000 shares of Class A Voting Common Stock (“Class A Common Stock”) and 600,000,000 shares of Class B Common Stock. As of December 31, 2019 and June 30, 2020, outstanding shares of Class A Common Stock totaled 11,601,757 and outstanding shares of Class B Common Stock totaled 243,241,192 and 247,607,598, respectively.</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121" w:lineRule="exact"/>
        <w:rPr>
          <w:sz w:val="20"/>
          <w:szCs w:val="20"/>
          <w:color w:val="auto"/>
        </w:rPr>
      </w:pPr>
    </w:p>
    <w:p>
      <w:pPr>
        <w:ind w:left="140" w:right="339" w:firstLine="324"/>
        <w:spacing w:after="0" w:line="256"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79" w:lineRule="exact"/>
        <w:rPr>
          <w:sz w:val="20"/>
          <w:szCs w:val="20"/>
          <w:color w:val="auto"/>
        </w:rPr>
      </w:pPr>
    </w:p>
    <w:p>
      <w:pPr>
        <w:jc w:val="both"/>
        <w:ind w:left="140" w:right="159" w:firstLine="324"/>
        <w:spacing w:after="0" w:line="261" w:lineRule="auto"/>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pre-initial public offering (“IPO”) right of first refusal on any sale of the Company and a post-IPO right to participate in any sale process the Company may undertake.</w:t>
      </w:r>
    </w:p>
    <w:p>
      <w:pPr>
        <w:spacing w:after="0" w:line="72" w:lineRule="exact"/>
        <w:rPr>
          <w:sz w:val="20"/>
          <w:szCs w:val="20"/>
          <w:color w:val="auto"/>
        </w:rPr>
      </w:pPr>
    </w:p>
    <w:p>
      <w:pPr>
        <w:ind w:left="140" w:right="279" w:firstLine="324"/>
        <w:spacing w:after="0" w:line="261"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72"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the investor purchased 791,873 shares under the Common Stock Purchase Agreement, with 622,873 of such shares having been repurchased by the Company and re-sold to the investor for consideration of $4,510 and 169,000 shares acquired directly by the investor for consideration of $1,224.</w:t>
      </w:r>
    </w:p>
    <w:p>
      <w:pPr>
        <w:spacing w:after="0" w:line="68" w:lineRule="exact"/>
        <w:rPr>
          <w:sz w:val="20"/>
          <w:szCs w:val="20"/>
          <w:color w:val="auto"/>
        </w:rPr>
      </w:pPr>
    </w:p>
    <w:p>
      <w:pPr>
        <w:ind w:left="140" w:right="25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2020, the investor purchased 4,574,567 shares under the Common Stock Purchase Agreement, with 3,769,346 of such shares having been repurchased by the Company and re-sold to the investor for consideration of $58,349 and 805,053 shares acquired directly by the investor for consideration of $12,462.</w:t>
      </w:r>
    </w:p>
    <w:p>
      <w:pPr>
        <w:spacing w:after="0" w:line="68"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2019, the Company issued net 2,657,027 shares of Class B Common Stock to colleagues who exercised their stock options. Of the total options exercised for 3,805,781 shares, 916,965 shares were issued for cash totaling $2,192, and the remaining options for 2,888,816 shares were exercised on a cashless basis, and accordingly, 1,148,754 shares were sold back to the Company to pay for the cost of the options as well as applicable income tax withholdings of $2,161. During the six months ended June 30, 2019, the Company paid $3,149 for 401,352 shares sold back to the Company upon exercise of the Put and Call provisions under the amended option plan (see Note 15).</w:t>
      </w:r>
    </w:p>
    <w:p>
      <w:pPr>
        <w:spacing w:after="0" w:line="81" w:lineRule="exact"/>
        <w:rPr>
          <w:sz w:val="20"/>
          <w:szCs w:val="20"/>
          <w:color w:val="auto"/>
        </w:rPr>
      </w:pPr>
    </w:p>
    <w:p>
      <w:pPr>
        <w:ind w:left="14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2020, the Company issued net 2,184,628 shares of Class B Common Stock to colleagues who exercised their stock options. Of the total options exercised for 3,410,554 shares, 566,362 shares were issued for cash totaling $2,237, and the remaining options for 2,844,192 shares were exercised on a cashless basis, and accordingly, 1,225,926 shares were sold back to the Company to pay for the cost of the options as well as applicable income tax withholdings of $3,064. During the six months ended June 30, 2020, the Company paid $1,454 for 128,176 shares sold back to the Company upon exercise of the Put and Call provisions under the amended option plan (see Note 15).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5" w:name="page286"/>
    <w:bookmarkEnd w:id="28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13: Common Stock (Continued)</w:t>
      </w:r>
    </w:p>
    <w:p>
      <w:pPr>
        <w:spacing w:after="0" w:line="135" w:lineRule="exact"/>
        <w:rPr>
          <w:sz w:val="20"/>
          <w:szCs w:val="20"/>
          <w:color w:val="auto"/>
        </w:rPr>
      </w:pPr>
    </w:p>
    <w:p>
      <w:pPr>
        <w:ind w:left="140" w:right="319"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issued 2,230,430 and 2,959,731, respectively, of shares of Class B Common Stock to DCP participants for their distribution. The distribution in shares for the six months ended June 30, 2019 totaled 2,907,630 of which 677,200 shares were sold back to the Company to pay for the cost of applicable income tax withholding of $4,953. The distribution in shares for the six months ended June 30, 2020 totaled 3,137,961 shares of which 178,230 shares were sold back to the Company in the same period to pay for applicable income tax withholdings of $1,830.</w:t>
      </w:r>
    </w:p>
    <w:p>
      <w:pPr>
        <w:spacing w:after="0" w:line="79" w:lineRule="exact"/>
        <w:rPr>
          <w:sz w:val="20"/>
          <w:szCs w:val="20"/>
          <w:color w:val="auto"/>
        </w:rPr>
      </w:pPr>
    </w:p>
    <w:p>
      <w:pPr>
        <w:ind w:left="140" w:right="31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and 2020, the Company did not award Class B Common Stock in conjunction with profit sharing plan contributions. During the six months ended June 30, 2019 and 2020, the Company repurchased 160,963 and 385,568 shares from its profit sharing plan for $1,213 and $4,428, respectively.</w:t>
      </w:r>
    </w:p>
    <w:p>
      <w:pPr>
        <w:spacing w:after="0" w:line="172"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Selected Terms of Class B Common Stock—</w:t>
      </w:r>
      <w:r>
        <w:rPr>
          <w:rFonts w:ascii="Times New Roman" w:cs="Times New Roman" w:eastAsia="Times New Roman" w:hAnsi="Times New Roman"/>
          <w:sz w:val="18"/>
          <w:szCs w:val="18"/>
          <w:color w:val="auto"/>
        </w:rPr>
        <w:t>Pursuant to the terms of the Company’s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in effect for the periods reported, each share of Class B Common Stock has the same rights and privileges as each share of Class A Common Stock, except that the holders of outstanding shares of Class B Common Stock do not have any right to vote on, or consent with respect to, any matters to be voted on or consented to by the stockholders of the Company except as required by law, and the shares of Class B Common Stock are not included in determining the number of shares voting or entitled to vote on any such matters. Each outstanding share of Class B Common Stock may be converted into one share of Class A Common Stock upon the determination of the Company’s board of directors. Additionally, absent a conversion by the board of directors, upon an IPO by the Company, each outstanding share of Class B Common Stock may be automatically converted into the class of common stock being offered.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declared cash dividends during the periods presented as follows:</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4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2020:</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0" w:type="dxa"/>
            <w:vAlign w:val="bottom"/>
            <w:gridSpan w:val="2"/>
          </w:tcPr>
          <w:p>
            <w:pPr>
              <w:jc w:val="right"/>
              <w:ind w:right="2296"/>
              <w:spacing w:after="0"/>
              <w:rPr>
                <w:sz w:val="20"/>
                <w:szCs w:val="20"/>
                <w:color w:val="auto"/>
              </w:rPr>
            </w:pPr>
            <w:r>
              <w:rPr>
                <w:rFonts w:ascii="Times New Roman" w:cs="Times New Roman" w:eastAsia="Times New Roman" w:hAnsi="Times New Roman"/>
                <w:sz w:val="18"/>
                <w:szCs w:val="18"/>
                <w:color w:val="auto"/>
              </w:rPr>
              <w:t>F-69</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286" w:name="page287"/>
    <w:bookmarkEnd w:id="28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1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Actuarial (Loss)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60" w:type="dxa"/>
            <w:vAlign w:val="bottom"/>
          </w:tcPr>
          <w:p>
            <w:pPr>
              <w:spacing w:after="0"/>
              <w:rPr>
                <w:sz w:val="12"/>
                <w:szCs w:val="12"/>
                <w:color w:val="auto"/>
              </w:rPr>
            </w:pPr>
          </w:p>
        </w:tc>
        <w:tc>
          <w:tcPr>
            <w:tcW w:w="7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Retirement Plan</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(29,414)</w:t>
            </w:r>
          </w:p>
        </w:tc>
        <w:tc>
          <w:tcPr>
            <w:tcW w:w="0" w:type="dxa"/>
            <w:vAlign w:val="bottom"/>
          </w:tcPr>
          <w:p>
            <w:pPr>
              <w:spacing w:after="0"/>
              <w:rPr>
                <w:sz w:val="1"/>
                <w:szCs w:val="1"/>
                <w:color w:val="auto"/>
              </w:rPr>
            </w:pPr>
          </w:p>
        </w:tc>
      </w:tr>
      <w:tr>
        <w:trPr>
          <w:trHeight w:val="210"/>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9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(26,998)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Actuarial (Loss)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Gain on</w:t>
            </w:r>
          </w:p>
        </w:tc>
        <w:tc>
          <w:tcPr>
            <w:tcW w:w="160" w:type="dxa"/>
            <w:vAlign w:val="bottom"/>
          </w:tcPr>
          <w:p>
            <w:pPr>
              <w:spacing w:after="0"/>
              <w:rPr>
                <w:sz w:val="12"/>
                <w:szCs w:val="12"/>
                <w:color w:val="auto"/>
              </w:rPr>
            </w:pPr>
          </w:p>
        </w:tc>
        <w:tc>
          <w:tcPr>
            <w:tcW w:w="7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Retirement Plan</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(23,927)</w:t>
            </w:r>
          </w:p>
        </w:tc>
        <w:tc>
          <w:tcPr>
            <w:tcW w:w="0" w:type="dxa"/>
            <w:vAlign w:val="bottom"/>
          </w:tcPr>
          <w:p>
            <w:pPr>
              <w:spacing w:after="0"/>
              <w:rPr>
                <w:sz w:val="1"/>
                <w:szCs w:val="1"/>
                <w:color w:val="auto"/>
              </w:rPr>
            </w:pPr>
          </w:p>
        </w:tc>
      </w:tr>
      <w:tr>
        <w:trPr>
          <w:trHeight w:val="209"/>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expense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9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(28,404)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121"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The Company has equity awards outstanding under its Amended and Restated 2015 Equity Incentive Plan (the “Equity Incentive Plan”) which provides for the granting of awards in the form of stock options, stock appreciation rights, dividend equivalent rights, restricted stock, restricted stock units, and stock grants. The Equity Incentive Plan has 50,000,000 shares of Class B Common Stock reserved for issuance and terminates in November 2024.</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under the stockholder-approved plan.</w:t>
      </w:r>
    </w:p>
    <w:p>
      <w:pPr>
        <w:spacing w:after="0" w:line="221" w:lineRule="exact"/>
        <w:rPr>
          <w:sz w:val="20"/>
          <w:szCs w:val="20"/>
          <w:color w:val="auto"/>
        </w:rPr>
      </w:pPr>
    </w:p>
    <w:p>
      <w:pPr>
        <w:ind w:left="140" w:right="1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options generally vest ratably on each of the first four anniversaries of the grant date.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granted under this plan include Put and Call provisions that allow colleagues who have exercised an option to sell all or part of their shares acquired upon such exercise to the Company at the fair market value at the time of the sale. The exercise period for the Put right begins on the second day after the six-month anniversary of the date the option was exercised and ends after an additional 30 days. The Call right provision allows the Company to purchase all or a part of the shares acquired by a colleague upon exercise of an option, at the fair market value at the time of such purchase. The Company may exercise the Call right at any time within seven months of the later of i) the optionee’s termination of service with the Company, or ii) the optionee’s (or his or her beneficiary’s) exercise of such option after a termination of service.</w:t>
      </w:r>
    </w:p>
    <w:p>
      <w:pPr>
        <w:spacing w:after="0" w:line="84"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options for a total of 4,816,000 shares on March 22, 2019 and 10,000 shares on May 15, 2019. The fair value of the awards was estimated on the date of grant using the Black-Scholes option pricing model. The grant date fair value of each option to acquire a share of Class B Common Stock was $1.66 and $1.65, respectively.</w:t>
      </w:r>
    </w:p>
    <w:p>
      <w:pPr>
        <w:spacing w:after="0" w:line="68" w:lineRule="exact"/>
        <w:rPr>
          <w:sz w:val="20"/>
          <w:szCs w:val="20"/>
          <w:color w:val="auto"/>
        </w:rPr>
      </w:pPr>
    </w:p>
    <w:p>
      <w:pPr>
        <w:ind w:left="140" w:right="279"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options for a total of 10,000 shares on March 12, 2020. The fair value of the awards was estimated on the date of grant using the Black-Scholes option pricing model. The grant date fair value of each option to acquire a share of Class B Common Stock was $2.49.</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7" w:name="page288"/>
    <w:bookmarkEnd w:id="287"/>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131" w:lineRule="exact"/>
        <w:rPr>
          <w:sz w:val="20"/>
          <w:szCs w:val="20"/>
          <w:color w:val="auto"/>
        </w:rPr>
      </w:pPr>
    </w:p>
    <w:p>
      <w:pPr>
        <w:ind w:left="140" w:right="3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 Grants—</w:t>
      </w:r>
      <w:r>
        <w:rPr>
          <w:rFonts w:ascii="Times New Roman" w:cs="Times New Roman" w:eastAsia="Times New Roman" w:hAnsi="Times New Roman"/>
          <w:sz w:val="18"/>
          <w:szCs w:val="18"/>
          <w:color w:val="auto"/>
        </w:rPr>
        <w:t>Under the Equity Incentive Plan, the Company may grant unrestricted, fully vested shares of Class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 Common Stock to eligible colleagues. Any such shares awarded have Put and Call rights similar to those described above with respect to stock options</w:t>
      </w:r>
      <w:r>
        <w:rPr>
          <w:rFonts w:ascii="Times New Roman" w:cs="Times New Roman" w:eastAsia="Times New Roman" w:hAnsi="Times New Roman"/>
          <w:sz w:val="18"/>
          <w:szCs w:val="18"/>
          <w:i w:val="1"/>
          <w:iCs w:val="1"/>
          <w:color w:val="auto"/>
        </w:rPr>
        <w:t>.</w:t>
      </w:r>
    </w:p>
    <w:p>
      <w:pPr>
        <w:spacing w:after="0" w:line="67"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grant fully vested shares of Class B Common Stock during the six months ended June 30, 2019. The Company granted 17,411 fully vested shares of Class B Common Stock during the six months ended June 30, 2020.</w:t>
      </w:r>
    </w:p>
    <w:p>
      <w:pPr>
        <w:spacing w:after="0" w:line="172" w:lineRule="exact"/>
        <w:rPr>
          <w:sz w:val="20"/>
          <w:szCs w:val="20"/>
          <w:color w:val="auto"/>
        </w:rPr>
      </w:pPr>
    </w:p>
    <w:p>
      <w:pPr>
        <w:ind w:left="14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Under the Equity Incentive Plan, the Company may grant both time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restricted Class B Common Stock to eligible colleagues.</w:t>
      </w:r>
    </w:p>
    <w:p>
      <w:pPr>
        <w:spacing w:after="0" w:line="51" w:lineRule="exact"/>
        <w:rPr>
          <w:sz w:val="20"/>
          <w:szCs w:val="20"/>
          <w:color w:val="auto"/>
        </w:rPr>
      </w:pPr>
    </w:p>
    <w:p>
      <w:pPr>
        <w:ind w:left="140" w:right="179" w:firstLine="324"/>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2019, the Company granted 493,840 shares of restricted stock, all of which were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2019. These restricted shares carried dividend, but not voting rights. During the six months ended June 30, 2019, the performance conditions to vesting were satisfied in respect of 111,224 of these shares, of which 18,763 shares were sold back to the Company to settle applicable income tax withholdings of $136.</w:t>
      </w:r>
    </w:p>
    <w:p>
      <w:pPr>
        <w:spacing w:after="0" w:line="81" w:lineRule="exact"/>
        <w:rPr>
          <w:sz w:val="20"/>
          <w:szCs w:val="20"/>
          <w:color w:val="auto"/>
        </w:rPr>
      </w:pPr>
    </w:p>
    <w:p>
      <w:pPr>
        <w:ind w:left="140" w:right="279"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2020, the Company granted 12,454 shares of restricted stock, which are subject to a quarterly time-based vesting schedule ending March 31, 2021. No performance shares were granted during the six months ended June 30, 2020. Of the performance shares that vested in 2019, 8,774 shares were sold back to the Company to settle applicable income tax withholdings of $95, with the remaining shares delivered to participants in the six months ended June 30, 2020. Of the performance shares granted in 2019, 292,131 did not vest and were canceled during the six months ended June 30, 2020.</w:t>
      </w:r>
    </w:p>
    <w:p>
      <w:pPr>
        <w:spacing w:after="0" w:line="183" w:lineRule="exact"/>
        <w:rPr>
          <w:sz w:val="20"/>
          <w:szCs w:val="20"/>
          <w:color w:val="auto"/>
        </w:rPr>
      </w:pPr>
    </w:p>
    <w:p>
      <w:pPr>
        <w:ind w:left="140" w:right="47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Under the Equity Incentive Plan, the Company may grant both time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restricted stock units (“RSUs”) to eligible colleagues, which entitle the grantee to receive a specific number of shares of our Class B Common Stock upon vesting. These shares also have dividend equivalent rights.</w:t>
      </w:r>
    </w:p>
    <w:p>
      <w:pPr>
        <w:spacing w:after="0" w:line="67" w:lineRule="exact"/>
        <w:rPr>
          <w:sz w:val="20"/>
          <w:szCs w:val="20"/>
          <w:color w:val="auto"/>
        </w:rPr>
      </w:pPr>
    </w:p>
    <w:p>
      <w:pPr>
        <w:ind w:left="140" w:right="239" w:firstLine="324"/>
        <w:spacing w:after="0" w:line="254" w:lineRule="auto"/>
        <w:rPr>
          <w:sz w:val="20"/>
          <w:szCs w:val="20"/>
          <w:color w:val="auto"/>
        </w:rPr>
      </w:pPr>
      <w:r>
        <w:rPr>
          <w:rFonts w:ascii="Times New Roman" w:cs="Times New Roman" w:eastAsia="Times New Roman" w:hAnsi="Times New Roman"/>
          <w:sz w:val="18"/>
          <w:szCs w:val="18"/>
          <w:color w:val="auto"/>
        </w:rPr>
        <w:t>No restricted stock units were granted during the six months ended June 30, 2019 or 2020. In 2016, the Company granted RSUs subject to performance-based vesting as determined by the achievement of business growth targets which included growth in annual recurring revenues as well as actual bookings for perpetual licenses and non-recurring services. Annual performance targets were seasonalized and targets were set for quarterly and annual performance periods ending on December 31, 2016. Certain colleagues elected to defer delivery of such shares upon vesting. During the six months ended June 30, 2020, 9,830 shares were delivered to colleagues and 3,168 shares were sold back to the Company to settle income tax withholdings of $26. As of December 31, 2019 and June 30, 2020, 54,770 and 45,151, respectively, of these RSUs remained outstanding.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8" w:name="page289"/>
    <w:bookmarkEnd w:id="28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option activity under the Company’s Equity Incentive Plan:</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9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60" w:type="dxa"/>
            <w:vAlign w:val="bottom"/>
            <w:gridSpan w:val="3"/>
            <w:vMerge w:val="continue"/>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 activity:</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5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(3,410,554)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15,099,363</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$5.23 - $10.84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options outstanding and exercisable by exercise price under the Company’s Equity Incentive Plan as of June 30, 2020:</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73"/>
        </w:trPr>
        <w:tc>
          <w:tcPr>
            <w:tcW w:w="58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Prices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6,328,614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5,343,930</w:t>
            </w:r>
          </w:p>
        </w:tc>
        <w:tc>
          <w:tcPr>
            <w:tcW w:w="0" w:type="dxa"/>
            <w:vAlign w:val="bottom"/>
          </w:tcPr>
          <w:p>
            <w:pPr>
              <w:spacing w:after="0"/>
              <w:rPr>
                <w:sz w:val="1"/>
                <w:szCs w:val="1"/>
                <w:color w:val="auto"/>
              </w:rPr>
            </w:pPr>
          </w:p>
        </w:tc>
      </w:tr>
      <w:tr>
        <w:trPr>
          <w:trHeight w:val="216"/>
        </w:trPr>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8,760,749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3,068,999</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8.01 - 10.84</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4"/>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15,099,363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8,412,929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right="759"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and the six months ended June 30, 2020, the Company received cash proceeds of $3,612 and $2,237, respectively, related to the exercise of stock options.</w:t>
      </w:r>
    </w:p>
    <w:p>
      <w:pPr>
        <w:spacing w:after="0" w:line="54" w:lineRule="exact"/>
        <w:rPr>
          <w:sz w:val="20"/>
          <w:szCs w:val="20"/>
          <w:color w:val="auto"/>
        </w:rPr>
      </w:pPr>
    </w:p>
    <w:p>
      <w:pPr>
        <w:ind w:left="140" w:right="59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intrinsic value of options outstanding and exercisable under the Company’s Equity Incentive Plan as of June 30, 2020:</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40" w:type="dxa"/>
            <w:vAlign w:val="bottom"/>
          </w:tcPr>
          <w:p>
            <w:pPr>
              <w:jc w:val="right"/>
              <w:ind w:right="363"/>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as of June 30, 2020</w:t>
            </w:r>
          </w:p>
        </w:tc>
        <w:tc>
          <w:tcPr>
            <w:tcW w:w="1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15,099,363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138,476</w:t>
            </w:r>
          </w:p>
        </w:tc>
        <w:tc>
          <w:tcPr>
            <w:tcW w:w="16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Exercisable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8,412,929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F-72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289" w:name="page290"/>
    <w:bookmarkEnd w:id="28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131"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Acquisition Options—</w:t>
      </w:r>
      <w:r>
        <w:rPr>
          <w:rFonts w:ascii="Times New Roman" w:cs="Times New Roman" w:eastAsia="Times New Roman" w:hAnsi="Times New Roman"/>
          <w:sz w:val="18"/>
          <w:szCs w:val="18"/>
          <w:color w:val="auto"/>
        </w:rPr>
        <w:t>In addition to options granted under the Company’s Equity Incentive Plan,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 acquisition completed in March 2018, the Company issued to certain selling shareholder entities options to acquire an aggregate of up to 900,000 shares of Class B Common Stock. The options have a five-year term, vest on the fourth anniversary of the closing of the acquisition, and an initial exercise price of $6.805 per share.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Black-Scholes option pricing model. The grant date fair value of each option was $3.44. Any shares of Class B Common Stock acquired upon exercise of the options are generally entitled to the Put and Call rights summarized above under “Stock Options,” and the options contain customary adjustment provisions in case of stock splits, stock dividends, or other corporate transactions. As of December 31, 2019 and June 30, 2020, all options to acquire 900,000 shares remain outstanding. As of June 30, 2020, these options are non-exercisable and have an aggregate intrinsic value of $7,808.</w:t>
      </w:r>
    </w:p>
    <w:p>
      <w:pPr>
        <w:spacing w:after="0" w:line="83" w:lineRule="exact"/>
        <w:rPr>
          <w:sz w:val="20"/>
          <w:szCs w:val="20"/>
          <w:color w:val="auto"/>
        </w:rPr>
      </w:pPr>
    </w:p>
    <w:p>
      <w:pPr>
        <w:ind w:left="140" w:right="359"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is recognized on a straight-line basis over the vesting period during which colleagues perform related services. During the six months ended June 30, 2019 and 2020, the Company recorded $3,220 and $2,956, respectively, of stock-based compensation expense related to stock options, $805 and $37, respectively, of compensation expense related to restricted stock, and $0 and $219, respectively, of stock-based compensation expense related to grants of fully vested shares.</w:t>
      </w:r>
    </w:p>
    <w:p>
      <w:pPr>
        <w:spacing w:after="0" w:line="75" w:lineRule="exact"/>
        <w:rPr>
          <w:sz w:val="20"/>
          <w:szCs w:val="20"/>
          <w:color w:val="auto"/>
        </w:rPr>
      </w:pPr>
    </w:p>
    <w:p>
      <w:pPr>
        <w:ind w:left="140" w:right="279" w:firstLine="324"/>
        <w:spacing w:after="0" w:line="282" w:lineRule="auto"/>
        <w:rPr>
          <w:sz w:val="20"/>
          <w:szCs w:val="20"/>
          <w:color w:val="auto"/>
        </w:rPr>
      </w:pPr>
      <w:r>
        <w:rPr>
          <w:rFonts w:ascii="Times New Roman" w:cs="Times New Roman" w:eastAsia="Times New Roman" w:hAnsi="Times New Roman"/>
          <w:sz w:val="18"/>
          <w:szCs w:val="18"/>
          <w:color w:val="auto"/>
        </w:rPr>
        <w:t>As of June 30, 2020, there was $9,036 of unrecognized compensation cost related to unvested stock options, which is expected to be recognized over a weighted average period of approximately 2.3 years.</w:t>
      </w:r>
    </w:p>
    <w:p>
      <w:pPr>
        <w:spacing w:after="0" w:line="54" w:lineRule="exact"/>
        <w:rPr>
          <w:sz w:val="20"/>
          <w:szCs w:val="20"/>
          <w:color w:val="auto"/>
        </w:rPr>
      </w:pPr>
    </w:p>
    <w:p>
      <w:pPr>
        <w:ind w:left="140" w:right="459"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in the six months ended June 30, 2019 and 2020 was $19,995 and $30,536, respectively.</w:t>
      </w:r>
    </w:p>
    <w:p>
      <w:pPr>
        <w:spacing w:after="0" w:line="54" w:lineRule="exact"/>
        <w:rPr>
          <w:sz w:val="20"/>
          <w:szCs w:val="20"/>
          <w:color w:val="auto"/>
        </w:rPr>
      </w:pPr>
    </w:p>
    <w:p>
      <w:pPr>
        <w:ind w:left="140" w:right="299" w:firstLine="324"/>
        <w:spacing w:after="0" w:line="256" w:lineRule="auto"/>
        <w:rPr>
          <w:sz w:val="20"/>
          <w:szCs w:val="20"/>
          <w:color w:val="auto"/>
        </w:rPr>
      </w:pPr>
      <w:r>
        <w:rPr>
          <w:rFonts w:ascii="Times New Roman" w:cs="Times New Roman" w:eastAsia="Times New Roman" w:hAnsi="Times New Roman"/>
          <w:sz w:val="18"/>
          <w:szCs w:val="18"/>
          <w:color w:val="auto"/>
        </w:rPr>
        <w:t>The value of each stock option award was estimated on the date of grant using the Black-Scholes option pricing model. The determination of the fair value of share-based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risk-free interest rates, and expected dividends, which are estimated as follows:</w:t>
      </w:r>
    </w:p>
    <w:p>
      <w:pPr>
        <w:spacing w:after="0" w:line="77" w:lineRule="exact"/>
        <w:rPr>
          <w:sz w:val="20"/>
          <w:szCs w:val="20"/>
          <w:color w:val="auto"/>
        </w:rPr>
      </w:pPr>
    </w:p>
    <w:p>
      <w:pPr>
        <w:ind w:left="460" w:right="319"/>
        <w:spacing w:after="0" w:line="258"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stock price volatility for the Company’s common stock was estimated by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historic price volatility 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75" w:lineRule="exact"/>
        <w:rPr>
          <w:sz w:val="20"/>
          <w:szCs w:val="20"/>
          <w:color w:val="auto"/>
        </w:rPr>
      </w:pPr>
    </w:p>
    <w:p>
      <w:pPr>
        <w:ind w:left="460" w:right="159"/>
        <w:spacing w:after="0" w:line="273" w:lineRule="auto"/>
        <w:rPr>
          <w:sz w:val="20"/>
          <w:szCs w:val="20"/>
          <w:color w:val="auto"/>
        </w:rPr>
      </w:pPr>
      <w:r>
        <w:rPr>
          <w:rFonts w:ascii="Times New Roman" w:cs="Times New Roman" w:eastAsia="Times New Roman" w:hAnsi="Times New Roman"/>
          <w:sz w:val="17"/>
          <w:szCs w:val="17"/>
          <w:i w:val="1"/>
          <w:iCs w:val="1"/>
          <w:color w:val="auto"/>
        </w:rPr>
        <w:t>Expected dividend yield</w:t>
      </w:r>
      <w:r>
        <w:rPr>
          <w:rFonts w:ascii="Times New Roman" w:cs="Times New Roman" w:eastAsia="Times New Roman" w:hAnsi="Times New Roman"/>
          <w:sz w:val="17"/>
          <w:szCs w:val="17"/>
          <w:color w:val="auto"/>
        </w:rPr>
        <w:t>. Prior to 2015, the Company had never declared or paid a cash dividend. Consequently,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used an expected dividend yield of zero for all option grants prior to 2015. 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0" w:name="page291"/>
    <w:bookmarkEnd w:id="29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 (Continued)</w:t>
      </w:r>
    </w:p>
    <w:p>
      <w:pPr>
        <w:spacing w:after="0" w:line="133" w:lineRule="exact"/>
        <w:rPr>
          <w:sz w:val="20"/>
          <w:szCs w:val="20"/>
          <w:color w:val="auto"/>
        </w:rPr>
      </w:pPr>
    </w:p>
    <w:p>
      <w:pPr>
        <w:ind w:left="460" w:right="179"/>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Company’s stock-based awards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The expected term is based on the simplified method, which represents the average period from vesting to the expiration of the award.</w:t>
      </w:r>
    </w:p>
    <w:p>
      <w:pPr>
        <w:spacing w:after="0" w:line="65" w:lineRule="exact"/>
        <w:rPr>
          <w:sz w:val="20"/>
          <w:szCs w:val="20"/>
          <w:color w:val="auto"/>
        </w:rPr>
      </w:pPr>
    </w:p>
    <w:p>
      <w:pPr>
        <w:ind w:left="460" w:right="259"/>
        <w:spacing w:after="0" w:line="284" w:lineRule="auto"/>
        <w:rPr>
          <w:sz w:val="20"/>
          <w:szCs w:val="20"/>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 The risk-free interest rate is based on the yields of U.S. Treasury securities with maturities similar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term of the options for each option group.</w:t>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4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49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options issued</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common stock was determined by the board of directors at each award grant date based upon a variety of factors, including the results obtained from independent third-party valuations, the Company’s financial position, and historical financial performance.</w:t>
      </w:r>
    </w:p>
    <w:p>
      <w:pPr>
        <w:spacing w:after="0" w:line="68" w:lineRule="exact"/>
        <w:rPr>
          <w:sz w:val="20"/>
          <w:szCs w:val="20"/>
          <w:color w:val="auto"/>
        </w:rPr>
      </w:pPr>
    </w:p>
    <w:p>
      <w:pPr>
        <w:ind w:left="140" w:right="499" w:firstLine="324"/>
        <w:spacing w:after="0" w:line="266" w:lineRule="auto"/>
        <w:rPr>
          <w:sz w:val="20"/>
          <w:szCs w:val="20"/>
          <w:color w:val="auto"/>
        </w:rPr>
      </w:pPr>
      <w:r>
        <w:rPr>
          <w:rFonts w:ascii="Times New Roman" w:cs="Times New Roman" w:eastAsia="Times New Roman" w:hAnsi="Times New Roman"/>
          <w:sz w:val="18"/>
          <w:szCs w:val="18"/>
          <w:color w:val="auto"/>
        </w:rPr>
        <w:t>The Company paid $3,149 and $1,454 during the six months ended June 30, 2019 and 2020, respectively, to stockholders who exercised their options and elected to sell the shares back to the Company after the mandatory six-month holding period as well as for shares acquired by the Company exercising its call rights.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19" w:lineRule="exact"/>
        <w:rPr>
          <w:sz w:val="20"/>
          <w:szCs w:val="20"/>
          <w:color w:val="auto"/>
        </w:rPr>
      </w:pPr>
    </w:p>
    <w:p>
      <w:pPr>
        <w:ind w:left="140" w:right="2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calculates its interim income tax provision in accordance with FASB ASC Topics 270,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and 740,</w:t>
      </w:r>
      <w:r>
        <w:rPr>
          <w:rFonts w:ascii="Times New Roman" w:cs="Times New Roman" w:eastAsia="Times New Roman" w:hAnsi="Times New Roman"/>
          <w:sz w:val="18"/>
          <w:szCs w:val="18"/>
          <w:i w:val="1"/>
          <w:iCs w:val="1"/>
          <w:color w:val="auto"/>
        </w:rPr>
        <w:t xml:space="preserve"> Income Taxes</w:t>
      </w:r>
      <w:r>
        <w:rPr>
          <w:rFonts w:ascii="Times New Roman" w:cs="Times New Roman" w:eastAsia="Times New Roman" w:hAnsi="Times New Roman"/>
          <w:sz w:val="18"/>
          <w:szCs w:val="18"/>
          <w:color w:val="auto"/>
        </w:rPr>
        <w:t>. At the end of each interim period, the Company makes an estimate of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domestic and foreign jurisdictions’ expected effective tax rates and applies these rates to its respective year-to-date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United States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79"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provisions for the six months ended June 30, 2019 and 2020 were based on the estimated annual effective income tax rates adjusted for discrete items occurring during the periods presented. During the six months ended June 30, 2019 and 2020, the Company recognized an aggregate consolidated income tax expense of $5,119 and $11,440, respectively, for U.S. domestic and foreign income taxes. During the six months ended June 30, 2019 and 2020, the Company recorded a discrete tax benefit of $3,653 and $6,423, respectively, associated with stock-based compensation. The effective income tax rate of 9.9% for the six months ended June 30, 2019 was lower than the effective income tax rate of 14.1% for the same period in the current year primarily as a result of a change in the timing and mix of U.S. and foreign income.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1" w:name="page292"/>
    <w:bookmarkEnd w:id="29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121" w:lineRule="exact"/>
        <w:rPr>
          <w:sz w:val="20"/>
          <w:szCs w:val="20"/>
          <w:color w:val="auto"/>
        </w:rPr>
      </w:pPr>
    </w:p>
    <w:p>
      <w:pPr>
        <w:ind w:left="140" w:right="2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March 31, 2020, the Company entered into an interest rate swap with a notional amount of $200,000 and a ten-year term to reduce the interest rate risk associated with the Company’s Credit Facility. The interest rate swap is not designated as a hedging instrument for accounting purposes. The Company accounts for the swap as either an asset or a liability on the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For the six months ended June 30, 2020, the Company recorded a loss of $4,174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total payments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related to the swap were $110.</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19" w:lineRule="exact"/>
        <w:rPr>
          <w:sz w:val="20"/>
          <w:szCs w:val="20"/>
          <w:color w:val="auto"/>
        </w:rPr>
      </w:pPr>
    </w:p>
    <w:p>
      <w:pPr>
        <w:ind w:left="140" w:right="379"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non-financial items that are recognized or disclosed at fair value in the consolidated financial statements.</w:t>
      </w:r>
    </w:p>
    <w:p>
      <w:pPr>
        <w:spacing w:after="0" w:line="67" w:lineRule="exact"/>
        <w:rPr>
          <w:sz w:val="20"/>
          <w:szCs w:val="20"/>
          <w:color w:val="auto"/>
        </w:rPr>
      </w:pPr>
    </w:p>
    <w:p>
      <w:pPr>
        <w:ind w:left="140" w:right="379"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other current liabilities, and long-term debt.</w:t>
      </w:r>
    </w:p>
    <w:p>
      <w:pPr>
        <w:spacing w:after="0" w:line="54" w:lineRule="exact"/>
        <w:rPr>
          <w:sz w:val="20"/>
          <w:szCs w:val="20"/>
          <w:color w:val="auto"/>
        </w:rPr>
      </w:pPr>
    </w:p>
    <w:p>
      <w:pPr>
        <w:ind w:left="140" w:right="239" w:firstLine="324"/>
        <w:spacing w:after="0" w:line="255" w:lineRule="auto"/>
        <w:rPr>
          <w:sz w:val="20"/>
          <w:szCs w:val="20"/>
          <w:color w:val="auto"/>
        </w:rPr>
      </w:pPr>
      <w:r>
        <w:rPr>
          <w:rFonts w:ascii="Times New Roman" w:cs="Times New Roman" w:eastAsia="Times New Roman" w:hAnsi="Times New Roman"/>
          <w:sz w:val="18"/>
          <w:szCs w:val="18"/>
          <w:color w:val="auto"/>
        </w:rPr>
        <w:t>The carrying values of the Company's financial instruments excluding long-term debt approximate their fair value due to the short-term nature of those instruments. Additionally, as of December 31, 2019 and June 30, 2020, the fair value of the Company’s long-term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81" w:lineRule="exact"/>
        <w:rPr>
          <w:sz w:val="20"/>
          <w:szCs w:val="20"/>
          <w:color w:val="auto"/>
        </w:rPr>
      </w:pPr>
    </w:p>
    <w:p>
      <w:pPr>
        <w:ind w:left="140" w:right="239" w:firstLine="324"/>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sz w:val="20"/>
          <w:szCs w:val="20"/>
          <w:color w:val="auto"/>
        </w:rPr>
      </w:pPr>
    </w:p>
    <w:p>
      <w:pPr>
        <w:jc w:val="both"/>
        <w:ind w:left="460" w:right="299"/>
        <w:spacing w:after="0" w:line="266"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68" w:lineRule="exact"/>
        <w:rPr>
          <w:sz w:val="20"/>
          <w:szCs w:val="20"/>
          <w:color w:val="auto"/>
        </w:rPr>
      </w:pPr>
    </w:p>
    <w:p>
      <w:pPr>
        <w:ind w:left="460" w:right="739"/>
        <w:spacing w:after="0" w:line="282" w:lineRule="auto"/>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2" w:name="page293"/>
    <w:bookmarkEnd w:id="29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135" w:lineRule="exact"/>
        <w:rPr>
          <w:sz w:val="20"/>
          <w:szCs w:val="20"/>
          <w:color w:val="auto"/>
        </w:rPr>
      </w:pPr>
    </w:p>
    <w:p>
      <w:pPr>
        <w:ind w:left="140" w:right="8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Money market funds </w:t>
            </w:r>
            <w:r>
              <w:rPr>
                <w:rFonts w:ascii="Times New Roman" w:cs="Times New Roman" w:eastAsia="Times New Roman" w:hAnsi="Times New Roman"/>
                <w:sz w:val="25"/>
                <w:szCs w:val="25"/>
                <w:color w:val="auto"/>
                <w:vertAlign w:val="superscript"/>
              </w:rPr>
              <w:t>(1)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20" w:lineRule="exact"/>
              <w:rPr>
                <w:sz w:val="20"/>
                <w:szCs w:val="20"/>
                <w:color w:val="auto"/>
              </w:rPr>
            </w:pPr>
            <w:r>
              <w:rPr>
                <w:rFonts w:ascii="Times New Roman" w:cs="Times New Roman" w:eastAsia="Times New Roman" w:hAnsi="Times New Roman"/>
                <w:sz w:val="17"/>
                <w:szCs w:val="17"/>
                <w:color w:val="auto"/>
              </w:rPr>
              <w:t xml:space="preserve">Acquisition contingent consideration </w:t>
            </w:r>
            <w:r>
              <w:rPr>
                <w:rFonts w:ascii="Times New Roman" w:cs="Times New Roman" w:eastAsia="Times New Roman" w:hAnsi="Times New Roman"/>
                <w:sz w:val="25"/>
                <w:szCs w:val="25"/>
                <w:color w:val="auto"/>
                <w:vertAlign w:val="superscript"/>
              </w:rPr>
              <w:t>(2)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Deferred compensation plan </w:t>
            </w:r>
            <w:r>
              <w:rPr>
                <w:rFonts w:ascii="Times New Roman" w:cs="Times New Roman" w:eastAsia="Times New Roman" w:hAnsi="Times New Roman"/>
                <w:sz w:val="25"/>
                <w:szCs w:val="25"/>
                <w:color w:val="auto"/>
                <w:vertAlign w:val="superscript"/>
              </w:rPr>
              <w:t>(3)</w:t>
            </w:r>
          </w:p>
        </w:tc>
        <w:tc>
          <w:tcPr>
            <w:tcW w:w="1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Money market funds </w:t>
            </w:r>
            <w:r>
              <w:rPr>
                <w:rFonts w:ascii="Times New Roman" w:cs="Times New Roman" w:eastAsia="Times New Roman" w:hAnsi="Times New Roman"/>
                <w:sz w:val="25"/>
                <w:szCs w:val="25"/>
                <w:color w:val="auto"/>
                <w:vertAlign w:val="superscript"/>
              </w:rPr>
              <w:t>(1)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20" w:lineRule="exact"/>
              <w:rPr>
                <w:sz w:val="20"/>
                <w:szCs w:val="20"/>
                <w:color w:val="auto"/>
              </w:rPr>
            </w:pPr>
            <w:r>
              <w:rPr>
                <w:rFonts w:ascii="Times New Roman" w:cs="Times New Roman" w:eastAsia="Times New Roman" w:hAnsi="Times New Roman"/>
                <w:sz w:val="17"/>
                <w:szCs w:val="17"/>
                <w:color w:val="auto"/>
              </w:rPr>
              <w:t xml:space="preserve">Acquisition contingent consideration </w:t>
            </w:r>
            <w:r>
              <w:rPr>
                <w:rFonts w:ascii="Times New Roman" w:cs="Times New Roman" w:eastAsia="Times New Roman" w:hAnsi="Times New Roman"/>
                <w:sz w:val="25"/>
                <w:szCs w:val="25"/>
                <w:color w:val="auto"/>
                <w:vertAlign w:val="superscript"/>
              </w:rPr>
              <w:t>(2)</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Interest rate swap </w:t>
            </w:r>
            <w:r>
              <w:rPr>
                <w:rFonts w:ascii="Times New Roman" w:cs="Times New Roman" w:eastAsia="Times New Roman" w:hAnsi="Times New Roman"/>
                <w:sz w:val="25"/>
                <w:szCs w:val="25"/>
                <w:color w:val="auto"/>
                <w:vertAlign w:val="superscript"/>
              </w:rPr>
              <w:t>(4)</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Deferred compensation plan </w:t>
            </w:r>
            <w:r>
              <w:rPr>
                <w:rFonts w:ascii="Times New Roman" w:cs="Times New Roman" w:eastAsia="Times New Roman" w:hAnsi="Times New Roman"/>
                <w:sz w:val="25"/>
                <w:szCs w:val="25"/>
                <w:color w:val="auto"/>
                <w:vertAlign w:val="superscript"/>
              </w:rPr>
              <w:t>(3)</w:t>
            </w:r>
          </w:p>
        </w:tc>
        <w:tc>
          <w:tcPr>
            <w:tcW w:w="1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20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80" w:hanging="336"/>
        <w:spacing w:after="0"/>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accompanying consolidated balance sheets.</w:t>
      </w:r>
    </w:p>
    <w:p>
      <w:pPr>
        <w:spacing w:after="0" w:line="117" w:lineRule="exact"/>
        <w:rPr>
          <w:rFonts w:ascii="Times New Roman" w:cs="Times New Roman" w:eastAsia="Times New Roman" w:hAnsi="Times New Roman"/>
          <w:sz w:val="18"/>
          <w:szCs w:val="18"/>
          <w:color w:val="auto"/>
        </w:rPr>
      </w:pPr>
    </w:p>
    <w:p>
      <w:pPr>
        <w:ind w:left="460" w:right="239" w:hanging="316"/>
        <w:spacing w:after="0" w:line="261" w:lineRule="auto"/>
        <w:tabs>
          <w:tab w:leader="none" w:pos="48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71" w:lineRule="exact"/>
        <w:rPr>
          <w:rFonts w:ascii="Times New Roman" w:cs="Times New Roman" w:eastAsia="Times New Roman" w:hAnsi="Times New Roman"/>
          <w:sz w:val="18"/>
          <w:szCs w:val="18"/>
          <w:color w:val="auto"/>
        </w:rPr>
      </w:pPr>
    </w:p>
    <w:p>
      <w:pPr>
        <w:jc w:val="both"/>
        <w:ind w:left="460" w:right="379" w:hanging="316"/>
        <w:spacing w:after="0" w:line="267" w:lineRule="auto"/>
        <w:tabs>
          <w:tab w:leader="none" w:pos="48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$153 and $99 as of December 31, 2019 and June 30, 2020, respectively, which are 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accompanying consolidated balance sheets.</w:t>
      </w:r>
    </w:p>
    <w:p>
      <w:pPr>
        <w:spacing w:after="0" w:line="65" w:lineRule="exact"/>
        <w:rPr>
          <w:rFonts w:ascii="Times New Roman" w:cs="Times New Roman" w:eastAsia="Times New Roman" w:hAnsi="Times New Roman"/>
          <w:sz w:val="18"/>
          <w:szCs w:val="18"/>
          <w:color w:val="auto"/>
        </w:rPr>
      </w:pPr>
    </w:p>
    <w:p>
      <w:pPr>
        <w:ind w:left="480" w:hanging="336"/>
        <w:spacing w:after="0"/>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accompanying consolidated balance sheets.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3" w:name="page294"/>
    <w:bookmarkEnd w:id="29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 (Continued)</w:t>
      </w:r>
    </w:p>
    <w:p>
      <w:pPr>
        <w:spacing w:after="0" w:line="135" w:lineRule="exact"/>
        <w:rPr>
          <w:sz w:val="20"/>
          <w:szCs w:val="20"/>
          <w:color w:val="auto"/>
        </w:rPr>
      </w:pPr>
    </w:p>
    <w:p>
      <w:pPr>
        <w:ind w:left="140" w:right="21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 ended December 31, 2019 and the six months ended June 30, 2020.</w:t>
      </w:r>
    </w:p>
    <w:p>
      <w:pPr>
        <w:spacing w:after="0" w:line="6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7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6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16"/>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16"/>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67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17" w:lineRule="exact"/>
        <w:rPr>
          <w:sz w:val="20"/>
          <w:szCs w:val="20"/>
          <w:color w:val="auto"/>
        </w:rPr>
      </w:pPr>
    </w:p>
    <w:p>
      <w:pPr>
        <w:ind w:left="140" w:right="19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Purchase Commitment—</w:t>
      </w:r>
      <w:r>
        <w:rPr>
          <w:rFonts w:ascii="Times New Roman" w:cs="Times New Roman" w:eastAsia="Times New Roman" w:hAnsi="Times New Roman"/>
          <w:sz w:val="18"/>
          <w:szCs w:val="18"/>
          <w:color w:val="auto"/>
        </w:rPr>
        <w:t>In the normal course of business, the Company enters into various purchase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goods and services. As of June 30, 2020, the non-cancelable future cash purchase commitment for services related to the provisioning of the Company's software solutions was $93,400 through May 2023. The Company expects to fully consume its contractual commitment in the ordinary course of operations.</w:t>
      </w:r>
    </w:p>
    <w:p>
      <w:pPr>
        <w:spacing w:after="0" w:line="176" w:lineRule="exact"/>
        <w:rPr>
          <w:sz w:val="20"/>
          <w:szCs w:val="20"/>
          <w:color w:val="auto"/>
        </w:rPr>
      </w:pPr>
    </w:p>
    <w:p>
      <w:pPr>
        <w:ind w:left="140" w:right="1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Leases—</w:t>
      </w:r>
      <w:r>
        <w:rPr>
          <w:rFonts w:ascii="Times New Roman" w:cs="Times New Roman" w:eastAsia="Times New Roman" w:hAnsi="Times New Roman"/>
          <w:sz w:val="18"/>
          <w:szCs w:val="18"/>
          <w:color w:val="auto"/>
        </w:rPr>
        <w:t>The Company leases certain facilities, cars, and equipment under operating leases having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remaining non-cancellable terms in excess of one year. For details, see Note 8.</w:t>
      </w:r>
    </w:p>
    <w:p>
      <w:pPr>
        <w:spacing w:after="0" w:line="155" w:lineRule="exact"/>
        <w:rPr>
          <w:sz w:val="20"/>
          <w:szCs w:val="20"/>
          <w:color w:val="auto"/>
        </w:rPr>
      </w:pPr>
    </w:p>
    <w:p>
      <w:pPr>
        <w:jc w:val="both"/>
        <w:ind w:left="140" w:right="4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From time to time, the Company is involved in certain legal actions arising in the ordinary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 management’s opinion, based upon the advice of counsel, the outcome of such actions is not expected to have a material adverse effect on the Company’s future financial position or results of operations.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121" w:lineRule="exact"/>
        <w:rPr>
          <w:sz w:val="20"/>
          <w:szCs w:val="20"/>
          <w:color w:val="auto"/>
        </w:rPr>
      </w:pPr>
    </w:p>
    <w:p>
      <w:pPr>
        <w:ind w:left="140" w:right="199" w:firstLine="324"/>
        <w:spacing w:after="0" w:line="266" w:lineRule="auto"/>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long-lived assets, net of depreciation and amortization by geographic region. See Note 5, Note 6, and Note 8 for further detail around these assets.</w:t>
      </w:r>
    </w:p>
    <w:p>
      <w:pPr>
        <w:spacing w:after="0" w:line="6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22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56,345</w:t>
            </w: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56,889</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Asia/Pacific</w:t>
            </w:r>
          </w:p>
        </w:tc>
        <w:tc>
          <w:tcPr>
            <w:tcW w:w="2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w:t>
            </w: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2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128,445</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480" w:hanging="336"/>
        <w:spacing w:after="0"/>
        <w:tabs>
          <w:tab w:leader="none" w:pos="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United States, Canada, and Latin America (including the Caribbean).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4" w:name="page295"/>
    <w:bookmarkEnd w:id="29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780" w:type="dxa"/>
            <w:vAlign w:val="bottom"/>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$(5,021)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(4,474)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(2,516)</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7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7300" w:type="dxa"/>
            <w:vAlign w:val="bottom"/>
            <w:tcBorders>
              <w:top w:val="single" w:sz="8" w:color="CCEEFF"/>
            </w:tcBorders>
            <w:gridSpan w:val="3"/>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Foreign exchange loss </w:t>
            </w:r>
            <w:r>
              <w:rPr>
                <w:rFonts w:ascii="Times New Roman" w:cs="Times New Roman" w:eastAsia="Times New Roman" w:hAnsi="Times New Roman"/>
                <w:sz w:val="24"/>
                <w:szCs w:val="24"/>
                <w:color w:val="auto"/>
                <w:vertAlign w:val="superscript"/>
              </w:rPr>
              <w:t>(1)</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income (expense), net </w:t>
            </w:r>
            <w:r>
              <w:rPr>
                <w:rFonts w:ascii="Times New Roman" w:cs="Times New Roman" w:eastAsia="Times New Roman" w:hAnsi="Times New Roman"/>
                <w:sz w:val="25"/>
                <w:szCs w:val="25"/>
                <w:color w:val="auto"/>
                <w:vertAlign w:val="superscript"/>
              </w:rPr>
              <w:t>(2)</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319" w:hanging="316"/>
        <w:spacing w:after="0" w:line="261" w:lineRule="auto"/>
        <w:tabs>
          <w:tab w:leader="none" w:pos="4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loss is primarily attributable to foreign currency translation losses derived primarily from U.S. Dollar denominated cash and cash equivalents, account receivables, and intercompany balances held by foreign subsidiaries. For the six months ended June 30, 2019 and 2020, intercompany finance transactions denominated in U.S. dollars resulted in unrealized foreign currency translation losses of $1,680 and $1,765, respectively.</w:t>
      </w:r>
    </w:p>
    <w:p>
      <w:pPr>
        <w:spacing w:after="0" w:line="71" w:lineRule="exact"/>
        <w:rPr>
          <w:rFonts w:ascii="Times New Roman" w:cs="Times New Roman" w:eastAsia="Times New Roman" w:hAnsi="Times New Roman"/>
          <w:sz w:val="18"/>
          <w:szCs w:val="18"/>
          <w:color w:val="auto"/>
        </w:rPr>
      </w:pPr>
    </w:p>
    <w:p>
      <w:pPr>
        <w:ind w:left="480" w:hanging="336"/>
        <w:spacing w:after="0"/>
        <w:tabs>
          <w:tab w:leader="none" w:pos="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includes a loss from the change in fair value of the Company’s interest rate swap of</w:t>
      </w:r>
    </w:p>
    <w:p>
      <w:pPr>
        <w:spacing w:after="0" w:line="27" w:lineRule="exact"/>
        <w:rPr>
          <w:sz w:val="20"/>
          <w:szCs w:val="20"/>
          <w:color w:val="auto"/>
        </w:rPr>
      </w:pPr>
    </w:p>
    <w:p>
      <w:pPr>
        <w:ind w:left="460" w:right="159"/>
        <w:spacing w:after="0" w:line="260" w:lineRule="auto"/>
        <w:rPr>
          <w:sz w:val="20"/>
          <w:szCs w:val="20"/>
          <w:color w:val="auto"/>
        </w:rPr>
      </w:pPr>
      <w:r>
        <w:rPr>
          <w:rFonts w:ascii="Times New Roman" w:cs="Times New Roman" w:eastAsia="Times New Roman" w:hAnsi="Times New Roman"/>
          <w:sz w:val="18"/>
          <w:szCs w:val="18"/>
          <w:color w:val="auto"/>
        </w:rPr>
        <w:t>$4,174, partly offset by a gain from the change in fair value of acquisition contingent consideration of $1,390 for the six months ended June 30, 2020 (see Note 17).</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22: Earnings Per Share</w:t>
      </w:r>
    </w:p>
    <w:p>
      <w:pPr>
        <w:spacing w:after="0" w:line="121" w:lineRule="exact"/>
        <w:rPr>
          <w:sz w:val="20"/>
          <w:szCs w:val="20"/>
          <w:color w:val="auto"/>
        </w:rPr>
      </w:pPr>
    </w:p>
    <w:p>
      <w:pPr>
        <w:ind w:left="140" w:right="619" w:firstLine="324"/>
        <w:spacing w:after="0" w:line="258" w:lineRule="auto"/>
        <w:rPr>
          <w:sz w:val="20"/>
          <w:szCs w:val="20"/>
          <w:color w:val="auto"/>
        </w:rPr>
      </w:pPr>
      <w:r>
        <w:rPr>
          <w:rFonts w:ascii="Times New Roman" w:cs="Times New Roman" w:eastAsia="Times New Roman" w:hAnsi="Times New Roman"/>
          <w:sz w:val="18"/>
          <w:szCs w:val="18"/>
          <w:color w:val="auto"/>
        </w:rPr>
        <w:t>Earnings per share (“EPS”) of Class A and Class B Common Stock amounts are computed using the two-class method required for participating securities. The Company issues certain restricted stock awards determined to be participating securities because holders of such shares have non-forfeitable dividend rights in the event of the Company’s declaration of a dividend for common shares. For the six months ended June 30, 2020, there were no participating securities outstanding.</w:t>
      </w:r>
    </w:p>
    <w:p>
      <w:pPr>
        <w:spacing w:after="0" w:line="75" w:lineRule="exact"/>
        <w:rPr>
          <w:sz w:val="20"/>
          <w:szCs w:val="20"/>
          <w:color w:val="auto"/>
        </w:rPr>
      </w:pPr>
    </w:p>
    <w:p>
      <w:pPr>
        <w:ind w:left="140" w:right="479" w:firstLine="324"/>
        <w:spacing w:after="0" w:line="289" w:lineRule="auto"/>
        <w:rPr>
          <w:sz w:val="20"/>
          <w:szCs w:val="20"/>
          <w:color w:val="auto"/>
        </w:rPr>
      </w:pPr>
      <w:r>
        <w:rPr>
          <w:rFonts w:ascii="Times New Roman" w:cs="Times New Roman" w:eastAsia="Times New Roman" w:hAnsi="Times New Roman"/>
          <w:sz w:val="17"/>
          <w:szCs w:val="17"/>
          <w:color w:val="auto"/>
        </w:rPr>
        <w:t>Undistributed earnings allocated to participating securities are subtracted from net income in determining net income attributable to common stockholders. Basic EPS is computed by dividing net income attributable to common stockholders by the weighted-average number of shares of Class A and Class B Common Stock outstanding.</w:t>
      </w:r>
    </w:p>
    <w:p>
      <w:pPr>
        <w:spacing w:after="0" w:line="50"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the resulting net income attributable to common stockholders by the weighted-average number of fully diluted common shares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5" w:name="page296"/>
    <w:bookmarkEnd w:id="295"/>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22: Earnings Per Share (Continued)</w:t>
      </w:r>
    </w:p>
    <w:p>
      <w:pPr>
        <w:spacing w:after="0" w:line="135" w:lineRule="exact"/>
        <w:rPr>
          <w:sz w:val="20"/>
          <w:szCs w:val="20"/>
          <w:color w:val="auto"/>
        </w:rPr>
      </w:pPr>
    </w:p>
    <w:p>
      <w:pPr>
        <w:ind w:left="140" w:right="239" w:firstLine="324"/>
        <w:spacing w:after="0" w:line="261" w:lineRule="auto"/>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two-class method. The details of basic and diluted EPS are as follows (in thousands, except per share amounts):</w:t>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5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Denominator for basic net income per share—weighted average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285,529,476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286,068,766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8,103,779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9,526,468</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 for dilutive net income per share</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293,633,255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295,595,234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6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 diluted</w:t>
            </w: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40" w:right="179" w:firstLine="324"/>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periods presented.</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21" w:lineRule="exact"/>
        <w:rPr>
          <w:sz w:val="20"/>
          <w:szCs w:val="20"/>
          <w:color w:val="auto"/>
        </w:rPr>
      </w:pPr>
    </w:p>
    <w:p>
      <w:pPr>
        <w:jc w:val="both"/>
        <w:ind w:left="140" w:right="339" w:firstLine="324"/>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six months ended June 30, 2020, the Company evaluated subsequent events for recognition and measurement through August 7, 2020, the date when the consolidated financial statements were issued.</w:t>
      </w:r>
    </w:p>
    <w:p>
      <w:pPr>
        <w:spacing w:after="0" w:line="68" w:lineRule="exact"/>
        <w:rPr>
          <w:sz w:val="20"/>
          <w:szCs w:val="20"/>
          <w:color w:val="auto"/>
        </w:rPr>
      </w:pPr>
    </w:p>
    <w:p>
      <w:pPr>
        <w:ind w:left="140" w:right="179" w:firstLine="324"/>
        <w:spacing w:after="0" w:line="254" w:lineRule="auto"/>
        <w:rPr>
          <w:sz w:val="20"/>
          <w:szCs w:val="20"/>
          <w:color w:val="auto"/>
        </w:rPr>
      </w:pPr>
      <w:r>
        <w:rPr>
          <w:rFonts w:ascii="Times New Roman" w:cs="Times New Roman" w:eastAsia="Times New Roman" w:hAnsi="Times New Roman"/>
          <w:sz w:val="18"/>
          <w:szCs w:val="18"/>
          <w:color w:val="auto"/>
        </w:rPr>
        <w:t>On July 10, 2020 and July 21, 2020, the Company granted a total of 179,188 shares of restricted stock and restricted stock units and 6,136 shares of restricted stock, respectively, under the Company’s Equity Incentive Plan, at a grant date fair value of $15.48 per share, all of which are subject to performance-based vesting as determined by the achievement of certain business growth targets which include growth in annual recurring revenues as well as actual bookings for perpetual licenses and non-recurring services. Annual performance targets are seasonalized and targets are set for quarterly and annual performance periods ending on December 31, 2020. These performance-based restricted shares and units carry dividend, but not voting rights. During the year ending December 31, 2020, the Company estimates it will recognize stock-based compensation expense associated with these awards ranging from $1,721 up to $2,869, with the upper end of the range assuming all performance conditions are achieved in 2020.</w:t>
      </w:r>
    </w:p>
    <w:p>
      <w:pPr>
        <w:spacing w:after="0" w:line="80" w:lineRule="exact"/>
        <w:rPr>
          <w:sz w:val="20"/>
          <w:szCs w:val="20"/>
          <w:color w:val="auto"/>
        </w:rPr>
      </w:pPr>
    </w:p>
    <w:p>
      <w:pPr>
        <w:ind w:left="140" w:right="179" w:firstLine="324"/>
        <w:spacing w:after="0" w:line="274" w:lineRule="auto"/>
        <w:rPr>
          <w:sz w:val="20"/>
          <w:szCs w:val="20"/>
          <w:color w:val="auto"/>
        </w:rPr>
      </w:pPr>
      <w:r>
        <w:rPr>
          <w:rFonts w:ascii="Times New Roman" w:cs="Times New Roman" w:eastAsia="Times New Roman" w:hAnsi="Times New Roman"/>
          <w:sz w:val="17"/>
          <w:szCs w:val="17"/>
          <w:color w:val="auto"/>
        </w:rPr>
        <w:t>On July 10, 2020, the Company granted a total of 189,188 shares of restricted stock and restricted stock units under the Equity Incentive Plan at a grant date fair value of $15.48 per share, of which 179,188 vest ratably on each of the first four anniversaries of the grant date and 10,000 vest ratably beginning on July 13, 2021 and on the three subsequent anniversaries of that date. These restricted shares and units do not have voting rights and any dividends declared accrue on such shares and are paid only upon vesting. The Company estimates the unrecognized stock-based compensation expense associated with these awards to be $2,929, which is expected to be recognized over the four-year vesting period.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171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6" w:name="page297"/>
    <w:bookmarkEnd w:id="296"/>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23: Subsequent Events (Continued)</w:t>
      </w:r>
    </w:p>
    <w:p>
      <w:pPr>
        <w:spacing w:after="0" w:line="121"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On July 10, 2020, the Company granted a total of 994,912 shares of restricted stock and restricted stock units, including 32,238 restricted stock units that will be settled in cash, under the Equity Incentive Plan at a grant date fair value of $15.48 per share, which vest upon the earlier of the Company’s successful completion of its initial public offering or December 31, 2020. These restricted shares and units do not have voting or dividend rights, except in the case of any extraordinary dividend (as described in the Equity Incentive Plan) declared by the Company, if any, which would accrue on such shares and be paid only upon vesting. During the year ending December 31, 2020, the Company estimates it will recognize $14,902 of stock-based compensation expense for the equity-settled awards and compensation expense for the cash-settled awards in an amount equal to the Company’s initial public offering price multiplied by the number of cash-settled awards outstanding at the time of the initial public offering. This latter expense is not readily determinable as of the date hereof.</w:t>
      </w:r>
    </w:p>
    <w:p>
      <w:pPr>
        <w:spacing w:after="0" w:line="86" w:lineRule="exact"/>
        <w:rPr>
          <w:sz w:val="20"/>
          <w:szCs w:val="20"/>
          <w:color w:val="auto"/>
        </w:rPr>
      </w:pPr>
    </w:p>
    <w:p>
      <w:pPr>
        <w:ind w:left="140" w:right="159" w:firstLine="324"/>
        <w:spacing w:after="0" w:line="254" w:lineRule="auto"/>
        <w:rPr>
          <w:sz w:val="20"/>
          <w:szCs w:val="20"/>
          <w:color w:val="auto"/>
        </w:rPr>
      </w:pPr>
      <w:r>
        <w:rPr>
          <w:rFonts w:ascii="Times New Roman" w:cs="Times New Roman" w:eastAsia="Times New Roman" w:hAnsi="Times New Roman"/>
          <w:sz w:val="18"/>
          <w:szCs w:val="18"/>
          <w:color w:val="auto"/>
        </w:rPr>
        <w:t>On July 21, 2020, the Company granted a total of 1,020,472 shares of restricted stock and restricted stock units including 46,300 restricted stock units that will be settled in cash, under the Equity Incentive Plan at a grant date fair value of $15.48 per share, which vest ratably on each of the first four anniversaries of the grant date. These restricted shares and units do not have voting rights and any dividends declared accrue on such shares and are paid only upon vesting. The Company estimates the unrecognized stock-based compensation expense associated with the equity-settled awards to be $15,080, which is expected to be recognized over the four-year vesting period. The Company is not able to estimate the compensation expense associated with the cash-settled awards, which will be recognized in an amount equal to the number of cash-settled awards outstanding at vesting multiplied by the applicable fair market value of the Company’s shares at the time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7" w:name="page298"/>
    <w:bookmarkEnd w:id="297"/>
    <w:p>
      <w:pPr>
        <w:ind w:left="140"/>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367665</wp:posOffset>
            </wp:positionV>
            <wp:extent cx="5537835" cy="260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5537835"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427355</wp:posOffset>
            </wp:positionV>
            <wp:extent cx="553783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2322195</wp:posOffset>
            </wp:positionV>
            <wp:extent cx="3789045" cy="82296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3789045" cy="82296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40"/>
        <w:spacing w:after="0"/>
        <w:tabs>
          <w:tab w:leader="none" w:pos="692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8"/>
          <w:szCs w:val="28"/>
          <w:b w:val="1"/>
          <w:bCs w:val="1"/>
          <w:color w:val="auto"/>
        </w:rPr>
        <w:t>BofA Securities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RBC Capital Markets</w:t>
      </w:r>
    </w:p>
    <w:p>
      <w:pPr>
        <w:spacing w:after="0" w:line="250" w:lineRule="exact"/>
        <w:rPr>
          <w:sz w:val="20"/>
          <w:szCs w:val="20"/>
          <w:color w:val="auto"/>
        </w:rPr>
      </w:pPr>
    </w:p>
    <w:p>
      <w:pPr>
        <w:ind w:left="140"/>
        <w:spacing w:after="0"/>
        <w:tabs>
          <w:tab w:leader="none" w:pos="3260" w:val="left"/>
          <w:tab w:leader="none" w:pos="7160" w:val="left"/>
        </w:tabs>
        <w:rPr>
          <w:sz w:val="20"/>
          <w:szCs w:val="20"/>
          <w:color w:val="auto"/>
        </w:rPr>
      </w:pPr>
      <w:r>
        <w:rPr>
          <w:rFonts w:ascii="Times New Roman" w:cs="Times New Roman" w:eastAsia="Times New Roman" w:hAnsi="Times New Roman"/>
          <w:sz w:val="22"/>
          <w:szCs w:val="22"/>
          <w:b w:val="1"/>
          <w:bCs w:val="1"/>
          <w:color w:val="auto"/>
        </w:rPr>
        <w:t>Baird</w:t>
      </w:r>
      <w:r>
        <w:rPr>
          <w:sz w:val="20"/>
          <w:szCs w:val="20"/>
          <w:color w:val="auto"/>
        </w:rPr>
        <w:tab/>
      </w:r>
      <w:r>
        <w:rPr>
          <w:rFonts w:ascii="Times New Roman" w:cs="Times New Roman" w:eastAsia="Times New Roman" w:hAnsi="Times New Roman"/>
          <w:sz w:val="22"/>
          <w:szCs w:val="22"/>
          <w:b w:val="1"/>
          <w:bCs w:val="1"/>
          <w:color w:val="auto"/>
        </w:rPr>
        <w:t>KeyBanc Capital Markets</w:t>
      </w:r>
      <w:r>
        <w:rPr>
          <w:sz w:val="20"/>
          <w:szCs w:val="20"/>
          <w:color w:val="auto"/>
        </w:rPr>
        <w:tab/>
      </w:r>
      <w:r>
        <w:rPr>
          <w:rFonts w:ascii="Times New Roman" w:cs="Times New Roman" w:eastAsia="Times New Roman" w:hAnsi="Times New Roman"/>
          <w:sz w:val="21"/>
          <w:szCs w:val="21"/>
          <w:b w:val="1"/>
          <w:bCs w:val="1"/>
          <w:color w:val="auto"/>
        </w:rPr>
        <w:t>Mizuho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right="279"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2020 (the 25th day after the date of this prospectus), all dealers effecting transactions in these securities, whether or not participating in the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675005</wp:posOffset>
            </wp:positionV>
            <wp:extent cx="5537835" cy="260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5537835"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109220</wp:posOffset>
            </wp:positionV>
            <wp:extent cx="553783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5537835"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143510</wp:posOffset>
            </wp:positionV>
            <wp:extent cx="5537835" cy="342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5537835"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98" w:name="page299"/>
    <w:bookmarkEnd w:id="298"/>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all expenses to be paid by the Company in connection with this registration statement and the issuance and sale of our Class B common stock being registered hereby (other than underwriting discounts and commissions). All amounts shown are estimates except for the SEC registration fee, the FINRA filing fee, and The Nasdaq Global Select Market initial listing fee:</w:t>
      </w:r>
    </w:p>
    <w:p>
      <w:pPr>
        <w:spacing w:after="0" w:line="6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09"/>
        </w:trPr>
        <w:tc>
          <w:tcPr>
            <w:tcW w:w="4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Nasdaq Global Select Market initial listing fee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Custodian, transfer agent, and registrar fees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 w:type="dxa"/>
            <w:vAlign w:val="bottom"/>
          </w:tcPr>
          <w:p>
            <w:pPr>
              <w:spacing w:after="0"/>
              <w:rPr>
                <w:sz w:val="18"/>
                <w:szCs w:val="18"/>
                <w:color w:val="auto"/>
              </w:rPr>
            </w:pPr>
          </w:p>
        </w:tc>
        <w:tc>
          <w:tcPr>
            <w:tcW w:w="60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218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
        </w:trPr>
        <w:tc>
          <w:tcPr>
            <w:tcW w:w="2180" w:type="dxa"/>
            <w:vAlign w:val="bottom"/>
            <w:tcBorders>
              <w:bottom w:val="single" w:sz="8" w:color="auto"/>
            </w:tcBorders>
            <w:gridSpan w:val="2"/>
          </w:tcPr>
          <w:p>
            <w:pPr>
              <w:spacing w:after="0"/>
              <w:rPr>
                <w:sz w:val="7"/>
                <w:szCs w:val="7"/>
                <w:color w:val="auto"/>
              </w:rPr>
            </w:pPr>
          </w:p>
        </w:tc>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30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provided by amendment.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40" w:right="159" w:firstLine="324"/>
        <w:spacing w:after="0" w:line="255" w:lineRule="auto"/>
        <w:rPr>
          <w:sz w:val="20"/>
          <w:szCs w:val="20"/>
          <w:color w:val="auto"/>
        </w:rPr>
      </w:pPr>
      <w:r>
        <w:rPr>
          <w:rFonts w:ascii="Times New Roman" w:cs="Times New Roman" w:eastAsia="Times New Roman" w:hAnsi="Times New Roman"/>
          <w:sz w:val="18"/>
          <w:szCs w:val="18"/>
          <w:color w:val="auto"/>
        </w:rPr>
        <w:t>Section 102 of the Delaware law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Shortly following the effectiveness of this registration statement, we expect to adopt an amended and restated certificate of incorporation which will contain a provision that eliminates directors’ personal liability as set forth above.</w:t>
      </w:r>
    </w:p>
    <w:p>
      <w:pPr>
        <w:spacing w:after="0" w:line="81" w:lineRule="exact"/>
        <w:rPr>
          <w:sz w:val="20"/>
          <w:szCs w:val="20"/>
          <w:color w:val="auto"/>
        </w:rPr>
      </w:pPr>
    </w:p>
    <w:p>
      <w:pPr>
        <w:ind w:left="140" w:right="219" w:firstLine="324"/>
        <w:spacing w:after="0" w:line="253" w:lineRule="auto"/>
        <w:rPr>
          <w:sz w:val="20"/>
          <w:szCs w:val="20"/>
          <w:color w:val="auto"/>
        </w:rPr>
      </w:pPr>
      <w:r>
        <w:rPr>
          <w:rFonts w:ascii="Times New Roman" w:cs="Times New Roman" w:eastAsia="Times New Roman" w:hAnsi="Times New Roman"/>
          <w:sz w:val="18"/>
          <w:szCs w:val="18"/>
          <w:color w:val="auto"/>
        </w:rPr>
        <w:t>In addition, shortly following the effectiveness of this registration statement, we expect to adopt amended and restated by-laws, which will provide that we shall indemnify our directors and the officers designated by our board of directors to the extent permitted by the Delaware law. Section 145 of the Delaware law provides that a Delaware corporation has the power to indemnify its directors, officers, employees and agents in certain circumstances. Subsection (a) of Section 145 of the Delaware law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9" w:name="page300"/>
    <w:bookmarkEnd w:id="299"/>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right="179" w:firstLine="324"/>
        <w:spacing w:after="0" w:line="253" w:lineRule="auto"/>
        <w:rPr>
          <w:sz w:val="20"/>
          <w:szCs w:val="20"/>
          <w:color w:val="auto"/>
        </w:rPr>
      </w:pPr>
      <w:r>
        <w:rPr>
          <w:rFonts w:ascii="Times New Roman" w:cs="Times New Roman" w:eastAsia="Times New Roman" w:hAnsi="Times New Roman"/>
          <w:sz w:val="18"/>
          <w:szCs w:val="18"/>
          <w:color w:val="auto"/>
        </w:rPr>
        <w:t>Subsection (b) of Section 145 of the Delaware law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86" w:lineRule="exact"/>
        <w:rPr>
          <w:sz w:val="20"/>
          <w:szCs w:val="20"/>
          <w:color w:val="auto"/>
        </w:rPr>
      </w:pPr>
    </w:p>
    <w:p>
      <w:pPr>
        <w:ind w:left="140" w:right="159" w:firstLine="324"/>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that a director or officer or employee of a corporation has been successful in the defense of any action, suit or proceeding referred to in subsections (a) and (b)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 (b) of Section 145 is proper because the director, officer, employee or agent has met the applicable standard of conduct under such subsections shall be made by (1) a majority vote of the directors who are not parties to such action, suit or proceeding, even though less than a quorum, or (2) if there are no such directors, or if such directors so direct, by independent legal counsel in a written opinion, or (3) by the stockholders.</w:t>
      </w:r>
    </w:p>
    <w:p>
      <w:pPr>
        <w:spacing w:after="0" w:line="79" w:lineRule="exact"/>
        <w:rPr>
          <w:sz w:val="20"/>
          <w:szCs w:val="20"/>
          <w:color w:val="auto"/>
        </w:rPr>
      </w:pPr>
    </w:p>
    <w:p>
      <w:pPr>
        <w:ind w:left="140" w:right="399" w:firstLine="324"/>
        <w:spacing w:after="0" w:line="282" w:lineRule="auto"/>
        <w:rPr>
          <w:sz w:val="20"/>
          <w:szCs w:val="20"/>
          <w:color w:val="auto"/>
        </w:rPr>
      </w:pPr>
      <w:r>
        <w:rPr>
          <w:rFonts w:ascii="Times New Roman" w:cs="Times New Roman" w:eastAsia="Times New Roman" w:hAnsi="Times New Roman"/>
          <w:sz w:val="18"/>
          <w:szCs w:val="18"/>
          <w:color w:val="auto"/>
        </w:rPr>
        <w:t>We will have in effect insurance policies for general officers’ and directors’ liability insurance covering all of our officers and directors.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40" w:right="419" w:firstLine="324"/>
        <w:spacing w:after="0" w:line="266" w:lineRule="auto"/>
        <w:rPr>
          <w:sz w:val="20"/>
          <w:szCs w:val="20"/>
          <w:color w:val="auto"/>
        </w:rPr>
      </w:pPr>
      <w:r>
        <w:rPr>
          <w:rFonts w:ascii="Times New Roman" w:cs="Times New Roman" w:eastAsia="Times New Roman" w:hAnsi="Times New Roman"/>
          <w:sz w:val="18"/>
          <w:szCs w:val="18"/>
          <w:color w:val="auto"/>
        </w:rPr>
        <w:t>Since January 1, 2017, the registrant has sold the following unregistered securities. All amounts set forth below have been adjusted to give effect to a May 1, 2018 stock dividend that had the economic effect of a two-for-one stock split.</w:t>
      </w:r>
    </w:p>
    <w:p>
      <w:pPr>
        <w:spacing w:after="0" w:line="68" w:lineRule="exact"/>
        <w:rPr>
          <w:sz w:val="20"/>
          <w:szCs w:val="20"/>
          <w:color w:val="auto"/>
        </w:rPr>
      </w:pPr>
    </w:p>
    <w:p>
      <w:pPr>
        <w:ind w:left="460" w:hanging="316"/>
        <w:spacing w:after="0"/>
        <w:tabs>
          <w:tab w:leader="none" w:pos="4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Grants and Exercises</w:t>
      </w:r>
    </w:p>
    <w:p>
      <w:pPr>
        <w:spacing w:after="0" w:line="117" w:lineRule="exact"/>
        <w:rPr>
          <w:rFonts w:ascii="Times New Roman" w:cs="Times New Roman" w:eastAsia="Times New Roman" w:hAnsi="Times New Roman"/>
          <w:sz w:val="18"/>
          <w:szCs w:val="18"/>
          <w:color w:val="auto"/>
        </w:rPr>
      </w:pPr>
    </w:p>
    <w:p>
      <w:pPr>
        <w:ind w:left="1120" w:right="219" w:hanging="328"/>
        <w:spacing w:after="0" w:line="312" w:lineRule="auto"/>
        <w:tabs>
          <w:tab w:leader="none" w:pos="112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2017, the registrant granted options to purchase 4,541,902 shares of Class B common stock to certain of its colleagues and directors under the 2015 Equity Incentive Plan at an exercise price of $5.38 per share;</w:t>
      </w:r>
    </w:p>
    <w:p>
      <w:pPr>
        <w:spacing w:after="0" w:line="31" w:lineRule="exact"/>
        <w:rPr>
          <w:rFonts w:ascii="Times New Roman" w:cs="Times New Roman" w:eastAsia="Times New Roman" w:hAnsi="Times New Roman"/>
          <w:sz w:val="17"/>
          <w:szCs w:val="17"/>
          <w:color w:val="auto"/>
        </w:rPr>
      </w:pPr>
    </w:p>
    <w:p>
      <w:pPr>
        <w:ind w:left="1120" w:right="219" w:hanging="328"/>
        <w:spacing w:after="0" w:line="312" w:lineRule="auto"/>
        <w:tabs>
          <w:tab w:leader="none" w:pos="1120"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2018, the registrant granted options to purchase 5,126,000 shares of Class B common stock to certain of its colleagues and directors under the 2015 Equity Incentive Plan at an exercise price of $6.805 per share;</w:t>
      </w:r>
    </w:p>
    <w:p>
      <w:pPr>
        <w:spacing w:after="0" w:line="31" w:lineRule="exact"/>
        <w:rPr>
          <w:rFonts w:ascii="Times New Roman" w:cs="Times New Roman" w:eastAsia="Times New Roman" w:hAnsi="Times New Roman"/>
          <w:sz w:val="17"/>
          <w:szCs w:val="17"/>
          <w:color w:val="auto"/>
        </w:rPr>
      </w:pPr>
    </w:p>
    <w:p>
      <w:pPr>
        <w:ind w:left="1120" w:right="199" w:hanging="328"/>
        <w:spacing w:after="0" w:line="266" w:lineRule="auto"/>
        <w:tabs>
          <w:tab w:leader="none" w:pos="112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granted options to purchase 4,826,000 shares of Class B common stock to certain of its colleagues and directors under the 2015 Equity Incentive Plan at an exercise price of $7.24 per share; and</w:t>
      </w:r>
    </w:p>
    <w:p>
      <w:pPr>
        <w:spacing w:after="0" w:line="67"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granted options to purchase 10,000 shares of Class B common stock to certain of its colleagues and directors under the 2015 Equity Incentive Plan at an exercise price of $10.84 per share.</w:t>
      </w:r>
    </w:p>
    <w:p>
      <w:pPr>
        <w:spacing w:after="0" w:line="53" w:lineRule="exact"/>
        <w:rPr>
          <w:rFonts w:ascii="Times New Roman" w:cs="Times New Roman" w:eastAsia="Times New Roman" w:hAnsi="Times New Roman"/>
          <w:sz w:val="18"/>
          <w:szCs w:val="18"/>
          <w:color w:val="auto"/>
        </w:rPr>
      </w:pPr>
    </w:p>
    <w:p>
      <w:pPr>
        <w:ind w:left="1120" w:right="599" w:hanging="328"/>
        <w:spacing w:after="0" w:line="266" w:lineRule="auto"/>
        <w:tabs>
          <w:tab w:leader="none" w:pos="11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2,855,792 shares of Class B common stock at per share purchase prices ranging from $0.0488 to $5.23 pursuant to exercises of options granted under various employee stock option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0" w:name="page301"/>
    <w:bookmarkEnd w:id="300"/>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120" w:right="599" w:hanging="328"/>
        <w:spacing w:after="0" w:line="266"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2,824,574 shares of Class B common stock at per share purchase prices ranging from $0.3088 to $5.38 pursuant to exercises of options granted under various employee stock option plans;</w:t>
      </w:r>
    </w:p>
    <w:p>
      <w:pPr>
        <w:spacing w:after="0" w:line="67" w:lineRule="exact"/>
        <w:rPr>
          <w:rFonts w:ascii="Times New Roman" w:cs="Times New Roman" w:eastAsia="Times New Roman" w:hAnsi="Times New Roman"/>
          <w:sz w:val="18"/>
          <w:szCs w:val="18"/>
          <w:color w:val="auto"/>
        </w:rPr>
      </w:pPr>
    </w:p>
    <w:p>
      <w:pPr>
        <w:ind w:left="1120" w:right="599" w:hanging="328"/>
        <w:spacing w:after="0" w:line="266"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3,439,131 shares of Class B common stock at per share purchase prices ranging from $1.785 to $6.805 pursuant to exercises of options granted under various employee stock option plans; and</w:t>
      </w:r>
    </w:p>
    <w:p>
      <w:pPr>
        <w:spacing w:after="0" w:line="67" w:lineRule="exact"/>
        <w:rPr>
          <w:rFonts w:ascii="Times New Roman" w:cs="Times New Roman" w:eastAsia="Times New Roman" w:hAnsi="Times New Roman"/>
          <w:sz w:val="18"/>
          <w:szCs w:val="18"/>
          <w:color w:val="auto"/>
        </w:rPr>
      </w:pPr>
    </w:p>
    <w:p>
      <w:pPr>
        <w:ind w:left="1120" w:right="319" w:hanging="328"/>
        <w:spacing w:after="0" w:line="266"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to colleagues 2,184,628 shares of Class B common stock at per share purchase prices ranging from $3.495 to $7.24 pursuant to exercises of options granted under the 2015 Equity Incentive Plan.</w:t>
      </w:r>
    </w:p>
    <w:p>
      <w:pPr>
        <w:spacing w:after="0" w:line="67"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w:t>
      </w:r>
    </w:p>
    <w:p>
      <w:pPr>
        <w:spacing w:after="0" w:line="117" w:lineRule="exact"/>
        <w:rPr>
          <w:rFonts w:ascii="Times New Roman" w:cs="Times New Roman" w:eastAsia="Times New Roman" w:hAnsi="Times New Roman"/>
          <w:sz w:val="18"/>
          <w:szCs w:val="18"/>
          <w:color w:val="auto"/>
        </w:rPr>
      </w:pPr>
    </w:p>
    <w:p>
      <w:pPr>
        <w:ind w:left="1120" w:right="159" w:hanging="328"/>
        <w:spacing w:after="0" w:line="266"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granted to colleagues 109,240 fully-vested shares of Class B common stock pursuant to the 2015 Equity Incentive Plan at par value, 100,730 shares of which were ultimately issued net of tax withholding; and</w:t>
      </w:r>
    </w:p>
    <w:p>
      <w:pPr>
        <w:spacing w:after="0" w:line="67" w:lineRule="exact"/>
        <w:rPr>
          <w:rFonts w:ascii="Times New Roman" w:cs="Times New Roman" w:eastAsia="Times New Roman" w:hAnsi="Times New Roman"/>
          <w:sz w:val="18"/>
          <w:szCs w:val="18"/>
          <w:color w:val="auto"/>
        </w:rPr>
      </w:pPr>
    </w:p>
    <w:p>
      <w:pPr>
        <w:ind w:left="1120" w:right="19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17,411 fully-vested shares of Class B common stock to independent directors as compensation for board service.</w:t>
      </w:r>
    </w:p>
    <w:p>
      <w:pPr>
        <w:spacing w:after="0" w:line="53"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(“RSU”) Grants and Vesting</w:t>
      </w:r>
    </w:p>
    <w:p>
      <w:pPr>
        <w:spacing w:after="0" w:line="117" w:lineRule="exact"/>
        <w:rPr>
          <w:rFonts w:ascii="Times New Roman" w:cs="Times New Roman" w:eastAsia="Times New Roman" w:hAnsi="Times New Roman"/>
          <w:sz w:val="18"/>
          <w:szCs w:val="18"/>
          <w:color w:val="auto"/>
        </w:rPr>
      </w:pPr>
    </w:p>
    <w:p>
      <w:pPr>
        <w:ind w:left="1120" w:right="179" w:hanging="328"/>
        <w:spacing w:after="0" w:line="282" w:lineRule="auto"/>
        <w:tabs>
          <w:tab w:leader="none" w:pos="1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43,240 shares of Class B common stock at par value pursuant to vested RSUs under the 2015 Equity Incentive Plan; and</w:t>
      </w:r>
    </w:p>
    <w:p>
      <w:pPr>
        <w:spacing w:after="0" w:line="53" w:lineRule="exact"/>
        <w:rPr>
          <w:rFonts w:ascii="Times New Roman" w:cs="Times New Roman" w:eastAsia="Times New Roman" w:hAnsi="Times New Roman"/>
          <w:sz w:val="18"/>
          <w:szCs w:val="18"/>
          <w:color w:val="auto"/>
        </w:rPr>
      </w:pPr>
    </w:p>
    <w:p>
      <w:pPr>
        <w:ind w:left="1120" w:right="17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11,348 shares of Class B common stock at par value pursuant to vested RSUs under the 2015 Equity Incentive Plan; and</w:t>
      </w:r>
    </w:p>
    <w:p>
      <w:pPr>
        <w:spacing w:after="0" w:line="53" w:lineRule="exact"/>
        <w:rPr>
          <w:rFonts w:ascii="Times New Roman" w:cs="Times New Roman" w:eastAsia="Times New Roman" w:hAnsi="Times New Roman"/>
          <w:sz w:val="18"/>
          <w:szCs w:val="18"/>
          <w:color w:val="auto"/>
        </w:rPr>
      </w:pPr>
    </w:p>
    <w:p>
      <w:pPr>
        <w:ind w:left="1120" w:right="17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23,592 shares of Class B common stock at par value pursuant to vested RSUs under the 2015 Equity Incentive Plan.</w:t>
      </w:r>
    </w:p>
    <w:p>
      <w:pPr>
        <w:spacing w:after="0" w:line="53"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Grants and Vesting</w:t>
      </w:r>
    </w:p>
    <w:p>
      <w:pPr>
        <w:spacing w:after="0" w:line="117"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240,672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570,286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1120" w:right="379" w:hanging="328"/>
        <w:spacing w:after="0" w:line="282" w:lineRule="auto"/>
        <w:tabs>
          <w:tab w:leader="none" w:pos="1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493,840 shares of restricted Class B common stock to colleagues under the 2015 Equity Incentive Plan;</w:t>
      </w:r>
    </w:p>
    <w:p>
      <w:pPr>
        <w:spacing w:after="0" w:line="53" w:lineRule="exact"/>
        <w:rPr>
          <w:rFonts w:ascii="Times New Roman" w:cs="Times New Roman" w:eastAsia="Times New Roman" w:hAnsi="Times New Roman"/>
          <w:sz w:val="18"/>
          <w:szCs w:val="18"/>
          <w:color w:val="auto"/>
        </w:rPr>
      </w:pPr>
    </w:p>
    <w:p>
      <w:pPr>
        <w:ind w:left="1120" w:right="23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2,389,896 shares of restricted Class B common stock to colleagues under the 2015 Equity Incentive Plan; and</w:t>
      </w:r>
    </w:p>
    <w:p>
      <w:pPr>
        <w:spacing w:after="0" w:line="53" w:lineRule="exact"/>
        <w:rPr>
          <w:rFonts w:ascii="Times New Roman" w:cs="Times New Roman" w:eastAsia="Times New Roman" w:hAnsi="Times New Roman"/>
          <w:sz w:val="18"/>
          <w:szCs w:val="18"/>
          <w:color w:val="auto"/>
        </w:rPr>
      </w:pPr>
    </w:p>
    <w:p>
      <w:pPr>
        <w:ind w:left="1120" w:right="17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12,454 shares of restricted Class B common stock to independent directors as compensation for board service.</w:t>
      </w:r>
    </w:p>
    <w:p>
      <w:pPr>
        <w:spacing w:after="0" w:line="53" w:lineRule="exact"/>
        <w:rPr>
          <w:rFonts w:ascii="Times New Roman" w:cs="Times New Roman" w:eastAsia="Times New Roman" w:hAnsi="Times New Roman"/>
          <w:sz w:val="18"/>
          <w:szCs w:val="18"/>
          <w:color w:val="auto"/>
        </w:rPr>
      </w:pPr>
    </w:p>
    <w:p>
      <w:pPr>
        <w:ind w:left="1120" w:right="159" w:hanging="328"/>
        <w:spacing w:after="0" w:line="282" w:lineRule="auto"/>
        <w:tabs>
          <w:tab w:leader="none" w:pos="11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to colleagues 85,912 shares of Class B common stock at par value pursuant to vested restricted stock awards under the 2015 Equity Incentive Plan;</w:t>
      </w:r>
    </w:p>
    <w:p>
      <w:pPr>
        <w:spacing w:after="0" w:line="53" w:lineRule="exact"/>
        <w:rPr>
          <w:rFonts w:ascii="Times New Roman" w:cs="Times New Roman" w:eastAsia="Times New Roman" w:hAnsi="Times New Roman"/>
          <w:sz w:val="18"/>
          <w:szCs w:val="18"/>
          <w:color w:val="auto"/>
        </w:rPr>
      </w:pPr>
    </w:p>
    <w:p>
      <w:pPr>
        <w:ind w:left="1120" w:right="25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to colleagues 296,013 shares of Class B common stock at par value pursuant to vested restricted stock awards under the 2015 Equity Incentive Plan;</w:t>
      </w:r>
    </w:p>
    <w:p>
      <w:pPr>
        <w:spacing w:after="0" w:line="53" w:lineRule="exact"/>
        <w:rPr>
          <w:rFonts w:ascii="Times New Roman" w:cs="Times New Roman" w:eastAsia="Times New Roman" w:hAnsi="Times New Roman"/>
          <w:sz w:val="18"/>
          <w:szCs w:val="18"/>
          <w:color w:val="auto"/>
        </w:rPr>
      </w:pPr>
    </w:p>
    <w:p>
      <w:pPr>
        <w:ind w:left="1120" w:right="25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to colleagues 261,104 shares of Class B common stock at par value pursuant to vested restricted stock awards under the 2015 Equity Incentive Plan; and</w:t>
      </w:r>
    </w:p>
    <w:p>
      <w:pPr>
        <w:spacing w:after="0" w:line="53" w:lineRule="exact"/>
        <w:rPr>
          <w:rFonts w:ascii="Times New Roman" w:cs="Times New Roman" w:eastAsia="Times New Roman" w:hAnsi="Times New Roman"/>
          <w:sz w:val="18"/>
          <w:szCs w:val="18"/>
          <w:color w:val="auto"/>
        </w:rPr>
      </w:pPr>
    </w:p>
    <w:p>
      <w:pPr>
        <w:ind w:left="1120" w:right="159" w:hanging="328"/>
        <w:spacing w:after="0" w:line="282" w:lineRule="auto"/>
        <w:tabs>
          <w:tab w:leader="none" w:pos="112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the registrant issued to colleagues 60,221 shares of Class B common stock at par value pursuant to vested restricted stock awards under the 2015 Equity Incentive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1" w:name="page302"/>
    <w:bookmarkEnd w:id="301"/>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80" w:hanging="336"/>
        <w:spacing w:after="0"/>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Deferred Compensation Plan Distributions</w:t>
      </w:r>
    </w:p>
    <w:p>
      <w:pPr>
        <w:spacing w:after="0" w:line="117" w:lineRule="exact"/>
        <w:rPr>
          <w:rFonts w:ascii="Times New Roman" w:cs="Times New Roman" w:eastAsia="Times New Roman" w:hAnsi="Times New Roman"/>
          <w:sz w:val="18"/>
          <w:szCs w:val="18"/>
          <w:color w:val="auto"/>
        </w:rPr>
      </w:pPr>
    </w:p>
    <w:p>
      <w:pPr>
        <w:ind w:left="1120" w:right="599" w:hanging="328"/>
        <w:spacing w:after="0" w:line="282"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1,526,494 shares of Class B common stock at par value to colleagues in connection with distributions from the Nonqualified Deferred Compensation Plan;</w:t>
      </w:r>
    </w:p>
    <w:p>
      <w:pPr>
        <w:spacing w:after="0" w:line="53" w:lineRule="exact"/>
        <w:rPr>
          <w:rFonts w:ascii="Times New Roman" w:cs="Times New Roman" w:eastAsia="Times New Roman" w:hAnsi="Times New Roman"/>
          <w:sz w:val="18"/>
          <w:szCs w:val="18"/>
          <w:color w:val="auto"/>
        </w:rPr>
      </w:pPr>
    </w:p>
    <w:p>
      <w:pPr>
        <w:ind w:left="1120" w:right="599" w:hanging="328"/>
        <w:spacing w:after="0" w:line="282"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2,332,585 shares of Class B common stock at par value to colleagues in connection with distributions from the Nonqualified Deferred Compensation Plan;</w:t>
      </w:r>
    </w:p>
    <w:p>
      <w:pPr>
        <w:spacing w:after="0" w:line="53" w:lineRule="exact"/>
        <w:rPr>
          <w:rFonts w:ascii="Times New Roman" w:cs="Times New Roman" w:eastAsia="Times New Roman" w:hAnsi="Times New Roman"/>
          <w:sz w:val="18"/>
          <w:szCs w:val="18"/>
          <w:color w:val="auto"/>
        </w:rPr>
      </w:pPr>
    </w:p>
    <w:p>
      <w:pPr>
        <w:ind w:left="1120" w:right="599" w:hanging="328"/>
        <w:spacing w:after="0" w:line="282"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2,322,983 shares of Class B common stock at par value to colleagues in connection with distributions from the Nonqualified Deferred Compensation Plan; and</w:t>
      </w:r>
    </w:p>
    <w:p>
      <w:pPr>
        <w:spacing w:after="0" w:line="53" w:lineRule="exact"/>
        <w:rPr>
          <w:rFonts w:ascii="Times New Roman" w:cs="Times New Roman" w:eastAsia="Times New Roman" w:hAnsi="Times New Roman"/>
          <w:sz w:val="18"/>
          <w:szCs w:val="18"/>
          <w:color w:val="auto"/>
        </w:rPr>
      </w:pPr>
    </w:p>
    <w:p>
      <w:pPr>
        <w:ind w:left="1120" w:right="219" w:hanging="328"/>
        <w:spacing w:after="0" w:line="266"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1, 2020 to June 30, 2020, the registrant issued 2,959,731 shares of Class B common stock at par value to colleagues in connection with distributions from the Nonqualified Deferred Compensation Plan.</w:t>
      </w:r>
    </w:p>
    <w:p>
      <w:pPr>
        <w:spacing w:after="0" w:line="67" w:lineRule="exact"/>
        <w:rPr>
          <w:rFonts w:ascii="Times New Roman" w:cs="Times New Roman" w:eastAsia="Times New Roman" w:hAnsi="Times New Roman"/>
          <w:sz w:val="18"/>
          <w:szCs w:val="18"/>
          <w:color w:val="auto"/>
        </w:rPr>
      </w:pPr>
    </w:p>
    <w:p>
      <w:pPr>
        <w:ind w:left="460" w:hanging="316"/>
        <w:spacing w:after="0"/>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Issuances</w:t>
      </w:r>
    </w:p>
    <w:p>
      <w:pPr>
        <w:spacing w:after="0" w:line="117" w:lineRule="exact"/>
        <w:rPr>
          <w:rFonts w:ascii="Times New Roman" w:cs="Times New Roman" w:eastAsia="Times New Roman" w:hAnsi="Times New Roman"/>
          <w:sz w:val="18"/>
          <w:szCs w:val="18"/>
          <w:color w:val="auto"/>
        </w:rPr>
      </w:pPr>
    </w:p>
    <w:p>
      <w:pPr>
        <w:ind w:left="1120" w:right="279" w:hanging="328"/>
        <w:spacing w:after="0" w:line="266" w:lineRule="auto"/>
        <w:tabs>
          <w:tab w:leader="none" w:pos="11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registrant issued and sold an aggregate of 6,035,736 shares of Class B common stock to Siemens Corporation pursuant to the Common Stock Purchase Agreement. 4,336,940 of such shares were sold at a per share price of $5.38, and 1,698,796 of such shares were sold at a per share price of $5.73;</w:t>
      </w:r>
    </w:p>
    <w:p>
      <w:pPr>
        <w:spacing w:after="0" w:line="67" w:lineRule="exact"/>
        <w:rPr>
          <w:rFonts w:ascii="Times New Roman" w:cs="Times New Roman" w:eastAsia="Times New Roman" w:hAnsi="Times New Roman"/>
          <w:sz w:val="18"/>
          <w:szCs w:val="18"/>
          <w:color w:val="auto"/>
        </w:rPr>
      </w:pPr>
    </w:p>
    <w:p>
      <w:pPr>
        <w:ind w:left="1120" w:right="279" w:hanging="328"/>
        <w:spacing w:after="0" w:line="266" w:lineRule="auto"/>
        <w:tabs>
          <w:tab w:leader="none" w:pos="11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an aggregate of 2,139,466 shares of Class B common stock to Siemens Corporation pursuant to the Common Stock Purchase Agreement. 1,249,067 of such shares were sold at a per share price of $6.805, and 890,399 of such shares were sold at a per share price of $8.67;</w:t>
      </w:r>
    </w:p>
    <w:p>
      <w:pPr>
        <w:spacing w:after="0" w:line="67" w:lineRule="exact"/>
        <w:rPr>
          <w:rFonts w:ascii="Times New Roman" w:cs="Times New Roman" w:eastAsia="Times New Roman" w:hAnsi="Times New Roman"/>
          <w:sz w:val="18"/>
          <w:szCs w:val="18"/>
          <w:color w:val="auto"/>
        </w:rPr>
      </w:pPr>
    </w:p>
    <w:p>
      <w:pPr>
        <w:ind w:left="1120" w:right="219" w:hanging="328"/>
        <w:spacing w:after="0" w:line="282" w:lineRule="auto"/>
        <w:tabs>
          <w:tab w:leader="none" w:pos="11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and sold 57,670 restricted shares of Class B common stock to a colleague for a per share price of $8.67;</w:t>
      </w:r>
    </w:p>
    <w:p>
      <w:pPr>
        <w:spacing w:after="0" w:line="53" w:lineRule="exact"/>
        <w:rPr>
          <w:rFonts w:ascii="Times New Roman" w:cs="Times New Roman" w:eastAsia="Times New Roman" w:hAnsi="Times New Roman"/>
          <w:sz w:val="18"/>
          <w:szCs w:val="18"/>
          <w:color w:val="auto"/>
        </w:rPr>
      </w:pPr>
    </w:p>
    <w:p>
      <w:pPr>
        <w:ind w:left="1120" w:right="259" w:hanging="328"/>
        <w:spacing w:after="0" w:line="266"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the registrant issued options to acquire a total of 900,000 shares of Class B common stock to five entities in connection with the acquisition of all the outstanding equity interests of a company at an exercise price of $6.805 per share;</w:t>
      </w:r>
    </w:p>
    <w:p>
      <w:pPr>
        <w:spacing w:after="0" w:line="67" w:lineRule="exact"/>
        <w:rPr>
          <w:rFonts w:ascii="Times New Roman" w:cs="Times New Roman" w:eastAsia="Times New Roman" w:hAnsi="Times New Roman"/>
          <w:sz w:val="18"/>
          <w:szCs w:val="18"/>
          <w:color w:val="auto"/>
        </w:rPr>
      </w:pPr>
    </w:p>
    <w:p>
      <w:pPr>
        <w:ind w:left="1120" w:right="459" w:hanging="328"/>
        <w:spacing w:after="0" w:line="266" w:lineRule="auto"/>
        <w:tabs>
          <w:tab w:leader="none" w:pos="112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registrant issued and sold an aggregate of 622,873 shares of Class B common stock to Siemens Corporation pursuant to the Common Stock Purchase Agreement at a per share price of $7.24; and</w:t>
      </w:r>
    </w:p>
    <w:p>
      <w:pPr>
        <w:spacing w:after="0" w:line="67" w:lineRule="exact"/>
        <w:rPr>
          <w:rFonts w:ascii="Times New Roman" w:cs="Times New Roman" w:eastAsia="Times New Roman" w:hAnsi="Times New Roman"/>
          <w:sz w:val="18"/>
          <w:szCs w:val="18"/>
          <w:color w:val="auto"/>
        </w:rPr>
      </w:pPr>
    </w:p>
    <w:p>
      <w:pPr>
        <w:ind w:left="1120" w:right="379" w:hanging="328"/>
        <w:spacing w:after="0" w:line="312" w:lineRule="auto"/>
        <w:tabs>
          <w:tab w:leader="none" w:pos="1129"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2020, the registrant issued and sold an aggregate of 3,769,346 shares of Class B common stock to Siemens Corporation pursuant to the Common Stock Purchase Agreement at a per share price of $15.48.</w:t>
      </w:r>
    </w:p>
    <w:p>
      <w:pPr>
        <w:spacing w:after="0" w:line="32" w:lineRule="exact"/>
        <w:rPr>
          <w:sz w:val="20"/>
          <w:szCs w:val="20"/>
          <w:color w:val="auto"/>
        </w:rPr>
      </w:pPr>
    </w:p>
    <w:p>
      <w:pPr>
        <w:ind w:left="140" w:right="199" w:firstLine="324"/>
        <w:spacing w:after="0" w:line="261" w:lineRule="auto"/>
        <w:rPr>
          <w:sz w:val="20"/>
          <w:szCs w:val="20"/>
          <w:color w:val="auto"/>
        </w:rPr>
      </w:pPr>
      <w:r>
        <w:rPr>
          <w:rFonts w:ascii="Times New Roman" w:cs="Times New Roman" w:eastAsia="Times New Roman" w:hAnsi="Times New Roman"/>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w:t>
      </w:r>
    </w:p>
    <w:p>
      <w:pPr>
        <w:spacing w:after="0" w:line="72" w:lineRule="exact"/>
        <w:rPr>
          <w:sz w:val="20"/>
          <w:szCs w:val="20"/>
          <w:color w:val="auto"/>
        </w:rPr>
      </w:pPr>
    </w:p>
    <w:p>
      <w:pPr>
        <w:ind w:left="140" w:right="219" w:firstLine="324"/>
        <w:spacing w:after="0" w:line="261" w:lineRule="auto"/>
        <w:rPr>
          <w:sz w:val="20"/>
          <w:szCs w:val="20"/>
          <w:color w:val="auto"/>
        </w:rPr>
      </w:pPr>
      <w:r>
        <w:rPr>
          <w:rFonts w:ascii="Times New Roman" w:cs="Times New Roman" w:eastAsia="Times New Roman" w:hAnsi="Times New Roman"/>
          <w:sz w:val="18"/>
          <w:szCs w:val="18"/>
          <w:color w:val="auto"/>
        </w:rPr>
        <w:t>The recipients of the securities in each of these transactions represented their intentions to acquire the securities for investment only and not with a view to or for sale in connection with any distribution thereof, and either received or had adequate access, through employment, business or other relationships, to information about us. The sales of these securities were made without general solicitation or advertising and without the involvement of any underwriter.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2" w:name="page303"/>
    <w:bookmarkEnd w:id="302"/>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74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6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Form of Amended and Restated Certificate of Incorporation of Bentley Systems, Incorporated, to be in effect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shortly following the effectiveness of the registration statement</w:t>
            </w: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Amended and Restated By-Laws of Bentley Systems, Incorporated, to be in effect shortly following</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effectiveness of the registration statement</w:t>
            </w: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Registrant’s Class B common stock certificate of Bentley Systems, Incorporated</w:t>
            </w: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Opinion of Simpson Thacher &amp; Bartlett LLP</w:t>
            </w:r>
          </w:p>
        </w:tc>
        <w:tc>
          <w:tcPr>
            <w:tcW w:w="0" w:type="dxa"/>
            <w:vAlign w:val="bottom"/>
          </w:tcPr>
          <w:p>
            <w:pPr>
              <w:spacing w:after="0"/>
              <w:rPr>
                <w:sz w:val="1"/>
                <w:szCs w:val="1"/>
                <w:color w:val="auto"/>
              </w:rPr>
            </w:pPr>
          </w:p>
        </w:tc>
      </w:tr>
      <w:tr>
        <w:trPr>
          <w:trHeight w:val="194"/>
        </w:trPr>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6"/>
                <w:szCs w:val="16"/>
                <w:color w:val="auto"/>
              </w:rPr>
            </w:pPr>
          </w:p>
        </w:tc>
        <w:tc>
          <w:tcPr>
            <w:tcW w:w="7880" w:type="dxa"/>
            <w:vAlign w:val="bottom"/>
            <w:gridSpan w:val="10"/>
          </w:tcPr>
          <w:p>
            <w:pPr>
              <w:spacing w:after="0" w:line="194" w:lineRule="exact"/>
              <w:rPr>
                <w:rFonts w:ascii="Times New Roman" w:cs="Times New Roman" w:eastAsia="Times New Roman" w:hAnsi="Times New Roman"/>
                <w:sz w:val="18"/>
                <w:szCs w:val="18"/>
                <w:color w:val="0000EE"/>
              </w:rPr>
            </w:pPr>
            <w:hyperlink r:id="rId1056">
              <w:r>
                <w:rPr>
                  <w:rFonts w:ascii="Times New Roman" w:cs="Times New Roman" w:eastAsia="Times New Roman" w:hAnsi="Times New Roman"/>
                  <w:sz w:val="18"/>
                  <w:szCs w:val="18"/>
                  <w:color w:val="0000EE"/>
                </w:rPr>
                <w:t>Amended and Restated Credit Agreement, dated as of December 19, 2017, by and among the Registrant,</w:t>
              </w:r>
            </w:hyperlink>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40" w:type="dxa"/>
            <w:vAlign w:val="bottom"/>
            <w:tcBorders>
              <w:top w:val="single" w:sz="8" w:color="0000EE"/>
            </w:tcBorders>
            <w:gridSpan w:val="5"/>
          </w:tcPr>
          <w:p>
            <w:pPr>
              <w:spacing w:after="0"/>
              <w:rPr>
                <w:rFonts w:ascii="Times New Roman" w:cs="Times New Roman" w:eastAsia="Times New Roman" w:hAnsi="Times New Roman"/>
                <w:sz w:val="18"/>
                <w:szCs w:val="18"/>
                <w:u w:val="single" w:color="auto"/>
                <w:color w:val="0000EE"/>
              </w:rPr>
            </w:pPr>
            <w:hyperlink r:id="rId1056">
              <w:r>
                <w:rPr>
                  <w:rFonts w:ascii="Times New Roman" w:cs="Times New Roman" w:eastAsia="Times New Roman" w:hAnsi="Times New Roman"/>
                  <w:sz w:val="18"/>
                  <w:szCs w:val="18"/>
                  <w:u w:val="single" w:color="auto"/>
                  <w:color w:val="0000EE"/>
                </w:rPr>
                <w:t>PNC Bank National Association, as administrative agent, and the lenders party thereto</w:t>
              </w:r>
            </w:hyperlink>
          </w:p>
        </w:tc>
        <w:tc>
          <w:tcPr>
            <w:tcW w:w="3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6"/>
                <w:szCs w:val="16"/>
                <w:color w:val="auto"/>
              </w:rPr>
            </w:pPr>
          </w:p>
        </w:tc>
        <w:tc>
          <w:tcPr>
            <w:tcW w:w="76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r:id="rId1057">
              <w:r>
                <w:rPr>
                  <w:rFonts w:ascii="Times New Roman" w:cs="Times New Roman" w:eastAsia="Times New Roman" w:hAnsi="Times New Roman"/>
                  <w:sz w:val="18"/>
                  <w:szCs w:val="18"/>
                  <w:color w:val="0000EE"/>
                  <w:w w:val="99"/>
                </w:rPr>
                <w:t>Common Stock Purchase Agreement, by and among the Registrant, Siemens AG, and the persons listed as</w:t>
              </w:r>
            </w:hyperlink>
          </w:p>
        </w:tc>
        <w:tc>
          <w:tcPr>
            <w:tcW w:w="2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r:id="rId1057">
              <w:r>
                <w:rPr>
                  <w:rFonts w:ascii="Times New Roman" w:cs="Times New Roman" w:eastAsia="Times New Roman" w:hAnsi="Times New Roman"/>
                  <w:sz w:val="18"/>
                  <w:szCs w:val="18"/>
                  <w:u w:val="single" w:color="auto"/>
                  <w:color w:val="0000EE"/>
                </w:rPr>
                <w:t>“Key Holders” therein, dated September 23, 2016, as amended on October 28, 2016, and April 23, 2018</w:t>
              </w:r>
            </w:hyperlink>
          </w:p>
        </w:tc>
        <w:tc>
          <w:tcPr>
            <w:tcW w:w="0" w:type="dxa"/>
            <w:vAlign w:val="bottom"/>
          </w:tcPr>
          <w:p>
            <w:pPr>
              <w:spacing w:after="0"/>
              <w:rPr>
                <w:sz w:val="1"/>
                <w:szCs w:val="1"/>
                <w:color w:val="auto"/>
              </w:rPr>
            </w:pPr>
          </w:p>
        </w:tc>
      </w:tr>
      <w:tr>
        <w:trPr>
          <w:trHeight w:val="194"/>
        </w:trPr>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6"/>
                <w:szCs w:val="16"/>
                <w:color w:val="auto"/>
              </w:rPr>
            </w:pPr>
          </w:p>
        </w:tc>
        <w:tc>
          <w:tcPr>
            <w:tcW w:w="7880" w:type="dxa"/>
            <w:vAlign w:val="bottom"/>
            <w:gridSpan w:val="10"/>
          </w:tcPr>
          <w:p>
            <w:pPr>
              <w:spacing w:after="0" w:line="194" w:lineRule="exact"/>
              <w:rPr>
                <w:rFonts w:ascii="Times New Roman" w:cs="Times New Roman" w:eastAsia="Times New Roman" w:hAnsi="Times New Roman"/>
                <w:sz w:val="18"/>
                <w:szCs w:val="18"/>
                <w:color w:val="0000EE"/>
              </w:rPr>
            </w:pPr>
            <w:hyperlink r:id="rId1058">
              <w:r>
                <w:rPr>
                  <w:rFonts w:ascii="Times New Roman" w:cs="Times New Roman" w:eastAsia="Times New Roman" w:hAnsi="Times New Roman"/>
                  <w:sz w:val="18"/>
                  <w:szCs w:val="18"/>
                  <w:color w:val="0000EE"/>
                </w:rPr>
                <w:t>Registration Rights Agreement, dated as of January 24, 2017, by and between the Registrant and Siemens</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058">
              <w:r>
                <w:rPr>
                  <w:rFonts w:ascii="Times New Roman" w:cs="Times New Roman" w:eastAsia="Times New Roman" w:hAnsi="Times New Roman"/>
                  <w:sz w:val="18"/>
                  <w:szCs w:val="18"/>
                  <w:color w:val="0000EE"/>
                  <w:w w:val="98"/>
                </w:rPr>
                <w:t>Corporation</w:t>
              </w:r>
            </w:hyperlink>
          </w:p>
        </w:tc>
        <w:tc>
          <w:tcPr>
            <w:tcW w:w="6740" w:type="dxa"/>
            <w:vAlign w:val="bottom"/>
            <w:tcBorders>
              <w:top w:val="single" w:sz="8" w:color="0000EE"/>
            </w:tcBorders>
            <w:gridSpan w:val="3"/>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06">
              <w:r>
                <w:rPr>
                  <w:rFonts w:ascii="Times New Roman" w:cs="Times New Roman" w:eastAsia="Times New Roman" w:hAnsi="Times New Roman"/>
                  <w:sz w:val="18"/>
                  <w:szCs w:val="18"/>
                  <w:u w:val="single" w:color="auto"/>
                  <w:color w:val="0000EE"/>
                </w:rPr>
                <w:t>Form of Bentley Systems, Incorporated Bonus Pool Plan, as amended and restated</w:t>
              </w:r>
            </w:hyperlink>
          </w:p>
        </w:tc>
        <w:tc>
          <w:tcPr>
            <w:tcW w:w="0" w:type="dxa"/>
            <w:vAlign w:val="bottom"/>
          </w:tcPr>
          <w:p>
            <w:pPr>
              <w:spacing w:after="0"/>
              <w:rPr>
                <w:sz w:val="1"/>
                <w:szCs w:val="1"/>
                <w:color w:val="auto"/>
              </w:rPr>
            </w:pPr>
          </w:p>
        </w:tc>
      </w:tr>
      <w:tr>
        <w:trPr>
          <w:trHeight w:val="194"/>
        </w:trPr>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6"/>
                <w:szCs w:val="16"/>
                <w:color w:val="auto"/>
              </w:rPr>
            </w:pPr>
          </w:p>
        </w:tc>
        <w:tc>
          <w:tcPr>
            <w:tcW w:w="778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059">
              <w:r>
                <w:rPr>
                  <w:rFonts w:ascii="Times New Roman" w:cs="Times New Roman" w:eastAsia="Times New Roman" w:hAnsi="Times New Roman"/>
                  <w:sz w:val="18"/>
                  <w:szCs w:val="18"/>
                  <w:color w:val="0000EE"/>
                  <w:w w:val="99"/>
                </w:rPr>
                <w:t>Bentley Systems, Incorporated 2015 Equity Incentive Plan, as amended and restated effective as of May 29,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059">
              <w:r>
                <w:rPr>
                  <w:rFonts w:ascii="Times New Roman" w:cs="Times New Roman" w:eastAsia="Times New Roman" w:hAnsi="Times New Roman"/>
                  <w:sz w:val="18"/>
                  <w:szCs w:val="18"/>
                  <w:color w:val="0000EE"/>
                  <w:w w:val="94"/>
                </w:rPr>
                <w:t>2018</w:t>
              </w:r>
            </w:hyperlink>
          </w:p>
        </w:tc>
        <w:tc>
          <w:tcPr>
            <w:tcW w:w="5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15">
              <w:r>
                <w:rPr>
                  <w:rFonts w:ascii="Times New Roman" w:cs="Times New Roman" w:eastAsia="Times New Roman" w:hAnsi="Times New Roman"/>
                  <w:sz w:val="18"/>
                  <w:szCs w:val="18"/>
                  <w:u w:val="single" w:color="auto"/>
                  <w:color w:val="0000EE"/>
                </w:rPr>
                <w:t>Form of Bentley Systems, Incorporated Nonqualified Deferred Compensation Plan</w:t>
              </w:r>
            </w:hyperlink>
          </w:p>
        </w:tc>
        <w:tc>
          <w:tcPr>
            <w:tcW w:w="0" w:type="dxa"/>
            <w:vAlign w:val="bottom"/>
          </w:tcPr>
          <w:p>
            <w:pPr>
              <w:spacing w:after="0"/>
              <w:rPr>
                <w:sz w:val="1"/>
                <w:szCs w:val="1"/>
                <w:color w:val="auto"/>
              </w:rPr>
            </w:pPr>
          </w:p>
        </w:tc>
      </w:tr>
      <w:tr>
        <w:trPr>
          <w:trHeight w:val="194"/>
        </w:trPr>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6"/>
                <w:szCs w:val="16"/>
                <w:color w:val="auto"/>
              </w:rPr>
            </w:pPr>
          </w:p>
        </w:tc>
        <w:tc>
          <w:tcPr>
            <w:tcW w:w="7880" w:type="dxa"/>
            <w:vAlign w:val="bottom"/>
            <w:gridSpan w:val="10"/>
          </w:tcPr>
          <w:p>
            <w:pPr>
              <w:spacing w:after="0" w:line="194" w:lineRule="exact"/>
              <w:rPr>
                <w:rFonts w:ascii="Times New Roman" w:cs="Times New Roman" w:eastAsia="Times New Roman" w:hAnsi="Times New Roman"/>
                <w:sz w:val="18"/>
                <w:szCs w:val="18"/>
                <w:color w:val="0000EE"/>
              </w:rPr>
            </w:pPr>
            <w:hyperlink w:anchor="page349">
              <w:r>
                <w:rPr>
                  <w:rFonts w:ascii="Times New Roman" w:cs="Times New Roman" w:eastAsia="Times New Roman" w:hAnsi="Times New Roman"/>
                  <w:sz w:val="18"/>
                  <w:szCs w:val="18"/>
                  <w:color w:val="0000EE"/>
                </w:rPr>
                <w:t>Bentley Systems, Incorporated Nonqualified Deferred Compensation Plan for Non-Employee Directors, as</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49">
              <w:r>
                <w:rPr>
                  <w:rFonts w:ascii="Times New Roman" w:cs="Times New Roman" w:eastAsia="Times New Roman" w:hAnsi="Times New Roman"/>
                  <w:sz w:val="18"/>
                  <w:szCs w:val="18"/>
                  <w:color w:val="0000EE"/>
                </w:rPr>
                <w:t>amended and restated as of January 1, 2015</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377">
              <w:r>
                <w:rPr>
                  <w:rFonts w:ascii="Times New Roman" w:cs="Times New Roman" w:eastAsia="Times New Roman" w:hAnsi="Times New Roman"/>
                  <w:sz w:val="18"/>
                  <w:szCs w:val="18"/>
                  <w:u w:val="single" w:color="auto"/>
                  <w:color w:val="0000EE"/>
                </w:rPr>
                <w:t>Form of Bentley Systems, Incorporated 2020 Omnibus Incentive Plan</w:t>
              </w:r>
            </w:hyperlink>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401">
              <w:r>
                <w:rPr>
                  <w:rFonts w:ascii="Times New Roman" w:cs="Times New Roman" w:eastAsia="Times New Roman" w:hAnsi="Times New Roman"/>
                  <w:sz w:val="18"/>
                  <w:szCs w:val="18"/>
                  <w:u w:val="single" w:color="auto"/>
                  <w:color w:val="0000EE"/>
                </w:rPr>
                <w:t>Form of Bentley Systems, Incorporated Global Employee Stock Purchase Plan</w:t>
              </w:r>
            </w:hyperlink>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414">
              <w:r>
                <w:rPr>
                  <w:rFonts w:ascii="Times New Roman" w:cs="Times New Roman" w:eastAsia="Times New Roman" w:hAnsi="Times New Roman"/>
                  <w:sz w:val="18"/>
                  <w:szCs w:val="18"/>
                  <w:u w:val="single" w:color="auto"/>
                  <w:color w:val="0000EE"/>
                </w:rPr>
                <w:t>Amendment to the Amended and Restated Credit Agreement, dated as of September 2, 2020</w:t>
              </w:r>
            </w:hyperlink>
          </w:p>
        </w:tc>
        <w:tc>
          <w:tcPr>
            <w:tcW w:w="0" w:type="dxa"/>
            <w:vAlign w:val="bottom"/>
          </w:tcPr>
          <w:p>
            <w:pPr>
              <w:spacing w:after="0"/>
              <w:rPr>
                <w:sz w:val="1"/>
                <w:szCs w:val="1"/>
                <w:color w:val="auto"/>
              </w:rPr>
            </w:pPr>
          </w:p>
        </w:tc>
      </w:tr>
      <w:tr>
        <w:trPr>
          <w:trHeight w:val="216"/>
        </w:trPr>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595">
              <w:r>
                <w:rPr>
                  <w:rFonts w:ascii="Times New Roman" w:cs="Times New Roman" w:eastAsia="Times New Roman" w:hAnsi="Times New Roman"/>
                  <w:sz w:val="18"/>
                  <w:szCs w:val="18"/>
                  <w:u w:val="single" w:color="auto"/>
                  <w:color w:val="0000EE"/>
                </w:rPr>
                <w:t>List of Subsidiaries of Registrant</w:t>
              </w:r>
            </w:hyperlink>
          </w:p>
        </w:tc>
        <w:tc>
          <w:tcPr>
            <w:tcW w:w="0" w:type="dxa"/>
            <w:vAlign w:val="bottom"/>
          </w:tcPr>
          <w:p>
            <w:pPr>
              <w:spacing w:after="0"/>
              <w:rPr>
                <w:sz w:val="1"/>
                <w:szCs w:val="1"/>
                <w:color w:val="auto"/>
              </w:rPr>
            </w:pPr>
          </w:p>
        </w:tc>
      </w:tr>
      <w:tr>
        <w:trPr>
          <w:trHeight w:val="216"/>
        </w:trPr>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w:anchor="page597">
              <w:r>
                <w:rPr>
                  <w:rFonts w:ascii="Times New Roman" w:cs="Times New Roman" w:eastAsia="Times New Roman" w:hAnsi="Times New Roman"/>
                  <w:sz w:val="18"/>
                  <w:szCs w:val="18"/>
                  <w:u w:val="single" w:color="auto"/>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78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in Exhibit 5.1)</w:t>
            </w: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r:id="rId1060">
              <w:r>
                <w:rPr>
                  <w:rFonts w:ascii="Times New Roman" w:cs="Times New Roman" w:eastAsia="Times New Roman" w:hAnsi="Times New Roman"/>
                  <w:sz w:val="18"/>
                  <w:szCs w:val="18"/>
                  <w:u w:val="single" w:color="auto"/>
                  <w:color w:val="0000EE"/>
                </w:rPr>
                <w:t>Consent of Cambashi Limited</w:t>
              </w:r>
            </w:hyperlink>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r:id="rId1061">
              <w:r>
                <w:rPr>
                  <w:rFonts w:ascii="Times New Roman" w:cs="Times New Roman" w:eastAsia="Times New Roman" w:hAnsi="Times New Roman"/>
                  <w:sz w:val="18"/>
                  <w:szCs w:val="18"/>
                  <w:u w:val="single" w:color="auto"/>
                  <w:color w:val="0000EE"/>
                </w:rPr>
                <w:t>Consent of Janet Haugen</w:t>
              </w:r>
            </w:hyperlink>
          </w:p>
        </w:tc>
        <w:tc>
          <w:tcPr>
            <w:tcW w:w="0" w:type="dxa"/>
            <w:vAlign w:val="bottom"/>
          </w:tcPr>
          <w:p>
            <w:pPr>
              <w:spacing w:after="0"/>
              <w:rPr>
                <w:sz w:val="1"/>
                <w:szCs w:val="1"/>
                <w:color w:val="auto"/>
              </w:rPr>
            </w:pPr>
          </w:p>
        </w:tc>
      </w:tr>
      <w:tr>
        <w:trPr>
          <w:trHeight w:val="23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20"/>
                <w:szCs w:val="20"/>
                <w:color w:val="auto"/>
              </w:rPr>
            </w:pPr>
          </w:p>
        </w:tc>
        <w:tc>
          <w:tcPr>
            <w:tcW w:w="7880" w:type="dxa"/>
            <w:vAlign w:val="bottom"/>
            <w:gridSpan w:val="10"/>
          </w:tcPr>
          <w:p>
            <w:pPr>
              <w:spacing w:after="0"/>
              <w:rPr>
                <w:rFonts w:ascii="Times New Roman" w:cs="Times New Roman" w:eastAsia="Times New Roman" w:hAnsi="Times New Roman"/>
                <w:sz w:val="18"/>
                <w:szCs w:val="18"/>
                <w:u w:val="single" w:color="auto"/>
                <w:color w:val="0000EE"/>
              </w:rPr>
            </w:pPr>
            <w:hyperlink r:id="rId1062">
              <w:r>
                <w:rPr>
                  <w:rFonts w:ascii="Times New Roman" w:cs="Times New Roman" w:eastAsia="Times New Roman" w:hAnsi="Times New Roman"/>
                  <w:sz w:val="18"/>
                  <w:szCs w:val="18"/>
                  <w:u w:val="single" w:color="auto"/>
                  <w:color w:val="0000EE"/>
                </w:rPr>
                <w:t>Power of Attorney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68580</wp:posOffset>
            </wp:positionV>
            <wp:extent cx="138874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78" w:lineRule="exact"/>
        <w:rPr>
          <w:sz w:val="20"/>
          <w:szCs w:val="20"/>
          <w:color w:val="auto"/>
        </w:rPr>
      </w:pPr>
    </w:p>
    <w:p>
      <w:pPr>
        <w:ind w:left="140" w:right="6619" w:firstLine="4"/>
        <w:spacing w:after="0" w:line="397" w:lineRule="auto"/>
        <w:tabs>
          <w:tab w:leader="none" w:pos="46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 Previously filed.</w:t>
      </w:r>
    </w:p>
    <w:p>
      <w:pPr>
        <w:spacing w:after="0" w:line="1" w:lineRule="exact"/>
        <w:rPr>
          <w:rFonts w:ascii="Times New Roman" w:cs="Times New Roman" w:eastAsia="Times New Roman" w:hAnsi="Times New Roman"/>
          <w:sz w:val="17"/>
          <w:szCs w:val="17"/>
          <w:color w:val="auto"/>
        </w:rPr>
      </w:pPr>
    </w:p>
    <w:p>
      <w:pPr>
        <w:ind w:left="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Indicates management contract or plan.</w:t>
      </w:r>
    </w:p>
    <w:p>
      <w:pPr>
        <w:spacing w:after="0" w:line="115" w:lineRule="exact"/>
        <w:rPr>
          <w:rFonts w:ascii="Times New Roman" w:cs="Times New Roman" w:eastAsia="Times New Roman" w:hAnsi="Times New Roman"/>
          <w:sz w:val="17"/>
          <w:szCs w:val="17"/>
          <w:color w:val="auto"/>
        </w:rPr>
      </w:pPr>
    </w:p>
    <w:p>
      <w:pPr>
        <w:ind w:left="460" w:right="739" w:firstLine="332"/>
        <w:spacing w:after="0" w:line="267" w:lineRule="auto"/>
        <w:tabs>
          <w:tab w:leader="none" w:pos="1084" w:val="left"/>
        </w:tabs>
        <w:numPr>
          <w:ilvl w:val="1"/>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financial statement schedules are omitted because they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the information is included in the registrant’s consolidated financial statements or related notes included in the prospectus that is part of this registration statement.</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40" w:right="219" w:firstLine="324"/>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4">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3" w:name="page304"/>
    <w:bookmarkEnd w:id="303"/>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hereby further undertakes that:</w:t>
      </w:r>
    </w:p>
    <w:p>
      <w:pPr>
        <w:spacing w:after="0" w:line="117" w:lineRule="exact"/>
        <w:rPr>
          <w:sz w:val="20"/>
          <w:szCs w:val="20"/>
          <w:color w:val="auto"/>
        </w:rPr>
      </w:pPr>
    </w:p>
    <w:p>
      <w:pPr>
        <w:ind w:left="460" w:right="679" w:hanging="316"/>
        <w:spacing w:after="0" w:line="261"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1" w:lineRule="exact"/>
        <w:rPr>
          <w:rFonts w:ascii="Times New Roman" w:cs="Times New Roman" w:eastAsia="Times New Roman" w:hAnsi="Times New Roman"/>
          <w:sz w:val="18"/>
          <w:szCs w:val="18"/>
          <w:color w:val="auto"/>
        </w:rPr>
      </w:pPr>
    </w:p>
    <w:p>
      <w:pPr>
        <w:ind w:left="460" w:right="299" w:hanging="316"/>
        <w:spacing w:after="0" w:line="266" w:lineRule="auto"/>
        <w:tabs>
          <w:tab w:leader="none" w:pos="4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60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5">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4" w:name="page305"/>
    <w:bookmarkEnd w:id="304"/>
    <w:p>
      <w:pPr>
        <w:ind w:left="1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40" w:right="239" w:firstLine="324"/>
        <w:spacing w:after="0" w:line="22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Exton, Pennsylvania on this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September, 2020.</w:t>
      </w: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4571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6">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David J. Hollister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140" w:right="73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019"/>
          </w:cols>
          <w:pgMar w:left="1440" w:top="661" w:right="1440" w:bottom="1440" w:gutter="0" w:footer="0" w:header="0"/>
        </w:sectPr>
      </w:pPr>
    </w:p>
    <w:p>
      <w:pPr>
        <w:spacing w:after="0" w:line="169"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16510</wp:posOffset>
            </wp:positionV>
            <wp:extent cx="193738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7">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1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Gregory S. Bentley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8">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David J. Hollister</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/s/ Werner 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Werner Andre</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1">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Keith A. Bentley</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Barry J. Bentley</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3">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Raymond B. Bentley</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Kirk B. Griswold</w:t>
      </w:r>
    </w:p>
    <w:p>
      <w:pPr>
        <w:spacing w:after="0" w:line="220"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193738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color w:val="auto"/>
        </w:rPr>
        <w:t>Brian F. Hughes</w:t>
      </w:r>
    </w:p>
    <w:p>
      <w:pPr>
        <w:spacing w:after="0" w:line="234" w:lineRule="exact"/>
        <w:rPr>
          <w:sz w:val="20"/>
          <w:szCs w:val="20"/>
          <w:color w:val="auto"/>
        </w:rPr>
      </w:pPr>
    </w:p>
    <w:p>
      <w:pPr>
        <w:ind w:left="140"/>
        <w:spacing w:after="0"/>
        <w:tabs>
          <w:tab w:leader="none" w:pos="620" w:val="left"/>
        </w:tabs>
        <w:rPr>
          <w:sz w:val="20"/>
          <w:szCs w:val="20"/>
          <w:color w:val="auto"/>
        </w:rPr>
      </w:pPr>
      <w:r>
        <w:rPr>
          <w:rFonts w:ascii="Times New Roman" w:cs="Times New Roman" w:eastAsia="Times New Roman" w:hAnsi="Times New Roman"/>
          <w:sz w:val="18"/>
          <w:szCs w:val="18"/>
          <w:color w:val="auto"/>
        </w:rPr>
        <w:t>*By:</w:t>
        <w:tab/>
        <w:t>/s/ David J. Hollister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David J. Hollister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27139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Chief Accounting Officer (Principal Accounting Officer)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114425"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2020</w:t>
      </w:r>
    </w:p>
    <w:p>
      <w:pPr>
        <w:spacing w:after="0" w:line="1217" w:lineRule="exact"/>
        <w:rPr>
          <w:sz w:val="20"/>
          <w:szCs w:val="20"/>
          <w:color w:val="auto"/>
        </w:rPr>
      </w:pPr>
    </w:p>
    <w:p>
      <w:pPr>
        <w:sectPr>
          <w:pgSz w:w="11900" w:h="16838" w:orient="portrait"/>
          <w:cols w:equalWidth="0" w:num="3">
            <w:col w:w="2640" w:space="720"/>
            <w:col w:w="3020" w:space="720"/>
            <w:col w:w="1919"/>
          </w:cols>
          <w:pgMar w:left="1440" w:top="661"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360045</wp:posOffset>
            </wp:positionV>
            <wp:extent cx="5537835" cy="254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8">
                      <a:extLst>
                        <a:ext uri="{28A0092B-C50C-407E-A947-70E740481C1C}"/>
                      </a:extLst>
                    </a:blip>
                    <a:srcRect/>
                    <a:stretch>
                      <a:fillRect/>
                    </a:stretch>
                  </pic:blipFill>
                  <pic:spPr bwMode="auto">
                    <a:xfrm>
                      <a:off x="0" y="0"/>
                      <a:ext cx="5537835"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05" w:name="page306"/>
    <w:bookmarkEnd w:id="305"/>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BONUS POOL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620" w:type="dxa"/>
            <w:vAlign w:val="bottom"/>
          </w:tcPr>
          <w:p>
            <w:pPr>
              <w:ind w:left="23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w:t>
            </w:r>
          </w:p>
        </w:tc>
        <w:tc>
          <w:tcPr>
            <w:tcW w:w="3300" w:type="dxa"/>
            <w:vAlign w:val="bottom"/>
          </w:tcPr>
          <w:p>
            <w:pPr>
              <w:jc w:val="right"/>
              <w:ind w:right="2232"/>
              <w:spacing w:after="0"/>
              <w:rPr>
                <w:sz w:val="20"/>
                <w:szCs w:val="20"/>
                <w:color w:val="auto"/>
              </w:rPr>
            </w:pPr>
            <w:r>
              <w:rPr>
                <w:rFonts w:ascii="Times New Roman" w:cs="Times New Roman" w:eastAsia="Times New Roman" w:hAnsi="Times New Roman"/>
                <w:sz w:val="22"/>
                <w:szCs w:val="22"/>
                <w:b w:val="1"/>
                <w:bCs w:val="1"/>
                <w:color w:val="auto"/>
              </w:rPr>
              <w:t>], 2020)</w:t>
            </w:r>
          </w:p>
        </w:tc>
      </w:tr>
      <w:tr>
        <w:trPr>
          <w:trHeight w:val="1629"/>
        </w:trPr>
        <w:tc>
          <w:tcPr>
            <w:tcW w:w="6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4" w:right="999" w:bottom="1440" w:gutter="0" w:footer="0" w:header="0"/>
        </w:sectPr>
      </w:pPr>
    </w:p>
    <w:bookmarkStart w:id="306" w:name="page307"/>
    <w:bookmarkEnd w:id="306"/>
    <w:p>
      <w:pPr>
        <w:ind w:right="3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Bentley Systems, Incorporated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maintains the Bentley Systems,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Bonus Pool Plan, as amended and restated effective as of September 23, 2015, and as amended in part on two occasions thereafter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wishes to amend and restate the Plan in its entirety in light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initial public offering of its Common Stock in 2020.</w:t>
      </w:r>
    </w:p>
    <w:p>
      <w:pPr>
        <w:sectPr>
          <w:pgSz w:w="11900" w:h="16838" w:orient="portrait"/>
          <w:cols w:equalWidth="0" w:num="1">
            <w:col w:w="9920"/>
          </w:cols>
          <w:pgMar w:left="980" w:top="864" w:right="999" w:bottom="1440" w:gutter="0" w:footer="0" w:header="0"/>
        </w:sectPr>
      </w:pPr>
    </w:p>
    <w:p>
      <w:pPr>
        <w:spacing w:after="0" w:line="15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Plan is hereby amended and restated effective as of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terms and conditions: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2020, under the</w:t>
      </w:r>
    </w:p>
    <w:p>
      <w:pPr>
        <w:spacing w:after="0" w:line="456" w:lineRule="exact"/>
        <w:rPr>
          <w:sz w:val="20"/>
          <w:szCs w:val="20"/>
          <w:color w:val="auto"/>
        </w:rPr>
      </w:pPr>
    </w:p>
    <w:p>
      <w:pPr>
        <w:sectPr>
          <w:pgSz w:w="11900" w:h="16838" w:orient="portrait"/>
          <w:cols w:equalWidth="0" w:num="2">
            <w:col w:w="7620" w:space="540"/>
            <w:col w:w="1760"/>
          </w:cols>
          <w:pgMar w:left="980" w:top="864" w:right="999" w:bottom="1440" w:gutter="0" w:footer="0" w:header="0"/>
          <w:type w:val="continuous"/>
        </w:sectPr>
      </w:pPr>
    </w:p>
    <w:p>
      <w:pPr>
        <w:ind w:left="1300" w:hanging="644"/>
        <w:spacing w:after="0"/>
        <w:tabs>
          <w:tab w:leader="none" w:pos="130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PURPOSE AND DEFINITIONS</w:t>
      </w:r>
    </w:p>
    <w:p>
      <w:pPr>
        <w:spacing w:after="0" w:line="206" w:lineRule="exact"/>
        <w:rPr>
          <w:rFonts w:ascii="Times New Roman" w:cs="Times New Roman" w:eastAsia="Times New Roman" w:hAnsi="Times New Roman"/>
          <w:sz w:val="22"/>
          <w:szCs w:val="22"/>
          <w:b w:val="1"/>
          <w:bCs w:val="1"/>
          <w:color w:val="auto"/>
        </w:rPr>
      </w:pPr>
    </w:p>
    <w:p>
      <w:pPr>
        <w:ind w:firstLine="1304"/>
        <w:spacing w:after="0" w:line="241" w:lineRule="auto"/>
        <w:tabs>
          <w:tab w:leader="none" w:pos="196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Purpose</w:t>
      </w:r>
      <w:r>
        <w:rPr>
          <w:rFonts w:ascii="Times New Roman" w:cs="Times New Roman" w:eastAsia="Times New Roman" w:hAnsi="Times New Roman"/>
          <w:sz w:val="22"/>
          <w:szCs w:val="22"/>
          <w:color w:val="auto"/>
        </w:rPr>
        <w:t>. The Plan is intended to provide a means whereby the Company may encourage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key employees of the Company to render faithful and outstanding service to the Company by aligning such key employee’s interests with the Company’s future success by conditioning such key employee’s incentive compensation on the Company’s Adjusted MROI.</w:t>
      </w:r>
    </w:p>
    <w:p>
      <w:pPr>
        <w:spacing w:after="0" w:line="171"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rFonts w:ascii="Times New Roman" w:cs="Times New Roman" w:eastAsia="Times New Roman" w:hAnsi="Times New Roman"/>
          <w:sz w:val="22"/>
          <w:szCs w:val="22"/>
          <w:color w:val="auto"/>
        </w:rPr>
      </w:pPr>
    </w:p>
    <w:p>
      <w:pPr>
        <w:ind w:right="780" w:firstLine="1952"/>
        <w:spacing w:after="0" w:line="286" w:lineRule="auto"/>
        <w:tabs>
          <w:tab w:leader="none" w:pos="2628" w:val="left"/>
        </w:tabs>
        <w:numPr>
          <w:ilvl w:val="2"/>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Adjusted MROI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the greater of (i) zero or (ii)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Report Operating Income at actual foreign exchange rates for each calendar quarter.</w:t>
      </w:r>
    </w:p>
    <w:p>
      <w:pPr>
        <w:spacing w:after="0" w:line="126" w:lineRule="exact"/>
        <w:rPr>
          <w:rFonts w:ascii="Times New Roman" w:cs="Times New Roman" w:eastAsia="Times New Roman" w:hAnsi="Times New Roman"/>
          <w:sz w:val="21"/>
          <w:szCs w:val="21"/>
          <w:color w:val="auto"/>
        </w:rPr>
      </w:pPr>
    </w:p>
    <w:p>
      <w:pPr>
        <w:ind w:right="140" w:firstLine="1952"/>
        <w:spacing w:after="0" w:line="262" w:lineRule="auto"/>
        <w:tabs>
          <w:tab w:leader="none" w:pos="2628"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entity more than fifty percent (50%) of the voting power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value of the equity of which is owned by the Company, directly or indirectly.</w:t>
      </w:r>
    </w:p>
    <w:p>
      <w:pPr>
        <w:spacing w:after="0" w:line="149" w:lineRule="exact"/>
        <w:rPr>
          <w:rFonts w:ascii="Times New Roman" w:cs="Times New Roman" w:eastAsia="Times New Roman" w:hAnsi="Times New Roman"/>
          <w:sz w:val="22"/>
          <w:szCs w:val="22"/>
          <w:color w:val="auto"/>
        </w:rPr>
      </w:pPr>
    </w:p>
    <w:p>
      <w:pPr>
        <w:ind w:right="20" w:firstLine="1952"/>
        <w:spacing w:after="0" w:line="262" w:lineRule="auto"/>
        <w:tabs>
          <w:tab w:leader="none" w:pos="2628"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person or persons entitled to receive any Bonus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in the event of a Participant’s death.</w:t>
      </w:r>
    </w:p>
    <w:p>
      <w:pPr>
        <w:spacing w:after="0" w:line="149"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Board of Directors of the Company.</w:t>
      </w:r>
    </w:p>
    <w:p>
      <w:pPr>
        <w:spacing w:after="0" w:line="206" w:lineRule="exact"/>
        <w:rPr>
          <w:rFonts w:ascii="Times New Roman" w:cs="Times New Roman" w:eastAsia="Times New Roman" w:hAnsi="Times New Roman"/>
          <w:sz w:val="22"/>
          <w:szCs w:val="22"/>
          <w:color w:val="auto"/>
        </w:rPr>
      </w:pPr>
    </w:p>
    <w:p>
      <w:pPr>
        <w:ind w:right="660" w:firstLine="1952"/>
        <w:spacing w:after="0" w:line="262" w:lineRule="auto"/>
        <w:tabs>
          <w:tab w:leader="none" w:pos="2628"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with respect to a Participant for a calendar quarter,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calculated under Section 3(a), as adjusted by Sections 3(b) and 3(c), if necessary.</w:t>
      </w:r>
    </w:p>
    <w:p>
      <w:pPr>
        <w:spacing w:after="0" w:line="149" w:lineRule="exact"/>
        <w:rPr>
          <w:rFonts w:ascii="Times New Roman" w:cs="Times New Roman" w:eastAsia="Times New Roman" w:hAnsi="Times New Roman"/>
          <w:sz w:val="22"/>
          <w:szCs w:val="22"/>
          <w:color w:val="auto"/>
        </w:rPr>
      </w:pPr>
    </w:p>
    <w:p>
      <w:pPr>
        <w:ind w:right="40" w:firstLine="1952"/>
        <w:spacing w:after="0" w:line="234" w:lineRule="auto"/>
        <w:tabs>
          <w:tab w:leader="none" w:pos="2628" w:val="left"/>
        </w:tabs>
        <w:numPr>
          <w:ilvl w:val="2"/>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Bonus Pool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twenty percent (20%) of the Adjusted MROI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calendar quarter minus the sum of (x) the value of certain incentive compensation paid to, reserved for, or vesting on behalf of, the Company’s senior management (other than the Participants) for such calendar quarter, as recommended by a majority of the Participants,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value is approved by the Nonemployee Directors in their sole discretion; plus (y) those charitable contributions recommended by a majority of the Participants of not more than $259,000 (in the aggregate for all Participants for such quarter) and made by the Company for such calendar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contributions are approved by the Nonemployee Directors in their sole discretion; plus (z) any other amount recommended by a majority of the Participants as appropriate to be subtracted from the gross pool for such calendar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is approved by the Nonemployee Directors in their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768350</wp:posOffset>
            </wp:positionV>
            <wp:extent cx="6292215" cy="254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type w:val="continuous"/>
        </w:sectPr>
      </w:pPr>
    </w:p>
    <w:bookmarkStart w:id="307" w:name="page308"/>
    <w:bookmarkEnd w:id="307"/>
    <w:p>
      <w:pPr>
        <w:ind w:left="2640" w:hanging="688"/>
        <w:spacing w:after="0"/>
        <w:tabs>
          <w:tab w:leader="none" w:pos="26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CFO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Chief Financial Officer of the Company.</w:t>
      </w:r>
    </w:p>
    <w:p>
      <w:pPr>
        <w:spacing w:after="0" w:line="206" w:lineRule="exact"/>
        <w:rPr>
          <w:rFonts w:ascii="Times New Roman" w:cs="Times New Roman" w:eastAsia="Times New Roman" w:hAnsi="Times New Roman"/>
          <w:sz w:val="22"/>
          <w:szCs w:val="22"/>
          <w:color w:val="auto"/>
        </w:rPr>
      </w:pPr>
    </w:p>
    <w:p>
      <w:pPr>
        <w:ind w:right="540" w:firstLine="1952"/>
        <w:spacing w:after="0" w:line="262"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Class B Grant Date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average VWAP of a share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B Stock over the VWAP Calculation Period.</w:t>
      </w:r>
    </w:p>
    <w:p>
      <w:pPr>
        <w:spacing w:after="0" w:line="149" w:lineRule="exact"/>
        <w:rPr>
          <w:rFonts w:ascii="Times New Roman" w:cs="Times New Roman" w:eastAsia="Times New Roman" w:hAnsi="Times New Roman"/>
          <w:sz w:val="22"/>
          <w:szCs w:val="22"/>
          <w:color w:val="auto"/>
        </w:rPr>
      </w:pPr>
    </w:p>
    <w:p>
      <w:pPr>
        <w:ind w:right="60" w:firstLine="1952"/>
        <w:spacing w:after="0" w:line="246"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Class B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 number of actual whole (not fractional)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Class B Non-Voting Common Stock (or any successor class of common stock, including Company Stock).</w:t>
      </w:r>
    </w:p>
    <w:p>
      <w:pPr>
        <w:spacing w:after="0" w:line="167" w:lineRule="exact"/>
        <w:rPr>
          <w:rFonts w:ascii="Times New Roman" w:cs="Times New Roman" w:eastAsia="Times New Roman" w:hAnsi="Times New Roman"/>
          <w:sz w:val="22"/>
          <w:szCs w:val="22"/>
          <w:color w:val="auto"/>
        </w:rPr>
      </w:pPr>
    </w:p>
    <w:p>
      <w:pPr>
        <w:ind w:right="100" w:firstLine="1952"/>
        <w:spacing w:after="0" w:line="246"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Discharge for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 Participant’s Termination of Employment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under his employment agreement with the Company or an Affiliate, as applicable. If there is no employment agreement or if “cause” is not defined therein, then “cause” shall mean the Participant has:</w:t>
      </w:r>
    </w:p>
    <w:p>
      <w:pPr>
        <w:spacing w:after="0" w:line="171" w:lineRule="exact"/>
        <w:rPr>
          <w:rFonts w:ascii="Times New Roman" w:cs="Times New Roman" w:eastAsia="Times New Roman" w:hAnsi="Times New Roman"/>
          <w:sz w:val="22"/>
          <w:szCs w:val="22"/>
          <w:color w:val="auto"/>
        </w:rPr>
      </w:pPr>
    </w:p>
    <w:p>
      <w:pPr>
        <w:ind w:left="3280" w:hanging="680"/>
        <w:spacing w:after="0"/>
        <w:tabs>
          <w:tab w:leader="none" w:pos="328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failed to perform any of his stated duties and not cured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(if curable) within 15 days of his receipt of written notice of the failure;</w:t>
      </w:r>
    </w:p>
    <w:p>
      <w:pPr>
        <w:spacing w:after="0" w:line="182" w:lineRule="exact"/>
        <w:rPr>
          <w:rFonts w:ascii="Times New Roman" w:cs="Times New Roman" w:eastAsia="Times New Roman" w:hAnsi="Times New Roman"/>
          <w:sz w:val="22"/>
          <w:szCs w:val="22"/>
          <w:color w:val="auto"/>
        </w:rPr>
      </w:pPr>
    </w:p>
    <w:p>
      <w:pPr>
        <w:ind w:left="3260" w:hanging="660"/>
        <w:spacing w:after="0"/>
        <w:tabs>
          <w:tab w:leader="none" w:pos="32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engaged in a breach of fiduciary duty; or</w:t>
      </w:r>
    </w:p>
    <w:p>
      <w:pPr>
        <w:spacing w:after="0" w:line="206" w:lineRule="exact"/>
        <w:rPr>
          <w:rFonts w:ascii="Times New Roman" w:cs="Times New Roman" w:eastAsia="Times New Roman" w:hAnsi="Times New Roman"/>
          <w:sz w:val="22"/>
          <w:szCs w:val="22"/>
          <w:color w:val="auto"/>
        </w:rPr>
      </w:pPr>
    </w:p>
    <w:p>
      <w:pPr>
        <w:ind w:left="3260" w:hanging="660"/>
        <w:spacing w:after="0"/>
        <w:tabs>
          <w:tab w:leader="none" w:pos="32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violated the Bentley Code of Conduct, as in effect from time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w:t>
      </w:r>
    </w:p>
    <w:p>
      <w:pPr>
        <w:spacing w:after="0" w:line="178" w:lineRule="exact"/>
        <w:rPr>
          <w:rFonts w:ascii="Times New Roman" w:cs="Times New Roman" w:eastAsia="Times New Roman" w:hAnsi="Times New Roman"/>
          <w:sz w:val="22"/>
          <w:szCs w:val="22"/>
          <w:color w:val="auto"/>
        </w:rPr>
      </w:pPr>
    </w:p>
    <w:p>
      <w:pPr>
        <w:ind w:left="2620" w:hanging="668"/>
        <w:spacing w:after="0"/>
        <w:tabs>
          <w:tab w:leader="none" w:pos="26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employee of the Company or an Affiliate.</w:t>
      </w:r>
    </w:p>
    <w:p>
      <w:pPr>
        <w:spacing w:after="0" w:line="206"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Equity Pool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$7.5 million per calendar quarter.</w:t>
      </w:r>
    </w:p>
    <w:p>
      <w:pPr>
        <w:spacing w:after="0" w:line="206" w:lineRule="exact"/>
        <w:rPr>
          <w:rFonts w:ascii="Times New Roman" w:cs="Times New Roman" w:eastAsia="Times New Roman" w:hAnsi="Times New Roman"/>
          <w:sz w:val="22"/>
          <w:szCs w:val="22"/>
          <w:color w:val="auto"/>
        </w:rPr>
      </w:pPr>
    </w:p>
    <w:p>
      <w:pPr>
        <w:ind w:right="120" w:firstLine="1952"/>
        <w:spacing w:after="0" w:line="246"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First Fractional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fraction of the first $4.5 million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Bonus Pool to which the Participant is entitled for each calendar quarter, as set forth on Appendix A attached hereto.</w:t>
      </w:r>
    </w:p>
    <w:p>
      <w:pPr>
        <w:spacing w:after="0" w:line="167" w:lineRule="exact"/>
        <w:rPr>
          <w:rFonts w:ascii="Times New Roman" w:cs="Times New Roman" w:eastAsia="Times New Roman" w:hAnsi="Times New Roman"/>
          <w:sz w:val="22"/>
          <w:szCs w:val="22"/>
          <w:color w:val="auto"/>
        </w:rPr>
      </w:pPr>
    </w:p>
    <w:p>
      <w:pPr>
        <w:jc w:val="both"/>
        <w:ind w:firstLine="1952"/>
        <w:spacing w:after="0" w:line="241"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Offset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amount (if any) which a Participant recommends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the Nonemployee Directors as appropriate to be subtracted in the calculation of his Bonus for a calendar quarter for which the amount of the Bonus Pool has not yet been determined,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is approved by the Nonemployee Directors in their sole discretion.</w:t>
      </w:r>
    </w:p>
    <w:p>
      <w:pPr>
        <w:spacing w:after="0" w:line="171"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Omnibus Incentive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Company’s 2020 Omnibus Incentive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effective as of [</w:t>
      </w:r>
      <w:r>
        <w:rPr>
          <w:rFonts w:ascii="Times New Roman" w:cs="Times New Roman" w:eastAsia="Times New Roman" w:hAnsi="Times New Roman"/>
          <w:sz w:val="21"/>
          <w:szCs w:val="21"/>
          <w:color w:val="auto"/>
        </w:rPr>
        <w:t>], as may be amended and/or restated from time to time, and any successor thereto.</w:t>
      </w:r>
    </w:p>
    <w:p>
      <w:pPr>
        <w:spacing w:after="0" w:line="178" w:lineRule="exact"/>
        <w:rPr>
          <w:rFonts w:ascii="Times New Roman" w:cs="Times New Roman" w:eastAsia="Times New Roman" w:hAnsi="Times New Roman"/>
          <w:sz w:val="22"/>
          <w:szCs w:val="22"/>
          <w:color w:val="auto"/>
        </w:rPr>
      </w:pPr>
    </w:p>
    <w:p>
      <w:pPr>
        <w:ind w:right="320" w:firstLine="1952"/>
        <w:spacing w:after="0" w:line="246"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Non-Deferred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portion of a Participant’s Bonus, if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Participant has not elected to defer under the Bentley Systems, Incorporated Nonqualified Deferred Compensation Plan in accordance with Section 3(e) hereof.</w:t>
      </w:r>
    </w:p>
    <w:p>
      <w:pPr>
        <w:spacing w:after="0" w:line="167" w:lineRule="exact"/>
        <w:rPr>
          <w:rFonts w:ascii="Times New Roman" w:cs="Times New Roman" w:eastAsia="Times New Roman" w:hAnsi="Times New Roman"/>
          <w:sz w:val="22"/>
          <w:szCs w:val="22"/>
          <w:color w:val="auto"/>
        </w:rPr>
      </w:pPr>
    </w:p>
    <w:p>
      <w:pPr>
        <w:ind w:right="360" w:firstLine="1952"/>
        <w:spacing w:after="0" w:line="262" w:lineRule="auto"/>
        <w:tabs>
          <w:tab w:leader="none" w:pos="26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Nonemployee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those members of the Board (numbering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two or more) who constitute “nonemployee directors”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4" w:right="101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2"/>
          <w:szCs w:val="22"/>
          <w:color w:val="auto"/>
        </w:rPr>
        <w:t>Rule 16b-3 promulgated under the Securities Exchange Act of 1934, as amended from time to time.</w:t>
      </w:r>
    </w:p>
    <w:p>
      <w:pPr>
        <w:spacing w:after="0" w:line="202" w:lineRule="exact"/>
        <w:rPr>
          <w:sz w:val="20"/>
          <w:szCs w:val="20"/>
          <w:color w:val="auto"/>
        </w:rPr>
      </w:pPr>
    </w:p>
    <w:p>
      <w:pPr>
        <w:ind w:left="2640" w:hanging="688"/>
        <w:spacing w:after="0"/>
        <w:tabs>
          <w:tab w:leader="none" w:pos="26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each Employee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w:t>
      </w:r>
    </w:p>
    <w:p>
      <w:pPr>
        <w:spacing w:after="0" w:line="206" w:lineRule="exact"/>
        <w:rPr>
          <w:rFonts w:ascii="Times New Roman" w:cs="Times New Roman" w:eastAsia="Times New Roman" w:hAnsi="Times New Roman"/>
          <w:sz w:val="22"/>
          <w:szCs w:val="22"/>
          <w:color w:val="auto"/>
        </w:rPr>
      </w:pPr>
    </w:p>
    <w:p>
      <w:pPr>
        <w:ind w:right="200" w:firstLine="1952"/>
        <w:spacing w:after="0" w:line="262" w:lineRule="auto"/>
        <w:tabs>
          <w:tab w:leader="none" w:pos="26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Payment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thirtieth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day following the 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calendar quarter.</w:t>
      </w:r>
    </w:p>
    <w:p>
      <w:pPr>
        <w:spacing w:after="0" w:line="149" w:lineRule="exact"/>
        <w:rPr>
          <w:rFonts w:ascii="Times New Roman" w:cs="Times New Roman" w:eastAsia="Times New Roman" w:hAnsi="Times New Roman"/>
          <w:sz w:val="22"/>
          <w:szCs w:val="22"/>
          <w:color w:val="auto"/>
        </w:rPr>
      </w:pPr>
    </w:p>
    <w:p>
      <w:pPr>
        <w:jc w:val="both"/>
        <w:ind w:right="240" w:firstLine="1952"/>
        <w:spacing w:after="0" w:line="238" w:lineRule="auto"/>
        <w:tabs>
          <w:tab w:leader="none" w:pos="26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Part-Time Coefficient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square of a Participant’s percentage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full-time employment. For example, if a Participant moves from full-time employment to employment that is 70% of full-time employment, the Participant’s Part-Time Coefficient would be 49% (70% x 70% = 49%). For the avoidance of doubt, if the Participant undergoes a Termination of Employment, the Participant’s Part-Time Coefficient shall be zero.</w:t>
      </w:r>
    </w:p>
    <w:p>
      <w:pPr>
        <w:spacing w:after="0" w:line="176" w:lineRule="exact"/>
        <w:rPr>
          <w:rFonts w:ascii="Times New Roman" w:cs="Times New Roman" w:eastAsia="Times New Roman" w:hAnsi="Times New Roman"/>
          <w:sz w:val="22"/>
          <w:szCs w:val="22"/>
          <w:color w:val="auto"/>
        </w:rPr>
      </w:pPr>
    </w:p>
    <w:p>
      <w:pPr>
        <w:ind w:right="20" w:firstLine="1952"/>
        <w:spacing w:after="0" w:line="262" w:lineRule="auto"/>
        <w:tabs>
          <w:tab w:leader="none" w:pos="26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Bentley Systems, Incorporated Bonus Pool Plan, as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as it may be amended, or amended and restated, from time to time.</w:t>
      </w:r>
    </w:p>
    <w:p>
      <w:pPr>
        <w:spacing w:after="0" w:line="149" w:lineRule="exact"/>
        <w:rPr>
          <w:rFonts w:ascii="Times New Roman" w:cs="Times New Roman" w:eastAsia="Times New Roman" w:hAnsi="Times New Roman"/>
          <w:sz w:val="22"/>
          <w:szCs w:val="22"/>
          <w:color w:val="auto"/>
        </w:rPr>
      </w:pPr>
    </w:p>
    <w:p>
      <w:pPr>
        <w:jc w:val="both"/>
        <w:ind w:right="140" w:firstLine="1952"/>
        <w:spacing w:after="0" w:line="246" w:lineRule="auto"/>
        <w:tabs>
          <w:tab w:leader="none" w:pos="26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Second Fractional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that fraction of the amount in excess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$4.5 million of the Bonus Pool to which the Participant is entitled for each calendar quarter, as set forth on Appendix A attached hereto.</w:t>
      </w:r>
    </w:p>
    <w:p>
      <w:pPr>
        <w:spacing w:after="0" w:line="167" w:lineRule="exact"/>
        <w:rPr>
          <w:rFonts w:ascii="Times New Roman" w:cs="Times New Roman" w:eastAsia="Times New Roman" w:hAnsi="Times New Roman"/>
          <w:sz w:val="22"/>
          <w:szCs w:val="22"/>
          <w:color w:val="auto"/>
        </w:rPr>
      </w:pPr>
    </w:p>
    <w:p>
      <w:pPr>
        <w:ind w:firstLine="1952"/>
        <w:spacing w:after="0" w:line="247" w:lineRule="auto"/>
        <w:tabs>
          <w:tab w:leader="none" w:pos="262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xml:space="preserve">” shall mean the termination of the Participant’s employment with the Company and all Affiliates. The determination of whether a Participant has had a Termination of Employment shall be made by the Nonemployee Directors;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Nonemployee Directors shall not determine that a Participant has had a Termination of Employment as of any date if the Company and the Participant reasonably anticipate that the level of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services the Participant will perform after such date as an Employee will exceed twenty percent (20%) of the average level of bona fide services the Participant performed as an Employee over the immediately preceding 36-month period. The foregoing twenty percent (20%) test shall be applied in an analogous manner to the way the similar twenty percent (20%) test is applied for purposes of Internal Revenue Code section 409A pursuant to Treas. Reg. §1.409A-1(h)(1)(ii).</w:t>
      </w:r>
    </w:p>
    <w:p>
      <w:pPr>
        <w:spacing w:after="0" w:line="166" w:lineRule="exact"/>
        <w:rPr>
          <w:rFonts w:ascii="Times New Roman" w:cs="Times New Roman" w:eastAsia="Times New Roman" w:hAnsi="Times New Roman"/>
          <w:sz w:val="21"/>
          <w:szCs w:val="21"/>
          <w:color w:val="auto"/>
        </w:rPr>
      </w:pPr>
    </w:p>
    <w:p>
      <w:pPr>
        <w:ind w:right="40" w:firstLine="1952"/>
        <w:spacing w:after="0" w:line="236" w:lineRule="auto"/>
        <w:tabs>
          <w:tab w:leader="none" w:pos="26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VWAP</w:t>
      </w:r>
      <w:r>
        <w:rPr>
          <w:rFonts w:ascii="Times New Roman" w:cs="Times New Roman" w:eastAsia="Times New Roman" w:hAnsi="Times New Roman"/>
          <w:sz w:val="22"/>
          <w:szCs w:val="22"/>
          <w:color w:val="auto"/>
        </w:rPr>
        <w:t>” shall mean, for any trading day with respect to Class B Stock, the volume-weighted average price, calculated by dividing the aggregate value of the Class B Stock traded on the principal securities exchange on which the Class B Stock is listed during regular hours (price per share multiplied by number of shares traded) by the total volume (number of shares) of Class B Stock traded on such principal securities exchange for such trading day, or if such volume-weighted average price is unavailable, the fair market value of one share of Class B Stock on such trading day as determined by the Board in its sole reasonable discretion.</w:t>
      </w:r>
    </w:p>
    <w:p>
      <w:pPr>
        <w:spacing w:after="0" w:line="175"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VWAP Calculation Period</w:t>
      </w:r>
      <w:r>
        <w:rPr>
          <w:rFonts w:ascii="Times New Roman" w:cs="Times New Roman" w:eastAsia="Times New Roman" w:hAnsi="Times New Roman"/>
          <w:sz w:val="22"/>
          <w:szCs w:val="22"/>
          <w:color w:val="auto"/>
        </w:rPr>
        <w:t>” shall mean the period commencing on the tenth</w:t>
      </w:r>
    </w:p>
    <w:p>
      <w:pPr>
        <w:spacing w:after="0" w:line="18"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trading day prior to the end of the applicable calendar quarter and ending on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trading day following the end of the applicable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8" w:right="1059" w:bottom="1440" w:gutter="0" w:footer="0" w:header="0"/>
        </w:sectPr>
      </w:pPr>
    </w:p>
    <w:bookmarkStart w:id="309" w:name="page310"/>
    <w:bookmarkEnd w:id="309"/>
    <w:p>
      <w:pPr>
        <w:ind w:left="1292" w:hanging="644"/>
        <w:spacing w:after="0"/>
        <w:tabs>
          <w:tab w:leader="none" w:pos="1292" w:val="left"/>
        </w:tabs>
        <w:numPr>
          <w:ilvl w:val="1"/>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OF PERCENTAGE INTERESTS</w:t>
      </w:r>
    </w:p>
    <w:p>
      <w:pPr>
        <w:spacing w:after="0" w:line="210" w:lineRule="exact"/>
        <w:rPr>
          <w:rFonts w:ascii="Times New Roman" w:cs="Times New Roman" w:eastAsia="Times New Roman" w:hAnsi="Times New Roman"/>
          <w:sz w:val="22"/>
          <w:szCs w:val="22"/>
          <w:b w:val="1"/>
          <w:bCs w:val="1"/>
          <w:color w:val="auto"/>
        </w:rPr>
      </w:pPr>
    </w:p>
    <w:p>
      <w:pPr>
        <w:ind w:left="-8" w:right="120" w:firstLine="1304"/>
        <w:spacing w:after="0" w:line="235" w:lineRule="auto"/>
        <w:tabs>
          <w:tab w:leader="none" w:pos="1956"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awarded specific First and Second Fractional Interests to each of those Participants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attached hereto based upon his responsibilities and the quality of the service he has performed for the Company and its Affiliates. A Participant shall not be entitled to a different First and Second Fractional Interest unless and until the Nonemployee Directors formally amend this Plan under Section 6(g). The Nonemployee Directors may increase, reduce or eliminate entirely a Participant’s First and Second Fractional Interest at any time for a future calendar year by so amending the Plan either before the beginning of such calendar year or during the first ninety (90) calendar days of such future calendar year.</w:t>
      </w:r>
    </w:p>
    <w:p>
      <w:pPr>
        <w:spacing w:after="0" w:line="183" w:lineRule="exact"/>
        <w:rPr>
          <w:rFonts w:ascii="Times New Roman" w:cs="Times New Roman" w:eastAsia="Times New Roman" w:hAnsi="Times New Roman"/>
          <w:sz w:val="22"/>
          <w:szCs w:val="22"/>
          <w:color w:val="auto"/>
        </w:rPr>
      </w:pPr>
    </w:p>
    <w:p>
      <w:pPr>
        <w:ind w:left="-8" w:right="260" w:firstLine="1304"/>
        <w:spacing w:after="0" w:line="244" w:lineRule="auto"/>
        <w:tabs>
          <w:tab w:leader="none" w:pos="1960"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First and Second Fractional Interests and his Offset Amount (if any) shall determine the Bonus payable to the Participant (or to his Beneficiary in the case of his death) for each calendar quarter, in accordance with and subject to the terms of the Plan.</w:t>
      </w:r>
    </w:p>
    <w:p>
      <w:pPr>
        <w:spacing w:after="0" w:line="173" w:lineRule="exact"/>
        <w:rPr>
          <w:rFonts w:ascii="Times New Roman" w:cs="Times New Roman" w:eastAsia="Times New Roman" w:hAnsi="Times New Roman"/>
          <w:sz w:val="22"/>
          <w:szCs w:val="22"/>
          <w:color w:val="auto"/>
        </w:rPr>
      </w:pPr>
    </w:p>
    <w:p>
      <w:pPr>
        <w:ind w:left="-8" w:right="100" w:firstLine="1304"/>
        <w:spacing w:after="0" w:line="253" w:lineRule="auto"/>
        <w:tabs>
          <w:tab w:leader="none" w:pos="1960"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upon a Participant’s Discharge for Cause, a Participant will (i) forfeit his right to the First and Second Fractional Interests previously awarded to him, and</w:t>
      </w:r>
    </w:p>
    <w:p>
      <w:pPr>
        <w:ind w:left="312" w:hanging="312"/>
        <w:spacing w:after="0"/>
        <w:tabs>
          <w:tab w:leader="none" w:pos="31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 his right to receive any Bonus not yet paid to him as of the date of such discharge.</w:t>
      </w:r>
    </w:p>
    <w:p>
      <w:pPr>
        <w:spacing w:after="0" w:line="178"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BONUSES</w:t>
      </w:r>
    </w:p>
    <w:p>
      <w:pPr>
        <w:spacing w:after="0" w:line="210" w:lineRule="exact"/>
        <w:rPr>
          <w:rFonts w:ascii="Times New Roman" w:cs="Times New Roman" w:eastAsia="Times New Roman" w:hAnsi="Times New Roman"/>
          <w:sz w:val="22"/>
          <w:szCs w:val="22"/>
          <w:b w:val="1"/>
          <w:bCs w:val="1"/>
          <w:color w:val="auto"/>
        </w:rPr>
      </w:pPr>
    </w:p>
    <w:p>
      <w:pPr>
        <w:ind w:left="1952" w:hanging="656"/>
        <w:spacing w:after="0"/>
        <w:tabs>
          <w:tab w:leader="none" w:pos="1952" w:val="left"/>
        </w:tabs>
        <w:numPr>
          <w:ilvl w:val="2"/>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Participant’s Bonus for a calendar quarter for which there is Adjusted MROI shall equal</w:t>
      </w:r>
    </w:p>
    <w:p>
      <w:pPr>
        <w:spacing w:after="0" w:line="25" w:lineRule="exact"/>
        <w:rPr>
          <w:rFonts w:ascii="Times New Roman" w:cs="Times New Roman" w:eastAsia="Times New Roman" w:hAnsi="Times New Roman"/>
          <w:sz w:val="21"/>
          <w:szCs w:val="21"/>
          <w:color w:val="auto"/>
        </w:rPr>
      </w:pPr>
    </w:p>
    <w:p>
      <w:pPr>
        <w:ind w:left="-8" w:right="80" w:firstLine="8"/>
        <w:spacing w:after="0" w:line="245" w:lineRule="auto"/>
        <w:tabs>
          <w:tab w:leader="none" w:pos="25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of (A) the first $4.5 million of the Bonus Pool for such calendar quarter multiplied by the Participant’s First Fractional Interest as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attached hereto, plus (B) the amount (if any) in excess of $4.5 million of the Bonus Pool for such calendar quarter multiplied by the Participant’s Second Fractional Interest as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attached hereto (each foregoing calculation subject to adjustment under subsection (c) below, if applicable); minus (ii) the Participant’s Offset Amount for such calendar quarter (if any).</w:t>
      </w:r>
    </w:p>
    <w:p>
      <w:pPr>
        <w:spacing w:after="0" w:line="174" w:lineRule="exact"/>
        <w:rPr>
          <w:rFonts w:ascii="Times New Roman" w:cs="Times New Roman" w:eastAsia="Times New Roman" w:hAnsi="Times New Roman"/>
          <w:sz w:val="21"/>
          <w:szCs w:val="21"/>
          <w:color w:val="auto"/>
        </w:rPr>
      </w:pPr>
    </w:p>
    <w:p>
      <w:pPr>
        <w:ind w:left="-8" w:firstLine="1304"/>
        <w:spacing w:after="0" w:line="236" w:lineRule="auto"/>
        <w:tabs>
          <w:tab w:leader="none" w:pos="1972"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with a First and Second Fractional Interest on the last day of a calendar quarter for which there is Adjusted MROI shall be entitled to receive a Bonus for such calendar quarter. Except as provided in Section 2(c), any Participant who was not employed by the Company or an Affiliate for the entire calendar quarter shall receive a prorated Bonus for the calendar quarter in which he had a Termination of Employment based on the number of days the Participant was an Employee during such calendar quarter divided by the total number of days in such calendar quarter.</w:t>
      </w:r>
    </w:p>
    <w:p>
      <w:pPr>
        <w:spacing w:after="0" w:line="181" w:lineRule="exact"/>
        <w:rPr>
          <w:rFonts w:ascii="Times New Roman" w:cs="Times New Roman" w:eastAsia="Times New Roman" w:hAnsi="Times New Roman"/>
          <w:sz w:val="22"/>
          <w:szCs w:val="22"/>
          <w:color w:val="auto"/>
        </w:rPr>
      </w:pPr>
    </w:p>
    <w:p>
      <w:pPr>
        <w:ind w:left="-8" w:right="60" w:firstLine="1304"/>
        <w:spacing w:after="0" w:line="236" w:lineRule="auto"/>
        <w:tabs>
          <w:tab w:leader="none" w:pos="1960"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Participant’s employment status changes from full-time employment to less than full-time employment or if the Participant’s percentage of full-time employment changes, the Participant shall, in advance of the next quarter, recommend to the Nonemployee Directors that his Bonus be calculated with the application of a Part-Time Coefficient,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Part-Time Coefficient is approved by the Nonemployee Directors in their sole discretion. The Part-Time Coefficient shall be applied to both the Participant’s First Fractional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4" w:right="999" w:bottom="1440" w:gutter="0" w:footer="0" w:header="0"/>
        </w:sectPr>
      </w:pPr>
    </w:p>
    <w:bookmarkStart w:id="310" w:name="page311"/>
    <w:bookmarkEnd w:id="310"/>
    <w:p>
      <w:pPr>
        <w:ind w:right="180"/>
        <w:spacing w:after="0" w:line="219" w:lineRule="auto"/>
        <w:rPr>
          <w:sz w:val="20"/>
          <w:szCs w:val="20"/>
          <w:color w:val="auto"/>
        </w:rPr>
      </w:pPr>
      <w:r>
        <w:rPr>
          <w:rFonts w:ascii="Times New Roman" w:cs="Times New Roman" w:eastAsia="Times New Roman" w:hAnsi="Times New Roman"/>
          <w:sz w:val="21"/>
          <w:szCs w:val="21"/>
          <w:color w:val="auto"/>
        </w:rPr>
        <w:t xml:space="preserve">Interest and his Second Fractional Interest before any Offset Amount is applied to the calculation of his Bonus. For example if a Participant’s First Fractional Interest is 4/17, his Second Fractional Interest is </w:t>
      </w:r>
      <w:r>
        <w:rPr>
          <w:rFonts w:ascii="Times New Roman" w:cs="Times New Roman" w:eastAsia="Times New Roman" w:hAnsi="Times New Roman"/>
          <w:sz w:val="16"/>
          <w:szCs w:val="16"/>
          <w:color w:val="auto"/>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31"/>
          <w:szCs w:val="31"/>
          <w:color w:val="auto"/>
          <w:vertAlign w:val="subscript"/>
        </w:rPr>
        <w:t>5</w:t>
      </w:r>
      <w:r>
        <w:rPr>
          <w:rFonts w:ascii="Times New Roman" w:cs="Times New Roman" w:eastAsia="Times New Roman" w:hAnsi="Times New Roman"/>
          <w:sz w:val="21"/>
          <w:szCs w:val="21"/>
          <w:color w:val="auto"/>
        </w:rPr>
        <w:t>, and he moves</w:t>
      </w:r>
    </w:p>
    <w:p>
      <w:pPr>
        <w:spacing w:after="0" w:line="2"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22"/>
          <w:szCs w:val="22"/>
          <w:color w:val="auto"/>
        </w:rPr>
        <w:t xml:space="preserve">from full-time employment to seventy percent (70%) of full-time employment, his Part-Time Coefficient would be forty-nine percent (49%) and his Bonus would be calculated as follows (disregarding any Offset Amount): (4/17 x Bonus Pool up to $4.5 million x 49%) + (2/5 x Bonus Pool in excess of $4.5 million x 49%). If a Participant’s employment status changes from less than full-time employment to full-time employment, the Participant may, in advance of the next quarter, recommend to the Nonemployee Directors that his Bonus be calculated without the application of a Part-Time Coefficient,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 applying a Part-Time Coefficient is approved by the Nonemployee Directors in their sole discretion.</w:t>
      </w:r>
    </w:p>
    <w:p>
      <w:pPr>
        <w:spacing w:after="0" w:line="184" w:lineRule="exact"/>
        <w:rPr>
          <w:sz w:val="20"/>
          <w:szCs w:val="20"/>
          <w:color w:val="auto"/>
        </w:rPr>
      </w:pPr>
    </w:p>
    <w:p>
      <w:pPr>
        <w:ind w:firstLine="1304"/>
        <w:spacing w:after="0" w:line="239" w:lineRule="auto"/>
        <w:tabs>
          <w:tab w:leader="none" w:pos="197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adjustments described in subsections (b) and (c) above and the subtraction of any Offset Amounts in the calculation of a Participant’s Bonus for a calendar quarter shall not result in any change in the size of the Bonus Pool for such calendar quarter and shall not result in any increase in the amount of the Bonus for any other Participant for such calendar quarter.</w:t>
      </w:r>
    </w:p>
    <w:p>
      <w:pPr>
        <w:spacing w:after="0" w:line="180" w:lineRule="exact"/>
        <w:rPr>
          <w:rFonts w:ascii="Times New Roman" w:cs="Times New Roman" w:eastAsia="Times New Roman" w:hAnsi="Times New Roman"/>
          <w:sz w:val="22"/>
          <w:szCs w:val="22"/>
          <w:color w:val="auto"/>
        </w:rPr>
      </w:pPr>
    </w:p>
    <w:p>
      <w:pPr>
        <w:jc w:val="both"/>
        <w:ind w:right="460" w:firstLine="1304"/>
        <w:spacing w:after="0" w:line="261" w:lineRule="auto"/>
        <w:tabs>
          <w:tab w:leader="none" w:pos="1956"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defer all or any portion of the Participant’s Bonus under the Bentley Systems, Incorporated Nonqualified Deferred Compensation Plan by means of a timely filed and irrevocable written election. A Participant’s Non-Deferred Bonus shall be paid to the Participant on the Payment Date.</w:t>
      </w:r>
    </w:p>
    <w:p>
      <w:pPr>
        <w:spacing w:after="0" w:line="157" w:lineRule="exact"/>
        <w:rPr>
          <w:rFonts w:ascii="Times New Roman" w:cs="Times New Roman" w:eastAsia="Times New Roman" w:hAnsi="Times New Roman"/>
          <w:sz w:val="21"/>
          <w:szCs w:val="21"/>
          <w:color w:val="auto"/>
        </w:rPr>
      </w:pPr>
    </w:p>
    <w:p>
      <w:pPr>
        <w:ind w:right="60" w:firstLine="1304"/>
        <w:spacing w:after="0" w:line="233" w:lineRule="auto"/>
        <w:tabs>
          <w:tab w:leader="none" w:pos="19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December 31, 2020, a Participant’s Non-Deferred Bonus shall be payable in cash. From and after December 31, 2020, each Participant’s Non-Deferred Bonus shall be payable in cash and/or shares of fully vested Class B Stock in the proportions specified by a written and irrevocable election delivered by the Participant to the Company at any time prior to the first day of the applicable calendar quarter. Shares of fully vested Class B Stock payable in respect of a Participant’s Non-Deferred Bonus shall be granted pursuant to the Omnibus Incentive Plan and shall be deemed an “Other Equity-Based Award” thereunder, and the number shares of Class B Stock payable in respect a Participant’s Non-Deferred Bonus shall be determined by dividing the Class B Grant Date Value by the dollar value of that portion of the Non-Deferred Bonus set forth on the Participant’s written election (rounded down to the nearest whole share and with any fractional share paid out in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any calendar quarter in which a Participant does not timely submit a written and irrevocable election, the Participant’s election in effect for the immediately preceding calendar quarter will also be the Participant’s binding election for such calendar quarter.</w:t>
      </w:r>
    </w:p>
    <w:p>
      <w:pPr>
        <w:spacing w:after="0" w:line="184" w:lineRule="exact"/>
        <w:rPr>
          <w:rFonts w:ascii="Times New Roman" w:cs="Times New Roman" w:eastAsia="Times New Roman" w:hAnsi="Times New Roman"/>
          <w:sz w:val="22"/>
          <w:szCs w:val="22"/>
          <w:color w:val="auto"/>
        </w:rPr>
      </w:pPr>
    </w:p>
    <w:p>
      <w:pPr>
        <w:ind w:right="220" w:firstLine="1304"/>
        <w:spacing w:after="0" w:line="251" w:lineRule="auto"/>
        <w:tabs>
          <w:tab w:leader="none" w:pos="19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 Participant’s timely written election pursuant to Section 3(f), if, in any calendar quarter, the aggregate dollar value of shares of fully vested Class B Stock payable in respect of the Participants’ Non-Deferred Bonuses exceeds the Equity Pool, the portion of each Participant’s Non-Deferred Bonus payable in shares of fully vested Class B Stock shall be reduced pro rata such that the Equity Pool is not exceeded, and, for each affected Participant, the amount of such reduction shall be payable in cash.</w:t>
      </w:r>
    </w:p>
    <w:p>
      <w:pPr>
        <w:spacing w:after="0" w:line="168" w:lineRule="exact"/>
        <w:rPr>
          <w:rFonts w:ascii="Times New Roman" w:cs="Times New Roman" w:eastAsia="Times New Roman" w:hAnsi="Times New Roman"/>
          <w:sz w:val="21"/>
          <w:szCs w:val="21"/>
          <w:color w:val="auto"/>
        </w:rPr>
      </w:pPr>
    </w:p>
    <w:p>
      <w:pPr>
        <w:ind w:right="200" w:firstLine="1304"/>
        <w:spacing w:after="0" w:line="258" w:lineRule="auto"/>
        <w:tabs>
          <w:tab w:leader="none" w:pos="197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portion of a Participant’s Non-Deferred Bonus that is payable in Class B Stock, Section 13(d) of the Omnibus Incentive Plan is incorporated herein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11" w:name="page312"/>
    <w:bookmarkEnd w:id="311"/>
    <w:p>
      <w:pPr>
        <w:spacing w:after="0" w:line="239" w:lineRule="auto"/>
        <w:rPr>
          <w:sz w:val="20"/>
          <w:szCs w:val="20"/>
          <w:color w:val="auto"/>
        </w:rPr>
      </w:pPr>
      <w:r>
        <w:rPr>
          <w:rFonts w:ascii="Times New Roman" w:cs="Times New Roman" w:eastAsia="Times New Roman" w:hAnsi="Times New Roman"/>
          <w:sz w:val="22"/>
          <w:szCs w:val="22"/>
          <w:color w:val="auto"/>
        </w:rPr>
        <w:t>reference. The Company shall withhold any minimum income, employment, and/or other applicable taxes that are statutorily required to be withheld from each Participant’s Non-Deferred Bonus. For the avoidance of doubt, such withholdings shall be made proportionally from the cash and/or shares of Class B Stock payable with respect to a Participant’s Non-Deferred Bonus.</w:t>
      </w:r>
    </w:p>
    <w:p>
      <w:pPr>
        <w:spacing w:after="0" w:line="176" w:lineRule="exact"/>
        <w:rPr>
          <w:sz w:val="20"/>
          <w:szCs w:val="20"/>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THE PLAN</w:t>
      </w:r>
    </w:p>
    <w:p>
      <w:pPr>
        <w:spacing w:after="0" w:line="210" w:lineRule="exact"/>
        <w:rPr>
          <w:rFonts w:ascii="Times New Roman" w:cs="Times New Roman" w:eastAsia="Times New Roman" w:hAnsi="Times New Roman"/>
          <w:sz w:val="22"/>
          <w:szCs w:val="22"/>
          <w:b w:val="1"/>
          <w:bCs w:val="1"/>
          <w:color w:val="auto"/>
        </w:rPr>
      </w:pPr>
    </w:p>
    <w:p>
      <w:pPr>
        <w:ind w:left="1980" w:hanging="676"/>
        <w:spacing w:after="0"/>
        <w:tabs>
          <w:tab w:leader="none" w:pos="198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Nonemployee Directors may, at any time, terminate the Plan.</w:t>
      </w:r>
    </w:p>
    <w:p>
      <w:pPr>
        <w:spacing w:after="0" w:line="206" w:lineRule="exact"/>
        <w:rPr>
          <w:rFonts w:ascii="Times New Roman" w:cs="Times New Roman" w:eastAsia="Times New Roman" w:hAnsi="Times New Roman"/>
          <w:sz w:val="22"/>
          <w:szCs w:val="22"/>
          <w:color w:val="auto"/>
        </w:rPr>
      </w:pPr>
    </w:p>
    <w:p>
      <w:pPr>
        <w:ind w:firstLine="1304"/>
        <w:spacing w:after="0" w:line="244" w:lineRule="auto"/>
        <w:tabs>
          <w:tab w:leader="none" w:pos="198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First or Second Fractional Interest shall be effective under the Plan after the date of the Plan’s termination, although after such date Bonuses for the calendar quarter in which the Plan was terminated and for the previous calendar quarter, if applicable, shall be paid as provided in Section 3.</w:t>
      </w:r>
    </w:p>
    <w:p>
      <w:pPr>
        <w:spacing w:after="0" w:line="16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DISTRIBUTION UPON DEATH; DESIGNATION OF BENEFICIARY</w:t>
      </w:r>
    </w:p>
    <w:p>
      <w:pPr>
        <w:spacing w:after="0" w:line="210"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Bonus to which a deceased Participant was entitled shall be payable in full to 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Beneficiary(ies).</w:t>
      </w:r>
    </w:p>
    <w:p>
      <w:pPr>
        <w:spacing w:after="0" w:line="182" w:lineRule="exact"/>
        <w:rPr>
          <w:rFonts w:ascii="Times New Roman" w:cs="Times New Roman" w:eastAsia="Times New Roman" w:hAnsi="Times New Roman"/>
          <w:sz w:val="22"/>
          <w:szCs w:val="22"/>
          <w:color w:val="auto"/>
        </w:rPr>
      </w:pPr>
    </w:p>
    <w:p>
      <w:pPr>
        <w:ind w:right="180" w:firstLine="1304"/>
        <w:spacing w:after="0" w:line="248" w:lineRule="auto"/>
        <w:tabs>
          <w:tab w:leader="none" w:pos="198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Participant may designate such person or persons (including, but not by way of limitation, the trustee or the trustees of any trust fund) as the Beneficiary to whom, in the event of his death, his Bonus shall be paid. Such designation shall be filed with the CFO on such form or forms as the CFO may prescribe. The Beneficiary so designated may be changed by the Participant at any time and from time to time prior to the payment of his Bonus;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new designation is delivered to, and accepted by, the CFO before the Participant’s death. If no person has been designated as Beneficiary, or if the designated Beneficiary does not survive the Participant, his Bonus shall be paid to his spouse, if living, and otherwise to his estate.</w:t>
      </w:r>
    </w:p>
    <w:p>
      <w:pPr>
        <w:spacing w:after="0" w:line="16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rFonts w:ascii="Times New Roman" w:cs="Times New Roman" w:eastAsia="Times New Roman" w:hAnsi="Times New Roman"/>
          <w:sz w:val="22"/>
          <w:szCs w:val="22"/>
          <w:b w:val="1"/>
          <w:bCs w:val="1"/>
          <w:color w:val="auto"/>
        </w:rPr>
      </w:pPr>
    </w:p>
    <w:p>
      <w:pPr>
        <w:ind w:right="600" w:firstLine="1304"/>
        <w:spacing w:after="0" w:line="244" w:lineRule="auto"/>
        <w:tabs>
          <w:tab w:leader="none" w:pos="196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 shall have any claim or right to be granted a First or Second Fractional Interest under this Plan. Neither the Plan nor any action taken hereunder shall be construed as giving any Employee any right to be retained in the service of the Company or any Affiliate.</w:t>
      </w:r>
    </w:p>
    <w:p>
      <w:pPr>
        <w:spacing w:after="0" w:line="173" w:lineRule="exact"/>
        <w:rPr>
          <w:rFonts w:ascii="Times New Roman" w:cs="Times New Roman" w:eastAsia="Times New Roman" w:hAnsi="Times New Roman"/>
          <w:sz w:val="22"/>
          <w:szCs w:val="22"/>
          <w:color w:val="auto"/>
        </w:rPr>
      </w:pPr>
    </w:p>
    <w:p>
      <w:pPr>
        <w:ind w:right="880" w:firstLine="1304"/>
        <w:spacing w:after="0" w:line="258" w:lineRule="auto"/>
        <w:tabs>
          <w:tab w:leader="none" w:pos="196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rights, interests and benefits under this Plan shall not be subject to assignment, transfer, pledge, encumbrance or charge.</w:t>
      </w:r>
    </w:p>
    <w:p>
      <w:pPr>
        <w:spacing w:after="0" w:line="158" w:lineRule="exact"/>
        <w:rPr>
          <w:rFonts w:ascii="Times New Roman" w:cs="Times New Roman" w:eastAsia="Times New Roman" w:hAnsi="Times New Roman"/>
          <w:sz w:val="22"/>
          <w:szCs w:val="22"/>
          <w:color w:val="auto"/>
        </w:rPr>
      </w:pPr>
    </w:p>
    <w:p>
      <w:pPr>
        <w:ind w:firstLine="1304"/>
        <w:spacing w:after="0" w:line="238" w:lineRule="auto"/>
        <w:tabs>
          <w:tab w:leader="none" w:pos="1968"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at all times be entirely unfunded and no assets of the Company shall be segregated for the payment of any Bonus hereunder. No Participant or other person shall have any interest in any particular assets of the Company by reason of the right to receive a Bonus under this Plan and any such Participant or other person shall have only the rights of a general unsecured creditor of the Company with respect to any rights under this Plan.</w:t>
      </w:r>
    </w:p>
    <w:p>
      <w:pPr>
        <w:spacing w:after="0" w:line="176" w:lineRule="exact"/>
        <w:rPr>
          <w:rFonts w:ascii="Times New Roman" w:cs="Times New Roman" w:eastAsia="Times New Roman" w:hAnsi="Times New Roman"/>
          <w:sz w:val="22"/>
          <w:szCs w:val="22"/>
          <w:color w:val="auto"/>
        </w:rPr>
      </w:pPr>
    </w:p>
    <w:p>
      <w:pPr>
        <w:ind w:right="20" w:firstLine="1304"/>
        <w:spacing w:after="0" w:line="244" w:lineRule="auto"/>
        <w:tabs>
          <w:tab w:leader="none" w:pos="198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Bonuses paid to a Participant pursuant to the terms of this Plan represent taxable compensation to such Participant for his service to the Company or its Affiliates. The Company shall deduct from all Bonuses any federal, state or local taxes required by law to be withheld from such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12" w:name="page313"/>
    <w:bookmarkEnd w:id="312"/>
    <w:p>
      <w:pPr>
        <w:ind w:right="160" w:firstLine="1304"/>
        <w:spacing w:after="0" w:line="239" w:lineRule="auto"/>
        <w:tabs>
          <w:tab w:leader="none" w:pos="196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in conjunction with the Bentley Systems, Incorporated Nonqualified Deferred Compensation Plan, is intended to comply with the requirements of Internal Revenue Code section 409A and the final regulations issued thereunder. This Plan shall be construed and interpreted in accordance with such requirements in order to maintain such compliance.</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 administered by the CFO or his delegate.</w:t>
      </w:r>
    </w:p>
    <w:p>
      <w:pPr>
        <w:spacing w:after="0" w:line="206" w:lineRule="exact"/>
        <w:rPr>
          <w:rFonts w:ascii="Times New Roman" w:cs="Times New Roman" w:eastAsia="Times New Roman" w:hAnsi="Times New Roman"/>
          <w:sz w:val="22"/>
          <w:szCs w:val="22"/>
          <w:color w:val="auto"/>
        </w:rPr>
      </w:pPr>
    </w:p>
    <w:p>
      <w:pPr>
        <w:ind w:firstLine="1304"/>
        <w:spacing w:after="0" w:line="244" w:lineRule="auto"/>
        <w:tabs>
          <w:tab w:leader="none" w:pos="197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Nonemployee Directors, in their sole discretion, reserve the right to amend this Plan from time to time, except that no such amendment may adversely affect the Bonus of a Participant for the calendar quarter of the amendment or any prior calendar quarter without the Participant’s written consent.</w:t>
      </w:r>
    </w:p>
    <w:p>
      <w:pPr>
        <w:spacing w:after="0" w:line="173" w:lineRule="exact"/>
        <w:rPr>
          <w:rFonts w:ascii="Times New Roman" w:cs="Times New Roman" w:eastAsia="Times New Roman" w:hAnsi="Times New Roman"/>
          <w:sz w:val="22"/>
          <w:szCs w:val="22"/>
          <w:color w:val="auto"/>
        </w:rPr>
      </w:pPr>
    </w:p>
    <w:p>
      <w:pPr>
        <w:ind w:right="40" w:firstLine="1304"/>
        <w:spacing w:after="0" w:line="258" w:lineRule="auto"/>
        <w:tabs>
          <w:tab w:leader="none" w:pos="197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 governed by, and construed and enforced in accordance with, the laws of the State of Delaware (without reference to the principles of the conflict of laws).</w:t>
      </w:r>
    </w:p>
    <w:p>
      <w:pPr>
        <w:spacing w:after="0" w:line="158" w:lineRule="exact"/>
        <w:rPr>
          <w:rFonts w:ascii="Times New Roman" w:cs="Times New Roman" w:eastAsia="Times New Roman" w:hAnsi="Times New Roman"/>
          <w:sz w:val="22"/>
          <w:szCs w:val="22"/>
          <w:color w:val="auto"/>
        </w:rPr>
      </w:pPr>
    </w:p>
    <w:p>
      <w:pPr>
        <w:ind w:right="240" w:firstLine="1304"/>
        <w:spacing w:after="0" w:line="244" w:lineRule="auto"/>
        <w:tabs>
          <w:tab w:leader="none" w:pos="198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of one or more of the phrases, sentences, clauses, Sections or paragraphs contained in this Plan shall not affect the remaining portions so long as the material purposes of this Plan can be determined and effected.</w:t>
      </w:r>
    </w:p>
    <w:p>
      <w:pPr>
        <w:spacing w:after="0" w:line="173" w:lineRule="exact"/>
        <w:rPr>
          <w:rFonts w:ascii="Times New Roman" w:cs="Times New Roman" w:eastAsia="Times New Roman" w:hAnsi="Times New Roman"/>
          <w:sz w:val="22"/>
          <w:szCs w:val="22"/>
          <w:color w:val="auto"/>
        </w:rPr>
      </w:pPr>
    </w:p>
    <w:p>
      <w:pPr>
        <w:ind w:right="580" w:firstLine="1304"/>
        <w:spacing w:after="0" w:line="258" w:lineRule="auto"/>
        <w:tabs>
          <w:tab w:leader="none" w:pos="198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of this Plan are for convenience of reference only and in no way define, describe, extend or limit the scope or intent of this Plan or the intent of any provision hereof.</w:t>
      </w:r>
    </w:p>
    <w:p>
      <w:pPr>
        <w:spacing w:after="0" w:line="158" w:lineRule="exact"/>
        <w:rPr>
          <w:rFonts w:ascii="Times New Roman" w:cs="Times New Roman" w:eastAsia="Times New Roman" w:hAnsi="Times New Roman"/>
          <w:sz w:val="22"/>
          <w:szCs w:val="22"/>
          <w:color w:val="auto"/>
        </w:rPr>
      </w:pPr>
    </w:p>
    <w:p>
      <w:pPr>
        <w:ind w:right="820" w:firstLine="1304"/>
        <w:spacing w:after="0" w:line="258" w:lineRule="auto"/>
        <w:tabs>
          <w:tab w:leader="none" w:pos="19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otherwise required by the context, any masculine terminology in this document shall include the feminine, and any singular terminology shall include the plural.</w:t>
      </w:r>
    </w:p>
    <w:p>
      <w:pPr>
        <w:spacing w:after="0" w:line="154"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Bentley Systems, Incorporated hereby executes this Plan, as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on this ___ day of ____________,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10795</wp:posOffset>
            </wp:positionV>
            <wp:extent cx="261429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1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10795</wp:posOffset>
            </wp:positionV>
            <wp:extent cx="219456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10795</wp:posOffset>
            </wp:positionV>
            <wp:extent cx="261429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2"/>
                <w:szCs w:val="22"/>
                <w:color w:val="auto"/>
              </w:rPr>
            </w:pPr>
          </w:p>
        </w:tc>
        <w:tc>
          <w:tcPr>
            <w:tcW w:w="7540" w:type="dxa"/>
            <w:vAlign w:val="bottom"/>
            <w:gridSpan w:val="11"/>
          </w:tcPr>
          <w:p>
            <w:pPr>
              <w:jc w:val="center"/>
              <w:ind w:right="2272"/>
              <w:spacing w:after="0"/>
              <w:rPr>
                <w:sz w:val="20"/>
                <w:szCs w:val="20"/>
                <w:color w:val="auto"/>
              </w:rPr>
            </w:pPr>
            <w:r>
              <w:rPr>
                <w:rFonts w:ascii="Times New Roman" w:cs="Times New Roman" w:eastAsia="Times New Roman" w:hAnsi="Times New Roman"/>
                <w:sz w:val="22"/>
                <w:szCs w:val="22"/>
                <w:b w:val="1"/>
                <w:bCs w:val="1"/>
                <w:color w:val="auto"/>
                <w:w w:val="97"/>
              </w:rPr>
              <w:t>BENTLEY SYSTEMS, INCORPORATED</w:t>
            </w:r>
          </w:p>
        </w:tc>
      </w:tr>
      <w:tr>
        <w:trPr>
          <w:trHeight w:val="439"/>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BONUS POOL PLAN</w:t>
            </w:r>
          </w:p>
        </w:tc>
        <w:tc>
          <w:tcPr>
            <w:tcW w:w="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492"/>
        </w:trPr>
        <w:tc>
          <w:tcPr>
            <w:tcW w:w="2380" w:type="dxa"/>
            <w:vAlign w:val="bottom"/>
          </w:tcPr>
          <w:p>
            <w:pPr>
              <w:spacing w:after="0"/>
              <w:rPr>
                <w:sz w:val="24"/>
                <w:szCs w:val="24"/>
                <w:color w:val="auto"/>
              </w:rPr>
            </w:pPr>
          </w:p>
        </w:tc>
        <w:tc>
          <w:tcPr>
            <w:tcW w:w="408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(As Amended and Restated Effective as of [</w:t>
            </w:r>
          </w:p>
        </w:tc>
        <w:tc>
          <w:tcPr>
            <w:tcW w:w="3460" w:type="dxa"/>
            <w:vAlign w:val="bottom"/>
            <w:gridSpan w:val="3"/>
          </w:tcPr>
          <w:p>
            <w:pPr>
              <w:jc w:val="right"/>
              <w:ind w:right="2332"/>
              <w:spacing w:after="0"/>
              <w:rPr>
                <w:sz w:val="20"/>
                <w:szCs w:val="20"/>
                <w:color w:val="auto"/>
              </w:rPr>
            </w:pPr>
            <w:r>
              <w:rPr>
                <w:rFonts w:ascii="Times New Roman" w:cs="Times New Roman" w:eastAsia="Times New Roman" w:hAnsi="Times New Roman"/>
                <w:sz w:val="22"/>
                <w:szCs w:val="22"/>
                <w:color w:val="auto"/>
              </w:rPr>
              <w:t>], 2020)</w:t>
            </w:r>
          </w:p>
        </w:tc>
      </w:tr>
      <w:tr>
        <w:trPr>
          <w:trHeight w:val="407"/>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3"/>
          </w:tcPr>
          <w:p>
            <w:pPr>
              <w:jc w:val="center"/>
              <w:ind w:right="840"/>
              <w:spacing w:after="0"/>
              <w:rPr>
                <w:sz w:val="20"/>
                <w:szCs w:val="20"/>
                <w:color w:val="auto"/>
              </w:rPr>
            </w:pPr>
            <w:r>
              <w:rPr>
                <w:rFonts w:ascii="Times New Roman" w:cs="Times New Roman" w:eastAsia="Times New Roman" w:hAnsi="Times New Roman"/>
                <w:sz w:val="22"/>
                <w:szCs w:val="22"/>
                <w:b w:val="1"/>
                <w:bCs w:val="1"/>
                <w:color w:val="auto"/>
                <w:w w:val="97"/>
              </w:rPr>
              <w:t>APPENDIX A</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52"/>
        </w:trPr>
        <w:tc>
          <w:tcPr>
            <w:tcW w:w="2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First</w:t>
            </w:r>
          </w:p>
        </w:tc>
        <w:tc>
          <w:tcPr>
            <w:tcW w:w="84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Second</w:t>
            </w:r>
          </w:p>
        </w:tc>
      </w:tr>
      <w:tr>
        <w:trPr>
          <w:trHeight w:val="243"/>
        </w:trPr>
        <w:tc>
          <w:tcPr>
            <w:tcW w:w="2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gridSpan w:val="3"/>
          </w:tcPr>
          <w:p>
            <w:pPr>
              <w:jc w:val="center"/>
              <w:ind w:right="860"/>
              <w:spacing w:after="0" w:line="243" w:lineRule="exact"/>
              <w:rPr>
                <w:sz w:val="20"/>
                <w:szCs w:val="20"/>
                <w:color w:val="auto"/>
              </w:rPr>
            </w:pPr>
            <w:r>
              <w:rPr>
                <w:rFonts w:ascii="Times New Roman" w:cs="Times New Roman" w:eastAsia="Times New Roman" w:hAnsi="Times New Roman"/>
                <w:sz w:val="22"/>
                <w:szCs w:val="22"/>
                <w:color w:val="auto"/>
                <w:w w:val="96"/>
              </w:rPr>
              <w:t>Fractional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Fractional</w:t>
            </w:r>
          </w:p>
        </w:tc>
      </w:tr>
      <w:tr>
        <w:trPr>
          <w:trHeight w:val="243"/>
        </w:trPr>
        <w:tc>
          <w:tcPr>
            <w:tcW w:w="2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gridSpan w:val="3"/>
          </w:tcPr>
          <w:p>
            <w:pPr>
              <w:jc w:val="center"/>
              <w:ind w:right="860"/>
              <w:spacing w:after="0" w:line="243" w:lineRule="exact"/>
              <w:rPr>
                <w:sz w:val="20"/>
                <w:szCs w:val="20"/>
                <w:color w:val="auto"/>
              </w:rPr>
            </w:pPr>
            <w:r>
              <w:rPr>
                <w:rFonts w:ascii="Times New Roman" w:cs="Times New Roman" w:eastAsia="Times New Roman" w:hAnsi="Times New Roman"/>
                <w:sz w:val="22"/>
                <w:szCs w:val="22"/>
                <w:color w:val="auto"/>
                <w:w w:val="96"/>
              </w:rPr>
              <w:t>Interest for</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Interest for</w:t>
            </w:r>
          </w:p>
        </w:tc>
      </w:tr>
      <w:tr>
        <w:trPr>
          <w:trHeight w:val="270"/>
        </w:trPr>
        <w:tc>
          <w:tcPr>
            <w:tcW w:w="238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8"/>
              </w:rPr>
              <w:t>Participant</w:t>
            </w:r>
          </w:p>
        </w:tc>
        <w:tc>
          <w:tcPr>
            <w:tcW w:w="3240" w:type="dxa"/>
            <w:vAlign w:val="bottom"/>
            <w:gridSpan w:val="6"/>
          </w:tcPr>
          <w:p>
            <w:pPr>
              <w:jc w:val="center"/>
              <w:ind w:left="1792"/>
              <w:spacing w:after="0"/>
              <w:rPr>
                <w:sz w:val="20"/>
                <w:szCs w:val="20"/>
                <w:color w:val="auto"/>
              </w:rPr>
            </w:pPr>
            <w:r>
              <w:rPr>
                <w:rFonts w:ascii="Times New Roman" w:cs="Times New Roman" w:eastAsia="Times New Roman" w:hAnsi="Times New Roman"/>
                <w:sz w:val="22"/>
                <w:szCs w:val="22"/>
                <w:color w:val="auto"/>
                <w:w w:val="98"/>
              </w:rPr>
              <w:t>2020*</w:t>
            </w: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60" w:type="dxa"/>
            <w:vAlign w:val="bottom"/>
            <w:gridSpan w:val="3"/>
          </w:tcPr>
          <w:p>
            <w:pPr>
              <w:jc w:val="center"/>
              <w:ind w:left="292"/>
              <w:spacing w:after="0"/>
              <w:rPr>
                <w:sz w:val="20"/>
                <w:szCs w:val="20"/>
                <w:color w:val="auto"/>
              </w:rPr>
            </w:pPr>
            <w:r>
              <w:rPr>
                <w:rFonts w:ascii="Times New Roman" w:cs="Times New Roman" w:eastAsia="Times New Roman" w:hAnsi="Times New Roman"/>
                <w:sz w:val="22"/>
                <w:szCs w:val="22"/>
                <w:color w:val="auto"/>
                <w:w w:val="98"/>
              </w:rPr>
              <w:t>2020*</w:t>
            </w:r>
          </w:p>
        </w:tc>
      </w:tr>
      <w:tr>
        <w:trPr>
          <w:trHeight w:val="209"/>
        </w:trPr>
        <w:tc>
          <w:tcPr>
            <w:tcW w:w="2380" w:type="dxa"/>
            <w:vAlign w:val="bottom"/>
            <w:tcBorders>
              <w:top w:val="single" w:sz="8" w:color="auto"/>
            </w:tcBorders>
          </w:tcPr>
          <w:p>
            <w:pPr>
              <w:jc w:val="center"/>
              <w:ind w:left="552"/>
              <w:spacing w:after="0" w:line="209" w:lineRule="exact"/>
              <w:rPr>
                <w:sz w:val="20"/>
                <w:szCs w:val="20"/>
                <w:color w:val="auto"/>
              </w:rPr>
            </w:pPr>
            <w:r>
              <w:rPr>
                <w:rFonts w:ascii="Times New Roman" w:cs="Times New Roman" w:eastAsia="Times New Roman" w:hAnsi="Times New Roman"/>
                <w:sz w:val="22"/>
                <w:szCs w:val="22"/>
                <w:color w:val="auto"/>
                <w:w w:val="98"/>
              </w:rPr>
              <w:t>Greg Bentley</w:t>
            </w: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tcBorders>
              <w:top w:val="single" w:sz="8" w:color="auto"/>
            </w:tcBorders>
            <w:gridSpan w:val="3"/>
          </w:tcPr>
          <w:p>
            <w:pPr>
              <w:jc w:val="center"/>
              <w:ind w:left="732"/>
              <w:spacing w:after="0" w:line="209" w:lineRule="exact"/>
              <w:rPr>
                <w:sz w:val="20"/>
                <w:szCs w:val="20"/>
                <w:color w:val="auto"/>
              </w:rPr>
            </w:pPr>
            <w:r>
              <w:rPr>
                <w:rFonts w:ascii="Times New Roman" w:cs="Times New Roman" w:eastAsia="Times New Roman" w:hAnsi="Times New Roman"/>
                <w:sz w:val="22"/>
                <w:szCs w:val="22"/>
                <w:color w:val="auto"/>
                <w:w w:val="99"/>
              </w:rPr>
              <w:t>12/33</w:t>
            </w:r>
          </w:p>
        </w:tc>
        <w:tc>
          <w:tcPr>
            <w:tcW w:w="3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Borders>
              <w:top w:val="single" w:sz="8" w:color="auto"/>
            </w:tcBorders>
            <w:gridSpan w:val="2"/>
          </w:tcPr>
          <w:p>
            <w:pPr>
              <w:jc w:val="center"/>
              <w:spacing w:after="0" w:line="209" w:lineRule="exact"/>
              <w:rPr>
                <w:sz w:val="20"/>
                <w:szCs w:val="20"/>
                <w:color w:val="auto"/>
              </w:rPr>
            </w:pPr>
            <w:r>
              <w:rPr>
                <w:rFonts w:ascii="Times New Roman" w:cs="Times New Roman" w:eastAsia="Times New Roman" w:hAnsi="Times New Roman"/>
                <w:sz w:val="22"/>
                <w:szCs w:val="22"/>
                <w:color w:val="auto"/>
                <w:w w:val="95"/>
              </w:rPr>
              <w:t>12/33</w:t>
            </w:r>
          </w:p>
        </w:tc>
      </w:tr>
      <w:tr>
        <w:trPr>
          <w:trHeight w:val="243"/>
        </w:trPr>
        <w:tc>
          <w:tcPr>
            <w:tcW w:w="238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Keith Bentley</w:t>
            </w:r>
          </w:p>
        </w:tc>
        <w:tc>
          <w:tcPr>
            <w:tcW w:w="3240" w:type="dxa"/>
            <w:vAlign w:val="bottom"/>
            <w:gridSpan w:val="6"/>
          </w:tcPr>
          <w:p>
            <w:pPr>
              <w:jc w:val="center"/>
              <w:ind w:left="1792"/>
              <w:spacing w:after="0" w:line="243" w:lineRule="exact"/>
              <w:rPr>
                <w:sz w:val="20"/>
                <w:szCs w:val="20"/>
                <w:color w:val="auto"/>
              </w:rPr>
            </w:pPr>
            <w:r>
              <w:rPr>
                <w:rFonts w:ascii="Times New Roman" w:cs="Times New Roman" w:eastAsia="Times New Roman" w:hAnsi="Times New Roman"/>
                <w:sz w:val="22"/>
                <w:szCs w:val="22"/>
                <w:color w:val="auto"/>
                <w:w w:val="97"/>
              </w:rPr>
              <w:t>7/33</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gridSpan w:val="3"/>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rPr>
              <w:t>7/33</w:t>
            </w:r>
          </w:p>
        </w:tc>
      </w:tr>
      <w:tr>
        <w:trPr>
          <w:trHeight w:val="243"/>
        </w:trPr>
        <w:tc>
          <w:tcPr>
            <w:tcW w:w="238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8"/>
              </w:rPr>
              <w:t>David Hollister</w:t>
            </w:r>
          </w:p>
        </w:tc>
        <w:tc>
          <w:tcPr>
            <w:tcW w:w="3240" w:type="dxa"/>
            <w:vAlign w:val="bottom"/>
            <w:gridSpan w:val="6"/>
          </w:tcPr>
          <w:p>
            <w:pPr>
              <w:jc w:val="center"/>
              <w:ind w:left="1792"/>
              <w:spacing w:after="0" w:line="243" w:lineRule="exact"/>
              <w:rPr>
                <w:sz w:val="20"/>
                <w:szCs w:val="20"/>
                <w:color w:val="auto"/>
              </w:rPr>
            </w:pPr>
            <w:r>
              <w:rPr>
                <w:rFonts w:ascii="Times New Roman" w:cs="Times New Roman" w:eastAsia="Times New Roman" w:hAnsi="Times New Roman"/>
                <w:sz w:val="22"/>
                <w:szCs w:val="22"/>
                <w:color w:val="auto"/>
                <w:w w:val="97"/>
              </w:rPr>
              <w:t>4/33</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gridSpan w:val="3"/>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rPr>
              <w:t>4/33</w:t>
            </w:r>
          </w:p>
        </w:tc>
      </w:tr>
      <w:tr>
        <w:trPr>
          <w:trHeight w:val="243"/>
        </w:trPr>
        <w:tc>
          <w:tcPr>
            <w:tcW w:w="238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7"/>
              </w:rPr>
              <w:t>Bhupinder Singh</w:t>
            </w:r>
          </w:p>
        </w:tc>
        <w:tc>
          <w:tcPr>
            <w:tcW w:w="3240" w:type="dxa"/>
            <w:vAlign w:val="bottom"/>
            <w:gridSpan w:val="6"/>
          </w:tcPr>
          <w:p>
            <w:pPr>
              <w:jc w:val="center"/>
              <w:ind w:left="1792"/>
              <w:spacing w:after="0" w:line="243" w:lineRule="exact"/>
              <w:rPr>
                <w:sz w:val="20"/>
                <w:szCs w:val="20"/>
                <w:color w:val="auto"/>
              </w:rPr>
            </w:pPr>
            <w:r>
              <w:rPr>
                <w:rFonts w:ascii="Times New Roman" w:cs="Times New Roman" w:eastAsia="Times New Roman" w:hAnsi="Times New Roman"/>
                <w:sz w:val="22"/>
                <w:szCs w:val="22"/>
                <w:color w:val="auto"/>
                <w:w w:val="97"/>
              </w:rPr>
              <w:t>4/33</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gridSpan w:val="3"/>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rPr>
              <w:t>4/33</w:t>
            </w:r>
          </w:p>
        </w:tc>
      </w:tr>
      <w:tr>
        <w:trPr>
          <w:trHeight w:val="243"/>
        </w:trPr>
        <w:tc>
          <w:tcPr>
            <w:tcW w:w="238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7"/>
              </w:rPr>
              <w:t>Raymond Bentley</w:t>
            </w:r>
          </w:p>
        </w:tc>
        <w:tc>
          <w:tcPr>
            <w:tcW w:w="3240" w:type="dxa"/>
            <w:vAlign w:val="bottom"/>
            <w:gridSpan w:val="6"/>
          </w:tcPr>
          <w:p>
            <w:pPr>
              <w:jc w:val="center"/>
              <w:ind w:left="1792"/>
              <w:spacing w:after="0" w:line="243" w:lineRule="exact"/>
              <w:rPr>
                <w:sz w:val="20"/>
                <w:szCs w:val="20"/>
                <w:color w:val="auto"/>
              </w:rPr>
            </w:pPr>
            <w:r>
              <w:rPr>
                <w:rFonts w:ascii="Times New Roman" w:cs="Times New Roman" w:eastAsia="Times New Roman" w:hAnsi="Times New Roman"/>
                <w:sz w:val="22"/>
                <w:szCs w:val="22"/>
                <w:color w:val="auto"/>
                <w:w w:val="97"/>
              </w:rPr>
              <w:t>3/33</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gridSpan w:val="3"/>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rPr>
              <w:t>3/33</w:t>
            </w:r>
          </w:p>
        </w:tc>
      </w:tr>
      <w:tr>
        <w:trPr>
          <w:trHeight w:val="282"/>
        </w:trPr>
        <w:tc>
          <w:tcPr>
            <w:tcW w:w="238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8"/>
              </w:rPr>
              <w:t>Barry Bentley</w:t>
            </w:r>
          </w:p>
        </w:tc>
        <w:tc>
          <w:tcPr>
            <w:tcW w:w="3240" w:type="dxa"/>
            <w:vAlign w:val="bottom"/>
            <w:gridSpan w:val="6"/>
          </w:tcPr>
          <w:p>
            <w:pPr>
              <w:jc w:val="center"/>
              <w:ind w:left="1792"/>
              <w:spacing w:after="0"/>
              <w:rPr>
                <w:sz w:val="20"/>
                <w:szCs w:val="20"/>
                <w:color w:val="auto"/>
              </w:rPr>
            </w:pPr>
            <w:r>
              <w:rPr>
                <w:rFonts w:ascii="Times New Roman" w:cs="Times New Roman" w:eastAsia="Times New Roman" w:hAnsi="Times New Roman"/>
                <w:sz w:val="22"/>
                <w:szCs w:val="22"/>
                <w:color w:val="auto"/>
                <w:w w:val="97"/>
              </w:rPr>
              <w:t>3/33</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gridSpan w:val="3"/>
          </w:tcPr>
          <w:p>
            <w:pPr>
              <w:jc w:val="center"/>
              <w:ind w:left="312"/>
              <w:spacing w:after="0"/>
              <w:rPr>
                <w:sz w:val="20"/>
                <w:szCs w:val="20"/>
                <w:color w:val="auto"/>
              </w:rPr>
            </w:pPr>
            <w:r>
              <w:rPr>
                <w:rFonts w:ascii="Times New Roman" w:cs="Times New Roman" w:eastAsia="Times New Roman" w:hAnsi="Times New Roman"/>
                <w:sz w:val="22"/>
                <w:szCs w:val="22"/>
                <w:color w:val="auto"/>
              </w:rPr>
              <w:t>3/33</w:t>
            </w:r>
          </w:p>
        </w:tc>
      </w:tr>
    </w:tbl>
    <w:p>
      <w:pPr>
        <w:spacing w:after="0" w:line="190" w:lineRule="exact"/>
        <w:rPr>
          <w:sz w:val="20"/>
          <w:szCs w:val="20"/>
          <w:color w:val="auto"/>
        </w:rPr>
      </w:pPr>
    </w:p>
    <w:p>
      <w:pPr>
        <w:ind w:left="660" w:right="860" w:hanging="4"/>
        <w:spacing w:after="0" w:line="298" w:lineRule="auto"/>
        <w:tabs>
          <w:tab w:leader="none" w:pos="7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and Second Fractional Interests will be in place each successive calendar year for each Participant unless and until the Nonemployee Directors change or revoke one or both of them for such Participant.</w:t>
      </w:r>
    </w:p>
    <w:p>
      <w:pPr>
        <w:spacing w:after="0" w:line="164" w:lineRule="exact"/>
        <w:rPr>
          <w:sz w:val="20"/>
          <w:szCs w:val="20"/>
          <w:color w:val="auto"/>
        </w:rPr>
      </w:pPr>
    </w:p>
    <w:p>
      <w:pPr>
        <w:ind w:left="660" w:right="220"/>
        <w:spacing w:after="0" w:line="272" w:lineRule="auto"/>
        <w:rPr>
          <w:sz w:val="20"/>
          <w:szCs w:val="20"/>
          <w:color w:val="auto"/>
        </w:rPr>
      </w:pPr>
      <w:r>
        <w:rPr>
          <w:rFonts w:ascii="Times New Roman" w:cs="Times New Roman" w:eastAsia="Times New Roman" w:hAnsi="Times New Roman"/>
          <w:sz w:val="16"/>
          <w:szCs w:val="16"/>
          <w:color w:val="auto"/>
        </w:rPr>
        <w:t>Further, neither (i) the proration of a Participant’s Bonus under Section 3(b) for a calendar quarter or the elimination of a Participant’s First and Second Fractional Interests for future calendar quarters, in each case due to the Participant’s Termination of Employment, nor (ii) the reduction in a Participant’s First and Second Fractional Interests under Section 3(c) due to the Participant’s less than full-time employment, shall result in or cause any change in the First and Second Fractional Interests of the remaining Participants, even though neither the sum of such First Fractional Interests nor the sum of such Second Fractional Interests for such remaining Participants equals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744220</wp:posOffset>
            </wp:positionV>
            <wp:extent cx="6292215" cy="2540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5" w:right="99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620" w:type="dxa"/>
            <w:vAlign w:val="bottom"/>
          </w:tcPr>
          <w:p>
            <w:pPr>
              <w:ind w:left="23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w:t>
            </w:r>
          </w:p>
        </w:tc>
        <w:tc>
          <w:tcPr>
            <w:tcW w:w="3300" w:type="dxa"/>
            <w:vAlign w:val="bottom"/>
          </w:tcPr>
          <w:p>
            <w:pPr>
              <w:jc w:val="right"/>
              <w:ind w:right="2232"/>
              <w:spacing w:after="0"/>
              <w:rPr>
                <w:sz w:val="20"/>
                <w:szCs w:val="20"/>
                <w:color w:val="auto"/>
              </w:rPr>
            </w:pPr>
            <w:r>
              <w:rPr>
                <w:rFonts w:ascii="Times New Roman" w:cs="Times New Roman" w:eastAsia="Times New Roman" w:hAnsi="Times New Roman"/>
                <w:sz w:val="22"/>
                <w:szCs w:val="22"/>
                <w:b w:val="1"/>
                <w:bCs w:val="1"/>
                <w:color w:val="auto"/>
              </w:rPr>
              <w:t>], 2020)</w:t>
            </w:r>
          </w:p>
        </w:tc>
      </w:tr>
      <w:tr>
        <w:trPr>
          <w:trHeight w:val="981"/>
        </w:trPr>
        <w:tc>
          <w:tcPr>
            <w:tcW w:w="66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08" w:right="999" w:bottom="1440" w:gutter="0" w:footer="0" w:header="0"/>
        </w:sectPr>
      </w:pPr>
    </w:p>
    <w:bookmarkStart w:id="315" w:name="page316"/>
    <w:bookmarkEnd w:id="3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00" w:type="dxa"/>
            <w:vAlign w:val="bottom"/>
          </w:tcPr>
          <w:p>
            <w:pPr>
              <w:spacing w:after="0"/>
              <w:rPr>
                <w:sz w:val="24"/>
                <w:szCs w:val="24"/>
                <w:color w:val="auto"/>
              </w:rPr>
            </w:pPr>
          </w:p>
        </w:tc>
        <w:tc>
          <w:tcPr>
            <w:tcW w:w="6560" w:type="dxa"/>
            <w:vAlign w:val="bottom"/>
          </w:tcPr>
          <w:p>
            <w:pPr>
              <w:ind w:left="2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80" w:type="dxa"/>
            <w:vAlign w:val="bottom"/>
          </w:tcPr>
          <w:p>
            <w:pPr>
              <w:spacing w:after="0"/>
              <w:rPr>
                <w:sz w:val="24"/>
                <w:szCs w:val="24"/>
                <w:color w:val="auto"/>
              </w:rPr>
            </w:pPr>
          </w:p>
        </w:tc>
      </w:tr>
      <w:tr>
        <w:trPr>
          <w:trHeight w:val="473"/>
        </w:trPr>
        <w:tc>
          <w:tcPr>
            <w:tcW w:w="12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59"/>
        </w:trPr>
        <w:tc>
          <w:tcPr>
            <w:tcW w:w="7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47"/>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“409A Change in Control”</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“Account”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1.3.</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1.4.</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“Board”</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1.5.</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“Bonus”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1.6.</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“Change in Control”</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1.7.</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B Stock”</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1.8.</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“Code”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1.9.</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1.10.</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Contribution Unit”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1.11.</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“Disability”</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1.12.</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1.13.</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“Employee Deferrals”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1.14.</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“Grandfathered Participant”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1.15.</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Funds”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1.16.</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“Key Employee”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1.17.</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“Long-Term Bonus”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1.18.</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“Participant”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1.19.</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“Phantom Share”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1.20.</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1.21.</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“Plan Administrator”</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1.22.</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“Plan Year”</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1.23.</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“Publicly Traded”</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1.24.</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“Securities Exchange Act”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1.25.</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“Separation from Service”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1.26.</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 Value”</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1.27.</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“Short-Term Bonus”</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82"/>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1.28.</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“Valuation Date”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18"/>
        </w:trPr>
        <w:tc>
          <w:tcPr>
            <w:tcW w:w="7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COMPANY CONTRIBUTION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93"/>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2.1.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Prior Awards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2.2.</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Vesting</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2.3.</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Deemed Investment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82"/>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2.4.</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Distribution of Company Contribution Units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19"/>
        </w:trPr>
        <w:tc>
          <w:tcPr>
            <w:tcW w:w="7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EMPLOYEE DEFERRALS</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93"/>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3.1.</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Terms of Participation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43"/>
        </w:trPr>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3.2.</w:t>
            </w:r>
          </w:p>
        </w:tc>
        <w:tc>
          <w:tcPr>
            <w:tcW w:w="65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Deferred Compensation Account</w:t>
            </w:r>
          </w:p>
        </w:tc>
        <w:tc>
          <w:tcPr>
            <w:tcW w:w="2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82"/>
        </w:trPr>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3.3.</w:t>
            </w:r>
          </w:p>
        </w:tc>
        <w:tc>
          <w:tcPr>
            <w:tcW w:w="65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Distribution of Employee Deferrals</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1080" w:top="864" w:right="87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82"/>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SUBSEQUENT DEFERRALS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79"/>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4.1.</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Company Contribution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82"/>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4.2.</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Employee Deferrals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19"/>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GRAND</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FATHERED PARTICIPANTS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93"/>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5.1.</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Required Changes in Deemed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5.2.</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Request to Change Deemed Investments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5.3.</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Valuation of Investment Funds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5.4.</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Payment of Amounts Deemed Invested in Investment Funds</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5.5.</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Earnings on Investment Funds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DIVIDEND EQUIVALENTS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60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ADMINISTRATION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93"/>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7.1.</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General Authority</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7.2.</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Rights of the Plan Administrator</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7.3.</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Final Determination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1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CAPITAL ADJUSTMENTS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60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SHARES AUTHORIZED UNDER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60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SECTION 409A COMPLIANCE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93"/>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10.1.</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Specified Employee Status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10.2.</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Compliance in General</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82"/>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10.3.</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Liability for Section 409A Problems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18"/>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 MISCELLANEOUS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93"/>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11.1.</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Amendment or Termination of the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11.2.</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Withholding</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11.3.</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Lock-Up Agreement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11.4.</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Beneficiary Designation</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11.5.</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Distribution to Guardian</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010000"/>
              </w:rPr>
              <w:t>11.6.</w:t>
            </w:r>
          </w:p>
        </w:tc>
        <w:tc>
          <w:tcPr>
            <w:tcW w:w="77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No Funding</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82"/>
        </w:trPr>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010000"/>
              </w:rPr>
              <w:t>11.7.</w:t>
            </w:r>
          </w:p>
        </w:tc>
        <w:tc>
          <w:tcPr>
            <w:tcW w:w="7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59"/>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APPENDICES A   AWARD AGREEMENTS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A-1</w:t>
            </w:r>
          </w:p>
        </w:tc>
      </w:tr>
      <w:tr>
        <w:trPr>
          <w:trHeight w:val="419"/>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APPENDIX A-1   ELECTION OF EMPLOYEE DEFERRALS</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A1-1</w:t>
            </w:r>
          </w:p>
        </w:tc>
      </w:tr>
      <w:tr>
        <w:trPr>
          <w:trHeight w:val="379"/>
        </w:trPr>
        <w:tc>
          <w:tcPr>
            <w:tcW w:w="8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APPENDIX A-2   ELECTION OF A LATER DISTRIBUTION (COMMENCEMENT OF</w:t>
            </w:r>
          </w:p>
        </w:tc>
        <w:tc>
          <w:tcPr>
            <w:tcW w:w="1000" w:type="dxa"/>
            <w:vAlign w:val="bottom"/>
          </w:tcPr>
          <w:p>
            <w:pPr>
              <w:spacing w:after="0"/>
              <w:rPr>
                <w:sz w:val="24"/>
                <w:szCs w:val="24"/>
                <w:color w:val="auto"/>
              </w:rPr>
            </w:pPr>
          </w:p>
        </w:tc>
      </w:tr>
      <w:tr>
        <w:trPr>
          <w:trHeight w:val="243"/>
        </w:trPr>
        <w:tc>
          <w:tcPr>
            <w:tcW w:w="1240" w:type="dxa"/>
            <w:vAlign w:val="bottom"/>
          </w:tcPr>
          <w:p>
            <w:pPr>
              <w:spacing w:after="0"/>
              <w:rPr>
                <w:sz w:val="21"/>
                <w:szCs w:val="21"/>
                <w:color w:val="auto"/>
              </w:rPr>
            </w:pPr>
          </w:p>
        </w:tc>
        <w:tc>
          <w:tcPr>
            <w:tcW w:w="770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DISTRIBUTION) DATE AND POSSIBLY DIFFERENT DISTRIBUTION</w:t>
            </w:r>
          </w:p>
        </w:tc>
        <w:tc>
          <w:tcPr>
            <w:tcW w:w="1000" w:type="dxa"/>
            <w:vAlign w:val="bottom"/>
          </w:tcPr>
          <w:p>
            <w:pPr>
              <w:spacing w:after="0"/>
              <w:rPr>
                <w:sz w:val="21"/>
                <w:szCs w:val="21"/>
                <w:color w:val="auto"/>
              </w:rPr>
            </w:pPr>
          </w:p>
        </w:tc>
      </w:tr>
      <w:tr>
        <w:trPr>
          <w:trHeight w:val="282"/>
        </w:trPr>
        <w:tc>
          <w:tcPr>
            <w:tcW w:w="1240" w:type="dxa"/>
            <w:vAlign w:val="bottom"/>
          </w:tcPr>
          <w:p>
            <w:pPr>
              <w:spacing w:after="0"/>
              <w:rPr>
                <w:sz w:val="24"/>
                <w:szCs w:val="24"/>
                <w:color w:val="auto"/>
              </w:rPr>
            </w:pPr>
          </w:p>
        </w:tc>
        <w:tc>
          <w:tcPr>
            <w:tcW w:w="770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FORM</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A2-1</w:t>
            </w:r>
          </w:p>
        </w:tc>
      </w:tr>
    </w:tbl>
    <w:p>
      <w:pPr>
        <w:spacing w:after="0" w:line="200" w:lineRule="exact"/>
        <w:rPr>
          <w:sz w:val="20"/>
          <w:szCs w:val="20"/>
          <w:color w:val="auto"/>
        </w:rPr>
      </w:pPr>
    </w:p>
    <w:p>
      <w:pPr>
        <w:spacing w:after="0" w:line="28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1080" w:top="747" w:right="879" w:bottom="1440" w:gutter="0" w:footer="0" w:header="0"/>
        </w:sectPr>
      </w:pPr>
    </w:p>
    <w:bookmarkStart w:id="317" w:name="page318"/>
    <w:bookmarkEnd w:id="317"/>
    <w:p>
      <w:pPr>
        <w:spacing w:after="0" w:line="460" w:lineRule="auto"/>
        <w:rPr>
          <w:sz w:val="20"/>
          <w:szCs w:val="20"/>
          <w:color w:val="auto"/>
        </w:rPr>
      </w:pPr>
      <w:r>
        <w:rPr>
          <w:rFonts w:ascii="Times New Roman" w:cs="Times New Roman" w:eastAsia="Times New Roman" w:hAnsi="Times New Roman"/>
          <w:sz w:val="21"/>
          <w:szCs w:val="21"/>
          <w:color w:val="auto"/>
        </w:rPr>
        <w:t>APPENDIX A-3 APPENDIX A-4 APPENDIX B APPENDIX 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CHANGE IN DEEMED INVESTMENT REQUEST</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A3-1</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TERMINATION OF DEFERRAL ELECTION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A4-1</w:t>
            </w:r>
          </w:p>
        </w:tc>
      </w:tr>
      <w:tr>
        <w:trPr>
          <w:trHeight w:val="459"/>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LIST OF INVESTMENT FUNDS AS OF JANUARY 1, 2015</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B-1</w:t>
            </w:r>
          </w:p>
        </w:tc>
      </w:tr>
      <w:tr>
        <w:trPr>
          <w:trHeight w:val="459"/>
        </w:trPr>
        <w:tc>
          <w:tcPr>
            <w:tcW w:w="6540" w:type="dxa"/>
            <w:vAlign w:val="bottom"/>
          </w:tcPr>
          <w:p>
            <w:pPr>
              <w:spacing w:after="0"/>
              <w:rPr>
                <w:sz w:val="20"/>
                <w:szCs w:val="20"/>
                <w:color w:val="auto"/>
              </w:rPr>
            </w:pPr>
            <w:r>
              <w:rPr>
                <w:rFonts w:ascii="Times New Roman" w:cs="Times New Roman" w:eastAsia="Times New Roman" w:hAnsi="Times New Roman"/>
                <w:sz w:val="22"/>
                <w:szCs w:val="22"/>
                <w:color w:val="auto"/>
              </w:rPr>
              <w:t>BENEFICIARY DESIGNATION FORM</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353695</wp:posOffset>
            </wp:positionV>
            <wp:extent cx="6292215" cy="254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1460" w:space="360"/>
            <w:col w:w="8120"/>
          </w:cols>
          <w:pgMar w:left="1080" w:top="922" w:right="879" w:bottom="1440" w:gutter="0" w:footer="0" w:header="0"/>
        </w:sectPr>
      </w:pPr>
    </w:p>
    <w:bookmarkStart w:id="318" w:name="page319"/>
    <w:bookmarkEnd w:id="31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tbl>
      <w:tblPr>
        <w:tblLayout w:type="fixed"/>
        <w:tblInd w:w="2360" w:type="dxa"/>
        <w:tblCellMar>
          <w:top w:w="0" w:type="dxa"/>
          <w:left w:w="0" w:type="dxa"/>
          <w:bottom w:w="0" w:type="dxa"/>
          <w:right w:w="0" w:type="dxa"/>
        </w:tblCellMar>
      </w:tblPr>
      <w:tr>
        <w:trPr>
          <w:trHeight w:val="286"/>
        </w:trPr>
        <w:tc>
          <w:tcPr>
            <w:tcW w:w="4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 2020)</w:t>
            </w:r>
          </w:p>
        </w:tc>
      </w:tr>
    </w:tbl>
    <w:p>
      <w:pPr>
        <w:spacing w:after="0" w:line="145"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Bentley Systems, Incorporated,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sponsors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Bentley Systems, Incorporated Nonqualified Deferred Compensation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its officers and key employees, originally effective January 1, 2007, in order to attract and retain such individuals and motivate them to exercise their best efforts on behalf of the Company and its subsidiaries;</w:t>
      </w:r>
    </w:p>
    <w:p>
      <w:pPr>
        <w:spacing w:after="0" w:line="172"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most recently amended and restated the Plan, effective as of January 1, 2015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has amended the Plan in part on two occasions thereafter;</w:t>
      </w:r>
    </w:p>
    <w:p>
      <w:pPr>
        <w:spacing w:after="0" w:line="150"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Section 9.1 of the Plan provides that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amend the Plan from time to time; and</w:t>
      </w:r>
    </w:p>
    <w:p>
      <w:pPr>
        <w:spacing w:after="0" w:line="150" w:lineRule="exact"/>
        <w:rPr>
          <w:sz w:val="20"/>
          <w:szCs w:val="20"/>
          <w:color w:val="auto"/>
        </w:rPr>
      </w:pPr>
    </w:p>
    <w:p>
      <w:pPr>
        <w:jc w:val="both"/>
        <w:ind w:right="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Board desires to amend and restate the Plan (i) to incorporate the two amendments noted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(ii) increase the number of shares of Class B common stock of the Company available under the Plan; and (iii) to make certain additional changes;</w:t>
      </w:r>
    </w:p>
    <w:p>
      <w:pPr>
        <w:spacing w:after="0" w:line="167" w:lineRule="exact"/>
        <w:rPr>
          <w:sz w:val="20"/>
          <w:szCs w:val="20"/>
          <w:color w:val="auto"/>
        </w:rPr>
      </w:pPr>
    </w:p>
    <w:p>
      <w:pPr>
        <w:ind w:left="660"/>
        <w:spacing w:after="0"/>
        <w:tabs>
          <w:tab w:leader="none" w:pos="4620" w:val="left"/>
        </w:tabs>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effective as of [</w:t>
      </w:r>
      <w:r>
        <w:rPr>
          <w:sz w:val="20"/>
          <w:szCs w:val="20"/>
          <w:color w:val="auto"/>
        </w:rPr>
        <w:tab/>
      </w:r>
      <w:r>
        <w:rPr>
          <w:rFonts w:ascii="Times New Roman" w:cs="Times New Roman" w:eastAsia="Times New Roman" w:hAnsi="Times New Roman"/>
          <w:sz w:val="21"/>
          <w:szCs w:val="21"/>
          <w:color w:val="auto"/>
        </w:rPr>
        <w:t>], 2020, the Plan is hereby amended and restated as follows: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409A Change in Control</w:t>
      </w:r>
      <w:r>
        <w:rPr>
          <w:rFonts w:ascii="Times New Roman" w:cs="Times New Roman" w:eastAsia="Times New Roman" w:hAnsi="Times New Roman"/>
          <w:sz w:val="21"/>
          <w:szCs w:val="21"/>
          <w:color w:val="auto"/>
        </w:rPr>
        <w:t>” shall mean:</w:t>
      </w:r>
    </w:p>
    <w:p>
      <w:pPr>
        <w:spacing w:after="0" w:line="206" w:lineRule="exact"/>
        <w:rPr>
          <w:sz w:val="20"/>
          <w:szCs w:val="20"/>
          <w:color w:val="auto"/>
        </w:rPr>
      </w:pPr>
    </w:p>
    <w:p>
      <w:pPr>
        <w:ind w:left="660" w:right="160" w:firstLine="1292"/>
        <w:spacing w:after="0" w:line="244" w:lineRule="auto"/>
        <w:tabs>
          <w:tab w:leader="none" w:pos="2628"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one person, or more than one person acting as a group, acquires ownership of stock of the Company that, together with stock held by such person or group, constitutes more than 50 percent of the total fair market value or total voting power of the stock of the Company;</w:t>
      </w:r>
    </w:p>
    <w:p>
      <w:pPr>
        <w:spacing w:after="0" w:line="173" w:lineRule="exact"/>
        <w:rPr>
          <w:rFonts w:ascii="Times New Roman" w:cs="Times New Roman" w:eastAsia="Times New Roman" w:hAnsi="Times New Roman"/>
          <w:sz w:val="22"/>
          <w:szCs w:val="22"/>
          <w:color w:val="010000"/>
        </w:rPr>
      </w:pPr>
    </w:p>
    <w:p>
      <w:pPr>
        <w:ind w:left="2640" w:hanging="688"/>
        <w:spacing w:after="0"/>
        <w:tabs>
          <w:tab w:leader="none" w:pos="264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change in the effective control of the Company occurring only on the date that</w:t>
      </w:r>
    </w:p>
    <w:p>
      <w:pPr>
        <w:spacing w:after="0" w:line="14"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either:</w:t>
      </w:r>
    </w:p>
    <w:p>
      <w:pPr>
        <w:spacing w:after="0" w:line="182" w:lineRule="exact"/>
        <w:rPr>
          <w:rFonts w:ascii="Times New Roman" w:cs="Times New Roman" w:eastAsia="Times New Roman" w:hAnsi="Times New Roman"/>
          <w:sz w:val="22"/>
          <w:szCs w:val="22"/>
          <w:color w:val="010000"/>
        </w:rPr>
      </w:pPr>
    </w:p>
    <w:p>
      <w:pPr>
        <w:ind w:left="1300" w:right="40" w:firstLine="1300"/>
        <w:spacing w:after="0" w:line="239" w:lineRule="auto"/>
        <w:tabs>
          <w:tab w:leader="none" w:pos="3280" w:val="left"/>
        </w:tabs>
        <w:numPr>
          <w:ilvl w:val="1"/>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one person, or more than one person acting as a group, acquires (or has acquired during the 12-month period ending on the date of the most recent acquisition by such person or persons) ownership of stock of the Company possessing 35 percent or more of the total voting power of the stock of the Company; or</w:t>
      </w:r>
    </w:p>
    <w:p>
      <w:pPr>
        <w:spacing w:after="0" w:line="180" w:lineRule="exact"/>
        <w:rPr>
          <w:rFonts w:ascii="Times New Roman" w:cs="Times New Roman" w:eastAsia="Times New Roman" w:hAnsi="Times New Roman"/>
          <w:sz w:val="22"/>
          <w:szCs w:val="22"/>
          <w:color w:val="010000"/>
        </w:rPr>
      </w:pPr>
    </w:p>
    <w:p>
      <w:pPr>
        <w:ind w:left="1300" w:firstLine="1300"/>
        <w:spacing w:after="0" w:line="244" w:lineRule="auto"/>
        <w:tabs>
          <w:tab w:leader="none" w:pos="3280" w:val="left"/>
        </w:tabs>
        <w:numPr>
          <w:ilvl w:val="1"/>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majority of members of the Board is replaced during any 12-month period by directors whose appointment or election is not endorsed by a majority of the members of the Board prior to the date of the appointment or election;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1019175</wp:posOffset>
            </wp:positionV>
            <wp:extent cx="6292215" cy="260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59" w:right="1019" w:bottom="1440" w:gutter="0" w:footer="0" w:header="0"/>
        </w:sectPr>
      </w:pPr>
    </w:p>
    <w:bookmarkStart w:id="319" w:name="page320"/>
    <w:bookmarkEnd w:id="319"/>
    <w:p>
      <w:pPr>
        <w:ind w:left="660" w:right="220" w:firstLine="1292"/>
        <w:spacing w:after="0" w:line="238" w:lineRule="auto"/>
        <w:tabs>
          <w:tab w:leader="none" w:pos="2628"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or more than 40 percent of the total gross fair market value of all of the assets of the Company immediately prior to such acquisition or acquisitions.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Whether or not a 409A Change in Control has occurred shall be determined in accordance with Treas. Reg.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§1.409A-3(i)(5) or any successor thereto.</w:t>
      </w:r>
    </w:p>
    <w:p>
      <w:pPr>
        <w:spacing w:after="0" w:line="182"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Account</w:t>
      </w:r>
      <w:r>
        <w:rPr>
          <w:rFonts w:ascii="Times New Roman" w:cs="Times New Roman" w:eastAsia="Times New Roman" w:hAnsi="Times New Roman"/>
          <w:sz w:val="22"/>
          <w:szCs w:val="22"/>
          <w:color w:val="000000"/>
        </w:rPr>
        <w:t>” shall mean a bookkeeping account (or, when appropriate, sub-accounts) to which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Participant’s Company Contribution Units and/or Employee Deferrals are credited.</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Agreement</w:t>
      </w:r>
      <w:r>
        <w:rPr>
          <w:rFonts w:ascii="Times New Roman" w:cs="Times New Roman" w:eastAsia="Times New Roman" w:hAnsi="Times New Roman"/>
          <w:sz w:val="22"/>
          <w:szCs w:val="22"/>
          <w:color w:val="000000"/>
        </w:rPr>
        <w:t>” shall mean, as applicable, one of the deferred compensation agreements, substantially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the forms set forth in Appendices A attached hereto, to be entered into by a Participant and the Company to provide the Participant with the opportunity (i) to make an initial election of Employee Deferrals (Appendix A-1 attached hereto); (ii) to elect a later distribution date (or commencement of distribution date) (Appendix A-2 attached hereto); (iii) only for a Grandfathered Participant, to change deemed investment requests for Company Contribution Units or Employee Deferrals (Appendix A-3 attached hereto); and (iv) to terminate Employee Deferrals (Appendix A-4 attached hereto).</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shall mean either a Short-Term Bonus or a Long-Term Bonus.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w:t>
      </w:r>
    </w:p>
    <w:p>
      <w:pPr>
        <w:spacing w:after="0" w:line="206" w:lineRule="exact"/>
        <w:rPr>
          <w:sz w:val="20"/>
          <w:szCs w:val="20"/>
          <w:color w:val="auto"/>
        </w:rPr>
      </w:pPr>
    </w:p>
    <w:p>
      <w:pPr>
        <w:ind w:left="660" w:right="140" w:firstLine="1292"/>
        <w:spacing w:after="0" w:line="238" w:lineRule="auto"/>
        <w:tabs>
          <w:tab w:leader="none" w:pos="2628"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including a group of persons acting in concert (but not including the Company or any stockholder who is part of a group of stockholders who collectively beneficially own more than 50 percent of the voting common stock of the Company as of the Effective Date), becomes the beneficial owner of shares of the Company having 50 percent or more of the total number of votes that may be cast for the election of members of the Board; or</w:t>
      </w:r>
    </w:p>
    <w:p>
      <w:pPr>
        <w:spacing w:after="0" w:line="176" w:lineRule="exact"/>
        <w:rPr>
          <w:rFonts w:ascii="Times New Roman" w:cs="Times New Roman" w:eastAsia="Times New Roman" w:hAnsi="Times New Roman"/>
          <w:sz w:val="22"/>
          <w:szCs w:val="22"/>
          <w:color w:val="010000"/>
        </w:rPr>
      </w:pPr>
    </w:p>
    <w:p>
      <w:pPr>
        <w:ind w:left="660" w:right="180" w:firstLine="1292"/>
        <w:spacing w:after="0" w:line="238" w:lineRule="auto"/>
        <w:tabs>
          <w:tab w:leader="none" w:pos="264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occurs a cash tender or exchange offer for shares of the Company, a merger or other business combination, or a sale of assets or a combination of the foregoing transactions, and as a result of or in connection with any such event persons who were members of the Board before the event shall cease to constitute a majority of the Board or of the board of directors of any successor to the Company.</w:t>
      </w:r>
    </w:p>
    <w:p>
      <w:pPr>
        <w:spacing w:after="0" w:line="176" w:lineRule="exact"/>
        <w:rPr>
          <w:rFonts w:ascii="Times New Roman" w:cs="Times New Roman" w:eastAsia="Times New Roman" w:hAnsi="Times New Roman"/>
          <w:sz w:val="22"/>
          <w:szCs w:val="22"/>
          <w:color w:val="010000"/>
        </w:rPr>
      </w:pPr>
    </w:p>
    <w:p>
      <w:pPr>
        <w:ind w:left="660" w:right="260" w:firstLine="1292"/>
        <w:spacing w:after="0" w:line="282" w:lineRule="auto"/>
        <w:tabs>
          <w:tab w:leader="none" w:pos="2628" w:val="left"/>
        </w:tabs>
        <w:numPr>
          <w:ilvl w:val="0"/>
          <w:numId w:val="1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Section, the terms “person,” “group” and “beneficial owner” shall have the meanings assigned to such terms under Section 13(d) of the Securities Exchange Act.</w:t>
      </w:r>
    </w:p>
    <w:p>
      <w:pPr>
        <w:spacing w:after="0" w:line="135"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1.7.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Class B Stock</w:t>
      </w:r>
      <w:r>
        <w:rPr>
          <w:rFonts w:ascii="Times New Roman" w:cs="Times New Roman" w:eastAsia="Times New Roman" w:hAnsi="Times New Roman"/>
          <w:sz w:val="22"/>
          <w:szCs w:val="22"/>
          <w:color w:val="000000"/>
        </w:rPr>
        <w:t>” shall mean a number of actual whole (not fractional) shares of the Company’s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Class B Non-Voting Common Stock (or any successor class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20" w:name="page321"/>
    <w:bookmarkEnd w:id="320"/>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Bentley Systems, Incorporated, a Delaware corporation.</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1.10.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Company Contribution Unit</w:t>
      </w:r>
      <w:r>
        <w:rPr>
          <w:rFonts w:ascii="Times New Roman" w:cs="Times New Roman" w:eastAsia="Times New Roman" w:hAnsi="Times New Roman"/>
          <w:sz w:val="22"/>
          <w:szCs w:val="22"/>
          <w:color w:val="000000"/>
        </w:rPr>
        <w:t>” shall mean a discretionary credit made by the Company on behalf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Participant, the value of which shall be deemed invested in Phantom Shares. (See Article V for special rules for Grandfathered Participants to whom Company Contribution Units were credited before January 1, 2015.).</w:t>
      </w:r>
    </w:p>
    <w:p>
      <w:pPr>
        <w:spacing w:after="0" w:line="173"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1.11.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Disability</w:t>
      </w:r>
      <w:r>
        <w:rPr>
          <w:rFonts w:ascii="Times New Roman" w:cs="Times New Roman" w:eastAsia="Times New Roman" w:hAnsi="Times New Roman"/>
          <w:sz w:val="22"/>
          <w:szCs w:val="22"/>
          <w:color w:val="000000"/>
        </w:rPr>
        <w:t>” shall mean the Participant’s inability to engage in any substantial gainful activity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reason of any medically determinable physical or mental impairment that can be expected to result in death or which has lasted or can be expected to last for a continuous period of not less than 12 months. Whether a Participant has incurred a Disability shall be determined by the Plan Administrator in its sole discretion, provided such decision is supported by medical evidence.</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mean January 1, 2007.</w:t>
      </w:r>
    </w:p>
    <w:p>
      <w:pPr>
        <w:spacing w:after="0" w:line="20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1.13.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Employee Deferrals</w:t>
      </w:r>
      <w:r>
        <w:rPr>
          <w:rFonts w:ascii="Times New Roman" w:cs="Times New Roman" w:eastAsia="Times New Roman" w:hAnsi="Times New Roman"/>
          <w:sz w:val="22"/>
          <w:szCs w:val="22"/>
          <w:color w:val="000000"/>
        </w:rPr>
        <w:t>” shall mean any Bonus, or any part thereof, that is deferred by a Participant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accordance with Article III.</w:t>
      </w:r>
    </w:p>
    <w:p>
      <w:pPr>
        <w:spacing w:after="0" w:line="15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1.14.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Grandfathered Participant</w:t>
      </w:r>
      <w:r>
        <w:rPr>
          <w:rFonts w:ascii="Times New Roman" w:cs="Times New Roman" w:eastAsia="Times New Roman" w:hAnsi="Times New Roman"/>
          <w:sz w:val="22"/>
          <w:szCs w:val="22"/>
          <w:color w:val="000000"/>
        </w:rPr>
        <w:t>” shall mean any Participant who had a Separation from Service before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January 1, 2015.</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Funds</w:t>
      </w:r>
      <w:r>
        <w:rPr>
          <w:rFonts w:ascii="Times New Roman" w:cs="Times New Roman" w:eastAsia="Times New Roman" w:hAnsi="Times New Roman"/>
          <w:sz w:val="21"/>
          <w:szCs w:val="21"/>
          <w:color w:val="auto"/>
        </w:rPr>
        <w:t>” shall mean those funds listed in Appendix B attached hereto.</w:t>
      </w:r>
    </w:p>
    <w:p>
      <w:pPr>
        <w:spacing w:after="0" w:line="20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1.16.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Key Employee</w:t>
      </w:r>
      <w:r>
        <w:rPr>
          <w:rFonts w:ascii="Times New Roman" w:cs="Times New Roman" w:eastAsia="Times New Roman" w:hAnsi="Times New Roman"/>
          <w:sz w:val="22"/>
          <w:szCs w:val="22"/>
          <w:color w:val="000000"/>
        </w:rPr>
        <w:t>” shall mean an officer or other key employee of the Company or a subsidiary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Company.</w:t>
      </w:r>
    </w:p>
    <w:p>
      <w:pPr>
        <w:spacing w:after="0" w:line="15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1.17.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Long-Term Bonus</w:t>
      </w:r>
      <w:r>
        <w:rPr>
          <w:rFonts w:ascii="Times New Roman" w:cs="Times New Roman" w:eastAsia="Times New Roman" w:hAnsi="Times New Roman"/>
          <w:sz w:val="22"/>
          <w:szCs w:val="22"/>
          <w:color w:val="000000"/>
        </w:rPr>
        <w:t>” shall mean any current or future bonus based on pre-established (within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meaning of Treas. Reg. §1.409A-1(e)(1) or any successor thereto) individual or corporate performance goals relating to a performance period of at least 12 consecutive months during which the Participant performs services for the Company or any subsidiary.</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1.18.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Participant</w:t>
      </w:r>
      <w:r>
        <w:rPr>
          <w:rFonts w:ascii="Times New Roman" w:cs="Times New Roman" w:eastAsia="Times New Roman" w:hAnsi="Times New Roman"/>
          <w:sz w:val="22"/>
          <w:szCs w:val="22"/>
          <w:color w:val="000000"/>
        </w:rPr>
        <w:t>” shall mean a Key Employee who has been selected to participate in the Plan and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whom an Account is maintained under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Phantom Share</w:t>
      </w:r>
      <w:r>
        <w:rPr>
          <w:rFonts w:ascii="Times New Roman" w:cs="Times New Roman" w:eastAsia="Times New Roman" w:hAnsi="Times New Roman"/>
          <w:sz w:val="21"/>
          <w:szCs w:val="21"/>
          <w:color w:val="auto"/>
        </w:rPr>
        <w:t>” shall mean a deemed share, the value of which equals the Share Value.</w:t>
      </w:r>
    </w:p>
    <w:p>
      <w:pPr>
        <w:spacing w:after="0" w:line="20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1.20.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Plan</w:t>
      </w:r>
      <w:r>
        <w:rPr>
          <w:rFonts w:ascii="Times New Roman" w:cs="Times New Roman" w:eastAsia="Times New Roman" w:hAnsi="Times New Roman"/>
          <w:sz w:val="22"/>
          <w:szCs w:val="22"/>
          <w:color w:val="000000"/>
        </w:rPr>
        <w:t>” shall mean the Bentley Systems, Incorporated Nonqualified Deferred Compensation Plan,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set forth herein and as it may be amended from time to time.</w:t>
      </w:r>
    </w:p>
    <w:p>
      <w:pPr>
        <w:spacing w:after="0" w:line="158"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1.21.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Plan Administrator</w:t>
      </w:r>
      <w:r>
        <w:rPr>
          <w:rFonts w:ascii="Times New Roman" w:cs="Times New Roman" w:eastAsia="Times New Roman" w:hAnsi="Times New Roman"/>
          <w:sz w:val="22"/>
          <w:szCs w:val="22"/>
          <w:color w:val="000000"/>
        </w:rPr>
        <w:t>” shall mean an individual or a committee appointed by the Board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administer the Plan. If no individual or committee is so appointed, the Plan Administrator shall be the Board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21" w:name="page322"/>
    <w:bookmarkEnd w:id="321"/>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Year</w:t>
      </w:r>
      <w:r>
        <w:rPr>
          <w:rFonts w:ascii="Times New Roman" w:cs="Times New Roman" w:eastAsia="Times New Roman" w:hAnsi="Times New Roman"/>
          <w:sz w:val="21"/>
          <w:szCs w:val="21"/>
          <w:color w:val="auto"/>
        </w:rPr>
        <w:t>” shall mean each calendar year beginning with 2007.</w:t>
      </w:r>
    </w:p>
    <w:p>
      <w:pPr>
        <w:spacing w:after="0" w:line="206"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1.23.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Publicly Traded</w:t>
      </w:r>
      <w:r>
        <w:rPr>
          <w:rFonts w:ascii="Times New Roman" w:cs="Times New Roman" w:eastAsia="Times New Roman" w:hAnsi="Times New Roman"/>
          <w:sz w:val="22"/>
          <w:szCs w:val="22"/>
          <w:color w:val="000000"/>
        </w:rPr>
        <w:t>” shall mean that the Company has registered a class of its common stock under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Section 12 of the Securities Exchange Act. Notwithstanding the preceding sentence, the Company shall not be considered to be Publicly Traded if the Plan Administrator determines, in good faith, that there has not been sufficient trading volume of Class B Stock to create a fair determination of Share Value pursuant to Section 1.26(b).</w:t>
      </w:r>
    </w:p>
    <w:p>
      <w:pPr>
        <w:spacing w:after="0" w:line="17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1.24.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Securities Exchange Act</w:t>
      </w:r>
      <w:r>
        <w:rPr>
          <w:rFonts w:ascii="Times New Roman" w:cs="Times New Roman" w:eastAsia="Times New Roman" w:hAnsi="Times New Roman"/>
          <w:sz w:val="22"/>
          <w:szCs w:val="22"/>
          <w:color w:val="000000"/>
        </w:rPr>
        <w:t>” shall mean the Securities Exchange Act of 1934, as amended,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rules and regulations promulgated thereunder.</w:t>
      </w:r>
    </w:p>
    <w:p>
      <w:pPr>
        <w:spacing w:after="0" w:line="158"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010000"/>
        </w:rPr>
        <w:t xml:space="preserve">1.25.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Separation from Service</w:t>
      </w:r>
      <w:r>
        <w:rPr>
          <w:rFonts w:ascii="Times New Roman" w:cs="Times New Roman" w:eastAsia="Times New Roman" w:hAnsi="Times New Roman"/>
          <w:sz w:val="22"/>
          <w:szCs w:val="22"/>
          <w:color w:val="000000"/>
        </w:rPr>
        <w:t>” shall mean a “separation from service” as defined in Section 409A(a)(2)</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(A)(i) of the Code and the regulations issued thereunder (see the footnote in Appendix A-1 attached hereto for a summary of such definition); except that, if a Participant has made no election for any payment under the Plan to be triggered by such a Separation from Service, and the Participant’s status changes from an employee of the Company or a subsidiary of the Company to a non-employee director of the Company, then no Separation from Service shall occur for purposes of the Plan until the Participant’s separation from service as a non-employee director of the Company.</w:t>
      </w:r>
    </w:p>
    <w:p>
      <w:pPr>
        <w:spacing w:after="0" w:line="183"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1.26.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Share Value</w:t>
      </w:r>
      <w:r>
        <w:rPr>
          <w:rFonts w:ascii="Times New Roman" w:cs="Times New Roman" w:eastAsia="Times New Roman" w:hAnsi="Times New Roman"/>
          <w:sz w:val="22"/>
          <w:szCs w:val="22"/>
          <w:color w:val="000000"/>
        </w:rPr>
        <w:t>” shall mean the value determined pursuant to subsection (a), subsection (b),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subsection (c) below, as applicable: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B8B7B7"/>
        </w:rPr>
        <w:t>i</w:t>
      </w:r>
    </w:p>
    <w:p>
      <w:pPr>
        <w:spacing w:after="0" w:line="18" w:lineRule="exact"/>
        <w:rPr>
          <w:sz w:val="20"/>
          <w:szCs w:val="20"/>
          <w:color w:val="auto"/>
        </w:rPr>
      </w:pPr>
    </w:p>
    <w:p>
      <w:pPr>
        <w:ind w:left="660" w:right="220" w:firstLine="1292"/>
        <w:spacing w:after="0" w:line="249" w:lineRule="auto"/>
        <w:tabs>
          <w:tab w:leader="none" w:pos="2628" w:val="left"/>
        </w:tabs>
        <w:numPr>
          <w:ilvl w:val="0"/>
          <w:numId w:val="1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Share Value shall mean the value of one share of Class B Stock, as determined by the Board based on the valuation of such shares by the Company’s independent appraiser, on the Valuation Date coincident with or last prior to the applicable distribution date or investment date.</w:t>
      </w:r>
    </w:p>
    <w:p>
      <w:pPr>
        <w:spacing w:after="0" w:line="169" w:lineRule="exact"/>
        <w:rPr>
          <w:rFonts w:ascii="Times New Roman" w:cs="Times New Roman" w:eastAsia="Times New Roman" w:hAnsi="Times New Roman"/>
          <w:sz w:val="21"/>
          <w:szCs w:val="21"/>
          <w:color w:val="010000"/>
        </w:rPr>
      </w:pPr>
    </w:p>
    <w:p>
      <w:pPr>
        <w:ind w:left="660" w:right="640" w:firstLine="1292"/>
        <w:spacing w:after="0" w:line="258" w:lineRule="auto"/>
        <w:tabs>
          <w:tab w:leader="none" w:pos="2640"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Except as set forth in subsection (c) below, on and after the Company becomes Publicly Traded, Share Value shall mean:</w:t>
      </w:r>
    </w:p>
    <w:p>
      <w:pPr>
        <w:spacing w:after="0" w:line="158" w:lineRule="exact"/>
        <w:rPr>
          <w:rFonts w:ascii="Times New Roman" w:cs="Times New Roman" w:eastAsia="Times New Roman" w:hAnsi="Times New Roman"/>
          <w:sz w:val="22"/>
          <w:szCs w:val="22"/>
          <w:color w:val="010000"/>
        </w:rPr>
      </w:pPr>
    </w:p>
    <w:p>
      <w:pPr>
        <w:jc w:val="both"/>
        <w:ind w:left="1300" w:right="20" w:firstLine="1300"/>
        <w:spacing w:after="0" w:line="244" w:lineRule="auto"/>
        <w:tabs>
          <w:tab w:leader="none" w:pos="3280" w:val="left"/>
        </w:tabs>
        <w:numPr>
          <w:ilvl w:val="1"/>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closing price of the Class B Stock on a registered securities exchange or on an over-the-counter market (as applicable) on the applicable Valuation Date, if there are sales on such date;</w:t>
      </w:r>
    </w:p>
    <w:p>
      <w:pPr>
        <w:spacing w:after="0" w:line="173" w:lineRule="exact"/>
        <w:rPr>
          <w:rFonts w:ascii="Times New Roman" w:cs="Times New Roman" w:eastAsia="Times New Roman" w:hAnsi="Times New Roman"/>
          <w:sz w:val="22"/>
          <w:szCs w:val="22"/>
          <w:color w:val="010000"/>
        </w:rPr>
      </w:pPr>
    </w:p>
    <w:p>
      <w:pPr>
        <w:jc w:val="both"/>
        <w:ind w:left="1300" w:firstLine="1300"/>
        <w:spacing w:after="0" w:line="244" w:lineRule="auto"/>
        <w:tabs>
          <w:tab w:leader="none" w:pos="3280" w:val="left"/>
        </w:tabs>
        <w:numPr>
          <w:ilvl w:val="1"/>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weighted average of the closing prices on the nearest date before and the nearest date after the applicable Valuation Date, if there are no sales on such date but there are sales on dates within a reasonable period both before and after such date; or</w:t>
      </w:r>
    </w:p>
    <w:p>
      <w:pPr>
        <w:spacing w:after="0" w:line="173" w:lineRule="exact"/>
        <w:rPr>
          <w:rFonts w:ascii="Times New Roman" w:cs="Times New Roman" w:eastAsia="Times New Roman" w:hAnsi="Times New Roman"/>
          <w:sz w:val="22"/>
          <w:szCs w:val="22"/>
          <w:color w:val="010000"/>
        </w:rPr>
      </w:pPr>
    </w:p>
    <w:p>
      <w:pPr>
        <w:ind w:left="1300" w:right="120" w:firstLine="1300"/>
        <w:spacing w:after="0" w:line="244" w:lineRule="auto"/>
        <w:tabs>
          <w:tab w:leader="none" w:pos="3280" w:val="left"/>
        </w:tabs>
        <w:numPr>
          <w:ilvl w:val="1"/>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mean between the bid and asked prices, as reported by the National Quotation Bureau, on the applicable Valuation Date, if actual sales are not available either on such date or during a reasonable period beginning before and ending after such date.</w:t>
      </w:r>
    </w:p>
    <w:p>
      <w:pPr>
        <w:spacing w:after="0" w:line="173"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22"/>
          <w:szCs w:val="22"/>
          <w:color w:val="auto"/>
        </w:rPr>
        <w:t>Where the fair market value of Class B Stock is determined under paragraph (2) above, the closing prices of the sales on the nearest date before and the nearest date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sectPr>
      </w:pPr>
    </w:p>
    <w:bookmarkStart w:id="322" w:name="page323"/>
    <w:bookmarkEnd w:id="322"/>
    <w:p>
      <w:pPr>
        <w:ind w:left="660" w:right="160"/>
        <w:spacing w:after="0" w:line="258" w:lineRule="auto"/>
        <w:rPr>
          <w:sz w:val="20"/>
          <w:szCs w:val="20"/>
          <w:color w:val="auto"/>
        </w:rPr>
      </w:pPr>
      <w:r>
        <w:rPr>
          <w:rFonts w:ascii="Times New Roman" w:cs="Times New Roman" w:eastAsia="Times New Roman" w:hAnsi="Times New Roman"/>
          <w:sz w:val="22"/>
          <w:szCs w:val="22"/>
          <w:color w:val="auto"/>
        </w:rPr>
        <w:t>applicable Valuation Date shall be weighted inversely by the respective numbers of trading days between the selling dates and the applicable Valuation Date.</w:t>
      </w:r>
    </w:p>
    <w:p>
      <w:pPr>
        <w:spacing w:after="0" w:line="158" w:lineRule="exact"/>
        <w:rPr>
          <w:sz w:val="20"/>
          <w:szCs w:val="20"/>
          <w:color w:val="auto"/>
        </w:rPr>
      </w:pPr>
    </w:p>
    <w:p>
      <w:pPr>
        <w:ind w:left="2620" w:hanging="668"/>
        <w:spacing w:after="0"/>
        <w:tabs>
          <w:tab w:leader="none" w:pos="2620"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p>
    <w:p>
      <w:pPr>
        <w:spacing w:after="0" w:line="206" w:lineRule="exact"/>
        <w:rPr>
          <w:rFonts w:ascii="Times New Roman" w:cs="Times New Roman" w:eastAsia="Times New Roman" w:hAnsi="Times New Roman"/>
          <w:sz w:val="22"/>
          <w:szCs w:val="22"/>
          <w:color w:val="010000"/>
        </w:rPr>
      </w:pPr>
    </w:p>
    <w:p>
      <w:pPr>
        <w:ind w:left="1300" w:right="40" w:firstLine="1300"/>
        <w:spacing w:after="0" w:line="235" w:lineRule="auto"/>
        <w:tabs>
          <w:tab w:leader="none" w:pos="3280" w:val="left"/>
        </w:tabs>
        <w:numPr>
          <w:ilvl w:val="1"/>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of a Change in Control or a 409A Change in Control before the Company becomes Publicly Traded, Share Value shall mean the final price per share of common stock (determined on a fully diluted basis) agreed upon by the parties to such change in control (or, in the event of an asset sale that constitutes a Change in Control or a 409A Change in Control, the final purchase price, including any assumption of debt, agreed upon by the parties to such change in control divided by the number of outstanding shares of common stock, determined on a fully diluted basis, on the date of such sale).</w:t>
      </w:r>
    </w:p>
    <w:p>
      <w:pPr>
        <w:spacing w:after="0" w:line="183" w:lineRule="exact"/>
        <w:rPr>
          <w:rFonts w:ascii="Times New Roman" w:cs="Times New Roman" w:eastAsia="Times New Roman" w:hAnsi="Times New Roman"/>
          <w:sz w:val="22"/>
          <w:szCs w:val="22"/>
          <w:color w:val="010000"/>
        </w:rPr>
      </w:pPr>
    </w:p>
    <w:p>
      <w:pPr>
        <w:ind w:left="1300" w:firstLine="1300"/>
        <w:spacing w:after="0" w:line="249" w:lineRule="auto"/>
        <w:tabs>
          <w:tab w:leader="none" w:pos="3280" w:val="left"/>
        </w:tabs>
        <w:numPr>
          <w:ilvl w:val="1"/>
          <w:numId w:val="1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of a Change in Control or a 409A Change in Control after the Company becomes Publicly Traded, Share Value shall mean the final price per share of Class B Stock (determined on a fully diluted basis) agreed upon by the parties to such change in control (or, in the event of an asset sale that constitutes a Change in Control or a 409A Change in Control, the final purchase price agreed upon by the parties to such change in control divided by the number of outstanding shares of Class B Stock, determined on a fully diluted basis, on the date of such sale).</w:t>
      </w:r>
    </w:p>
    <w:p>
      <w:pPr>
        <w:spacing w:after="0" w:line="17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1.27.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Short-Term Bonus</w:t>
      </w:r>
      <w:r>
        <w:rPr>
          <w:rFonts w:ascii="Times New Roman" w:cs="Times New Roman" w:eastAsia="Times New Roman" w:hAnsi="Times New Roman"/>
          <w:sz w:val="22"/>
          <w:szCs w:val="22"/>
          <w:color w:val="000000"/>
        </w:rPr>
        <w:t>” shall mean any current or future bonus based on pre-established individual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corporate performance goals relating to a performance period of less than 12 consecutive months during which the Participant performs services for the Company or any subsidiary.</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Valuation Date</w:t>
      </w:r>
      <w:r>
        <w:rPr>
          <w:rFonts w:ascii="Times New Roman" w:cs="Times New Roman" w:eastAsia="Times New Roman" w:hAnsi="Times New Roman"/>
          <w:sz w:val="21"/>
          <w:szCs w:val="21"/>
          <w:color w:val="auto"/>
        </w:rPr>
        <w:t>” shall mean:</w:t>
      </w:r>
    </w:p>
    <w:p>
      <w:pPr>
        <w:spacing w:after="0" w:line="206" w:lineRule="exact"/>
        <w:rPr>
          <w:sz w:val="20"/>
          <w:szCs w:val="20"/>
          <w:color w:val="auto"/>
        </w:rPr>
      </w:pPr>
    </w:p>
    <w:p>
      <w:pPr>
        <w:ind w:left="660" w:right="100" w:firstLine="1292"/>
        <w:spacing w:after="0" w:line="239" w:lineRule="auto"/>
        <w:tabs>
          <w:tab w:leader="none" w:pos="2628"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(i) With respect to each Investment Fund, Valuation Date shall mean each business day on which such fund is available to be traded on a public market, and (ii) with respect to Phantom Shares and except as provided in subsections (b) and (c) below, Valuation Date shall mean any date on which the Board determines the current fair market value of one share of Class B Stock.</w:t>
      </w:r>
    </w:p>
    <w:p>
      <w:pPr>
        <w:spacing w:after="0" w:line="180" w:lineRule="exact"/>
        <w:rPr>
          <w:rFonts w:ascii="Times New Roman" w:cs="Times New Roman" w:eastAsia="Times New Roman" w:hAnsi="Times New Roman"/>
          <w:sz w:val="22"/>
          <w:szCs w:val="22"/>
          <w:color w:val="010000"/>
        </w:rPr>
      </w:pPr>
    </w:p>
    <w:p>
      <w:pPr>
        <w:ind w:left="660" w:firstLine="1292"/>
        <w:spacing w:after="0" w:line="234" w:lineRule="auto"/>
        <w:tabs>
          <w:tab w:leader="none" w:pos="2640"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subsection (a)(ii) above, if the Company enters into a binding agreement to undergo a Change in Control or a 409A Change in Control (the “Transaction”), amounts scheduled to be distributed under the Plan after such binding agreement is entered into that are based on the Share Value of Phantom Shares shall generally not be distributed until the closing date of the Transaction or its earlier termination. If distribution occurs on account of the termination of the Transaction, all such amounts shall be distributed at the Share Value last determined prior to such distribution. However, if neither the closing date nor the termination of the Transaction occurs on or before December 31 of the year in which such binding agreement is entered into, all such amounts that are scheduled to be distributed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23" w:name="page324"/>
    <w:bookmarkEnd w:id="323"/>
    <w:p>
      <w:pPr>
        <w:ind w:left="660" w:right="940"/>
        <w:spacing w:after="0" w:line="258" w:lineRule="auto"/>
        <w:rPr>
          <w:sz w:val="20"/>
          <w:szCs w:val="20"/>
          <w:color w:val="auto"/>
        </w:rPr>
      </w:pPr>
      <w:r>
        <w:rPr>
          <w:rFonts w:ascii="Times New Roman" w:cs="Times New Roman" w:eastAsia="Times New Roman" w:hAnsi="Times New Roman"/>
          <w:sz w:val="22"/>
          <w:szCs w:val="22"/>
          <w:color w:val="auto"/>
        </w:rPr>
        <w:t>year shall be paid on or before such December 31 and shall be distributed at the Share Value last determined prior to such distribution.</w:t>
      </w:r>
    </w:p>
    <w:p>
      <w:pPr>
        <w:spacing w:after="0" w:line="158" w:lineRule="exact"/>
        <w:rPr>
          <w:sz w:val="20"/>
          <w:szCs w:val="20"/>
          <w:color w:val="auto"/>
        </w:rPr>
      </w:pPr>
    </w:p>
    <w:p>
      <w:pPr>
        <w:ind w:left="660" w:right="140" w:firstLine="1292"/>
        <w:spacing w:after="0" w:line="244" w:lineRule="auto"/>
        <w:tabs>
          <w:tab w:leader="none" w:pos="2628"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If the Company becomes Publicly Traded, the Valuation Date for Phantom Shares shall mean each business day on which shares of Class B Stock are tradable on a public market.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COMPANY CONTRIBUTION UNITS</w:t>
      </w:r>
    </w:p>
    <w:p>
      <w:pPr>
        <w:spacing w:after="0" w:line="18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Prior and Future Awards</w:t>
      </w:r>
      <w:r>
        <w:rPr>
          <w:rFonts w:ascii="Times New Roman" w:cs="Times New Roman" w:eastAsia="Times New Roman" w:hAnsi="Times New Roman"/>
          <w:sz w:val="22"/>
          <w:szCs w:val="22"/>
          <w:color w:val="000000"/>
        </w:rPr>
        <w:t>. For Plan Years prior to January 1, 2015, the Plan Administrator, in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sole discretion, credited Company Contribution Units on behalf of certain Key Employees to Accounts established for such Key Employees. On and after January 1, 2016, the Plan Administrator may, in its sole discretion, again credit Company Contribution Units on behalf of any Key Employee to an Account established for such Key Employee and so inform the Key Employee about such crediting. The Plan Administrator is not required to credit the same number of Company Contribution Units to each Key Employee’s Account, and may choose not to credit any Company Contribution Units to the Accounts of some or all Key Employees in any Plan Year.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100" w:firstLine="1304"/>
        <w:spacing w:after="0" w:line="233" w:lineRule="auto"/>
        <w:tabs>
          <w:tab w:leader="none" w:pos="196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Before January 1, 2015</w:t>
      </w:r>
      <w:r>
        <w:rPr>
          <w:rFonts w:ascii="Times New Roman" w:cs="Times New Roman" w:eastAsia="Times New Roman" w:hAnsi="Times New Roman"/>
          <w:sz w:val="22"/>
          <w:szCs w:val="22"/>
          <w:color w:val="auto"/>
        </w:rPr>
        <w:t>. Company Contribution Units credited to a Participant’s Account on or after March 20, 2009 and before January 1, 2015 vest in such installments and on such dates as the Plan Administrator specified at the time of grant. In the event the Participant has a Separation from Service for any reason other than death or Disability, he or she shall forfeit any unvested Company Contribution Units credited to his or her Account at the time of such Separation from Service. In the event the Participant has a Separation from Service as a result of death or Disability, or the Company undergoes a Change in Control or a 409A Change in Control while the Participant is still employed by the Company or a subsidiary, he or she shall become 100 percent vested in all of the Company Contribution Units credited to his or her Account at the time of such Separation from Service or such change in control. Finally, the Plan Administrator may, in its discretion, accelerate (but not decelerate), in whole or in part, the vesting of any Participant’s outstanding Company Contribution Units, whether granted before, on or after March 20, 2009 and before January 1, 2015, if it deems such acceleration to be desirable.</w:t>
      </w:r>
    </w:p>
    <w:p>
      <w:pPr>
        <w:spacing w:after="0" w:line="184" w:lineRule="exact"/>
        <w:rPr>
          <w:rFonts w:ascii="Times New Roman" w:cs="Times New Roman" w:eastAsia="Times New Roman" w:hAnsi="Times New Roman"/>
          <w:sz w:val="22"/>
          <w:szCs w:val="22"/>
          <w:color w:val="auto"/>
        </w:rPr>
      </w:pPr>
    </w:p>
    <w:p>
      <w:pPr>
        <w:ind w:right="140" w:firstLine="1304"/>
        <w:spacing w:after="0" w:line="235" w:lineRule="auto"/>
        <w:tabs>
          <w:tab w:leader="none" w:pos="19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on and After January 1, 2016</w:t>
      </w:r>
      <w:r>
        <w:rPr>
          <w:rFonts w:ascii="Times New Roman" w:cs="Times New Roman" w:eastAsia="Times New Roman" w:hAnsi="Times New Roman"/>
          <w:sz w:val="22"/>
          <w:szCs w:val="22"/>
          <w:color w:val="auto"/>
        </w:rPr>
        <w:t xml:space="preserve">. Company Contribution Units credited to a Participant’s Account on or after January 1, 2016 shall be 100 percent vested at all times, except to the extent the Plan Administrator notifies the Participant otherwise at the time of grant. To the extent the Plan Administrator notifies the Participant that all or a portion of such Company Contribution Units are not 100 percent vested at the time of grant (the “Alternate Vesting Units”), then the provisions of Section 2.2(a) related to unvested Company Contribution Units (including those related to the acceleration of vesting) shall apply to such Alternate Vesting Units </w:t>
      </w:r>
      <w:r>
        <w:rPr>
          <w:rFonts w:ascii="Times New Roman" w:cs="Times New Roman" w:eastAsia="Times New Roman" w:hAnsi="Times New Roman"/>
          <w:sz w:val="22"/>
          <w:szCs w:val="22"/>
          <w:i w:val="1"/>
          <w:iCs w:val="1"/>
          <w:color w:val="auto"/>
        </w:rPr>
        <w:t>mutatis mutandis.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sectPr>
      </w:pPr>
    </w:p>
    <w:bookmarkStart w:id="324" w:name="page325"/>
    <w:bookmarkEnd w:id="324"/>
    <w:p>
      <w:pPr>
        <w:ind w:right="8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u w:val="single" w:color="auto"/>
          <w:color w:val="000000"/>
        </w:rPr>
        <w:t>Deemed Investment</w:t>
      </w:r>
      <w:r>
        <w:rPr>
          <w:rFonts w:ascii="Times New Roman" w:cs="Times New Roman" w:eastAsia="Times New Roman" w:hAnsi="Times New Roman"/>
          <w:sz w:val="22"/>
          <w:szCs w:val="22"/>
          <w:color w:val="000000"/>
        </w:rPr>
        <w:t>. Company Contribution Units shall be deemed invested in Phantom Shares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any such units not deemed invested in Phantom Shares as of January 1, 2015 or thereafter shall be transferred to a deemed investment in Phantom Shares as of March 31, 2015. The number of Phantom Shares may contain a fraction, rounded to the nearest 1/10,000 (0.0001) of a share. (See Article V for special rules for Grandfathered Participants.)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2.4.</w:t>
      </w:r>
      <w:r>
        <w:rPr>
          <w:sz w:val="20"/>
          <w:szCs w:val="20"/>
          <w:color w:val="auto"/>
        </w:rPr>
        <w:tab/>
      </w:r>
      <w:r>
        <w:rPr>
          <w:rFonts w:ascii="Times New Roman" w:cs="Times New Roman" w:eastAsia="Times New Roman" w:hAnsi="Times New Roman"/>
          <w:sz w:val="21"/>
          <w:szCs w:val="21"/>
          <w:u w:val="single" w:color="auto"/>
          <w:color w:val="auto"/>
        </w:rPr>
        <w:t>Distribution of Company Contribution Units</w:t>
      </w:r>
    </w:p>
    <w:p>
      <w:pPr>
        <w:spacing w:after="0" w:line="206" w:lineRule="exact"/>
        <w:rPr>
          <w:sz w:val="20"/>
          <w:szCs w:val="20"/>
          <w:color w:val="auto"/>
        </w:rPr>
      </w:pPr>
    </w:p>
    <w:p>
      <w:pPr>
        <w:ind w:left="660" w:right="40" w:firstLine="1292"/>
        <w:spacing w:after="0" w:line="253" w:lineRule="auto"/>
        <w:tabs>
          <w:tab w:leader="none" w:pos="2628" w:val="left"/>
        </w:tabs>
        <w:numPr>
          <w:ilvl w:val="0"/>
          <w:numId w:val="1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distribute a Participant’s vested Company Contribution Units in seven annual installments beginning, unless the Participant elects otherwise in accordance with Section</w:t>
      </w:r>
    </w:p>
    <w:p>
      <w:pPr>
        <w:ind w:left="660" w:right="180"/>
        <w:spacing w:after="0" w:line="232"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4.1(a), on, or as soon as administratively practicable after, the April 1 following the fourth anniversary of the date on which such units were credited to the Participant’s Account, and on, or as soon as administratively practicable after, each April 1 thereafter. Such distribution shall be made in Class B Stock, except that the value of any fractional Phantom Share shall be distributed in cash on, or as soon as administratively practicable after, such April 1. For purposes of determining the value of any such fractional Phantom Share and for purposes of determining the value of any such distribution of Class B Stock for tax purposes, the value of each share of Class B Stock shall equal the Share Value on the actual distribution date. (See Article V for special rules for Grandfathered Participants.)</w:t>
      </w:r>
    </w:p>
    <w:p>
      <w:pPr>
        <w:spacing w:after="0" w:line="179" w:lineRule="exact"/>
        <w:rPr>
          <w:rFonts w:ascii="Times New Roman" w:cs="Times New Roman" w:eastAsia="Times New Roman" w:hAnsi="Times New Roman"/>
          <w:sz w:val="21"/>
          <w:szCs w:val="21"/>
          <w:color w:val="010000"/>
        </w:rPr>
      </w:pPr>
    </w:p>
    <w:p>
      <w:pPr>
        <w:ind w:left="660" w:right="180" w:firstLine="1292"/>
        <w:spacing w:after="0" w:line="235" w:lineRule="auto"/>
        <w:tabs>
          <w:tab w:leader="none" w:pos="2640" w:val="left"/>
        </w:tabs>
        <w:numPr>
          <w:ilvl w:val="0"/>
          <w:numId w:val="1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provided in subsection (d) below, the amount of each installment distribution, other than the final distribution, shall equal 1/n multiplied by the number of Phantom Shares attributable to vested Company Contribution Units in the Participant’s Account as of the day prior to the stated distribution date, where “n” equals the number of distributions yet to be made. The final distribution will equal the number of Phantom Shares attributable to vested Company Contribution Units in the Participant’s Account as of the day prior to the final stated distribution date. For example, if distributions are to commence to a Participant on April 1, 2015, the first distribution will be made to the Participant on, or as soon as administratively practicable after, April 1, 2015 and will equal </w:t>
      </w:r>
      <w:r>
        <w:rPr>
          <w:rFonts w:ascii="Times New Roman" w:cs="Times New Roman" w:eastAsia="Times New Roman" w:hAnsi="Times New Roman"/>
          <w:sz w:val="16"/>
          <w:szCs w:val="16"/>
          <w:color w:val="auto"/>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31"/>
          <w:szCs w:val="31"/>
          <w:color w:val="auto"/>
          <w:vertAlign w:val="subscript"/>
        </w:rPr>
        <w:t>7</w:t>
      </w:r>
      <w:r>
        <w:rPr>
          <w:rFonts w:ascii="Times New Roman" w:cs="Times New Roman" w:eastAsia="Times New Roman" w:hAnsi="Times New Roman"/>
          <w:sz w:val="21"/>
          <w:szCs w:val="21"/>
          <w:color w:val="auto"/>
        </w:rPr>
        <w:t xml:space="preserve"> of the</w:t>
      </w:r>
    </w:p>
    <w:p>
      <w:pPr>
        <w:spacing w:after="0" w:line="2" w:lineRule="exact"/>
        <w:rPr>
          <w:sz w:val="20"/>
          <w:szCs w:val="20"/>
          <w:color w:val="auto"/>
        </w:rPr>
      </w:pPr>
    </w:p>
    <w:p>
      <w:pPr>
        <w:ind w:left="660" w:right="320"/>
        <w:spacing w:after="0" w:line="234" w:lineRule="auto"/>
        <w:rPr>
          <w:sz w:val="20"/>
          <w:szCs w:val="20"/>
          <w:color w:val="auto"/>
        </w:rPr>
      </w:pPr>
      <w:r>
        <w:rPr>
          <w:rFonts w:ascii="Times New Roman" w:cs="Times New Roman" w:eastAsia="Times New Roman" w:hAnsi="Times New Roman"/>
          <w:sz w:val="22"/>
          <w:szCs w:val="22"/>
          <w:color w:val="auto"/>
        </w:rPr>
        <w:t>March 31, 2015 number of Phantom Shares attributable to vested Company Contribution Units in the Participant’s Account. The April 1, 2016 distribution will be made to the Participant as soon as administrative practicable on or after April 1, 2016 and will equal 1/6 of the March 31, 2016 number of Phantom Shares attributable to vested Company Contribution Units in the Participant’s Account.</w:t>
      </w:r>
    </w:p>
    <w:p>
      <w:pPr>
        <w:spacing w:after="0" w:line="180" w:lineRule="exact"/>
        <w:rPr>
          <w:sz w:val="20"/>
          <w:szCs w:val="20"/>
          <w:color w:val="auto"/>
        </w:rPr>
      </w:pPr>
    </w:p>
    <w:p>
      <w:pPr>
        <w:ind w:left="660" w:firstLine="1296"/>
        <w:spacing w:after="0" w:line="238" w:lineRule="auto"/>
        <w:rPr>
          <w:sz w:val="20"/>
          <w:szCs w:val="20"/>
          <w:color w:val="auto"/>
        </w:rPr>
      </w:pPr>
      <w:r>
        <w:rPr>
          <w:rFonts w:ascii="Times New Roman" w:cs="Times New Roman" w:eastAsia="Times New Roman" w:hAnsi="Times New Roman"/>
          <w:sz w:val="22"/>
          <w:szCs w:val="22"/>
          <w:color w:val="auto"/>
        </w:rPr>
        <w:t>In the above example, if the Participant has 700 Phantom Shares in his or her Account as of March 31, 2015, the Participant will receive 100 shares of Class B Stock as soon as administrative practicable on or after April 1, 2015. Six hundred Phantom Shares will remain in the Participant’s Account to be distributed as soon as administratively practicable on or after each of the next six April lst in the form of Class B Stock. (See Article V for special rules for Grandfathered Participants.)</w:t>
      </w:r>
    </w:p>
    <w:p>
      <w:pPr>
        <w:spacing w:after="0" w:line="177" w:lineRule="exact"/>
        <w:rPr>
          <w:sz w:val="20"/>
          <w:szCs w:val="20"/>
          <w:color w:val="auto"/>
        </w:rPr>
      </w:pPr>
    </w:p>
    <w:p>
      <w:pPr>
        <w:ind w:left="660" w:right="100" w:firstLine="1292"/>
        <w:spacing w:after="0" w:line="239" w:lineRule="auto"/>
        <w:tabs>
          <w:tab w:leader="none" w:pos="2628" w:val="left"/>
        </w:tabs>
        <w:numPr>
          <w:ilvl w:val="0"/>
          <w:numId w:val="1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death occurs during the deferral or distribution period, the number of Phantom Shares attributable to the Participant’s remaining vested Company Contribution Units (as of the day immediately preceding the date of the Participant’s death) shall be distributed in Class B Stock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sectPr>
      </w:pPr>
    </w:p>
    <w:bookmarkStart w:id="325" w:name="page326"/>
    <w:bookmarkEnd w:id="325"/>
    <w:p>
      <w:pPr>
        <w:ind w:left="200" w:right="460"/>
        <w:spacing w:after="0" w:line="258" w:lineRule="auto"/>
        <w:rPr>
          <w:sz w:val="20"/>
          <w:szCs w:val="20"/>
          <w:color w:val="auto"/>
        </w:rPr>
      </w:pPr>
      <w:r>
        <w:rPr>
          <w:rFonts w:ascii="Times New Roman" w:cs="Times New Roman" w:eastAsia="Times New Roman" w:hAnsi="Times New Roman"/>
          <w:sz w:val="22"/>
          <w:szCs w:val="22"/>
          <w:color w:val="auto"/>
        </w:rPr>
        <w:t>beneficiary(ies) on, or as soon as administratively practicable after, the date of the Participant’s death. (See Article V for special rules for Grandfathered Participants.)</w:t>
      </w:r>
    </w:p>
    <w:p>
      <w:pPr>
        <w:spacing w:after="0" w:line="158" w:lineRule="exact"/>
        <w:rPr>
          <w:sz w:val="20"/>
          <w:szCs w:val="20"/>
          <w:color w:val="auto"/>
        </w:rPr>
      </w:pPr>
    </w:p>
    <w:p>
      <w:pPr>
        <w:ind w:left="200" w:right="220" w:firstLine="1292"/>
        <w:spacing w:after="0" w:line="235" w:lineRule="auto"/>
        <w:tabs>
          <w:tab w:leader="none" w:pos="2180" w:val="left"/>
        </w:tabs>
        <w:numPr>
          <w:ilvl w:val="0"/>
          <w:numId w:val="1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if the value of the sum of the Company Contribution Units and Employee Deferrals in the Participant’s Account as of the date of the first scheduled distribution of either Company Contribution Units or Employee Deferrals or as of any future date is less than or equal to the limit set forth (as adjusted) in Section 402(g)(1)(B) of the Code ($19,500 for 2020), the Company may, in its sole discretion, distribute the entire amount in such Participant’s Account in Class B Stock to the Participant as soon as administratively practicable on or after such date. (See Article V for special rules for Grandfathered Participants.)</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u w:val="single" w:color="auto"/>
          <w:color w:val="auto"/>
        </w:rPr>
        <w:t>EMPLOYEE DEFERRALS</w:t>
      </w:r>
    </w:p>
    <w:p>
      <w:pPr>
        <w:spacing w:after="0" w:line="18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u w:val="single" w:color="auto"/>
          <w:color w:val="auto"/>
        </w:rPr>
        <w:t>Terms of Participation</w:t>
      </w:r>
    </w:p>
    <w:p>
      <w:pPr>
        <w:spacing w:after="0" w:line="206" w:lineRule="exact"/>
        <w:rPr>
          <w:sz w:val="20"/>
          <w:szCs w:val="20"/>
          <w:color w:val="auto"/>
        </w:rPr>
      </w:pPr>
    </w:p>
    <w:p>
      <w:pPr>
        <w:ind w:left="200" w:firstLine="1292"/>
        <w:spacing w:after="0" w:line="233" w:lineRule="auto"/>
        <w:tabs>
          <w:tab w:leader="none" w:pos="2168"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may elect to defer up to 100% of his or her Bonus under the Plan by filing an Agreement with the Company, substantially in the form of Appendix A-1 attached hereto. Except as described below with respect to a newly eligible Participant, in order to defer a Short-Term Bonus, the Agreement must be filed with the Company no later than December 31 of the Plan Year prior to the Plan Year containing any quarter in which the Bonus may be earned (the “Election Date” for a Short-Term Bonus). When a Participant (who is ineligible to participate in any other nonqualified deferred compensation plan of the same type as the Plan that is sponsored by the Company or any member of its controlled group of entities within the meaning of Section 414(b) or Section 414(c) of the Code) files an Agreement with the Company, substantially in the form of Appendix A-1 attached hereto, within 30 days of first becoming eligible to participate in the Plan, Short-Term Bonus deferrals will commence with respect to services to be performed subsequent to the date of the Agreement.</w:t>
      </w:r>
    </w:p>
    <w:p>
      <w:pPr>
        <w:spacing w:after="0" w:line="187" w:lineRule="exact"/>
        <w:rPr>
          <w:sz w:val="20"/>
          <w:szCs w:val="20"/>
          <w:color w:val="auto"/>
        </w:rPr>
      </w:pPr>
    </w:p>
    <w:p>
      <w:pPr>
        <w:ind w:left="200" w:right="60" w:firstLine="648"/>
        <w:spacing w:after="0" w:line="235" w:lineRule="auto"/>
        <w:rPr>
          <w:sz w:val="20"/>
          <w:szCs w:val="20"/>
          <w:color w:val="auto"/>
        </w:rPr>
      </w:pPr>
      <w:r>
        <w:rPr>
          <w:rFonts w:ascii="Times New Roman" w:cs="Times New Roman" w:eastAsia="Times New Roman" w:hAnsi="Times New Roman"/>
          <w:sz w:val="22"/>
          <w:szCs w:val="22"/>
          <w:color w:val="auto"/>
        </w:rPr>
        <w:t>In order to defer a Long-Term Bonus, an Agreement, substantially in the form of Appendix A-1 attached hereto, must be filed with the Company no later than the date that is six months before the end of the performance period (or, if earlier, the date on which both (i) it is substantially certain that such Bonus will be earned and (ii) the amount of such Bonus is readily ascertainable) (the “Election Date” for a Long-Term Bonus). If a Participant begins participating in the Plan after the first day of a Long-Term Bonus’s performance period, the Participant may not make a deferral election under the Plan with respect to such Long-Term Bonus, except as otherwise permitted by the Plan Administrator in accordance with, and pursuant to, Treas. Reg. §§1.409A-1 and 1.409A-2 or any successor(s) thereto.</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 Participant’s deferral election will commence on January 1 of the Plan Year immediately</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following the applicable Election Date, and will continue in effect until terminated pursuant to subsection</w:t>
      </w:r>
    </w:p>
    <w:p>
      <w:pPr>
        <w:spacing w:after="0" w:line="2" w:lineRule="exact"/>
        <w:rPr>
          <w:sz w:val="20"/>
          <w:szCs w:val="20"/>
          <w:color w:val="auto"/>
        </w:rPr>
      </w:pPr>
    </w:p>
    <w:p>
      <w:pPr>
        <w:ind w:left="200" w:right="440" w:hanging="4"/>
        <w:spacing w:after="0" w:line="237" w:lineRule="auto"/>
        <w:tabs>
          <w:tab w:leader="none" w:pos="50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A Participant may revoke his or her election under this subsection (a) at any time up to the applicable Election Date, after which any such election shall become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963" w:right="1019" w:bottom="1440" w:gutter="0" w:footer="0" w:header="0"/>
        </w:sectPr>
      </w:pPr>
    </w:p>
    <w:bookmarkStart w:id="326" w:name="page327"/>
    <w:bookmarkEnd w:id="326"/>
    <w:p>
      <w:pPr>
        <w:ind w:left="660" w:right="40" w:firstLine="1292"/>
        <w:spacing w:after="0" w:line="236" w:lineRule="auto"/>
        <w:tabs>
          <w:tab w:leader="none" w:pos="264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Deferrals will continue until the Participant furnishes an Agreement to the Company indicating that the Participant terminates his or her Employee Deferrals, or until such time as the Company terminates the Plan. A Participant may terminate his or her deferral elections with respect to any Bonus for which the applicable Election Date has not passed by delivering an Agreement to the Company, substantially in the form of Appendix A-4 attached hereto, no later than the applicable Election Date.</w:t>
      </w:r>
    </w:p>
    <w:p>
      <w:pPr>
        <w:spacing w:after="0" w:line="181" w:lineRule="exact"/>
        <w:rPr>
          <w:rFonts w:ascii="Times New Roman" w:cs="Times New Roman" w:eastAsia="Times New Roman" w:hAnsi="Times New Roman"/>
          <w:sz w:val="22"/>
          <w:szCs w:val="22"/>
          <w:color w:val="010000"/>
        </w:rPr>
      </w:pPr>
    </w:p>
    <w:p>
      <w:pPr>
        <w:ind w:left="660" w:right="140" w:firstLine="1292"/>
        <w:spacing w:after="0" w:line="244" w:lineRule="auto"/>
        <w:tabs>
          <w:tab w:leader="none" w:pos="2628"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who has terminated his or her Employee Deferrals may subsequently elect to make Employee Deferrals again by filing a new Agreement in accordance with subsection (a) above.</w:t>
      </w:r>
    </w:p>
    <w:p>
      <w:pPr>
        <w:spacing w:after="0" w:line="173" w:lineRule="exact"/>
        <w:rPr>
          <w:rFonts w:ascii="Times New Roman" w:cs="Times New Roman" w:eastAsia="Times New Roman" w:hAnsi="Times New Roman"/>
          <w:sz w:val="22"/>
          <w:szCs w:val="22"/>
          <w:color w:val="010000"/>
        </w:rPr>
      </w:pPr>
    </w:p>
    <w:p>
      <w:pPr>
        <w:ind w:left="660" w:right="100" w:firstLine="1292"/>
        <w:spacing w:after="0" w:line="235" w:lineRule="auto"/>
        <w:tabs>
          <w:tab w:leader="none" w:pos="264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may alter the amount of Employee Deferrals for any Bonus with respect to which the applicable Election Date has not passed and/or elect a different method by which he or she will be distributed Employee Deferrals for any Bonus with respect to which the applicable Election Date has not passed, if the Participant executes and files with the Company a new Agreement, in accordance with subsection (a) above, no later than the applicable Election Date for the Bonus. For each new Agreement that changes the method of distribution of Employee Deferrals, the Plan Administrator will establish a new sub-account for the Participant.</w:t>
      </w:r>
    </w:p>
    <w:p>
      <w:pPr>
        <w:spacing w:after="0" w:line="18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Deferred Compensation Account</w:t>
      </w:r>
      <w:r>
        <w:rPr>
          <w:rFonts w:ascii="Times New Roman" w:cs="Times New Roman" w:eastAsia="Times New Roman" w:hAnsi="Times New Roman"/>
          <w:sz w:val="22"/>
          <w:szCs w:val="22"/>
          <w:color w:val="000000"/>
        </w:rPr>
        <w:t>. All of a Participant’s Employee Deferrals shall be credited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Participant’s Account in the form of a bookkeeping entry. Employee Deferrals credited to a Participant’s Account on and after January 1, 2015 shall be deemed invested in Phantom Shares (based on their Share Value on the date the Employee Deferrals are withheld from the Participant’s Bonus). Any such deferrals not deemed invested in Phantom Shares as of January 1, 2015 or thereafter shall be transferred to a deemed investment in Phantom Shares as of March 31, 2015. (See Article V for special rules for Grandfathered Participants.)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3.3.</w:t>
      </w:r>
      <w:r>
        <w:rPr>
          <w:sz w:val="20"/>
          <w:szCs w:val="20"/>
          <w:color w:val="auto"/>
        </w:rPr>
        <w:tab/>
      </w:r>
      <w:r>
        <w:rPr>
          <w:rFonts w:ascii="Times New Roman" w:cs="Times New Roman" w:eastAsia="Times New Roman" w:hAnsi="Times New Roman"/>
          <w:sz w:val="21"/>
          <w:szCs w:val="21"/>
          <w:u w:val="single" w:color="auto"/>
          <w:color w:val="auto"/>
        </w:rPr>
        <w:t>Distribution of Employee Deferrals</w:t>
      </w:r>
    </w:p>
    <w:p>
      <w:pPr>
        <w:spacing w:after="0" w:line="206" w:lineRule="exact"/>
        <w:rPr>
          <w:sz w:val="20"/>
          <w:szCs w:val="20"/>
          <w:color w:val="auto"/>
        </w:rPr>
      </w:pPr>
    </w:p>
    <w:p>
      <w:pPr>
        <w:ind w:left="660" w:right="40" w:firstLine="1292"/>
        <w:spacing w:after="0" w:line="246" w:lineRule="auto"/>
        <w:tabs>
          <w:tab w:leader="none" w:pos="2628" w:val="left"/>
        </w:tabs>
        <w:numPr>
          <w:ilvl w:val="0"/>
          <w:numId w:val="1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Pursuant to a Participant’s election in his or her Agreement substantially in the form of Appendix A-1 attached hereto, his or her Employee Deferrals shall be distributed on, or as soon as administratively practicable after, either (i) his or her Separation from Service or (ii) a date(s) chosen by the Participant. The Participant may also elect to receive his or her Employee Deferrals on, or as soon as administratively practicable after, either (A) an “unforeseeable emergency,” as defined in Section 409A(a)</w:t>
      </w:r>
    </w:p>
    <w:p>
      <w:pPr>
        <w:spacing w:after="0" w:line="1" w:lineRule="exact"/>
        <w:rPr>
          <w:rFonts w:ascii="Times New Roman" w:cs="Times New Roman" w:eastAsia="Times New Roman" w:hAnsi="Times New Roman"/>
          <w:sz w:val="21"/>
          <w:szCs w:val="21"/>
          <w:color w:val="010000"/>
        </w:rPr>
      </w:pPr>
    </w:p>
    <w:p>
      <w:pPr>
        <w:ind w:left="660" w:right="60"/>
        <w:spacing w:after="0" w:line="23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(2)(B)(ii) of the Code, to the extent not prohibited by that Section of the Code and regulations issued thereunder or (B) a 409A Change in Control. If the Participant wishes to defer further the distribution (or commencement of distribution) date for his or her Employee Deferrals, the Participant may do so pursuant to Section 4.2. (See Article V for special rules for Grandfathered Participants.)</w:t>
      </w:r>
    </w:p>
    <w:p>
      <w:pPr>
        <w:spacing w:after="0" w:line="177" w:lineRule="exact"/>
        <w:rPr>
          <w:rFonts w:ascii="Times New Roman" w:cs="Times New Roman" w:eastAsia="Times New Roman" w:hAnsi="Times New Roman"/>
          <w:sz w:val="21"/>
          <w:szCs w:val="21"/>
          <w:color w:val="010000"/>
        </w:rPr>
      </w:pPr>
    </w:p>
    <w:p>
      <w:pPr>
        <w:ind w:left="660" w:right="40" w:firstLine="1292"/>
        <w:spacing w:after="0" w:line="258" w:lineRule="auto"/>
        <w:tabs>
          <w:tab w:leader="none" w:pos="2640"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shall elect in an Agreement substantially in the form of Appendix A-1 attached hereto to have his or her Employee Deferrals distributed in:</w:t>
      </w:r>
    </w:p>
    <w:p>
      <w:pPr>
        <w:spacing w:after="0" w:line="158" w:lineRule="exact"/>
        <w:rPr>
          <w:rFonts w:ascii="Times New Roman" w:cs="Times New Roman" w:eastAsia="Times New Roman" w:hAnsi="Times New Roman"/>
          <w:sz w:val="22"/>
          <w:szCs w:val="22"/>
          <w:color w:val="010000"/>
        </w:rPr>
      </w:pPr>
    </w:p>
    <w:p>
      <w:pPr>
        <w:ind w:left="3280" w:hanging="680"/>
        <w:spacing w:after="0"/>
        <w:tabs>
          <w:tab w:leader="none" w:pos="3280"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single distribution;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sectPr>
      </w:pPr>
    </w:p>
    <w:bookmarkStart w:id="327" w:name="page328"/>
    <w:bookmarkEnd w:id="327"/>
    <w:p>
      <w:pPr>
        <w:ind w:left="840" w:right="220" w:firstLine="1300"/>
        <w:spacing w:after="0" w:line="244" w:lineRule="auto"/>
        <w:tabs>
          <w:tab w:leader="none" w:pos="2820"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number of annual installments (as calculated in the following paragraph) for a period of two to 10 years, distributable as of the same date in each calendar year until the balance in the Participant’s Account is exhausted.</w:t>
      </w:r>
    </w:p>
    <w:p>
      <w:pPr>
        <w:spacing w:after="0" w:line="173" w:lineRule="exact"/>
        <w:rPr>
          <w:sz w:val="20"/>
          <w:szCs w:val="20"/>
          <w:color w:val="auto"/>
        </w:rPr>
      </w:pPr>
    </w:p>
    <w:p>
      <w:pPr>
        <w:ind w:left="200" w:firstLine="1296"/>
        <w:spacing w:after="0" w:line="233" w:lineRule="auto"/>
        <w:rPr>
          <w:sz w:val="20"/>
          <w:szCs w:val="20"/>
          <w:color w:val="auto"/>
        </w:rPr>
      </w:pPr>
      <w:r>
        <w:rPr>
          <w:rFonts w:ascii="Times New Roman" w:cs="Times New Roman" w:eastAsia="Times New Roman" w:hAnsi="Times New Roman"/>
          <w:sz w:val="22"/>
          <w:szCs w:val="22"/>
          <w:color w:val="auto"/>
        </w:rPr>
        <w:t>Except as provided in subsection (d) below, the amount of each installment distribution, other than the final distribution, shall equal 1/n multiplied by the number of Phantom Shares attributable to Employee Deferrals in the Participant’s Account as of the day prior to the stated distribution date, where “n” equals the number of distributions yet to be made. The final distribution will equal the number of Phantom Shares attributable to Employee Deferrals in the Participant’s Account as of the day prior to the final stated distribution date. For example, if distributions are to be made in 10 annual installments commencing on April 1, 2015, the first distribution will be made to the Participant on, or as soon as administratively practicable after, April 1, 2015 and will equal 1/10 of the March 31, 2015, number of Phantom Shares attributable to Employee Deferrals in the Participant’s Account. The April 1, 2016 distribution will be made to the Participant on, or as soon as administratively practicable after, April 1, 2016 and will equal 1/9 of the March 31, 2016, number of Phantom Shares attributable to Employee Deferrals in the Participant’s Account.</w:t>
      </w:r>
    </w:p>
    <w:p>
      <w:pPr>
        <w:spacing w:after="0" w:line="185" w:lineRule="exact"/>
        <w:rPr>
          <w:sz w:val="20"/>
          <w:szCs w:val="20"/>
          <w:color w:val="auto"/>
        </w:rPr>
      </w:pPr>
    </w:p>
    <w:p>
      <w:pPr>
        <w:ind w:left="200" w:firstLine="1296"/>
        <w:spacing w:after="0" w:line="251" w:lineRule="auto"/>
        <w:rPr>
          <w:sz w:val="20"/>
          <w:szCs w:val="20"/>
          <w:color w:val="auto"/>
        </w:rPr>
      </w:pPr>
      <w:r>
        <w:rPr>
          <w:rFonts w:ascii="Times New Roman" w:cs="Times New Roman" w:eastAsia="Times New Roman" w:hAnsi="Times New Roman"/>
          <w:sz w:val="21"/>
          <w:szCs w:val="21"/>
          <w:color w:val="auto"/>
        </w:rPr>
        <w:t>In the above example, if the Participant has 500 Phantom Shares in his or her Account as of March 31, 2015, the Participant will receive 50 shares of Class B Stock on, or as soon as administratively practicable after, April 1, 2015. Four hundred fifty Phantom Shares will remain in the Participant’s Account to be distributed on, or as soon as administratively practicable after, each of the next nine April lst in the form of Class B Stock. (See Article V for special rules for Grandfathered Participants.)</w:t>
      </w:r>
    </w:p>
    <w:p>
      <w:pPr>
        <w:spacing w:after="0" w:line="168" w:lineRule="exact"/>
        <w:rPr>
          <w:sz w:val="20"/>
          <w:szCs w:val="20"/>
          <w:color w:val="auto"/>
        </w:rPr>
      </w:pPr>
    </w:p>
    <w:p>
      <w:pPr>
        <w:ind w:left="200" w:right="40" w:firstLine="1292"/>
        <w:spacing w:after="0" w:line="238" w:lineRule="auto"/>
        <w:tabs>
          <w:tab w:leader="none" w:pos="2168"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Participant’s death occurs during the deferral or distribution period, the number of Phantom Shares attributable to the Participant’s Employee Deferrals (as of the day immediately preceding the date of the Participant’s death) shall be distributed in Class B Stock to the Participant’s beneficiary(ies) on, or as soon as administratively practicable after, the date of the Participant’s death. (See Article V for special rules for Grandfathered Participants.)</w:t>
      </w:r>
    </w:p>
    <w:p>
      <w:pPr>
        <w:spacing w:after="0" w:line="176" w:lineRule="exact"/>
        <w:rPr>
          <w:rFonts w:ascii="Times New Roman" w:cs="Times New Roman" w:eastAsia="Times New Roman" w:hAnsi="Times New Roman"/>
          <w:sz w:val="22"/>
          <w:szCs w:val="22"/>
          <w:color w:val="010000"/>
        </w:rPr>
      </w:pPr>
    </w:p>
    <w:p>
      <w:pPr>
        <w:ind w:left="200" w:right="140" w:firstLine="1292"/>
        <w:spacing w:after="0" w:line="235" w:lineRule="auto"/>
        <w:tabs>
          <w:tab w:leader="none" w:pos="2180"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if the value of the sum of the Company Contribution Units and the Employee Deferrals in the Participant’s Account as of the date of the first scheduled distribution of either Company Contribution Units or Employee Deferrals or as of any future date is less than or equal to the limit set forth (as adjusted) in Section 402(g)(1)(B) of the Code ($19,500 for 2020), the Company may, in its sole discretion, distribute the entire amount in such Participant’s Account in Class B Stock to the Participant on, or as soon as administratively practicable after, such date. (See Article V for special rules for Grandfathered Participants.)</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u w:val="single" w:color="auto"/>
          <w:color w:val="auto"/>
        </w:rPr>
        <w:t>SUBSEQUENT DEFERRALS</w:t>
      </w:r>
    </w:p>
    <w:p>
      <w:pPr>
        <w:spacing w:after="0" w:line="18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2"/>
          <w:szCs w:val="22"/>
          <w:color w:val="010000"/>
        </w:rPr>
        <w:t>4.1.</w:t>
      </w:r>
      <w:r>
        <w:rPr>
          <w:sz w:val="20"/>
          <w:szCs w:val="20"/>
          <w:color w:val="auto"/>
        </w:rPr>
        <w:tab/>
      </w:r>
      <w:r>
        <w:rPr>
          <w:rFonts w:ascii="Times New Roman" w:cs="Times New Roman" w:eastAsia="Times New Roman" w:hAnsi="Times New Roman"/>
          <w:sz w:val="21"/>
          <w:szCs w:val="21"/>
          <w:u w:val="single" w:color="auto"/>
          <w:color w:val="auto"/>
        </w:rPr>
        <w:t>Company Contribution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963" w:right="1019" w:bottom="1440" w:gutter="0" w:footer="0" w:header="0"/>
        </w:sectPr>
      </w:pPr>
    </w:p>
    <w:bookmarkStart w:id="328" w:name="page329"/>
    <w:bookmarkEnd w:id="328"/>
    <w:p>
      <w:pPr>
        <w:ind w:left="660" w:firstLine="1292"/>
        <w:spacing w:after="0" w:line="234" w:lineRule="auto"/>
        <w:tabs>
          <w:tab w:leader="none" w:pos="2628" w:val="left"/>
        </w:tabs>
        <w:numPr>
          <w:ilvl w:val="0"/>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Participant may make an election to defer the currently scheduled distribution (commencement of distribution) date for the distribution of his or her Company Contribution Units credited for a particular Plan Year beyond such currently scheduled date by filing an Agreement with the Company, substantially in the form of Appendix A-2 attached hereto, at least 12 months prior to the currently scheduled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distribution (commencement of distribution) date is deferred to a date that is at least five years after such currently scheduled date. The Participant, in such subsequent deferral election, may also change the form of distribution as provided in subsection (b) below. The number of such subsequent deferral elections shall not be limited. For purposes of this Plan, any series of installment distributions of Company Contribution Units shall be treated as a single distribution, in accordance with Treas. Reg. §1.409A-2(b)(2)(iii) or any successor </w:t>
      </w:r>
      <w:r>
        <w:rPr>
          <w:rFonts w:ascii="Times New Roman" w:cs="Times New Roman" w:eastAsia="Times New Roman" w:hAnsi="Times New Roman"/>
          <w:sz w:val="22"/>
          <w:szCs w:val="22"/>
          <w:color w:val="666666"/>
        </w:rPr>
        <w:t>thereto.</w:t>
      </w:r>
    </w:p>
    <w:p>
      <w:pPr>
        <w:spacing w:after="0" w:line="179" w:lineRule="exact"/>
        <w:rPr>
          <w:rFonts w:ascii="Times New Roman" w:cs="Times New Roman" w:eastAsia="Times New Roman" w:hAnsi="Times New Roman"/>
          <w:sz w:val="22"/>
          <w:szCs w:val="22"/>
          <w:color w:val="010000"/>
        </w:rPr>
      </w:pPr>
    </w:p>
    <w:p>
      <w:pPr>
        <w:ind w:left="660" w:right="480" w:firstLine="1292"/>
        <w:spacing w:after="0" w:line="244" w:lineRule="auto"/>
        <w:tabs>
          <w:tab w:leader="none" w:pos="2640" w:val="left"/>
        </w:tabs>
        <w:numPr>
          <w:ilvl w:val="0"/>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making an election under subsection (a) above may make a concurrent election, also substantially in the form of Appendix A-2 attached hereto, to have any such deferred Company Contribution Units distributed in:</w:t>
      </w:r>
    </w:p>
    <w:p>
      <w:pPr>
        <w:spacing w:after="0" w:line="173" w:lineRule="exact"/>
        <w:rPr>
          <w:rFonts w:ascii="Times New Roman" w:cs="Times New Roman" w:eastAsia="Times New Roman" w:hAnsi="Times New Roman"/>
          <w:sz w:val="22"/>
          <w:szCs w:val="22"/>
          <w:color w:val="010000"/>
        </w:rPr>
      </w:pPr>
    </w:p>
    <w:p>
      <w:pPr>
        <w:ind w:left="3280" w:hanging="680"/>
        <w:spacing w:after="0"/>
        <w:tabs>
          <w:tab w:leader="none" w:pos="3280"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single distribution; or</w:t>
      </w:r>
    </w:p>
    <w:p>
      <w:pPr>
        <w:spacing w:after="0" w:line="206" w:lineRule="exact"/>
        <w:rPr>
          <w:rFonts w:ascii="Times New Roman" w:cs="Times New Roman" w:eastAsia="Times New Roman" w:hAnsi="Times New Roman"/>
          <w:sz w:val="22"/>
          <w:szCs w:val="22"/>
          <w:color w:val="010000"/>
        </w:rPr>
      </w:pPr>
    </w:p>
    <w:p>
      <w:pPr>
        <w:ind w:left="1300" w:right="100" w:firstLine="1300"/>
        <w:spacing w:after="0" w:line="255" w:lineRule="auto"/>
        <w:tabs>
          <w:tab w:leader="none" w:pos="3280" w:val="left"/>
        </w:tabs>
        <w:numPr>
          <w:ilvl w:val="1"/>
          <w:numId w:val="1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number of annual installments (with the amount of each installment distribution calculated pursuant to Section 2.4(b)) for a period of two to seven years, distributable on, or as soon as administratively practicable after, the same date (as elected by the Participant) in each calendar year until the balance in the Participant’s Account is exhausted.</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21"/>
          <w:szCs w:val="21"/>
          <w:color w:val="auto"/>
        </w:rPr>
        <w:t>If no election is made under this subsection (b), the distribution of any Company Contribution Units further deferred under subsection (a) above will be made in accordance with the previous method of distribution.</w:t>
      </w:r>
    </w:p>
    <w:p>
      <w:pPr>
        <w:spacing w:after="0" w:line="13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4.2.</w:t>
      </w:r>
      <w:r>
        <w:rPr>
          <w:sz w:val="20"/>
          <w:szCs w:val="20"/>
          <w:color w:val="auto"/>
        </w:rPr>
        <w:tab/>
      </w:r>
      <w:r>
        <w:rPr>
          <w:rFonts w:ascii="Times New Roman" w:cs="Times New Roman" w:eastAsia="Times New Roman" w:hAnsi="Times New Roman"/>
          <w:sz w:val="21"/>
          <w:szCs w:val="21"/>
          <w:u w:val="single" w:color="auto"/>
          <w:color w:val="auto"/>
        </w:rPr>
        <w:t>Employee Deferrals</w:t>
      </w:r>
    </w:p>
    <w:p>
      <w:pPr>
        <w:spacing w:after="0" w:line="206" w:lineRule="exact"/>
        <w:rPr>
          <w:sz w:val="20"/>
          <w:szCs w:val="20"/>
          <w:color w:val="auto"/>
        </w:rPr>
      </w:pPr>
    </w:p>
    <w:p>
      <w:pPr>
        <w:ind w:left="660" w:right="60" w:firstLine="1292"/>
        <w:spacing w:after="0" w:line="234" w:lineRule="auto"/>
        <w:tabs>
          <w:tab w:leader="none" w:pos="2628"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Participant may make an election to defer the currently scheduled distribution (commencement of distribution) date for the distribution of his or her Employee Deferrals beyond such currently scheduled date by filing a new Agreement with the Company, substantially in the form of Appendix A-2 attached hereto, at least 12 months prior to the currently scheduled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distribution (commencement of distribution) date is deferred to a date that is at least five years after such currently scheduled date. The Participant, in such subsequent deferral election, may also change the form of distribution as provided in subsection (b) below. The number of such subsequent deferral elections shall not be limited. For purposes of this Plan, any series of installment distributions of Employee Deferrals shall be treated as a single distribution, in accordance with Treas. Reg. §1.409A-2(b)(2)(iii) or any successor thereto.</w:t>
      </w:r>
    </w:p>
    <w:p>
      <w:pPr>
        <w:spacing w:after="0" w:line="179" w:lineRule="exact"/>
        <w:rPr>
          <w:rFonts w:ascii="Times New Roman" w:cs="Times New Roman" w:eastAsia="Times New Roman" w:hAnsi="Times New Roman"/>
          <w:sz w:val="22"/>
          <w:szCs w:val="22"/>
          <w:color w:val="010000"/>
        </w:rPr>
      </w:pPr>
    </w:p>
    <w:p>
      <w:pPr>
        <w:ind w:left="660" w:right="480" w:firstLine="1292"/>
        <w:spacing w:after="0" w:line="244" w:lineRule="auto"/>
        <w:tabs>
          <w:tab w:leader="none" w:pos="2640"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Participant making an election under subsection (a) above may make a concurrent election, also substantially in the form of Appendix A-2 attached hereto, to have any such deferred Employee Deferrals distributed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963" w:right="1059" w:bottom="1440" w:gutter="0" w:footer="0" w:header="0"/>
        </w:sectPr>
      </w:pPr>
    </w:p>
    <w:bookmarkStart w:id="329" w:name="page330"/>
    <w:bookmarkEnd w:id="329"/>
    <w:p>
      <w:pPr>
        <w:ind w:left="3280" w:hanging="680"/>
        <w:spacing w:after="0"/>
        <w:tabs>
          <w:tab w:leader="none" w:pos="328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single distribution; or</w:t>
      </w:r>
    </w:p>
    <w:p>
      <w:pPr>
        <w:spacing w:after="0" w:line="206" w:lineRule="exact"/>
        <w:rPr>
          <w:rFonts w:ascii="Times New Roman" w:cs="Times New Roman" w:eastAsia="Times New Roman" w:hAnsi="Times New Roman"/>
          <w:sz w:val="22"/>
          <w:szCs w:val="22"/>
          <w:color w:val="010000"/>
        </w:rPr>
      </w:pPr>
    </w:p>
    <w:p>
      <w:pPr>
        <w:ind w:left="1300" w:firstLine="1300"/>
        <w:spacing w:after="0" w:line="239" w:lineRule="auto"/>
        <w:tabs>
          <w:tab w:leader="none" w:pos="328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number of annual installments (with the amount of each installment distribution calculated pursuant to Section 3.3(b)) for a period of two to 10 years, distributable on, or as soon as administratively practicable after, the same date (as elected by the Participant) in each calendar year until the balance in the Participant’s Account is exhausted.</w:t>
      </w:r>
    </w:p>
    <w:p>
      <w:pPr>
        <w:spacing w:after="0" w:line="180"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21"/>
          <w:szCs w:val="21"/>
          <w:color w:val="auto"/>
        </w:rPr>
        <w:t>If no election is made under this subsection (b), the distribution of any Employee Deferrals further deferred under subsection (a) above will be made in accordance with the previous method of distribution.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GRAND</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22"/>
          <w:szCs w:val="22"/>
          <w:u w:val="single" w:color="auto"/>
          <w:color w:val="auto"/>
        </w:rPr>
        <w:t>FATHERED PARTICIPANTS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special rules shall apply to any Grandfathered Participant:</w:t>
      </w:r>
    </w:p>
    <w:p>
      <w:pPr>
        <w:spacing w:after="0" w:line="206"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1"/>
          <w:szCs w:val="21"/>
          <w:color w:val="010000"/>
        </w:rPr>
        <w:t xml:space="preserve">5.1. </w:t>
      </w:r>
      <w:r>
        <w:rPr>
          <w:rFonts w:ascii="Times New Roman" w:cs="Times New Roman" w:eastAsia="Times New Roman" w:hAnsi="Times New Roman"/>
          <w:sz w:val="21"/>
          <w:szCs w:val="21"/>
          <w:u w:val="single" w:color="auto"/>
          <w:color w:val="000000"/>
        </w:rPr>
        <w:t>Required Changes in Deemed Investments</w:t>
      </w:r>
      <w:r>
        <w:rPr>
          <w:rFonts w:ascii="Times New Roman" w:cs="Times New Roman" w:eastAsia="Times New Roman" w:hAnsi="Times New Roman"/>
          <w:sz w:val="21"/>
          <w:szCs w:val="21"/>
          <w:color w:val="000000"/>
        </w:rPr>
        <w:t>. A Grandfathered Participant (or his or her legal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guardian or beneficiary, as applicable) was required to change the deemed investment of any vested Company Contribution Units and any Employee Deferrals that were still deemed invested in Phantom Shares at the time of Separation of Service among any of the available Investment Funds. If the Grandfathered Participant did not submit the change to the Plan Administrator in a timely fashion, the Grandfathered Participant’s vested Company Contribution Units and Employee Deferrals were deemed invested in the JPMorgan Prime Money Market Fund.</w:t>
      </w:r>
    </w:p>
    <w:p>
      <w:pPr>
        <w:spacing w:after="0" w:line="171"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u w:val="single" w:color="auto"/>
          <w:color w:val="000000"/>
        </w:rPr>
        <w:t>Request to Change Deemed Investments</w:t>
      </w:r>
      <w:r>
        <w:rPr>
          <w:rFonts w:ascii="Times New Roman" w:cs="Times New Roman" w:eastAsia="Times New Roman" w:hAnsi="Times New Roman"/>
          <w:sz w:val="22"/>
          <w:szCs w:val="22"/>
          <w:color w:val="000000"/>
        </w:rPr>
        <w:t>. A Grandfathered Participant whose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Contribution Units and Employee Deferrals are deemed invested in the Investment Funds as described in Section 5.1 may request (as of the first business day of any calendar quarter or as otherwise permitted by the Plan Administrator) to change the deemed investment of his or her vested Company Contribution Units and Employee Deferrals among any of the available Investment Funds.</w:t>
      </w:r>
    </w:p>
    <w:p>
      <w:pPr>
        <w:spacing w:after="0" w:line="177"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u w:val="single" w:color="auto"/>
          <w:color w:val="000000"/>
        </w:rPr>
        <w:t>Valuation of Investment Funds</w:t>
      </w:r>
      <w:r>
        <w:rPr>
          <w:rFonts w:ascii="Times New Roman" w:cs="Times New Roman" w:eastAsia="Times New Roman" w:hAnsi="Times New Roman"/>
          <w:sz w:val="22"/>
          <w:szCs w:val="22"/>
          <w:color w:val="000000"/>
        </w:rPr>
        <w:t>. Company Contribution Units and Employee Deferrals deemed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invested in the Investment Funds shall be valued based on the per-share closing price for each fund as of the applicable Valuation Date.</w:t>
      </w:r>
    </w:p>
    <w:p>
      <w:pPr>
        <w:spacing w:after="0" w:line="173"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u w:val="single" w:color="auto"/>
          <w:color w:val="000000"/>
        </w:rPr>
        <w:t>Payment of Amounts Deemed Invested in Investment Funds</w:t>
      </w:r>
      <w:r>
        <w:rPr>
          <w:rFonts w:ascii="Times New Roman" w:cs="Times New Roman" w:eastAsia="Times New Roman" w:hAnsi="Times New Roman"/>
          <w:sz w:val="22"/>
          <w:szCs w:val="22"/>
          <w:color w:val="000000"/>
        </w:rPr>
        <w:t>. Notwithstanding Sections 2.4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3.3, a Grandfathered Participant shall receive payment of Company Contribution Units and Employee Deferrals deemed invested in the Investment Funds in cash.</w:t>
      </w:r>
    </w:p>
    <w:p>
      <w:pPr>
        <w:spacing w:after="0" w:line="17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u w:val="single" w:color="auto"/>
          <w:color w:val="000000"/>
        </w:rPr>
        <w:t>Earnings on Investment Funds</w:t>
      </w:r>
      <w:r>
        <w:rPr>
          <w:rFonts w:ascii="Times New Roman" w:cs="Times New Roman" w:eastAsia="Times New Roman" w:hAnsi="Times New Roman"/>
          <w:sz w:val="22"/>
          <w:szCs w:val="22"/>
          <w:color w:val="000000"/>
        </w:rPr>
        <w:t>. The Account of a Grandfathered Participant that is deemed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invested in the Investment Funds shall be credited daily with any income, gains and losses that would have been realized if amounts equal to the Company Contribution Units or Employee Deferrals had actually been invested in the chosen Investment Funds on the date the Plan Administrator approves the Participant’s deemed investment request. For this purpose, any amounts that would have been received, had amounts been invested as described above,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30" w:name="page331"/>
    <w:bookmarkEnd w:id="330"/>
    <w:p>
      <w:pPr>
        <w:ind w:right="160"/>
        <w:spacing w:after="0" w:line="258" w:lineRule="auto"/>
        <w:rPr>
          <w:sz w:val="20"/>
          <w:szCs w:val="20"/>
          <w:color w:val="auto"/>
        </w:rPr>
      </w:pPr>
      <w:r>
        <w:rPr>
          <w:rFonts w:ascii="Times New Roman" w:cs="Times New Roman" w:eastAsia="Times New Roman" w:hAnsi="Times New Roman"/>
          <w:sz w:val="22"/>
          <w:szCs w:val="22"/>
          <w:color w:val="auto"/>
        </w:rPr>
        <w:t>chosen Investment Fund will be treated as if reinvested in that Investment Fund on the date such amounts would have been received.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DIVIDEND EQUIVALENTS</w:t>
      </w:r>
    </w:p>
    <w:p>
      <w:pPr>
        <w:spacing w:after="0" w:line="18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A Participant’s Account that is deemed invested in Phantom Shares shall be credited, based on the number of such Phantom Shares, with any cash dividends that would have been paid if the Phantom Shares were instead shares of the Company’s Class A Voting Common Stock or Class B Stock, as applicable, and the amount of such credit shall be deemed invested in Phantom Shares, as determined by the Board.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ADMINISTRATION</w:t>
      </w:r>
    </w:p>
    <w:p>
      <w:pPr>
        <w:spacing w:after="0" w:line="182"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General Authority</w:t>
      </w:r>
      <w:r>
        <w:rPr>
          <w:rFonts w:ascii="Times New Roman" w:cs="Times New Roman" w:eastAsia="Times New Roman" w:hAnsi="Times New Roman"/>
          <w:sz w:val="22"/>
          <w:szCs w:val="22"/>
          <w:color w:val="000000"/>
        </w:rPr>
        <w:t>. The Plan shall be administered by the Plan Administrator. The Plan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Administrator shall have full authority, subject to the terms of the Plan, to select the Key Employees to become Participants.</w:t>
      </w:r>
    </w:p>
    <w:p>
      <w:pPr>
        <w:spacing w:after="0" w:line="173"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u w:val="single" w:color="auto"/>
          <w:color w:val="000000"/>
        </w:rPr>
        <w:t>Rights of the Plan Administrator</w:t>
      </w:r>
      <w:r>
        <w:rPr>
          <w:rFonts w:ascii="Times New Roman" w:cs="Times New Roman" w:eastAsia="Times New Roman" w:hAnsi="Times New Roman"/>
          <w:sz w:val="22"/>
          <w:szCs w:val="22"/>
          <w:color w:val="000000"/>
        </w:rPr>
        <w:t>. The Plan Administrator shall also have the authority to adopt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subsidiaries, shareholders, employees and directors, upon their respective legal representatives, beneficiaries, successors and assigns, and upon all other persons claiming under or through any of them. The Plan Administrator may correct any defect, supply any omission, and reconcile any inconsistency in this Plan and in any Agreement hereunder in the manner and to the extent it shall deem desirable.</w:t>
      </w:r>
    </w:p>
    <w:p>
      <w:pPr>
        <w:spacing w:after="0" w:line="18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7.3. </w:t>
      </w:r>
      <w:r>
        <w:rPr>
          <w:rFonts w:ascii="Times New Roman" w:cs="Times New Roman" w:eastAsia="Times New Roman" w:hAnsi="Times New Roman"/>
          <w:sz w:val="22"/>
          <w:szCs w:val="22"/>
          <w:u w:val="single" w:color="auto"/>
          <w:color w:val="000000"/>
        </w:rPr>
        <w:t>Final Determination</w:t>
      </w:r>
      <w:r>
        <w:rPr>
          <w:rFonts w:ascii="Times New Roman" w:cs="Times New Roman" w:eastAsia="Times New Roman" w:hAnsi="Times New Roman"/>
          <w:sz w:val="22"/>
          <w:szCs w:val="22"/>
          <w:color w:val="000000"/>
        </w:rPr>
        <w:t>. All determinations and actions of the Plan Administrator made or taken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authority granted by any provision of the Plan, shall be conclusive and shall bind all parties. However, nothing in this Section shall be construed as limiting the power of the Plan Administrator to make the adjustments described in Article VIII.</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CAPITAL ADJUSTMENTS</w:t>
      </w:r>
    </w:p>
    <w:p>
      <w:pPr>
        <w:spacing w:after="0" w:line="18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number of Phantom Shares in which Company Contribution Units and Employee Deferrals are deemed invested shall be proportionately adjusted, as may be deemed appropriate by the Plan Administrator, to reflect any increase or decrease in the number of issued shares of common stock for which such Phantom Shares represent, resulting from a subdivision (share-split), consolidation (reverse split), stock dividend or similar change in the capitalization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963" w:right="1039"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SHARES AUTHORIZED UNDER PLAN</w:t>
      </w:r>
    </w:p>
    <w:p>
      <w:pPr>
        <w:spacing w:after="0" w:line="18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In order for shares to be available for the distribution of Class B Stock under Section 2.5 or Section 3.3, the Company is authorized to issue up to 50 million shares of its Class B Stock for use under the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SECTION 409A COMPLIANCE</w:t>
      </w:r>
    </w:p>
    <w:p>
      <w:pPr>
        <w:spacing w:after="0" w:line="18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10.1. </w:t>
      </w:r>
      <w:r>
        <w:rPr>
          <w:rFonts w:ascii="Times New Roman" w:cs="Times New Roman" w:eastAsia="Times New Roman" w:hAnsi="Times New Roman"/>
          <w:sz w:val="22"/>
          <w:szCs w:val="22"/>
          <w:u w:val="single" w:color="auto"/>
          <w:color w:val="000000"/>
        </w:rPr>
        <w:t>Specified Employee Status</w:t>
      </w:r>
      <w:r>
        <w:rPr>
          <w:rFonts w:ascii="Times New Roman" w:cs="Times New Roman" w:eastAsia="Times New Roman" w:hAnsi="Times New Roman"/>
          <w:sz w:val="22"/>
          <w:szCs w:val="22"/>
          <w:color w:val="000000"/>
        </w:rPr>
        <w:t>. If any distribution to a Participant in connection with his or 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Separation from Service is determined, in whole or in part, to constitute “nonqualified deferred compensation” within the meaning of Section 409A of the Code and the final regulations issued thereunder, and the Participant is a “specified employee” as defined in Section 409A of the Code and the final regulations issued thereunder, no part of such distribution shall be made before the day that is six months plus one day after the Participant’s date of termination of employment for reasons other than his or her death (the “New Distribution Date”). The aggregate of any distributions that otherwise would have been distributed to the Participant during the period between the Separation from Service date and the New Distribution Date shall be distributed to the Participant (or his or her beneficiary) in a single sum on the earlier of (i) the New Distribution Date, or (ii) the Participant’s death. Thereafter, any distributions that remain outstanding as of the day immediately following the New Distribution Date shall be distributed without delay over the time period originally scheduled, in accordance with the terms of the Participant’s Agreement or this Plan.</w:t>
      </w:r>
    </w:p>
    <w:p>
      <w:pPr>
        <w:spacing w:after="0" w:line="185"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10.2. </w:t>
      </w:r>
      <w:r>
        <w:rPr>
          <w:rFonts w:ascii="Times New Roman" w:cs="Times New Roman" w:eastAsia="Times New Roman" w:hAnsi="Times New Roman"/>
          <w:sz w:val="22"/>
          <w:szCs w:val="22"/>
          <w:u w:val="single" w:color="auto"/>
          <w:color w:val="000000"/>
        </w:rPr>
        <w:t>Compliance in General</w:t>
      </w:r>
      <w:r>
        <w:rPr>
          <w:rFonts w:ascii="Times New Roman" w:cs="Times New Roman" w:eastAsia="Times New Roman" w:hAnsi="Times New Roman"/>
          <w:sz w:val="22"/>
          <w:szCs w:val="22"/>
          <w:color w:val="000000"/>
        </w:rPr>
        <w:t>. This Plan is intended to comply with Section 409A of the Code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extent applicable) and the Company shall interpret, apply and administer this Plan to comply therewith, but without resulting in any increase in the amounts owed hereunder by the Company.</w:t>
      </w:r>
    </w:p>
    <w:p>
      <w:pPr>
        <w:spacing w:after="0" w:line="17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10.3. </w:t>
      </w:r>
      <w:r>
        <w:rPr>
          <w:rFonts w:ascii="Times New Roman" w:cs="Times New Roman" w:eastAsia="Times New Roman" w:hAnsi="Times New Roman"/>
          <w:sz w:val="22"/>
          <w:szCs w:val="22"/>
          <w:u w:val="single" w:color="auto"/>
          <w:color w:val="000000"/>
        </w:rPr>
        <w:t>No Liability for Section 409A Problems</w:t>
      </w:r>
      <w:r>
        <w:rPr>
          <w:rFonts w:ascii="Times New Roman" w:cs="Times New Roman" w:eastAsia="Times New Roman" w:hAnsi="Times New Roman"/>
          <w:sz w:val="22"/>
          <w:szCs w:val="22"/>
          <w:color w:val="000000"/>
        </w:rPr>
        <w:t>. In no event whatsoever shall the Company or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subsidiaries or their respective officers, directors, employees or agents be liable for any additional tax, interest or penalties that may be imposed on a Participant by Section 409A of the Code or for damages for failing to comply with Section 409A of the Code.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8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010000"/>
        </w:rPr>
        <w:t xml:space="preserve">11.1. </w:t>
      </w:r>
      <w:r>
        <w:rPr>
          <w:rFonts w:ascii="Times New Roman" w:cs="Times New Roman" w:eastAsia="Times New Roman" w:hAnsi="Times New Roman"/>
          <w:sz w:val="22"/>
          <w:szCs w:val="22"/>
          <w:u w:val="single" w:color="auto"/>
          <w:color w:val="000000"/>
        </w:rPr>
        <w:t>Amendment or Termination of the Plan</w:t>
      </w:r>
      <w:r>
        <w:rPr>
          <w:rFonts w:ascii="Times New Roman" w:cs="Times New Roman" w:eastAsia="Times New Roman" w:hAnsi="Times New Roman"/>
          <w:sz w:val="22"/>
          <w:szCs w:val="22"/>
          <w:color w:val="000000"/>
        </w:rPr>
        <w:t>. The General Counsel or any Vice President, Human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Resources of the Company may, at any time, change the Investment Funds available for deemed investment under the Plan, to conform the choices to those available under the Company’s Profit Sharing/401(k) Plan, upon adequate notice of such change to the Participants. Further, the Board may from time to time amend the Plan in any respect whatsoever or terminate the Plan. Notwithstanding the foregoing sentences, no such change in Investment Funds or amendment or termination shall materially impair the rights of any Participant without the consent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32" w:name="page333"/>
    <w:bookmarkEnd w:id="332"/>
    <w:p>
      <w:pPr>
        <w:ind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11.2. </w:t>
      </w:r>
      <w:r>
        <w:rPr>
          <w:rFonts w:ascii="Times New Roman" w:cs="Times New Roman" w:eastAsia="Times New Roman" w:hAnsi="Times New Roman"/>
          <w:sz w:val="22"/>
          <w:szCs w:val="22"/>
          <w:u w:val="single" w:color="auto"/>
          <w:color w:val="000000"/>
        </w:rPr>
        <w:t>Withholding and Use of Shares to Satisfy Tax Obligations</w:t>
      </w:r>
      <w:r>
        <w:rPr>
          <w:rFonts w:ascii="Times New Roman" w:cs="Times New Roman" w:eastAsia="Times New Roman" w:hAnsi="Times New Roman"/>
          <w:sz w:val="22"/>
          <w:szCs w:val="22"/>
          <w:color w:val="000000"/>
        </w:rPr>
        <w:t>. The obligation of the Company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deliver shares of Class B Stock as a distribution under this Plan shall be subject to applicable federal, state and local tax withholding requirements. If such a distribution is subject to the withholding requirements of applicable federal, state or local tax law, the Board, in its discretion, may permit or require the Participant to satisfy the federal, state and/or local withholding tax, in whole or in part, by electing to have the Company withhold shares of Class B Stock that would otherwise be distributed (or by returning previously acquired shares of Class B Stock to the Company);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the Company may limit the number of shares withheld to satisfy the tax withholding requirements to the extent necessary to avoid adverse accounting consequences to the Company. Shares of Class B Stock shall be valued, for purposes of this Section 11.2, at their fair market value (determined as of the date of the distribution). The Board shall adopt such withholding rules as it deems necessary to carry out the provisions of this Section.</w:t>
      </w:r>
    </w:p>
    <w:p>
      <w:pPr>
        <w:spacing w:after="0" w:line="187"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010000"/>
        </w:rPr>
        <w:t xml:space="preserve">11.3. </w:t>
      </w:r>
      <w:r>
        <w:rPr>
          <w:rFonts w:ascii="Times New Roman" w:cs="Times New Roman" w:eastAsia="Times New Roman" w:hAnsi="Times New Roman"/>
          <w:sz w:val="22"/>
          <w:szCs w:val="22"/>
          <w:u w:val="single" w:color="auto"/>
          <w:color w:val="000000"/>
        </w:rPr>
        <w:t>Lock-Up Agreement</w:t>
      </w:r>
      <w:r>
        <w:rPr>
          <w:rFonts w:ascii="Times New Roman" w:cs="Times New Roman" w:eastAsia="Times New Roman" w:hAnsi="Times New Roman"/>
          <w:sz w:val="22"/>
          <w:szCs w:val="22"/>
          <w:color w:val="000000"/>
        </w:rPr>
        <w:t>. Each recipient of shares Class B Stock distributed under this Plan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 as a condition to receipt of such shares, that, in connection with an initial public offering of Common Stock and upon the request of the managing underwriter in such offering, such recipient shall not, without the prior written consent of such managing underwriter, during the period commencing on the effective date of the registration statement with respect to such offering and ending on the date specified by such managing underwriter (such period not to exceed one year), (i) offer, sell, contract to sell, grant any option or contract to purchase, purchase any option or contract to sell, hedge the beneficial ownership of or otherwise dispose of, directly or indirectly, any shares of Common Stock or any securities convertible into, exercisable for, or exchangeable for shares of Common Stock, or (ii) enter into any swap or other arrangement that transfers to another, in whole or in part, any of the economic consequences of ownership of such securities, whether any such transaction described in clause (i) or clause (ii) above is to be settled by delivery of Common Stock or such other securities, in cash or otherwise. Each recipient agrees to execute and deliver such other agreements as may be reasonably requested by the Company or the managing underwriter that are consistent with the foregoing or that are necessary to give further effect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11.4.</w:t>
      </w:r>
      <w:r>
        <w:rPr>
          <w:sz w:val="20"/>
          <w:szCs w:val="20"/>
          <w:color w:val="auto"/>
        </w:rPr>
        <w:tab/>
      </w:r>
      <w:r>
        <w:rPr>
          <w:rFonts w:ascii="Times New Roman" w:cs="Times New Roman" w:eastAsia="Times New Roman" w:hAnsi="Times New Roman"/>
          <w:sz w:val="21"/>
          <w:szCs w:val="21"/>
          <w:u w:val="single" w:color="auto"/>
          <w:color w:val="auto"/>
        </w:rPr>
        <w:t>Beneficiary Designation</w:t>
      </w:r>
    </w:p>
    <w:p>
      <w:pPr>
        <w:spacing w:after="0" w:line="206" w:lineRule="exact"/>
        <w:rPr>
          <w:sz w:val="20"/>
          <w:szCs w:val="20"/>
          <w:color w:val="auto"/>
        </w:rPr>
      </w:pPr>
    </w:p>
    <w:p>
      <w:pPr>
        <w:ind w:left="660" w:right="220" w:firstLine="1292"/>
        <w:spacing w:after="0" w:line="238" w:lineRule="auto"/>
        <w:tabs>
          <w:tab w:leader="none" w:pos="2628"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Participant shall designate the person(s) as the beneficiary(ies) to whom the Participant’s Company Contribution Units and Employee Deferrals shall be delivered in the event of the Participant’s death prior to distribution to him or her. Each beneficiary designation shall be substantially in the form of Appendix C attached hereto and shall</w:t>
      </w:r>
      <w:r>
        <w:rPr>
          <w:rFonts w:ascii="Times New Roman" w:cs="Times New Roman" w:eastAsia="Times New Roman" w:hAnsi="Times New Roman"/>
          <w:sz w:val="16"/>
          <w:szCs w:val="16"/>
          <w:color w:val="auto"/>
        </w:rPr>
        <w:t>-</w:t>
      </w:r>
      <w:r>
        <w:rPr>
          <w:rFonts w:ascii="Times New Roman" w:cs="Times New Roman" w:eastAsia="Times New Roman" w:hAnsi="Times New Roman"/>
          <w:sz w:val="22"/>
          <w:szCs w:val="22"/>
          <w:color w:val="auto"/>
        </w:rPr>
        <w:t>be effective only when filed with the Plan Administrator during the Participant’s lifetime.</w:t>
      </w:r>
    </w:p>
    <w:p>
      <w:pPr>
        <w:spacing w:after="0" w:line="176" w:lineRule="exact"/>
        <w:rPr>
          <w:rFonts w:ascii="Times New Roman" w:cs="Times New Roman" w:eastAsia="Times New Roman" w:hAnsi="Times New Roman"/>
          <w:sz w:val="22"/>
          <w:szCs w:val="22"/>
          <w:color w:val="010000"/>
        </w:rPr>
      </w:pPr>
    </w:p>
    <w:p>
      <w:pPr>
        <w:ind w:left="660" w:right="40" w:firstLine="1292"/>
        <w:spacing w:after="0" w:line="239" w:lineRule="auto"/>
        <w:tabs>
          <w:tab w:leader="none" w:pos="2640"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beneficiary designation may be changed by a Participant without the consent of any previously designated beneficiary or any other person by the filing of a new beneficiary designation with the Plan Administrator. The filing of a new beneficiary designation shall cancel all beneficiary designations previously filed.</w:t>
      </w:r>
    </w:p>
    <w:p>
      <w:pPr>
        <w:spacing w:after="0" w:line="180" w:lineRule="exact"/>
        <w:rPr>
          <w:rFonts w:ascii="Times New Roman" w:cs="Times New Roman" w:eastAsia="Times New Roman" w:hAnsi="Times New Roman"/>
          <w:sz w:val="22"/>
          <w:szCs w:val="22"/>
          <w:color w:val="010000"/>
        </w:rPr>
      </w:pPr>
    </w:p>
    <w:p>
      <w:pPr>
        <w:ind w:left="660" w:right="180" w:firstLine="1292"/>
        <w:spacing w:after="0" w:line="258" w:lineRule="auto"/>
        <w:tabs>
          <w:tab w:leader="none" w:pos="2628"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Participant fails to designate a beneficiary in the manner provided above, or if the beneficiary designated by a Participant predeceases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sectPr>
      </w:pPr>
    </w:p>
    <w:bookmarkStart w:id="333" w:name="page334"/>
    <w:bookmarkEnd w:id="333"/>
    <w:p>
      <w:pPr>
        <w:ind w:left="660"/>
        <w:spacing w:after="0" w:line="282" w:lineRule="auto"/>
        <w:rPr>
          <w:sz w:val="20"/>
          <w:szCs w:val="20"/>
          <w:color w:val="auto"/>
        </w:rPr>
      </w:pPr>
      <w:r>
        <w:rPr>
          <w:rFonts w:ascii="Times New Roman" w:cs="Times New Roman" w:eastAsia="Times New Roman" w:hAnsi="Times New Roman"/>
          <w:sz w:val="21"/>
          <w:szCs w:val="21"/>
          <w:color w:val="auto"/>
        </w:rPr>
        <w:t>Participant, the Plan Administrator shall direct that such Participant’s Account be distributed to the Participant’s surviving spouse or, if the Participant has no surviving spouse, then to the Participant’s estate.</w:t>
      </w:r>
    </w:p>
    <w:p>
      <w:pPr>
        <w:spacing w:after="0" w:line="13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010000"/>
        </w:rPr>
        <w:t xml:space="preserve">11.5. </w:t>
      </w:r>
      <w:r>
        <w:rPr>
          <w:rFonts w:ascii="Times New Roman" w:cs="Times New Roman" w:eastAsia="Times New Roman" w:hAnsi="Times New Roman"/>
          <w:sz w:val="22"/>
          <w:szCs w:val="22"/>
          <w:u w:val="single" w:color="auto"/>
          <w:color w:val="000000"/>
        </w:rPr>
        <w:t>Distribution to Guardian</w:t>
      </w:r>
      <w:r>
        <w:rPr>
          <w:rFonts w:ascii="Times New Roman" w:cs="Times New Roman" w:eastAsia="Times New Roman" w:hAnsi="Times New Roman"/>
          <w:sz w:val="22"/>
          <w:szCs w:val="22"/>
          <w:color w:val="000000"/>
        </w:rPr>
        <w:t>. If Company Contribution Units and Employee Deferrals are distributable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this Plan to a minor, a person declared incompetent, or a person incapable of handling the disposition of property, the Plan Administrator may direct distribution to the guardian, legal representative, or person having the care and custody of the minor, incompetent or incapable person. The Plan Administrator may require proof of incompetency, minority, incapacity or guardianship as the Plan Administrator may deem appropriate prior to the delivery. The delivery shall completely discharge the Plan Administrator and the Company from all liability with respect to the distribution.</w:t>
      </w:r>
    </w:p>
    <w:p>
      <w:pPr>
        <w:spacing w:after="0" w:line="18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1"/>
          <w:szCs w:val="21"/>
          <w:color w:val="010000"/>
        </w:rPr>
        <w:t xml:space="preserve">11.6. </w:t>
      </w:r>
      <w:r>
        <w:rPr>
          <w:rFonts w:ascii="Times New Roman" w:cs="Times New Roman" w:eastAsia="Times New Roman" w:hAnsi="Times New Roman"/>
          <w:sz w:val="21"/>
          <w:szCs w:val="21"/>
          <w:u w:val="single" w:color="auto"/>
          <w:color w:val="000000"/>
        </w:rPr>
        <w:t>No Funding</w:t>
      </w:r>
      <w:r>
        <w:rPr>
          <w:rFonts w:ascii="Times New Roman" w:cs="Times New Roman" w:eastAsia="Times New Roman" w:hAnsi="Times New Roman"/>
          <w:sz w:val="21"/>
          <w:szCs w:val="21"/>
          <w:color w:val="000000"/>
        </w:rPr>
        <w:t>. The Company shall not be required</w:t>
      </w:r>
      <w:r>
        <w:rPr>
          <w:rFonts w:ascii="Times New Roman" w:cs="Times New Roman" w:eastAsia="Times New Roman" w:hAnsi="Times New Roman"/>
          <w:sz w:val="15"/>
          <w:szCs w:val="15"/>
          <w:color w:val="000000"/>
        </w:rPr>
        <w:t>-</w:t>
      </w:r>
      <w:r>
        <w:rPr>
          <w:rFonts w:ascii="Times New Roman" w:cs="Times New Roman" w:eastAsia="Times New Roman" w:hAnsi="Times New Roman"/>
          <w:sz w:val="21"/>
          <w:szCs w:val="21"/>
          <w:color w:val="000000"/>
        </w:rPr>
        <w:t>to fund or secure in any way its obligations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hereunder. Nothing in the Plan or in any Agreement hereunder and no action taken pursuant to the provisions of the Plan or of any Agreement hereunder shall be construed to create a trust or a fiduciary relationship of any kind. Distributions under the Plan and any Agreement hereunder shall be made when due from the general assets of the Company. All assets, if any, maintained under a Participant’s Account shall remain a part of the general assets of the Company. Neither a Participant nor his or her designated beneficiary shall acquire any interest in such assets by virtue of the Plan or any Agreement hereunder. This Plan constitutes a mere promise by the Company to make distributions in the future, and to the extent that a Participant or his or her designated beneficiary acquires a right to receive any distribution from the Company under the Plan, such right shall be no greater than the right of any unsecured general creditor of the Company. The Company intends for this Plan to be unfunded for tax purposes and for the purposes of Title I of the Employee Retirement Income Security Act of 1974, as amended.</w:t>
      </w:r>
    </w:p>
    <w:p>
      <w:pPr>
        <w:spacing w:after="0" w:line="177"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11.7.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The operation of, and the rights of Participants under, the Plan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Agreements hereunder shall be governed by applicable United States laws and otherwise by the laws of the State of Delaware (without reference to the principles of conflict of laws).</w:t>
      </w:r>
    </w:p>
    <w:p>
      <w:pPr>
        <w:spacing w:after="0" w:line="169"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Bentley Systems, Incorporated hereby executes this Plan, as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on this _____ day of _____________, 2020.</w:t>
      </w:r>
    </w:p>
    <w:p>
      <w:pPr>
        <w:spacing w:after="0" w:line="15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10795</wp:posOffset>
            </wp:positionV>
            <wp:extent cx="213423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8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 (Printed):</w:t>
      </w:r>
    </w:p>
    <w:p>
      <w:pPr>
        <w:spacing w:after="0" w:line="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-3810</wp:posOffset>
            </wp:positionV>
            <wp:extent cx="213423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9">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-158115</wp:posOffset>
            </wp:positionV>
            <wp:extent cx="173164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963" w:right="1019" w:bottom="1440" w:gutter="0" w:footer="0" w:header="0"/>
        </w:sectPr>
      </w:pPr>
    </w:p>
    <w:bookmarkStart w:id="334" w:name="page335"/>
    <w:bookmarkEnd w:id="334"/>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APPENDICES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63" w:right="1440" w:bottom="1440" w:gutter="0" w:footer="0" w:header="0"/>
        </w:sectPr>
      </w:pPr>
    </w:p>
    <w:bookmarkStart w:id="335" w:name="page336"/>
    <w:bookmarkEnd w:id="335"/>
    <w:p>
      <w:pPr>
        <w:jc w:val="center"/>
        <w:ind w:left="1020" w:right="2220"/>
        <w:spacing w:after="0" w:line="246"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DEFERRED COMPENSATION AGREEMENT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A-1</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ELECTION OF EMPLOYEE DEFERRALS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entered into this ____ day of __________, 20___, between Bentley Systems,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(the “Company”) and __________________ (the “Participant”).</w:t>
      </w:r>
    </w:p>
    <w:p>
      <w:pPr>
        <w:spacing w:after="0" w:line="17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Participant, a Key Employee of the Company or one of its subsidiaries, has been selected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participate in the Bentley Systems, Incorporated Nonqualified Deferred Compensation Plan (the “Plan”); and</w:t>
      </w:r>
    </w:p>
    <w:p>
      <w:pPr>
        <w:spacing w:after="0" w:line="12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wishes to make an initial deferral election with respect to all or any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his or her “Short-Term Bonus(es)” (as defined in the Plan);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follows:</w:t>
      </w:r>
    </w:p>
    <w:p>
      <w:pPr>
        <w:spacing w:after="0" w:line="210" w:lineRule="exact"/>
        <w:rPr>
          <w:sz w:val="20"/>
          <w:szCs w:val="20"/>
          <w:color w:val="auto"/>
        </w:rPr>
      </w:pPr>
    </w:p>
    <w:p>
      <w:pPr>
        <w:ind w:left="1300" w:hanging="644"/>
        <w:spacing w:after="0"/>
        <w:tabs>
          <w:tab w:leader="none" w:pos="130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Percentage or Dollar Amount of Short-Term Bonus to Defer</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[Complete this Section 1 to make an initial deferral election with respect to your Employee Deferrals under the Plan, to change your Employee Deferral election with respect to future Short-Term Bonuses, or to make an Employee Deferral election upon recommencing participation in the Plan.]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[Check only one box, and complete the paragraph below]</w:t>
      </w:r>
    </w:p>
    <w:p>
      <w:pPr>
        <w:spacing w:after="0" w:line="224" w:lineRule="exact"/>
        <w:rPr>
          <w:sz w:val="20"/>
          <w:szCs w:val="20"/>
          <w:color w:val="auto"/>
        </w:rPr>
      </w:pPr>
    </w:p>
    <w:p>
      <w:pPr>
        <w:ind w:left="1240" w:hanging="584"/>
        <w:spacing w:after="0"/>
        <w:tabs>
          <w:tab w:leader="none" w:pos="1240" w:val="left"/>
        </w:tabs>
        <w:numPr>
          <w:ilvl w:val="0"/>
          <w:numId w:val="18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Initial Election</w:t>
      </w:r>
    </w:p>
    <w:p>
      <w:pPr>
        <w:spacing w:after="0" w:line="27" w:lineRule="exact"/>
        <w:rPr>
          <w:rFonts w:ascii="MS PGothic" w:cs="MS PGothic" w:eastAsia="MS PGothic" w:hAnsi="MS PGothic"/>
          <w:sz w:val="22"/>
          <w:szCs w:val="22"/>
          <w:color w:val="auto"/>
        </w:rPr>
      </w:pPr>
    </w:p>
    <w:p>
      <w:pPr>
        <w:ind w:left="1240" w:hanging="584"/>
        <w:spacing w:after="0"/>
        <w:tabs>
          <w:tab w:leader="none" w:pos="1240" w:val="left"/>
        </w:tabs>
        <w:numPr>
          <w:ilvl w:val="0"/>
          <w:numId w:val="18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Change in Election</w:t>
      </w:r>
    </w:p>
    <w:p>
      <w:pPr>
        <w:spacing w:after="0" w:line="3" w:lineRule="exact"/>
        <w:rPr>
          <w:rFonts w:ascii="MS PGothic" w:cs="MS PGothic" w:eastAsia="MS PGothic" w:hAnsi="MS PGothic"/>
          <w:sz w:val="22"/>
          <w:szCs w:val="22"/>
          <w:color w:val="auto"/>
        </w:rPr>
      </w:pPr>
    </w:p>
    <w:p>
      <w:pPr>
        <w:ind w:left="1240" w:hanging="584"/>
        <w:spacing w:after="0"/>
        <w:tabs>
          <w:tab w:leader="none" w:pos="1240" w:val="left"/>
        </w:tabs>
        <w:numPr>
          <w:ilvl w:val="0"/>
          <w:numId w:val="18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Recommencement of Participation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Commencing _______________, 20__, I elect to defer _____ percent </w:t>
      </w:r>
      <w:r>
        <w:rPr>
          <w:rFonts w:ascii="Times New Roman" w:cs="Times New Roman" w:eastAsia="Times New Roman" w:hAnsi="Times New Roman"/>
          <w:sz w:val="21"/>
          <w:szCs w:val="21"/>
          <w:b w:val="1"/>
          <w:bCs w:val="1"/>
          <w:color w:val="auto"/>
        </w:rPr>
        <w:t>[insert whole number from one to 100]</w:t>
      </w:r>
      <w:r>
        <w:rPr>
          <w:rFonts w:ascii="Times New Roman" w:cs="Times New Roman" w:eastAsia="Times New Roman" w:hAnsi="Times New Roman"/>
          <w:sz w:val="21"/>
          <w:szCs w:val="21"/>
          <w:color w:val="auto"/>
        </w:rPr>
        <w:t xml:space="preserve"> 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 of my Short-Term Bonus (payable with respect to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21"/>
          <w:szCs w:val="21"/>
          <w:color w:val="auto"/>
        </w:rPr>
        <w:t>, 2</w:t>
      </w:r>
      <w:r>
        <w:rPr>
          <w:rFonts w:ascii="Times New Roman" w:cs="Times New Roman" w:eastAsia="Times New Roman" w:hAnsi="Times New Roman"/>
          <w:sz w:val="15"/>
          <w:szCs w:val="15"/>
          <w:color w:val="auto"/>
        </w:rPr>
        <w:t>nd</w:t>
      </w:r>
      <w:r>
        <w:rPr>
          <w:rFonts w:ascii="Times New Roman" w:cs="Times New Roman" w:eastAsia="Times New Roman" w:hAnsi="Times New Roman"/>
          <w:sz w:val="21"/>
          <w:szCs w:val="21"/>
          <w:color w:val="auto"/>
        </w:rPr>
        <w:t>, 3</w:t>
      </w:r>
      <w:r>
        <w:rPr>
          <w:rFonts w:ascii="Times New Roman" w:cs="Times New Roman" w:eastAsia="Times New Roman" w:hAnsi="Times New Roman"/>
          <w:sz w:val="15"/>
          <w:szCs w:val="15"/>
          <w:color w:val="auto"/>
        </w:rPr>
        <w:t>rd</w:t>
      </w:r>
      <w:r>
        <w:rPr>
          <w:rFonts w:ascii="Times New Roman" w:cs="Times New Roman" w:eastAsia="Times New Roman" w:hAnsi="Times New Roman"/>
          <w:sz w:val="21"/>
          <w:szCs w:val="21"/>
          <w:color w:val="auto"/>
        </w:rPr>
        <w:t xml:space="preserve"> and/or 4</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calendar quarter) </w:t>
      </w:r>
      <w:r>
        <w:rPr>
          <w:rFonts w:ascii="Times New Roman" w:cs="Times New Roman" w:eastAsia="Times New Roman" w:hAnsi="Times New Roman"/>
          <w:sz w:val="21"/>
          <w:szCs w:val="21"/>
          <w:b w:val="1"/>
          <w:bCs w:val="1"/>
          <w:color w:val="auto"/>
        </w:rPr>
        <w:t>[circle all</w:t>
      </w:r>
    </w:p>
    <w:p>
      <w:pPr>
        <w:spacing w:after="0" w:line="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b w:val="1"/>
          <w:bCs w:val="1"/>
          <w:color w:val="auto"/>
        </w:rPr>
        <w:t>that apply]</w:t>
      </w:r>
      <w:r>
        <w:rPr>
          <w:rFonts w:ascii="Times New Roman" w:cs="Times New Roman" w:eastAsia="Times New Roman" w:hAnsi="Times New Roman"/>
          <w:sz w:val="22"/>
          <w:szCs w:val="22"/>
          <w:color w:val="auto"/>
        </w:rPr>
        <w:t>. I understand that these Employee Deferrals shall be credited in the form of a bookkeeping entry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reserve maintained by the Company in my name, together with credited amounts in the nature of income, gains and losses (the “Account”). The Account maintained for me shall be distributed to me on a deferred basis in accordance with the terms of this Agreement and the Plan.</w:t>
      </w:r>
    </w:p>
    <w:p>
      <w:pPr>
        <w:spacing w:after="0" w:line="177" w:lineRule="exact"/>
        <w:rPr>
          <w:sz w:val="20"/>
          <w:szCs w:val="20"/>
          <w:color w:val="auto"/>
        </w:rPr>
      </w:pPr>
    </w:p>
    <w:p>
      <w:pPr>
        <w:ind w:left="1300" w:hanging="644"/>
        <w:spacing w:after="0"/>
        <w:tabs>
          <w:tab w:leader="none" w:pos="1300"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Date Election</w:t>
      </w:r>
    </w:p>
    <w:p>
      <w:pPr>
        <w:spacing w:after="0" w:line="200" w:lineRule="exact"/>
        <w:rPr>
          <w:sz w:val="20"/>
          <w:szCs w:val="20"/>
          <w:color w:val="auto"/>
        </w:rPr>
      </w:pPr>
    </w:p>
    <w:p>
      <w:pPr>
        <w:ind w:right="6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[This Section 2 must be completed with respect to Employee Deferral elections made in accordance with Section 1 above.]</w:t>
      </w:r>
    </w:p>
    <w:p>
      <w:pPr>
        <w:spacing w:after="0" w:line="15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 xml:space="preserve">I hereby elect to have the Company distribute (or commence to distribute) any Employee Deferrals upon the following event </w:t>
      </w:r>
      <w:r>
        <w:rPr>
          <w:rFonts w:ascii="Times New Roman" w:cs="Times New Roman" w:eastAsia="Times New Roman" w:hAnsi="Times New Roman"/>
          <w:sz w:val="22"/>
          <w:szCs w:val="22"/>
          <w:b w:val="1"/>
          <w:bCs w:val="1"/>
          <w:color w:val="auto"/>
        </w:rPr>
        <w:t>[check only one box]</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959" w:right="1019" w:bottom="1440" w:gutter="0" w:footer="0" w:header="0"/>
        </w:sectPr>
      </w:pPr>
    </w:p>
    <w:bookmarkStart w:id="336" w:name="page337"/>
    <w:bookmarkEnd w:id="336"/>
    <w:p>
      <w:pPr>
        <w:ind w:left="1300" w:hanging="644"/>
        <w:spacing w:after="0" w:line="215" w:lineRule="auto"/>
        <w:tabs>
          <w:tab w:leader="none" w:pos="1327" w:val="left"/>
        </w:tabs>
        <w:numPr>
          <w:ilvl w:val="0"/>
          <w:numId w:val="18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 On the fifth business day after “Separation from Service” (as defined in the Plan)</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22"/>
          <w:szCs w:val="22"/>
          <w:color w:val="auto"/>
        </w:rPr>
        <w:t xml:space="preserve"> (the first business day after the six-month anniversary of such Separation from Service if I am a “specified employee,” as defined in Section 409A(a)(2)(B)(i) of the Internal Revenue Code, and if, at the time of my separation from service, the Company is “Publicly Traded” (as defined in the Plan)).</w:t>
      </w:r>
    </w:p>
    <w:p>
      <w:pPr>
        <w:spacing w:after="0" w:line="191" w:lineRule="exact"/>
        <w:rPr>
          <w:rFonts w:ascii="MS PGothic" w:cs="MS PGothic" w:eastAsia="MS PGothic" w:hAnsi="MS PGothic"/>
          <w:sz w:val="22"/>
          <w:szCs w:val="22"/>
          <w:color w:val="auto"/>
        </w:rPr>
      </w:pPr>
    </w:p>
    <w:p>
      <w:pPr>
        <w:ind w:left="1340" w:hanging="684"/>
        <w:spacing w:after="0"/>
        <w:tabs>
          <w:tab w:leader="none" w:pos="1340" w:val="left"/>
        </w:tabs>
        <w:numPr>
          <w:ilvl w:val="0"/>
          <w:numId w:val="18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   On the following date: _____________, 20___.</w:t>
      </w:r>
    </w:p>
    <w:p>
      <w:pPr>
        <w:spacing w:after="0" w:line="219" w:lineRule="exact"/>
        <w:rPr>
          <w:rFonts w:ascii="MS PGothic" w:cs="MS PGothic" w:eastAsia="MS PGothic" w:hAnsi="MS PGothic"/>
          <w:sz w:val="22"/>
          <w:szCs w:val="22"/>
          <w:color w:val="auto"/>
        </w:rPr>
      </w:pPr>
    </w:p>
    <w:p>
      <w:pPr>
        <w:ind w:left="1340" w:hanging="684"/>
        <w:spacing w:after="0"/>
        <w:tabs>
          <w:tab w:leader="none" w:pos="1340" w:val="left"/>
        </w:tabs>
        <w:numPr>
          <w:ilvl w:val="0"/>
          <w:numId w:val="18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   On the earlier of the date described in event (A), above, or the following date:</w:t>
      </w:r>
    </w:p>
    <w:p>
      <w:pPr>
        <w:spacing w:after="0" w:line="14" w:lineRule="exact"/>
        <w:rPr>
          <w:rFonts w:ascii="MS PGothic" w:cs="MS PGothic" w:eastAsia="MS PGothic" w:hAnsi="MS PGothic"/>
          <w:sz w:val="22"/>
          <w:szCs w:val="22"/>
          <w:color w:val="auto"/>
        </w:rPr>
      </w:pPr>
    </w:p>
    <w:p>
      <w:pPr>
        <w:ind w:left="1300"/>
        <w:spacing w:after="0"/>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____________, 20___.</w:t>
      </w:r>
    </w:p>
    <w:p>
      <w:pPr>
        <w:spacing w:after="0" w:line="182" w:lineRule="exact"/>
        <w:rPr>
          <w:sz w:val="20"/>
          <w:szCs w:val="20"/>
          <w:color w:val="auto"/>
        </w:rPr>
      </w:pPr>
    </w:p>
    <w:p>
      <w:pPr>
        <w:ind w:left="1300" w:hanging="644"/>
        <w:spacing w:after="0"/>
        <w:tabs>
          <w:tab w:leader="none" w:pos="130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in the Event of an Unforeseeable Emergency or a 409A Change in Control</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In addition to the election I made in Section 2 above, if I check one or both of the following boxes, I also elect to have the Company distribute any Employee Deferrals, to the extent permitted by applicable law, to me </w:t>
      </w:r>
      <w:r>
        <w:rPr>
          <w:rFonts w:ascii="Times New Roman" w:cs="Times New Roman" w:eastAsia="Times New Roman" w:hAnsi="Times New Roman"/>
          <w:sz w:val="22"/>
          <w:szCs w:val="22"/>
          <w:b w:val="1"/>
          <w:bCs w:val="1"/>
          <w:color w:val="auto"/>
        </w:rPr>
        <w:t>[check 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box, both boxes, or neither box]</w:t>
      </w:r>
      <w:r>
        <w:rPr>
          <w:rFonts w:ascii="Times New Roman" w:cs="Times New Roman" w:eastAsia="Times New Roman" w:hAnsi="Times New Roman"/>
          <w:sz w:val="22"/>
          <w:szCs w:val="22"/>
          <w:color w:val="auto"/>
        </w:rPr>
        <w:t>:</w:t>
      </w:r>
    </w:p>
    <w:p>
      <w:pPr>
        <w:sectPr>
          <w:pgSz w:w="11900" w:h="16838" w:orient="portrait"/>
          <w:cols w:equalWidth="0" w:num="1">
            <w:col w:w="9900"/>
          </w:cols>
          <w:pgMar w:left="980" w:top="1192" w:right="1019" w:bottom="1440" w:gutter="0" w:footer="0" w:header="0"/>
        </w:sectPr>
      </w:pPr>
    </w:p>
    <w:p>
      <w:pPr>
        <w:spacing w:after="0" w:line="153" w:lineRule="exact"/>
        <w:rPr>
          <w:sz w:val="20"/>
          <w:szCs w:val="20"/>
          <w:color w:val="auto"/>
        </w:rPr>
      </w:pPr>
    </w:p>
    <w:p>
      <w:pPr>
        <w:ind w:left="660"/>
        <w:spacing w:after="0" w:line="280"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Upon an “unforeseeable emergency,” as defined in Section 3.3(a) of the Plan. defined quite restrictively in the Internal Revenue Code.)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term is</w:t>
      </w:r>
    </w:p>
    <w:p>
      <w:pPr>
        <w:spacing w:after="0" w:line="474" w:lineRule="exact"/>
        <w:rPr>
          <w:sz w:val="20"/>
          <w:szCs w:val="20"/>
          <w:color w:val="auto"/>
        </w:rPr>
      </w:pPr>
    </w:p>
    <w:p>
      <w:pPr>
        <w:sectPr>
          <w:pgSz w:w="11900" w:h="16838" w:orient="portrait"/>
          <w:cols w:equalWidth="0" w:num="2">
            <w:col w:w="7940" w:space="360"/>
            <w:col w:w="1600"/>
          </w:cols>
          <w:pgMar w:left="980" w:top="1192" w:right="1019" w:bottom="1440" w:gutter="0" w:footer="0" w:header="0"/>
          <w:type w:val="continuous"/>
        </w:sectPr>
      </w:pPr>
    </w:p>
    <w:p>
      <w:pPr>
        <w:ind w:left="1240" w:hanging="584"/>
        <w:spacing w:after="0"/>
        <w:tabs>
          <w:tab w:leader="none" w:pos="1240" w:val="left"/>
        </w:tabs>
        <w:numPr>
          <w:ilvl w:val="0"/>
          <w:numId w:val="18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Upon a “409A Change in Control” (as defined in the Plan).</w:t>
      </w:r>
    </w:p>
    <w:p>
      <w:pPr>
        <w:spacing w:after="0" w:line="206" w:lineRule="exact"/>
        <w:rPr>
          <w:sz w:val="20"/>
          <w:szCs w:val="20"/>
          <w:color w:val="auto"/>
        </w:rPr>
      </w:pPr>
    </w:p>
    <w:p>
      <w:pPr>
        <w:ind w:left="1300" w:hanging="644"/>
        <w:spacing w:after="0"/>
        <w:tabs>
          <w:tab w:leader="none" w:pos="1300"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Method of Distribution</w:t>
      </w:r>
    </w:p>
    <w:p>
      <w:pPr>
        <w:spacing w:after="0" w:line="200" w:lineRule="exact"/>
        <w:rPr>
          <w:sz w:val="20"/>
          <w:szCs w:val="20"/>
          <w:color w:val="auto"/>
        </w:rPr>
      </w:pPr>
    </w:p>
    <w:p>
      <w:pPr>
        <w:ind w:right="66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[This Section 4 must be completed with respect to Employee Deferral elections made in accordance with Section 1 above.]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 elect for my Employee Deferrals to be distributed </w:t>
      </w:r>
      <w:r>
        <w:rPr>
          <w:rFonts w:ascii="Times New Roman" w:cs="Times New Roman" w:eastAsia="Times New Roman" w:hAnsi="Times New Roman"/>
          <w:sz w:val="22"/>
          <w:szCs w:val="22"/>
          <w:b w:val="1"/>
          <w:bCs w:val="1"/>
          <w:color w:val="auto"/>
        </w:rPr>
        <w:t>[check only one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373380</wp:posOffset>
            </wp:positionV>
            <wp:extent cx="156845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right="60" w:hanging="332"/>
        <w:spacing w:after="0" w:line="233" w:lineRule="auto"/>
        <w:tabs>
          <w:tab w:leader="none" w:pos="38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“Separation from service,” as defined in the Section of the Internal Revenue Code cited in Section 1.25 of the Plan, means the Participant has terminated his or her employment or other relationship (consulting, directorship, etc.) with all entities in the group of entities under common control with the Company, as determined by using a 50%, rather than an 80%, test. See Sections 414(b) and 414(c) of the Internal Revenue Code. Generally, an individual has not separated from service, for purposes of the Plan, unless the facts and circumstances indicate that the Company and the Participant reasonably anticipated that no further services would be performed after a certain date or that the level of bona fide services the individual would perform after such date would permanently decrease to no more than 20% of the average level of bona fide services performed by the individual over the immediately preceding 36 months (or over the full period of service if the individual has been providing services to the Company for less than 36 months). Thus, for example, an individual who terminates employment with the Company and becomes a consultant to the Company at a more than 20% level has not “separated from service” for purposes of the Plan.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92" w:right="1019" w:bottom="1440" w:gutter="0" w:footer="0" w:header="0"/>
          <w:type w:val="continuous"/>
        </w:sectPr>
      </w:pPr>
    </w:p>
    <w:bookmarkStart w:id="337" w:name="page338"/>
    <w:bookmarkEnd w:id="337"/>
    <w:p>
      <w:pPr>
        <w:ind w:left="1240" w:hanging="584"/>
        <w:spacing w:after="0"/>
        <w:tabs>
          <w:tab w:leader="none" w:pos="1240" w:val="left"/>
        </w:tabs>
        <w:numPr>
          <w:ilvl w:val="0"/>
          <w:numId w:val="19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15" w:lineRule="exact"/>
        <w:rPr>
          <w:rFonts w:ascii="MS PGothic" w:cs="MS PGothic" w:eastAsia="MS PGothic" w:hAnsi="MS PGothic"/>
          <w:sz w:val="22"/>
          <w:szCs w:val="22"/>
          <w:color w:val="auto"/>
        </w:rPr>
      </w:pPr>
    </w:p>
    <w:p>
      <w:pPr>
        <w:ind w:left="1240" w:hanging="584"/>
        <w:spacing w:after="0"/>
        <w:tabs>
          <w:tab w:leader="none" w:pos="1240" w:val="left"/>
        </w:tabs>
        <w:numPr>
          <w:ilvl w:val="0"/>
          <w:numId w:val="19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distributions for a period of ____ </w:t>
      </w:r>
      <w:r>
        <w:rPr>
          <w:rFonts w:ascii="Times New Roman" w:cs="Times New Roman" w:eastAsia="Times New Roman" w:hAnsi="Times New Roman"/>
          <w:sz w:val="22"/>
          <w:szCs w:val="22"/>
          <w:b w:val="1"/>
          <w:bCs w:val="1"/>
          <w:color w:val="auto"/>
        </w:rPr>
        <w:t>[insert a whole number from two to 10]</w:t>
      </w:r>
      <w:r>
        <w:rPr>
          <w:rFonts w:ascii="Times New Roman" w:cs="Times New Roman" w:eastAsia="Times New Roman" w:hAnsi="Times New Roman"/>
          <w:sz w:val="22"/>
          <w:szCs w:val="22"/>
          <w:color w:val="auto"/>
        </w:rPr>
        <w:t xml:space="preserve"> years.</w:t>
      </w:r>
    </w:p>
    <w:p>
      <w:pPr>
        <w:spacing w:after="0" w:line="210" w:lineRule="exact"/>
        <w:rPr>
          <w:sz w:val="20"/>
          <w:szCs w:val="20"/>
          <w:color w:val="auto"/>
        </w:rPr>
      </w:pPr>
    </w:p>
    <w:p>
      <w:pPr>
        <w:ind w:left="1300" w:right="200"/>
        <w:spacing w:after="0" w:line="236" w:lineRule="auto"/>
        <w:rPr>
          <w:sz w:val="20"/>
          <w:szCs w:val="20"/>
          <w:color w:val="auto"/>
        </w:rPr>
      </w:pPr>
      <w:r>
        <w:rPr>
          <w:rFonts w:ascii="Times New Roman" w:cs="Times New Roman" w:eastAsia="Times New Roman" w:hAnsi="Times New Roman"/>
          <w:sz w:val="22"/>
          <w:szCs w:val="22"/>
          <w:color w:val="auto"/>
        </w:rPr>
        <w:t>If the second box is checked, after the distribution of the first installment on, or as soon as administratively practicable after, the date described in Section 2 above, subsequent installments shall be distributed on, or as soon as administratively practicable after, the same date of each succeeding calendar year in annual installments, as adjusted and computed by the Company in accordance with the terms of the Plan, with the final distribution equaling the then remaining balance in the Participant’s Account.</w:t>
      </w:r>
    </w:p>
    <w:p>
      <w:pPr>
        <w:spacing w:after="0" w:line="181" w:lineRule="exact"/>
        <w:rPr>
          <w:sz w:val="20"/>
          <w:szCs w:val="20"/>
          <w:color w:val="auto"/>
        </w:rPr>
      </w:pPr>
    </w:p>
    <w:p>
      <w:pPr>
        <w:ind w:firstLine="656"/>
        <w:spacing w:after="0" w:line="246" w:lineRule="auto"/>
        <w:tabs>
          <w:tab w:leader="none" w:pos="1296" w:val="left"/>
        </w:tabs>
        <w:numPr>
          <w:ilvl w:val="0"/>
          <w:numId w:val="1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elections made under this Agreement shall remain in effect with respect to the Participant’s Short-Term Bonuses in all future years unless terminated (or revoked) on a prospective basis in writing pursuant to a form acceptable to the Plan Administrator. If a Participant decides to recommence participation in the Plan, he or she shall execute a new Agreement. If a new Agreement is entered into that changes the manner in which and/or time at which future Employee Deferrals will be distributed, a new subaccount will be established for purposes of crediting Employee Deferrals under the new Agreement. Any new Agreement shall relate solely to future Short-Term Bonuses (</w:t>
      </w:r>
      <w:r>
        <w:rPr>
          <w:rFonts w:ascii="Times New Roman" w:cs="Times New Roman" w:eastAsia="Times New Roman" w:hAnsi="Times New Roman"/>
          <w:sz w:val="21"/>
          <w:szCs w:val="21"/>
          <w:i w:val="1"/>
          <w:iCs w:val="1"/>
          <w:color w:val="auto"/>
        </w:rPr>
        <w:t>i. e.,</w:t>
      </w:r>
      <w:r>
        <w:rPr>
          <w:rFonts w:ascii="Times New Roman" w:cs="Times New Roman" w:eastAsia="Times New Roman" w:hAnsi="Times New Roman"/>
          <w:sz w:val="21"/>
          <w:szCs w:val="21"/>
          <w:color w:val="auto"/>
        </w:rPr>
        <w:t xml:space="preserve"> those Short-Term Bonuses with respect to which the applicable “Election Date,” as described in Section 3.1(a) of the Plan, has not passed). If the Participant desires to defer further the distribution (or commencement of distribution) date of any Employee Deferrals, the Participant may file a new Agreement with the Company, substantially in the form of Appendix A-2 of the Plan and set forth herein.</w:t>
      </w:r>
    </w:p>
    <w:p>
      <w:pPr>
        <w:spacing w:after="0" w:line="16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 SECURITIES ADVISOR REGARDING YOUR OWN SITUATION BEFORE YOU ENTER INTO THIS AGREEMENT.</w:t>
      </w:r>
    </w:p>
    <w:p>
      <w:pPr>
        <w:sectPr>
          <w:pgSz w:w="11900" w:h="16838" w:orient="portrait"/>
          <w:cols w:equalWidth="0" w:num="1">
            <w:col w:w="9840"/>
          </w:cols>
          <w:pgMar w:left="980" w:top="976" w:right="1079" w:bottom="1440" w:gutter="0" w:footer="0" w:header="0"/>
        </w:sectPr>
      </w:pPr>
    </w:p>
    <w:p>
      <w:pPr>
        <w:spacing w:after="0" w:line="397" w:lineRule="exact"/>
        <w:rPr>
          <w:sz w:val="20"/>
          <w:szCs w:val="20"/>
          <w:color w:val="auto"/>
        </w:rPr>
      </w:pPr>
    </w:p>
    <w:p>
      <w:pPr>
        <w:ind w:left="20" w:right="780"/>
        <w:spacing w:after="0" w:line="282" w:lineRule="auto"/>
        <w:rPr>
          <w:sz w:val="20"/>
          <w:szCs w:val="20"/>
          <w:color w:val="auto"/>
        </w:rPr>
      </w:pPr>
      <w:r>
        <w:rPr>
          <w:rFonts w:ascii="Times New Roman" w:cs="Times New Roman" w:eastAsia="Times New Roman" w:hAnsi="Times New Roman"/>
          <w:sz w:val="21"/>
          <w:szCs w:val="21"/>
          <w:color w:val="auto"/>
        </w:rPr>
        <w:t>__________________________ Signature of Participant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___, 20__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5520"/>
          </w:cols>
          <w:pgMar w:left="980" w:top="976" w:right="107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______________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976" w:right="1079" w:bottom="1440" w:gutter="0" w:footer="0" w:header="0"/>
          <w:type w:val="continuous"/>
        </w:sectPr>
      </w:pPr>
    </w:p>
    <w:bookmarkStart w:id="338" w:name="page339"/>
    <w:bookmarkEnd w:id="338"/>
    <w:p>
      <w:pPr>
        <w:jc w:val="center"/>
        <w:ind w:left="1040" w:right="2200"/>
        <w:spacing w:after="0" w:line="246"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DEFERRED COMPENSATION AGREEMENT</w:t>
      </w:r>
    </w:p>
    <w:p>
      <w:pPr>
        <w:spacing w:after="0" w:line="1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A-2</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u w:val="single" w:color="auto"/>
          <w:color w:val="auto"/>
        </w:rPr>
        <w:t>ELECTION OF A LATER DISTRIBUTION (COMMENCEMENT OF DISTRIBUTION) DATE AND</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POSSIBLY DIFFERENT DISTRIBUTION FORM</w:t>
      </w:r>
    </w:p>
    <w:p>
      <w:pPr>
        <w:spacing w:after="0" w:line="17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[Complete this Agreement if you wish to delay the currently scheduled distribution (commencement of distribution) date for your vested Company Contribution Units or your Employee Deferrals beyond the time set forth in your most recent agreement. If you elect to delay such distribution (commencement of distribution) date, you may also change the form of distribution. Any election made under this Agreement must be made at least 12 months prior to the currently scheduled distribution (commencement of distribution) date for which such election is being made hereunder.]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entered into this ____ day of __________, 20___, between Bentley Systems,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(the “Company”) and _______________________(the “Participant”).</w:t>
      </w:r>
    </w:p>
    <w:p>
      <w:pPr>
        <w:spacing w:after="0" w:line="17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Participant, a Key Employee of the Company or one of its subsidiaries, has been selected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participate in the Bentley Systems, Incorporated Nonqualified Deferred Compensation Plan (the “Plan”); and</w:t>
      </w:r>
    </w:p>
    <w:p>
      <w:pPr>
        <w:spacing w:after="0" w:line="126" w:lineRule="exact"/>
        <w:rPr>
          <w:sz w:val="20"/>
          <w:szCs w:val="20"/>
          <w:color w:val="auto"/>
        </w:rPr>
      </w:pPr>
    </w:p>
    <w:p>
      <w:pPr>
        <w:ind w:right="5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wishes to make a subsequent deferral election with respect to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Company Contribution Units and/or Employee Deferrals;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as follows:</w:t>
      </w:r>
    </w:p>
    <w:p>
      <w:pPr>
        <w:spacing w:after="0" w:line="206" w:lineRule="exact"/>
        <w:rPr>
          <w:sz w:val="20"/>
          <w:szCs w:val="20"/>
          <w:color w:val="auto"/>
        </w:rPr>
      </w:pPr>
    </w:p>
    <w:p>
      <w:pPr>
        <w:ind w:right="480" w:firstLine="648"/>
        <w:spacing w:after="0" w:line="262" w:lineRule="auto"/>
        <w:rPr>
          <w:sz w:val="20"/>
          <w:szCs w:val="20"/>
          <w:color w:val="auto"/>
        </w:rPr>
      </w:pPr>
      <w:r>
        <w:rPr>
          <w:rFonts w:ascii="Times New Roman" w:cs="Times New Roman" w:eastAsia="Times New Roman" w:hAnsi="Times New Roman"/>
          <w:sz w:val="22"/>
          <w:szCs w:val="22"/>
          <w:color w:val="auto"/>
        </w:rPr>
        <w:t xml:space="preserve">Later Distribution Date for my </w:t>
      </w:r>
      <w:r>
        <w:rPr>
          <w:rFonts w:ascii="Times New Roman" w:cs="Times New Roman" w:eastAsia="Times New Roman" w:hAnsi="Times New Roman"/>
          <w:sz w:val="22"/>
          <w:szCs w:val="22"/>
          <w:b w:val="1"/>
          <w:bCs w:val="1"/>
          <w:color w:val="auto"/>
        </w:rPr>
        <w:t>[check one or both boxes, and complete, as applicable, A and/or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below]:</w:t>
      </w:r>
    </w:p>
    <w:p>
      <w:pPr>
        <w:spacing w:after="0" w:line="167" w:lineRule="exact"/>
        <w:rPr>
          <w:sz w:val="20"/>
          <w:szCs w:val="20"/>
          <w:color w:val="auto"/>
        </w:rPr>
      </w:pPr>
    </w:p>
    <w:p>
      <w:pPr>
        <w:ind w:left="680" w:hanging="672"/>
        <w:spacing w:after="0"/>
        <w:tabs>
          <w:tab w:leader="none" w:pos="680" w:val="left"/>
        </w:tabs>
        <w:numPr>
          <w:ilvl w:val="0"/>
          <w:numId w:val="19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Vested Company Contribution Units</w:t>
      </w:r>
    </w:p>
    <w:p>
      <w:pPr>
        <w:spacing w:after="0" w:line="219" w:lineRule="exact"/>
        <w:rPr>
          <w:rFonts w:ascii="MS PGothic" w:cs="MS PGothic" w:eastAsia="MS PGothic" w:hAnsi="MS PGothic"/>
          <w:sz w:val="22"/>
          <w:szCs w:val="22"/>
          <w:color w:val="auto"/>
        </w:rPr>
      </w:pPr>
    </w:p>
    <w:p>
      <w:pPr>
        <w:ind w:left="680" w:hanging="672"/>
        <w:spacing w:after="0"/>
        <w:tabs>
          <w:tab w:leader="none" w:pos="680" w:val="left"/>
        </w:tabs>
        <w:numPr>
          <w:ilvl w:val="0"/>
          <w:numId w:val="19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Employee Deferrals</w:t>
      </w:r>
    </w:p>
    <w:p>
      <w:pPr>
        <w:spacing w:after="0" w:line="206" w:lineRule="exact"/>
        <w:rPr>
          <w:sz w:val="20"/>
          <w:szCs w:val="20"/>
          <w:color w:val="auto"/>
        </w:rPr>
      </w:pPr>
    </w:p>
    <w:p>
      <w:pPr>
        <w:ind w:left="1300" w:hanging="644"/>
        <w:spacing w:after="0" w:line="238" w:lineRule="auto"/>
        <w:tabs>
          <w:tab w:leader="none" w:pos="129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Vested Company Contribution Units</w:t>
      </w:r>
      <w:r>
        <w:rPr>
          <w:rFonts w:ascii="Times New Roman" w:cs="Times New Roman" w:eastAsia="Times New Roman" w:hAnsi="Times New Roman"/>
          <w:sz w:val="22"/>
          <w:szCs w:val="22"/>
          <w:color w:val="auto"/>
        </w:rPr>
        <w:t>. With respect to the following vested Company Contribution Units, I elect to have the Company distribute (or commence to distribute) such vested Company Contribution Units on, or as soon as administratively practicable after, the following date(s) (which must be at least five years from the currently scheduled distribution (commencement of distribution)) date(s):</w:t>
      </w:r>
    </w:p>
    <w:p>
      <w:pPr>
        <w:spacing w:after="0" w:line="177"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22"/>
          <w:szCs w:val="22"/>
          <w:color w:val="auto"/>
        </w:rPr>
        <w:t>1.a</w:t>
      </w:r>
      <w:r>
        <w:rPr>
          <w:sz w:val="20"/>
          <w:szCs w:val="20"/>
          <w:color w:val="auto"/>
        </w:rPr>
        <w:tab/>
      </w:r>
      <w:r>
        <w:rPr>
          <w:rFonts w:ascii="Times New Roman" w:cs="Times New Roman" w:eastAsia="Times New Roman" w:hAnsi="Times New Roman"/>
          <w:sz w:val="21"/>
          <w:szCs w:val="21"/>
          <w:color w:val="auto"/>
        </w:rPr>
        <w:t>Date of Deferral Election Agreement: ________ ___, 20__</w:t>
      </w:r>
    </w:p>
    <w:p>
      <w:pPr>
        <w:spacing w:after="0" w:line="4" w:lineRule="exact"/>
        <w:rPr>
          <w:sz w:val="20"/>
          <w:szCs w:val="20"/>
          <w:color w:val="auto"/>
        </w:rPr>
      </w:pPr>
    </w:p>
    <w:p>
      <w:pPr>
        <w:ind w:left="1800" w:hanging="496"/>
        <w:spacing w:after="0"/>
        <w:tabs>
          <w:tab w:leader="none" w:pos="18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Distribution (Commencement of Distribution) Date: ________ ___, 20___</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1"/>
          <w:szCs w:val="21"/>
          <w:color w:val="auto"/>
        </w:rPr>
        <w:t>New Distribution (Commencement of Distribution) Date: ________ ___, 20_</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972" w:right="1039" w:bottom="1440" w:gutter="0" w:footer="0" w:header="0"/>
        </w:sectPr>
      </w:pPr>
    </w:p>
    <w:bookmarkStart w:id="339" w:name="page340"/>
    <w:bookmarkEnd w:id="339"/>
    <w:p>
      <w:pPr>
        <w:ind w:left="1340" w:hanging="496"/>
        <w:spacing w:after="0"/>
        <w:tabs>
          <w:tab w:leader="none" w:pos="13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Method of Distribution:</w:t>
      </w:r>
    </w:p>
    <w:p>
      <w:pPr>
        <w:spacing w:after="0" w:line="27" w:lineRule="exact"/>
        <w:rPr>
          <w:rFonts w:ascii="Times New Roman" w:cs="Times New Roman" w:eastAsia="Times New Roman" w:hAnsi="Times New Roman"/>
          <w:sz w:val="22"/>
          <w:szCs w:val="22"/>
          <w:color w:val="auto"/>
        </w:rPr>
      </w:pPr>
    </w:p>
    <w:p>
      <w:pPr>
        <w:ind w:left="1840" w:hanging="510"/>
        <w:spacing w:after="0"/>
        <w:tabs>
          <w:tab w:leader="none" w:pos="1840" w:val="left"/>
        </w:tabs>
        <w:numPr>
          <w:ilvl w:val="1"/>
          <w:numId w:val="19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195" w:lineRule="exact"/>
        <w:rPr>
          <w:rFonts w:ascii="MS PGothic" w:cs="MS PGothic" w:eastAsia="MS PGothic" w:hAnsi="MS PGothic"/>
          <w:sz w:val="22"/>
          <w:szCs w:val="22"/>
          <w:color w:val="auto"/>
        </w:rPr>
      </w:pPr>
    </w:p>
    <w:p>
      <w:pPr>
        <w:ind w:left="1840" w:hanging="510"/>
        <w:spacing w:after="0"/>
        <w:tabs>
          <w:tab w:leader="none" w:pos="1840" w:val="left"/>
        </w:tabs>
        <w:numPr>
          <w:ilvl w:val="1"/>
          <w:numId w:val="19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15" w:lineRule="exact"/>
        <w:rPr>
          <w:rFonts w:ascii="MS PGothic" w:cs="MS PGothic" w:eastAsia="MS PGothic" w:hAnsi="MS PGothic"/>
          <w:sz w:val="22"/>
          <w:szCs w:val="22"/>
          <w:color w:val="auto"/>
        </w:rPr>
      </w:pPr>
    </w:p>
    <w:p>
      <w:pPr>
        <w:ind w:left="1780" w:hanging="450"/>
        <w:spacing w:after="0"/>
        <w:tabs>
          <w:tab w:leader="none" w:pos="1780" w:val="left"/>
        </w:tabs>
        <w:numPr>
          <w:ilvl w:val="1"/>
          <w:numId w:val="19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distributions for a period of ____ </w:t>
      </w:r>
      <w:r>
        <w:rPr>
          <w:rFonts w:ascii="Times New Roman" w:cs="Times New Roman" w:eastAsia="Times New Roman" w:hAnsi="Times New Roman"/>
          <w:sz w:val="22"/>
          <w:szCs w:val="22"/>
          <w:b w:val="1"/>
          <w:bCs w:val="1"/>
          <w:color w:val="auto"/>
        </w:rPr>
        <w:t>[from two to seven]</w:t>
      </w:r>
      <w:r>
        <w:rPr>
          <w:rFonts w:ascii="Times New Roman" w:cs="Times New Roman" w:eastAsia="Times New Roman" w:hAnsi="Times New Roman"/>
          <w:sz w:val="22"/>
          <w:szCs w:val="22"/>
          <w:color w:val="auto"/>
        </w:rPr>
        <w:t xml:space="preserve"> years.</w:t>
      </w:r>
    </w:p>
    <w:p>
      <w:pPr>
        <w:spacing w:after="0" w:line="210"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22"/>
          <w:szCs w:val="22"/>
          <w:color w:val="auto"/>
        </w:rPr>
        <w:t>2.a</w:t>
      </w:r>
      <w:r>
        <w:rPr>
          <w:sz w:val="20"/>
          <w:szCs w:val="20"/>
          <w:color w:val="auto"/>
        </w:rPr>
        <w:tab/>
      </w:r>
      <w:r>
        <w:rPr>
          <w:rFonts w:ascii="Times New Roman" w:cs="Times New Roman" w:eastAsia="Times New Roman" w:hAnsi="Times New Roman"/>
          <w:sz w:val="21"/>
          <w:szCs w:val="21"/>
          <w:color w:val="auto"/>
        </w:rPr>
        <w:t>Date of Deferral Election Agreement: ________ ___, 20__;</w:t>
      </w:r>
    </w:p>
    <w:p>
      <w:pPr>
        <w:spacing w:after="0" w:line="14" w:lineRule="exact"/>
        <w:rPr>
          <w:sz w:val="20"/>
          <w:szCs w:val="20"/>
          <w:color w:val="auto"/>
        </w:rPr>
      </w:pPr>
    </w:p>
    <w:p>
      <w:pPr>
        <w:jc w:val="both"/>
        <w:ind w:left="840" w:right="900" w:firstLine="4"/>
        <w:spacing w:after="0" w:line="234" w:lineRule="auto"/>
        <w:tabs>
          <w:tab w:leader="none" w:pos="1326"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Distribution (Commencement of Distribution) Date : ________ ___, 20__ c New Distribution (Commencement of Distribution) Date: _________ ____, 20__ d Method of Distribution:</w:t>
      </w:r>
    </w:p>
    <w:p>
      <w:pPr>
        <w:spacing w:after="0" w:line="2" w:lineRule="exact"/>
        <w:rPr>
          <w:rFonts w:ascii="Times New Roman" w:cs="Times New Roman" w:eastAsia="Times New Roman" w:hAnsi="Times New Roman"/>
          <w:sz w:val="22"/>
          <w:szCs w:val="22"/>
          <w:color w:val="auto"/>
        </w:rPr>
      </w:pPr>
    </w:p>
    <w:p>
      <w:pPr>
        <w:ind w:left="1780" w:hanging="450"/>
        <w:spacing w:after="0"/>
        <w:tabs>
          <w:tab w:leader="none" w:pos="1780" w:val="left"/>
        </w:tabs>
        <w:numPr>
          <w:ilvl w:val="2"/>
          <w:numId w:val="19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195" w:lineRule="exact"/>
        <w:rPr>
          <w:rFonts w:ascii="MS PGothic" w:cs="MS PGothic" w:eastAsia="MS PGothic" w:hAnsi="MS PGothic"/>
          <w:sz w:val="22"/>
          <w:szCs w:val="22"/>
          <w:color w:val="auto"/>
        </w:rPr>
      </w:pPr>
    </w:p>
    <w:p>
      <w:pPr>
        <w:ind w:left="1780" w:hanging="450"/>
        <w:spacing w:after="0"/>
        <w:tabs>
          <w:tab w:leader="none" w:pos="1780" w:val="left"/>
        </w:tabs>
        <w:numPr>
          <w:ilvl w:val="2"/>
          <w:numId w:val="19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15" w:lineRule="exact"/>
        <w:rPr>
          <w:rFonts w:ascii="MS PGothic" w:cs="MS PGothic" w:eastAsia="MS PGothic" w:hAnsi="MS PGothic"/>
          <w:sz w:val="22"/>
          <w:szCs w:val="22"/>
          <w:color w:val="auto"/>
        </w:rPr>
      </w:pPr>
    </w:p>
    <w:p>
      <w:pPr>
        <w:ind w:left="1780" w:hanging="450"/>
        <w:spacing w:after="0"/>
        <w:tabs>
          <w:tab w:leader="none" w:pos="1780" w:val="left"/>
        </w:tabs>
        <w:numPr>
          <w:ilvl w:val="2"/>
          <w:numId w:val="19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distributions for a period of __ </w:t>
      </w:r>
      <w:r>
        <w:rPr>
          <w:rFonts w:ascii="Times New Roman" w:cs="Times New Roman" w:eastAsia="Times New Roman" w:hAnsi="Times New Roman"/>
          <w:sz w:val="22"/>
          <w:szCs w:val="22"/>
          <w:b w:val="1"/>
          <w:bCs w:val="1"/>
          <w:color w:val="auto"/>
        </w:rPr>
        <w:t>[from two to seven]</w:t>
      </w:r>
      <w:r>
        <w:rPr>
          <w:rFonts w:ascii="Times New Roman" w:cs="Times New Roman" w:eastAsia="Times New Roman" w:hAnsi="Times New Roman"/>
          <w:sz w:val="22"/>
          <w:szCs w:val="22"/>
          <w:color w:val="auto"/>
        </w:rPr>
        <w:t xml:space="preserve"> years.</w:t>
      </w:r>
    </w:p>
    <w:p>
      <w:pPr>
        <w:spacing w:after="0" w:line="210" w:lineRule="exact"/>
        <w:rPr>
          <w:rFonts w:ascii="MS PGothic" w:cs="MS PGothic" w:eastAsia="MS PGothic" w:hAnsi="MS PGothic"/>
          <w:sz w:val="22"/>
          <w:szCs w:val="22"/>
          <w:color w:val="auto"/>
        </w:rPr>
      </w:pPr>
    </w:p>
    <w:p>
      <w:pPr>
        <w:ind w:left="840" w:hanging="648"/>
        <w:spacing w:after="0" w:line="239" w:lineRule="auto"/>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Employee Deferrals</w:t>
      </w:r>
      <w:r>
        <w:rPr>
          <w:rFonts w:ascii="Times New Roman" w:cs="Times New Roman" w:eastAsia="Times New Roman" w:hAnsi="Times New Roman"/>
          <w:sz w:val="22"/>
          <w:szCs w:val="22"/>
          <w:color w:val="auto"/>
        </w:rPr>
        <w:t>. With respect to the following Employee Deferrals, I elect to have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distribute (or commence to distribute) such Employee Deferrals on, or as soon as administratively practicable after, the following date(s) (which must be at least five years from the currently scheduled distribution (commencement of distribution) date(s)):</w:t>
      </w:r>
    </w:p>
    <w:p>
      <w:pPr>
        <w:spacing w:after="0" w:line="180"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22"/>
          <w:szCs w:val="22"/>
          <w:color w:val="auto"/>
        </w:rPr>
        <w:t>1.a</w:t>
      </w:r>
      <w:r>
        <w:rPr>
          <w:sz w:val="20"/>
          <w:szCs w:val="20"/>
          <w:color w:val="auto"/>
        </w:rPr>
        <w:tab/>
      </w:r>
      <w:r>
        <w:rPr>
          <w:rFonts w:ascii="Times New Roman" w:cs="Times New Roman" w:eastAsia="Times New Roman" w:hAnsi="Times New Roman"/>
          <w:sz w:val="21"/>
          <w:szCs w:val="21"/>
          <w:color w:val="auto"/>
        </w:rPr>
        <w:t>Date of Deferral Election Agreement: _______ ___, 20__</w:t>
      </w:r>
    </w:p>
    <w:p>
      <w:pPr>
        <w:spacing w:after="0" w:line="14" w:lineRule="exact"/>
        <w:rPr>
          <w:sz w:val="20"/>
          <w:szCs w:val="20"/>
          <w:color w:val="auto"/>
        </w:rPr>
      </w:pPr>
    </w:p>
    <w:p>
      <w:pPr>
        <w:ind w:left="840" w:right="840" w:firstLine="4"/>
        <w:spacing w:after="0" w:line="241" w:lineRule="auto"/>
        <w:tabs>
          <w:tab w:leader="none" w:pos="1326"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Current Distribution (Commencement of Distribution) Date: _________ ___, 20__ c New Distribution (Commencement of Distribution) Date: ________ ___, 20___</w:t>
      </w:r>
    </w:p>
    <w:p>
      <w:pPr>
        <w:spacing w:after="0" w:line="1" w:lineRule="exact"/>
        <w:rPr>
          <w:rFonts w:ascii="Times New Roman" w:cs="Times New Roman" w:eastAsia="Times New Roman" w:hAnsi="Times New Roman"/>
          <w:sz w:val="21"/>
          <w:szCs w:val="21"/>
          <w:color w:val="auto"/>
        </w:rPr>
      </w:pPr>
    </w:p>
    <w:p>
      <w:pPr>
        <w:ind w:left="8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Method of Distribution:</w:t>
      </w:r>
    </w:p>
    <w:p>
      <w:pPr>
        <w:spacing w:after="0" w:line="3" w:lineRule="exact"/>
        <w:rPr>
          <w:rFonts w:ascii="Times New Roman" w:cs="Times New Roman" w:eastAsia="Times New Roman" w:hAnsi="Times New Roman"/>
          <w:sz w:val="21"/>
          <w:szCs w:val="21"/>
          <w:color w:val="auto"/>
        </w:rPr>
      </w:pPr>
    </w:p>
    <w:p>
      <w:pPr>
        <w:ind w:left="1780" w:hanging="450"/>
        <w:spacing w:after="0"/>
        <w:tabs>
          <w:tab w:leader="none" w:pos="1780" w:val="left"/>
        </w:tabs>
        <w:numPr>
          <w:ilvl w:val="1"/>
          <w:numId w:val="19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195" w:lineRule="exact"/>
        <w:rPr>
          <w:rFonts w:ascii="MS PGothic" w:cs="MS PGothic" w:eastAsia="MS PGothic" w:hAnsi="MS PGothic"/>
          <w:sz w:val="22"/>
          <w:szCs w:val="22"/>
          <w:color w:val="auto"/>
        </w:rPr>
      </w:pPr>
    </w:p>
    <w:p>
      <w:pPr>
        <w:ind w:left="1780" w:hanging="450"/>
        <w:spacing w:after="0"/>
        <w:tabs>
          <w:tab w:leader="none" w:pos="1780" w:val="left"/>
        </w:tabs>
        <w:numPr>
          <w:ilvl w:val="1"/>
          <w:numId w:val="19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15" w:lineRule="exact"/>
        <w:rPr>
          <w:rFonts w:ascii="MS PGothic" w:cs="MS PGothic" w:eastAsia="MS PGothic" w:hAnsi="MS PGothic"/>
          <w:sz w:val="22"/>
          <w:szCs w:val="22"/>
          <w:color w:val="auto"/>
        </w:rPr>
      </w:pPr>
    </w:p>
    <w:p>
      <w:pPr>
        <w:ind w:left="1780" w:hanging="450"/>
        <w:spacing w:after="0"/>
        <w:tabs>
          <w:tab w:leader="none" w:pos="1780" w:val="left"/>
        </w:tabs>
        <w:numPr>
          <w:ilvl w:val="1"/>
          <w:numId w:val="19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 for a period of ____ </w:t>
      </w:r>
      <w:r>
        <w:rPr>
          <w:rFonts w:ascii="Times New Roman" w:cs="Times New Roman" w:eastAsia="Times New Roman" w:hAnsi="Times New Roman"/>
          <w:sz w:val="22"/>
          <w:szCs w:val="22"/>
          <w:b w:val="1"/>
          <w:bCs w:val="1"/>
          <w:color w:val="auto"/>
        </w:rPr>
        <w:t>[from two to 10]</w:t>
      </w:r>
      <w:r>
        <w:rPr>
          <w:rFonts w:ascii="Times New Roman" w:cs="Times New Roman" w:eastAsia="Times New Roman" w:hAnsi="Times New Roman"/>
          <w:sz w:val="22"/>
          <w:szCs w:val="22"/>
          <w:color w:val="auto"/>
        </w:rPr>
        <w:t xml:space="preserve"> years.</w:t>
      </w:r>
    </w:p>
    <w:p>
      <w:pPr>
        <w:spacing w:after="0" w:line="210"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22"/>
          <w:szCs w:val="22"/>
          <w:color w:val="auto"/>
        </w:rPr>
        <w:t>2.a</w:t>
      </w:r>
      <w:r>
        <w:rPr>
          <w:sz w:val="20"/>
          <w:szCs w:val="20"/>
          <w:color w:val="auto"/>
        </w:rPr>
        <w:tab/>
      </w:r>
      <w:r>
        <w:rPr>
          <w:rFonts w:ascii="Times New Roman" w:cs="Times New Roman" w:eastAsia="Times New Roman" w:hAnsi="Times New Roman"/>
          <w:sz w:val="21"/>
          <w:szCs w:val="21"/>
          <w:color w:val="auto"/>
        </w:rPr>
        <w:t>Date of Deferral Election Agreement: _______ ___, 20__</w:t>
      </w:r>
    </w:p>
    <w:p>
      <w:pPr>
        <w:spacing w:after="0" w:line="14" w:lineRule="exact"/>
        <w:rPr>
          <w:sz w:val="20"/>
          <w:szCs w:val="20"/>
          <w:color w:val="auto"/>
        </w:rPr>
      </w:pPr>
    </w:p>
    <w:p>
      <w:pPr>
        <w:ind w:left="840" w:right="940" w:firstLine="4"/>
        <w:spacing w:after="0" w:line="234" w:lineRule="auto"/>
        <w:tabs>
          <w:tab w:leader="none" w:pos="132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Distribution (Commencement of Distribution) Date: ________ ___, 20__ c New Distribution (Commencement of Distribution) Date: ________ ___, 20__ d Method of Distribution:</w:t>
      </w:r>
    </w:p>
    <w:p>
      <w:pPr>
        <w:spacing w:after="0" w:line="2" w:lineRule="exact"/>
        <w:rPr>
          <w:rFonts w:ascii="Times New Roman" w:cs="Times New Roman" w:eastAsia="Times New Roman" w:hAnsi="Times New Roman"/>
          <w:sz w:val="22"/>
          <w:szCs w:val="22"/>
          <w:color w:val="auto"/>
        </w:rPr>
      </w:pPr>
    </w:p>
    <w:p>
      <w:pPr>
        <w:ind w:left="1800" w:hanging="464"/>
        <w:spacing w:after="0"/>
        <w:tabs>
          <w:tab w:leader="none" w:pos="1800" w:val="left"/>
        </w:tabs>
        <w:numPr>
          <w:ilvl w:val="1"/>
          <w:numId w:val="19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40"/>
          </w:cols>
          <w:pgMar w:left="1440" w:top="963" w:right="1119" w:bottom="1440" w:gutter="0" w:footer="0" w:header="0"/>
        </w:sectPr>
      </w:pPr>
    </w:p>
    <w:bookmarkStart w:id="340" w:name="page341"/>
    <w:bookmarkEnd w:id="340"/>
    <w:p>
      <w:pPr>
        <w:ind w:left="2260" w:hanging="464"/>
        <w:spacing w:after="0"/>
        <w:tabs>
          <w:tab w:leader="none" w:pos="2260" w:val="left"/>
        </w:tabs>
        <w:numPr>
          <w:ilvl w:val="0"/>
          <w:numId w:val="20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7" w:lineRule="exact"/>
        <w:rPr>
          <w:rFonts w:ascii="MS PGothic" w:cs="MS PGothic" w:eastAsia="MS PGothic" w:hAnsi="MS PGothic"/>
          <w:sz w:val="22"/>
          <w:szCs w:val="22"/>
          <w:color w:val="auto"/>
        </w:rPr>
      </w:pPr>
    </w:p>
    <w:p>
      <w:pPr>
        <w:ind w:left="2240" w:hanging="450"/>
        <w:spacing w:after="0"/>
        <w:tabs>
          <w:tab w:leader="none" w:pos="2240" w:val="left"/>
        </w:tabs>
        <w:numPr>
          <w:ilvl w:val="0"/>
          <w:numId w:val="20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distributions for a period of ____ </w:t>
      </w:r>
      <w:r>
        <w:rPr>
          <w:rFonts w:ascii="Times New Roman" w:cs="Times New Roman" w:eastAsia="Times New Roman" w:hAnsi="Times New Roman"/>
          <w:sz w:val="22"/>
          <w:szCs w:val="22"/>
          <w:b w:val="1"/>
          <w:bCs w:val="1"/>
          <w:color w:val="auto"/>
        </w:rPr>
        <w:t>[from two to 10]</w:t>
      </w:r>
      <w:r>
        <w:rPr>
          <w:rFonts w:ascii="Times New Roman" w:cs="Times New Roman" w:eastAsia="Times New Roman" w:hAnsi="Times New Roman"/>
          <w:sz w:val="22"/>
          <w:szCs w:val="22"/>
          <w:color w:val="auto"/>
        </w:rPr>
        <w:t xml:space="preserve"> years.</w:t>
      </w:r>
    </w:p>
    <w:p>
      <w:pPr>
        <w:spacing w:after="0" w:line="17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 SECURITIES ADVISOR REGARDING YOUR OWN SITUATION BEFORE YOU ENTER INTO THIS AGREEMENT.</w:t>
      </w:r>
    </w:p>
    <w:p>
      <w:pPr>
        <w:sectPr>
          <w:pgSz w:w="11900" w:h="16838" w:orient="portrait"/>
          <w:cols w:equalWidth="0" w:num="1">
            <w:col w:w="9820"/>
          </w:cols>
          <w:pgMar w:left="980" w:top="976" w:right="1099" w:bottom="1440" w:gutter="0" w:footer="0" w:header="0"/>
        </w:sectPr>
      </w:pPr>
    </w:p>
    <w:p>
      <w:pPr>
        <w:spacing w:after="0" w:line="397" w:lineRule="exact"/>
        <w:rPr>
          <w:sz w:val="20"/>
          <w:szCs w:val="20"/>
          <w:color w:val="auto"/>
        </w:rPr>
      </w:pPr>
    </w:p>
    <w:p>
      <w:pPr>
        <w:ind w:left="20" w:right="780"/>
        <w:spacing w:after="0" w:line="282" w:lineRule="auto"/>
        <w:rPr>
          <w:sz w:val="20"/>
          <w:szCs w:val="20"/>
          <w:color w:val="auto"/>
        </w:rPr>
      </w:pPr>
      <w:r>
        <w:rPr>
          <w:rFonts w:ascii="Times New Roman" w:cs="Times New Roman" w:eastAsia="Times New Roman" w:hAnsi="Times New Roman"/>
          <w:sz w:val="21"/>
          <w:szCs w:val="21"/>
          <w:color w:val="auto"/>
        </w:rPr>
        <w:t>__________________________ Signature of Participant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___, 20__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5500"/>
          </w:cols>
          <w:pgMar w:left="980" w:top="976" w:right="109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______________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976" w:right="1099" w:bottom="1440" w:gutter="0" w:footer="0" w:header="0"/>
          <w:type w:val="continuous"/>
        </w:sectPr>
      </w:pPr>
    </w:p>
    <w:bookmarkStart w:id="341" w:name="page342"/>
    <w:bookmarkEnd w:id="341"/>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DEFERRED COMPENSATION AGREEMENT</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A-3</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CHANGE IN DEEMED INVESTMENT REQUEST</w:t>
      </w:r>
    </w:p>
    <w:p>
      <w:pPr>
        <w:spacing w:after="0" w:line="204"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[Complete this Agreement </w:t>
      </w:r>
      <w:r>
        <w:rPr>
          <w:rFonts w:ascii="Times New Roman" w:cs="Times New Roman" w:eastAsia="Times New Roman" w:hAnsi="Times New Roman"/>
          <w:sz w:val="22"/>
          <w:szCs w:val="22"/>
          <w:b w:val="1"/>
          <w:bCs w:val="1"/>
          <w:i w:val="1"/>
          <w:iCs w:val="1"/>
          <w:u w:val="single" w:color="auto"/>
          <w:color w:val="auto"/>
        </w:rPr>
        <w:t>only</w:t>
      </w:r>
      <w:r>
        <w:rPr>
          <w:rFonts w:ascii="Times New Roman" w:cs="Times New Roman" w:eastAsia="Times New Roman" w:hAnsi="Times New Roman"/>
          <w:sz w:val="22"/>
          <w:szCs w:val="22"/>
          <w:b w:val="1"/>
          <w:bCs w:val="1"/>
          <w:i w:val="1"/>
          <w:iCs w:val="1"/>
          <w:color w:val="auto"/>
        </w:rPr>
        <w:t xml:space="preserve"> if you had a Separation front Service before January 1, 2015 and </w:t>
      </w:r>
      <w:r>
        <w:rPr>
          <w:rFonts w:ascii="Times New Roman" w:cs="Times New Roman" w:eastAsia="Times New Roman" w:hAnsi="Times New Roman"/>
          <w:sz w:val="22"/>
          <w:szCs w:val="22"/>
          <w:b w:val="1"/>
          <w:bCs w:val="1"/>
          <w:i w:val="1"/>
          <w:iCs w:val="1"/>
          <w:u w:val="single" w:color="auto"/>
          <w:color w:val="auto"/>
        </w:rPr>
        <w:t>only</w:t>
      </w:r>
      <w:r>
        <w:rPr>
          <w:rFonts w:ascii="Times New Roman" w:cs="Times New Roman" w:eastAsia="Times New Roman" w:hAnsi="Times New Roman"/>
          <w:sz w:val="22"/>
          <w:szCs w:val="22"/>
          <w:b w:val="1"/>
          <w:bCs w:val="1"/>
          <w:i w:val="1"/>
          <w:iCs w:val="1"/>
          <w:color w:val="auto"/>
        </w:rPr>
        <w:t xml:space="preserve"> if you want to request that your Account’s deemed investments be changed among the Investment Funds. This Agreement should be completed any time you decide to change your deemed investment request.]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entered into this ______ day of ______________, 20__, between Bentley Systems,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(the “Company”) and ______________________ (the “Participant”).</w:t>
      </w:r>
    </w:p>
    <w:p>
      <w:pPr>
        <w:spacing w:after="0" w:line="178" w:lineRule="exact"/>
        <w:rPr>
          <w:sz w:val="20"/>
          <w:szCs w:val="20"/>
          <w:color w:val="auto"/>
        </w:rPr>
      </w:pPr>
    </w:p>
    <w:p>
      <w:pPr>
        <w:ind w:right="3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a Key Employee of the Company or one of its subsidiaries, participates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Bentley Systems, Incorporated Nonqualified Deferred Compensation Plan (the “Plan”); and</w:t>
      </w:r>
    </w:p>
    <w:p>
      <w:pPr>
        <w:spacing w:after="0" w:line="150"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wish to change a previously made deemed investment request for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among the Investment Funds (as listed in Appendix B of the Plan and set forth herein);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as follows:</w:t>
      </w:r>
    </w:p>
    <w:p>
      <w:pPr>
        <w:spacing w:after="0" w:line="210"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 xml:space="preserve">I request to have all past vested Company Contribution Units and/or past Employee Deferrals in my Account </w:t>
      </w:r>
      <w:r>
        <w:rPr>
          <w:rFonts w:ascii="Times New Roman" w:cs="Times New Roman" w:eastAsia="Times New Roman" w:hAnsi="Times New Roman"/>
          <w:sz w:val="22"/>
          <w:szCs w:val="22"/>
          <w:b w:val="1"/>
          <w:bCs w:val="1"/>
          <w:color w:val="auto"/>
        </w:rPr>
        <w:t xml:space="preserve">[Circle “vested Company Contribution Units” and/or past “Employee Deferrals,” as appropriate.] </w:t>
      </w:r>
      <w:r>
        <w:rPr>
          <w:rFonts w:ascii="Times New Roman" w:cs="Times New Roman" w:eastAsia="Times New Roman" w:hAnsi="Times New Roman"/>
          <w:sz w:val="22"/>
          <w:szCs w:val="22"/>
          <w:color w:val="auto"/>
        </w:rPr>
        <w:t>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invested in the following Investment Funds and in the following percentages (made in whole percentage increments).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64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INVESTMENT FUNDS*</w:t>
            </w:r>
          </w:p>
        </w:tc>
        <w:tc>
          <w:tcPr>
            <w:tcW w:w="2260" w:type="dxa"/>
            <w:vAlign w:val="bottom"/>
            <w:tcBorders>
              <w:top w:val="single" w:sz="8" w:color="auto"/>
              <w:bottom w:val="single" w:sz="8" w:color="auto"/>
              <w:right w:val="single" w:sz="8" w:color="auto"/>
            </w:tcBorders>
          </w:tcPr>
          <w:p>
            <w:pPr>
              <w:spacing w:after="0"/>
              <w:rPr>
                <w:sz w:val="22"/>
                <w:szCs w:val="22"/>
                <w:color w:val="auto"/>
              </w:rPr>
            </w:pPr>
          </w:p>
        </w:tc>
        <w:tc>
          <w:tcPr>
            <w:tcW w:w="30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b w:val="1"/>
                <w:bCs w:val="1"/>
                <w:color w:val="auto"/>
              </w:rPr>
              <w:t>PERCENTAGE</w:t>
            </w:r>
          </w:p>
        </w:tc>
      </w:tr>
      <w:tr>
        <w:trPr>
          <w:trHeight w:val="210"/>
        </w:trPr>
        <w:tc>
          <w:tcPr>
            <w:tcW w:w="464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37"/>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Cash Alternatives</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6"/>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JPMorgan Prime Money Market-Premier</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10"/>
        </w:trPr>
        <w:tc>
          <w:tcPr>
            <w:tcW w:w="464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37"/>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Bonds</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6"/>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American Century Diversified Bond-Inst</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10"/>
        </w:trPr>
        <w:tc>
          <w:tcPr>
            <w:tcW w:w="464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r>
      <w:tr>
        <w:trPr>
          <w:trHeight w:val="236"/>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b w:val="1"/>
                <w:bCs w:val="1"/>
                <w:color w:val="auto"/>
              </w:rPr>
              <w:t>Asset Allocation</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7"/>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American Century Strategic Alloc Aggressive-Inv</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7"/>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American Century Strategic Alloc Conservative-Inv</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6"/>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American Century Strategic Alloc Moderate-Inv</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37"/>
        </w:trPr>
        <w:tc>
          <w:tcPr>
            <w:tcW w:w="4640" w:type="dxa"/>
            <w:vAlign w:val="bottom"/>
            <w:tcBorders>
              <w:left w:val="single" w:sz="8" w:color="auto"/>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JPMorgan Diversified-Select</w:t>
            </w:r>
          </w:p>
        </w:tc>
        <w:tc>
          <w:tcPr>
            <w:tcW w:w="226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r>
      <w:tr>
        <w:trPr>
          <w:trHeight w:val="209"/>
        </w:trPr>
        <w:tc>
          <w:tcPr>
            <w:tcW w:w="4640" w:type="dxa"/>
            <w:vAlign w:val="bottom"/>
            <w:tcBorders>
              <w:left w:val="single" w:sz="8" w:color="auto"/>
            </w:tcBorders>
          </w:tcPr>
          <w:p>
            <w:pPr>
              <w:ind w:left="20"/>
              <w:spacing w:after="0" w:line="209" w:lineRule="exact"/>
              <w:rPr>
                <w:sz w:val="20"/>
                <w:szCs w:val="20"/>
                <w:color w:val="auto"/>
              </w:rPr>
            </w:pPr>
            <w:r>
              <w:rPr>
                <w:rFonts w:ascii="Times New Roman" w:cs="Times New Roman" w:eastAsia="Times New Roman" w:hAnsi="Times New Roman"/>
                <w:sz w:val="22"/>
                <w:szCs w:val="22"/>
                <w:color w:val="auto"/>
              </w:rPr>
              <w:t>JPMorgan SmartRetirement®</w:t>
            </w:r>
          </w:p>
        </w:tc>
        <w:tc>
          <w:tcPr>
            <w:tcW w:w="2260" w:type="dxa"/>
            <w:vAlign w:val="bottom"/>
            <w:tcBorders>
              <w:right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r>
      <w:tr>
        <w:trPr>
          <w:trHeight w:val="270"/>
        </w:trPr>
        <w:tc>
          <w:tcPr>
            <w:tcW w:w="46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Blend 2015-R5</w:t>
            </w:r>
          </w:p>
        </w:tc>
        <w:tc>
          <w:tcPr>
            <w:tcW w:w="226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r>
      <w:tr>
        <w:trPr>
          <w:trHeight w:val="897"/>
        </w:trPr>
        <w:tc>
          <w:tcPr>
            <w:tcW w:w="4640" w:type="dxa"/>
            <w:vAlign w:val="bottom"/>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A3-1</w:t>
            </w:r>
          </w:p>
        </w:tc>
      </w:tr>
      <w:tr>
        <w:trPr>
          <w:trHeight w:val="548"/>
        </w:trPr>
        <w:tc>
          <w:tcPr>
            <w:tcW w:w="46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2" w:right="979" w:bottom="1440" w:gutter="0" w:footer="0" w:header="0"/>
        </w:sectPr>
      </w:pPr>
    </w:p>
    <w:bookmarkStart w:id="342" w:name="page343"/>
    <w:bookmarkEnd w:id="34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2020-R5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2025-R5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2030-R5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2035-R5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2040-R5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2045-R5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2050-R5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R 2055-R5</w:t>
            </w:r>
          </w:p>
        </w:tc>
        <w:tc>
          <w:tcPr>
            <w:tcW w:w="2560" w:type="dxa"/>
            <w:vAlign w:val="bottom"/>
          </w:tcPr>
          <w:p>
            <w:pPr>
              <w:spacing w:after="0"/>
              <w:rPr>
                <w:sz w:val="22"/>
                <w:szCs w:val="22"/>
                <w:color w:val="auto"/>
              </w:rPr>
            </w:pPr>
          </w:p>
        </w:tc>
      </w:tr>
      <w:tr>
        <w:trPr>
          <w:trHeight w:val="243"/>
        </w:trPr>
        <w:tc>
          <w:tcPr>
            <w:tcW w:w="6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JPMorgan SmartRetirement®</w:t>
            </w:r>
          </w:p>
        </w:tc>
        <w:tc>
          <w:tcPr>
            <w:tcW w:w="2560" w:type="dxa"/>
            <w:vAlign w:val="bottom"/>
          </w:tcPr>
          <w:p>
            <w:pPr>
              <w:spacing w:after="0"/>
              <w:rPr>
                <w:sz w:val="21"/>
                <w:szCs w:val="21"/>
                <w:color w:val="auto"/>
              </w:rPr>
            </w:pPr>
          </w:p>
        </w:tc>
      </w:tr>
      <w:tr>
        <w:trPr>
          <w:trHeight w:val="282"/>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Blend Income-R5</w:t>
            </w:r>
          </w:p>
        </w:tc>
        <w:tc>
          <w:tcPr>
            <w:tcW w:w="2560" w:type="dxa"/>
            <w:vAlign w:val="bottom"/>
          </w:tcPr>
          <w:p>
            <w:pPr>
              <w:spacing w:after="0"/>
              <w:rPr>
                <w:sz w:val="24"/>
                <w:szCs w:val="24"/>
                <w:color w:val="auto"/>
              </w:rPr>
            </w:pPr>
          </w:p>
        </w:tc>
      </w:tr>
      <w:tr>
        <w:trPr>
          <w:trHeight w:val="460"/>
        </w:trPr>
        <w:tc>
          <w:tcPr>
            <w:tcW w:w="6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Stocks</w:t>
            </w:r>
          </w:p>
        </w:tc>
        <w:tc>
          <w:tcPr>
            <w:tcW w:w="2560" w:type="dxa"/>
            <w:vAlign w:val="bottom"/>
          </w:tcPr>
          <w:p>
            <w:pPr>
              <w:spacing w:after="0"/>
              <w:rPr>
                <w:sz w:val="24"/>
                <w:szCs w:val="24"/>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American Century Equity Income-Inst</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American Century Real Estate-Inst</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American Century Value-Inst</w:t>
            </w:r>
          </w:p>
        </w:tc>
        <w:tc>
          <w:tcPr>
            <w:tcW w:w="2560" w:type="dxa"/>
            <w:vAlign w:val="bottom"/>
          </w:tcPr>
          <w:p>
            <w:pPr>
              <w:spacing w:after="0"/>
              <w:rPr>
                <w:sz w:val="22"/>
                <w:szCs w:val="22"/>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American Funds EuroPacific Growth-R4</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American Funds Growth Fund of America-R4</w:t>
            </w:r>
          </w:p>
        </w:tc>
        <w:tc>
          <w:tcPr>
            <w:tcW w:w="2560" w:type="dxa"/>
            <w:vAlign w:val="bottom"/>
          </w:tcPr>
          <w:p>
            <w:pPr>
              <w:spacing w:after="0"/>
              <w:rPr>
                <w:sz w:val="22"/>
                <w:szCs w:val="22"/>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Fidelity Spartan International Index-Inv</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JPMorgan US Equity-Select</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Prudential Jennison Mid Cap Growth-Z</w:t>
            </w:r>
          </w:p>
        </w:tc>
        <w:tc>
          <w:tcPr>
            <w:tcW w:w="2560" w:type="dxa"/>
            <w:vAlign w:val="bottom"/>
          </w:tcPr>
          <w:p>
            <w:pPr>
              <w:spacing w:after="0"/>
              <w:rPr>
                <w:sz w:val="22"/>
                <w:szCs w:val="22"/>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Royce Premier-Service</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Fidelity Spartan 500 Index-Inv</w:t>
            </w:r>
          </w:p>
        </w:tc>
        <w:tc>
          <w:tcPr>
            <w:tcW w:w="2560" w:type="dxa"/>
            <w:vAlign w:val="bottom"/>
          </w:tcPr>
          <w:p>
            <w:pPr>
              <w:spacing w:after="0"/>
              <w:rPr>
                <w:sz w:val="22"/>
                <w:szCs w:val="22"/>
                <w:color w:val="auto"/>
              </w:rPr>
            </w:pP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Vanguard Mid-Cap Index-Admiral</w:t>
            </w:r>
          </w:p>
        </w:tc>
        <w:tc>
          <w:tcPr>
            <w:tcW w:w="2560" w:type="dxa"/>
            <w:vAlign w:val="bottom"/>
          </w:tcPr>
          <w:p>
            <w:pPr>
              <w:spacing w:after="0"/>
              <w:rPr>
                <w:sz w:val="22"/>
                <w:szCs w:val="22"/>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Vanguard Prime Money Market-Inv</w:t>
            </w:r>
          </w:p>
        </w:tc>
        <w:tc>
          <w:tcPr>
            <w:tcW w:w="2560" w:type="dxa"/>
            <w:vAlign w:val="bottom"/>
          </w:tcPr>
          <w:p>
            <w:pPr>
              <w:spacing w:after="0"/>
              <w:rPr>
                <w:sz w:val="22"/>
                <w:szCs w:val="22"/>
                <w:color w:val="auto"/>
              </w:rPr>
            </w:pPr>
          </w:p>
        </w:tc>
      </w:tr>
      <w:tr>
        <w:trPr>
          <w:trHeight w:val="282"/>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Vanguard Small Cap Index-Inv</w:t>
            </w:r>
          </w:p>
        </w:tc>
        <w:tc>
          <w:tcPr>
            <w:tcW w:w="2560" w:type="dxa"/>
            <w:vAlign w:val="bottom"/>
          </w:tcPr>
          <w:p>
            <w:pPr>
              <w:spacing w:after="0"/>
              <w:rPr>
                <w:sz w:val="24"/>
                <w:szCs w:val="24"/>
                <w:color w:val="auto"/>
              </w:rPr>
            </w:pPr>
          </w:p>
        </w:tc>
      </w:tr>
      <w:tr>
        <w:trPr>
          <w:trHeight w:val="486"/>
        </w:trPr>
        <w:tc>
          <w:tcPr>
            <w:tcW w:w="6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Non-Interest Bearing</w:t>
            </w:r>
          </w:p>
        </w:tc>
        <w:tc>
          <w:tcPr>
            <w:tcW w:w="2560" w:type="dxa"/>
            <w:vAlign w:val="bottom"/>
          </w:tcPr>
          <w:p>
            <w:pPr>
              <w:spacing w:after="0"/>
              <w:rPr>
                <w:sz w:val="24"/>
                <w:szCs w:val="24"/>
                <w:color w:val="auto"/>
              </w:rPr>
            </w:pPr>
          </w:p>
        </w:tc>
      </w:tr>
      <w:tr>
        <w:trPr>
          <w:trHeight w:val="486"/>
        </w:trPr>
        <w:tc>
          <w:tcPr>
            <w:tcW w:w="6080" w:type="dxa"/>
            <w:vAlign w:val="bottom"/>
          </w:tcPr>
          <w:p>
            <w:pPr>
              <w:spacing w:after="0"/>
              <w:rPr>
                <w:sz w:val="20"/>
                <w:szCs w:val="20"/>
                <w:color w:val="auto"/>
              </w:rPr>
            </w:pPr>
            <w:r>
              <w:rPr>
                <w:rFonts w:ascii="Times New Roman" w:cs="Times New Roman" w:eastAsia="Times New Roman" w:hAnsi="Times New Roman"/>
                <w:sz w:val="22"/>
                <w:szCs w:val="22"/>
                <w:color w:val="auto"/>
              </w:rPr>
              <w:t>TOTAL PERCENTAGE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-5904865</wp:posOffset>
            </wp:positionV>
            <wp:extent cx="6301105" cy="59061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0">
                      <a:extLst>
                        <a:ext uri="{28A0092B-C50C-407E-A947-70E740481C1C}"/>
                      </a:extLst>
                    </a:blip>
                    <a:srcRect/>
                    <a:stretch>
                      <a:fillRect/>
                    </a:stretch>
                  </pic:blipFill>
                  <pic:spPr bwMode="auto">
                    <a:xfrm>
                      <a:off x="0" y="0"/>
                      <a:ext cx="6301105" cy="5906135"/>
                    </a:xfrm>
                    <a:prstGeom prst="rect">
                      <a:avLst/>
                    </a:prstGeom>
                    <a:noFill/>
                  </pic:spPr>
                </pic:pic>
              </a:graphicData>
            </a:graphic>
          </wp:anchor>
        </w:drawing>
      </w:r>
    </w:p>
    <w:p>
      <w:pPr>
        <w:spacing w:after="0" w:line="170" w:lineRule="exact"/>
        <w:rPr>
          <w:sz w:val="20"/>
          <w:szCs w:val="20"/>
          <w:color w:val="auto"/>
        </w:rPr>
      </w:pPr>
    </w:p>
    <w:p>
      <w:pPr>
        <w:ind w:right="280" w:firstLine="8"/>
        <w:spacing w:after="0" w:line="258" w:lineRule="auto"/>
        <w:tabs>
          <w:tab w:leader="none" w:pos="162"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11.1 of the Plan, this list of Investment Funds may be changed at any time by action of the General Counsel or any Vice President, Human Resources of the Company.</w:t>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 Participant may request that all or any portion of the vested Company Contribution Units and/or Employee Deferrals credited to his or her Account be deemed invested in one or more of the Investment Funds offered under the Plan.</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980" w:right="1039" w:bottom="1440" w:gutter="0" w:footer="0" w:header="0"/>
        </w:sectPr>
      </w:pPr>
    </w:p>
    <w:bookmarkStart w:id="343" w:name="page344"/>
    <w:bookmarkEnd w:id="343"/>
    <w:p>
      <w:pPr>
        <w:ind w:right="60"/>
        <w:spacing w:after="0" w:line="235" w:lineRule="auto"/>
        <w:rPr>
          <w:sz w:val="20"/>
          <w:szCs w:val="20"/>
          <w:color w:val="auto"/>
        </w:rPr>
      </w:pPr>
      <w:r>
        <w:rPr>
          <w:rFonts w:ascii="Times New Roman" w:cs="Times New Roman" w:eastAsia="Times New Roman" w:hAnsi="Times New Roman"/>
          <w:sz w:val="22"/>
          <w:szCs w:val="22"/>
          <w:color w:val="auto"/>
        </w:rPr>
        <w:t>Although the Company intends to invest the amounts in the Participant’s Account according to the Participant’s request, the Company reserves the right to invest such amounts without regard to such requests. However, the investment return on the amounts credited to the Participant’s Account will be the same as the investment return on the Investment Funds in which the Participant requests deemed investments, regardless of whether the Participant’s requests are actually implemented. In the absence of any deemed investment request by a Participant, amounts credited to the Participant’s Account will be deemed invested in the JPMorgan Prime Money Market Fund for purposes of determining the investment return on the amounts.</w:t>
      </w:r>
    </w:p>
    <w:p>
      <w:pPr>
        <w:spacing w:after="0" w:line="1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Title to and beneficial ownership of any assets, whether cash or investments, in the Participant’s Account, which the Company may use to distribute benefits hereunder, will at all times remain in the Company, and the Participant and any designated beneficiary will not have any property interest whatsoever in any specific assets of the Company.</w:t>
      </w:r>
    </w:p>
    <w:p>
      <w:pPr>
        <w:spacing w:after="0" w:line="17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 SECURITIES ADVISOR REGARDING YOUR OWN SITUATION BEFORE YOU ENTER INTO THIS AGREEMENT.</w:t>
      </w:r>
    </w:p>
    <w:p>
      <w:pPr>
        <w:sectPr>
          <w:pgSz w:w="11900" w:h="16838" w:orient="portrait"/>
          <w:cols w:equalWidth="0" w:num="1">
            <w:col w:w="9920"/>
          </w:cols>
          <w:pgMar w:left="980" w:top="96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780"/>
        <w:spacing w:after="0" w:line="282" w:lineRule="auto"/>
        <w:rPr>
          <w:sz w:val="20"/>
          <w:szCs w:val="20"/>
          <w:color w:val="auto"/>
        </w:rPr>
      </w:pPr>
      <w:r>
        <w:rPr>
          <w:rFonts w:ascii="Times New Roman" w:cs="Times New Roman" w:eastAsia="Times New Roman" w:hAnsi="Times New Roman"/>
          <w:sz w:val="21"/>
          <w:szCs w:val="21"/>
          <w:color w:val="auto"/>
        </w:rPr>
        <w:t>__________________________ Signature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___, 20__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5600"/>
          </w:cols>
          <w:pgMar w:left="980" w:top="963" w:right="99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______________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63" w:right="999" w:bottom="1440" w:gutter="0" w:footer="0" w:header="0"/>
          <w:type w:val="continuous"/>
        </w:sectPr>
      </w:pPr>
    </w:p>
    <w:bookmarkStart w:id="344" w:name="page345"/>
    <w:bookmarkEnd w:id="344"/>
    <w:p>
      <w:pPr>
        <w:jc w:val="center"/>
        <w:ind w:left="1040" w:right="2200"/>
        <w:spacing w:after="0" w:line="246"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DEFERRED COMPENSATION AGREEMENT</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A-4</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OF DEFERRAL ELECTION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is entered into this _____ day of ___________, 20__, between Bentley Systems,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(the “Company”) and _________________ (the “Participant”).</w:t>
      </w:r>
    </w:p>
    <w:p>
      <w:pPr>
        <w:spacing w:after="0" w:line="17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Participant, a Key Employee of the Company or one of its subsidiaries, has been selected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participate in the Bentley Systems, Incorporated Nonqualified Deferred Compensation Plan (the “Plan”); and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Participant wishes to terminate his or her election to defer Short-Term Bonuses under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hereto agree as follows:</w:t>
      </w:r>
    </w:p>
    <w:p>
      <w:pPr>
        <w:spacing w:after="0" w:line="210"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color w:val="auto"/>
        </w:rPr>
        <w:t>Effective as of January 1, 20__, I hereby elect to cease deferring any future Short-Term Bonuses under the Plan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those Short-Term Bonuses with respect to which the Election Date, as described in Section 3.1(a) of the Plan, has not passed).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i w:val="1"/>
          <w:iCs w:val="1"/>
          <w:color w:val="auto"/>
        </w:rPr>
        <w:t>BECAUSE OF THE COMPLEXITIES INVOLVED M THE APPLICATION OF FEDERAL, STATE, LOCAL AND FOREIGN TAX AND SECURITIES LAWS TO SPECIFIC CIRCUMSTANCES, AND THE UNCERTAINTIES AS TO POSSIBLE FUTURE CHANGES IN THE TAX AND SECURITIES LAWS, YOU SHOULD CONSULT YOUR PERSONAL TAX AND SECURITIES ADVISOR REGARDING YOUR OWN SITUATION BEFORE YOU ENTER INTO THIS AGREEMENT.</w:t>
      </w:r>
    </w:p>
    <w:p>
      <w:pPr>
        <w:sectPr>
          <w:pgSz w:w="11900" w:h="16838" w:orient="portrait"/>
          <w:cols w:equalWidth="0" w:num="1">
            <w:col w:w="9880"/>
          </w:cols>
          <w:pgMar w:left="980" w:top="95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780"/>
        <w:spacing w:after="0" w:line="282" w:lineRule="auto"/>
        <w:rPr>
          <w:sz w:val="20"/>
          <w:szCs w:val="20"/>
          <w:color w:val="auto"/>
        </w:rPr>
      </w:pPr>
      <w:r>
        <w:rPr>
          <w:rFonts w:ascii="Times New Roman" w:cs="Times New Roman" w:eastAsia="Times New Roman" w:hAnsi="Times New Roman"/>
          <w:sz w:val="21"/>
          <w:szCs w:val="21"/>
          <w:color w:val="auto"/>
        </w:rPr>
        <w:t>__________________________ Signature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___, 20__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5560"/>
          </w:cols>
          <w:pgMar w:left="980" w:top="959" w:right="10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______________ 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959" w:right="1039" w:bottom="1440" w:gutter="0" w:footer="0" w:header="0"/>
          <w:type w:val="continuous"/>
        </w:sectPr>
      </w:pPr>
    </w:p>
    <w:bookmarkStart w:id="345" w:name="page346"/>
    <w:bookmarkEnd w:id="345"/>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1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p>
      <w:pPr>
        <w:spacing w:after="0" w:line="178" w:lineRule="exact"/>
        <w:rPr>
          <w:sz w:val="20"/>
          <w:szCs w:val="20"/>
          <w:color w:val="auto"/>
        </w:rPr>
      </w:pPr>
    </w:p>
    <w:p>
      <w:pPr>
        <w:ind w:left="4292"/>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06" w:lineRule="exact"/>
        <w:rPr>
          <w:sz w:val="20"/>
          <w:szCs w:val="20"/>
          <w:color w:val="auto"/>
        </w:rPr>
      </w:pPr>
    </w:p>
    <w:p>
      <w:pPr>
        <w:ind w:left="2112"/>
        <w:spacing w:after="0"/>
        <w:rPr>
          <w:sz w:val="20"/>
          <w:szCs w:val="20"/>
          <w:color w:val="auto"/>
        </w:rPr>
      </w:pPr>
      <w:r>
        <w:rPr>
          <w:rFonts w:ascii="Times New Roman" w:cs="Times New Roman" w:eastAsia="Times New Roman" w:hAnsi="Times New Roman"/>
          <w:sz w:val="22"/>
          <w:szCs w:val="22"/>
          <w:b w:val="1"/>
          <w:bCs w:val="1"/>
          <w:u w:val="single" w:color="auto"/>
          <w:color w:val="auto"/>
        </w:rPr>
        <w:t>LIST OF INVESTMENT FUNDS AS OF JANUARY 1, 2015</w:t>
      </w:r>
      <w:r>
        <w:rPr>
          <w:rFonts w:ascii="Times New Roman" w:cs="Times New Roman" w:eastAsia="Times New Roman" w:hAnsi="Times New Roman"/>
          <w:sz w:val="16"/>
          <w:szCs w:val="16"/>
          <w:b w:val="1"/>
          <w:bCs w:val="1"/>
          <w:u w:val="single" w:color="auto"/>
          <w:color w:val="auto"/>
        </w:rPr>
        <w:t>*</w:t>
      </w:r>
    </w:p>
    <w:p>
      <w:pPr>
        <w:spacing w:after="0" w:line="20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b w:val="1"/>
          <w:bCs w:val="1"/>
          <w:color w:val="auto"/>
        </w:rPr>
        <w:t>INVESTMENT FUND</w:t>
      </w:r>
    </w:p>
    <w:p>
      <w:pPr>
        <w:spacing w:after="0" w:line="206"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b w:val="1"/>
          <w:bCs w:val="1"/>
          <w:color w:val="auto"/>
        </w:rPr>
        <w:t>Cash Alternatives</w:t>
      </w:r>
    </w:p>
    <w:p>
      <w:pPr>
        <w:spacing w:after="0" w:line="18"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JPMorgan Prime Money Market-Premier</w:t>
      </w:r>
    </w:p>
    <w:p>
      <w:pPr>
        <w:spacing w:after="0" w:line="178"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b w:val="1"/>
          <w:bCs w:val="1"/>
          <w:color w:val="auto"/>
        </w:rPr>
        <w:t>Bonds</w:t>
      </w:r>
    </w:p>
    <w:p>
      <w:pPr>
        <w:spacing w:after="0" w:line="18"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American Century Diversify Bond-Inst</w:t>
      </w:r>
    </w:p>
    <w:p>
      <w:pPr>
        <w:spacing w:after="0" w:line="178"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b w:val="1"/>
          <w:bCs w:val="1"/>
          <w:color w:val="auto"/>
        </w:rPr>
        <w:t>Asset Allocation</w:t>
      </w:r>
    </w:p>
    <w:p>
      <w:pPr>
        <w:spacing w:after="0" w:line="8"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American Century Strategic Alloc</w:t>
      </w:r>
    </w:p>
    <w:p>
      <w:pPr>
        <w:ind w:left="2592"/>
        <w:spacing w:after="0" w:line="230" w:lineRule="auto"/>
        <w:rPr>
          <w:sz w:val="20"/>
          <w:szCs w:val="20"/>
          <w:color w:val="auto"/>
        </w:rPr>
      </w:pPr>
      <w:r>
        <w:rPr>
          <w:rFonts w:ascii="Times New Roman" w:cs="Times New Roman" w:eastAsia="Times New Roman" w:hAnsi="Times New Roman"/>
          <w:sz w:val="22"/>
          <w:szCs w:val="22"/>
          <w:color w:val="auto"/>
        </w:rPr>
        <w:t>Aggressive-Inv</w:t>
      </w:r>
    </w:p>
    <w:p>
      <w:pPr>
        <w:ind w:left="2592"/>
        <w:spacing w:after="0" w:line="231" w:lineRule="auto"/>
        <w:rPr>
          <w:sz w:val="20"/>
          <w:szCs w:val="20"/>
          <w:color w:val="auto"/>
        </w:rPr>
      </w:pPr>
      <w:r>
        <w:rPr>
          <w:rFonts w:ascii="Times New Roman" w:cs="Times New Roman" w:eastAsia="Times New Roman" w:hAnsi="Times New Roman"/>
          <w:sz w:val="22"/>
          <w:szCs w:val="22"/>
          <w:color w:val="auto"/>
        </w:rPr>
        <w:t>American Century Strategic Alloc</w:t>
      </w:r>
    </w:p>
    <w:p>
      <w:pPr>
        <w:ind w:left="2592"/>
        <w:spacing w:after="0" w:line="230" w:lineRule="auto"/>
        <w:rPr>
          <w:sz w:val="20"/>
          <w:szCs w:val="20"/>
          <w:color w:val="auto"/>
        </w:rPr>
      </w:pPr>
      <w:r>
        <w:rPr>
          <w:rFonts w:ascii="Times New Roman" w:cs="Times New Roman" w:eastAsia="Times New Roman" w:hAnsi="Times New Roman"/>
          <w:sz w:val="22"/>
          <w:szCs w:val="22"/>
          <w:color w:val="auto"/>
        </w:rPr>
        <w:t>Conservative-Inv</w:t>
      </w:r>
    </w:p>
    <w:p>
      <w:pPr>
        <w:ind w:left="2592"/>
        <w:spacing w:after="0" w:line="231" w:lineRule="auto"/>
        <w:rPr>
          <w:sz w:val="20"/>
          <w:szCs w:val="20"/>
          <w:color w:val="auto"/>
        </w:rPr>
      </w:pPr>
      <w:r>
        <w:rPr>
          <w:rFonts w:ascii="Times New Roman" w:cs="Times New Roman" w:eastAsia="Times New Roman" w:hAnsi="Times New Roman"/>
          <w:sz w:val="22"/>
          <w:szCs w:val="22"/>
          <w:color w:val="auto"/>
        </w:rPr>
        <w:t>American Century Strategic Alloc</w:t>
      </w:r>
    </w:p>
    <w:p>
      <w:pPr>
        <w:ind w:left="2592"/>
        <w:spacing w:after="0" w:line="230" w:lineRule="auto"/>
        <w:rPr>
          <w:sz w:val="20"/>
          <w:szCs w:val="20"/>
          <w:color w:val="auto"/>
        </w:rPr>
      </w:pPr>
      <w:r>
        <w:rPr>
          <w:rFonts w:ascii="Times New Roman" w:cs="Times New Roman" w:eastAsia="Times New Roman" w:hAnsi="Times New Roman"/>
          <w:sz w:val="22"/>
          <w:szCs w:val="22"/>
          <w:color w:val="auto"/>
        </w:rPr>
        <w:t>Moderate-Inv</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Diversified-Select</w:t>
      </w:r>
    </w:p>
    <w:p>
      <w:pPr>
        <w:ind w:left="2592"/>
        <w:spacing w:after="0" w:line="230"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1" w:lineRule="auto"/>
        <w:rPr>
          <w:sz w:val="20"/>
          <w:szCs w:val="20"/>
          <w:color w:val="auto"/>
        </w:rPr>
      </w:pPr>
      <w:r>
        <w:rPr>
          <w:rFonts w:ascii="Times New Roman" w:cs="Times New Roman" w:eastAsia="Times New Roman" w:hAnsi="Times New Roman"/>
          <w:sz w:val="22"/>
          <w:szCs w:val="22"/>
          <w:color w:val="auto"/>
        </w:rPr>
        <w:t>Blend 2015-R5</w:t>
      </w:r>
    </w:p>
    <w:p>
      <w:pPr>
        <w:ind w:left="2592"/>
        <w:spacing w:after="0" w:line="230"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1" w:lineRule="auto"/>
        <w:rPr>
          <w:sz w:val="20"/>
          <w:szCs w:val="20"/>
          <w:color w:val="auto"/>
        </w:rPr>
      </w:pPr>
      <w:r>
        <w:rPr>
          <w:rFonts w:ascii="Times New Roman" w:cs="Times New Roman" w:eastAsia="Times New Roman" w:hAnsi="Times New Roman"/>
          <w:sz w:val="22"/>
          <w:szCs w:val="22"/>
          <w:color w:val="auto"/>
        </w:rPr>
        <w:t>Blend R 2020-R5</w:t>
      </w:r>
    </w:p>
    <w:p>
      <w:pPr>
        <w:ind w:left="2592"/>
        <w:spacing w:after="0" w:line="230"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1" w:lineRule="auto"/>
        <w:rPr>
          <w:sz w:val="20"/>
          <w:szCs w:val="20"/>
          <w:color w:val="auto"/>
        </w:rPr>
      </w:pPr>
      <w:r>
        <w:rPr>
          <w:rFonts w:ascii="Times New Roman" w:cs="Times New Roman" w:eastAsia="Times New Roman" w:hAnsi="Times New Roman"/>
          <w:sz w:val="22"/>
          <w:szCs w:val="22"/>
          <w:color w:val="auto"/>
        </w:rPr>
        <w:t>Blend R 2025-R5</w:t>
      </w:r>
    </w:p>
    <w:p>
      <w:pPr>
        <w:ind w:left="2592"/>
        <w:spacing w:after="0" w:line="230"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1" w:lineRule="auto"/>
        <w:rPr>
          <w:sz w:val="20"/>
          <w:szCs w:val="20"/>
          <w:color w:val="auto"/>
        </w:rPr>
      </w:pPr>
      <w:r>
        <w:rPr>
          <w:rFonts w:ascii="Times New Roman" w:cs="Times New Roman" w:eastAsia="Times New Roman" w:hAnsi="Times New Roman"/>
          <w:sz w:val="22"/>
          <w:szCs w:val="22"/>
          <w:color w:val="auto"/>
        </w:rPr>
        <w:t>Blend R 2030-R5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0" w:lineRule="auto"/>
        <w:rPr>
          <w:sz w:val="20"/>
          <w:szCs w:val="20"/>
          <w:color w:val="auto"/>
        </w:rPr>
      </w:pPr>
      <w:r>
        <w:rPr>
          <w:rFonts w:ascii="Times New Roman" w:cs="Times New Roman" w:eastAsia="Times New Roman" w:hAnsi="Times New Roman"/>
          <w:sz w:val="22"/>
          <w:szCs w:val="22"/>
          <w:color w:val="auto"/>
        </w:rPr>
        <w:t>Blend R 2035-R5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0" w:lineRule="auto"/>
        <w:rPr>
          <w:sz w:val="20"/>
          <w:szCs w:val="20"/>
          <w:color w:val="auto"/>
        </w:rPr>
      </w:pPr>
      <w:r>
        <w:rPr>
          <w:rFonts w:ascii="Times New Roman" w:cs="Times New Roman" w:eastAsia="Times New Roman" w:hAnsi="Times New Roman"/>
          <w:sz w:val="22"/>
          <w:szCs w:val="22"/>
          <w:color w:val="auto"/>
        </w:rPr>
        <w:t>Blend R 2040-R5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0" w:lineRule="auto"/>
        <w:rPr>
          <w:sz w:val="20"/>
          <w:szCs w:val="20"/>
          <w:color w:val="auto"/>
        </w:rPr>
      </w:pPr>
      <w:r>
        <w:rPr>
          <w:rFonts w:ascii="Times New Roman" w:cs="Times New Roman" w:eastAsia="Times New Roman" w:hAnsi="Times New Roman"/>
          <w:sz w:val="22"/>
          <w:szCs w:val="22"/>
          <w:color w:val="auto"/>
        </w:rPr>
        <w:t>Blend R 2045-R5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0" w:lineRule="auto"/>
        <w:rPr>
          <w:sz w:val="20"/>
          <w:szCs w:val="20"/>
          <w:color w:val="auto"/>
        </w:rPr>
      </w:pPr>
      <w:r>
        <w:rPr>
          <w:rFonts w:ascii="Times New Roman" w:cs="Times New Roman" w:eastAsia="Times New Roman" w:hAnsi="Times New Roman"/>
          <w:sz w:val="22"/>
          <w:szCs w:val="22"/>
          <w:color w:val="auto"/>
        </w:rPr>
        <w:t>Blend R 2050-R5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line="230" w:lineRule="auto"/>
        <w:rPr>
          <w:sz w:val="20"/>
          <w:szCs w:val="20"/>
          <w:color w:val="auto"/>
        </w:rPr>
      </w:pPr>
      <w:r>
        <w:rPr>
          <w:rFonts w:ascii="Times New Roman" w:cs="Times New Roman" w:eastAsia="Times New Roman" w:hAnsi="Times New Roman"/>
          <w:sz w:val="22"/>
          <w:szCs w:val="22"/>
          <w:color w:val="auto"/>
        </w:rPr>
        <w:t>Blend R 2055-R5</w:t>
      </w:r>
    </w:p>
    <w:p>
      <w:pPr>
        <w:ind w:left="2592"/>
        <w:spacing w:after="0" w:line="231" w:lineRule="auto"/>
        <w:rPr>
          <w:sz w:val="20"/>
          <w:szCs w:val="20"/>
          <w:color w:val="auto"/>
        </w:rPr>
      </w:pPr>
      <w:r>
        <w:rPr>
          <w:rFonts w:ascii="Times New Roman" w:cs="Times New Roman" w:eastAsia="Times New Roman" w:hAnsi="Times New Roman"/>
          <w:sz w:val="22"/>
          <w:szCs w:val="22"/>
          <w:color w:val="auto"/>
        </w:rPr>
        <w:t>JPMorgan SmartRetirement®</w:t>
      </w:r>
    </w:p>
    <w:p>
      <w:pPr>
        <w:ind w:left="2592"/>
        <w:spacing w:after="0"/>
        <w:rPr>
          <w:sz w:val="20"/>
          <w:szCs w:val="20"/>
          <w:color w:val="auto"/>
        </w:rPr>
      </w:pPr>
      <w:r>
        <w:rPr>
          <w:rFonts w:ascii="Times New Roman" w:cs="Times New Roman" w:eastAsia="Times New Roman" w:hAnsi="Times New Roman"/>
          <w:sz w:val="22"/>
          <w:szCs w:val="22"/>
          <w:color w:val="auto"/>
        </w:rPr>
        <w:t>Blend Income-R5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156845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2" w:hanging="332"/>
        <w:spacing w:after="0" w:line="258" w:lineRule="auto"/>
        <w:tabs>
          <w:tab w:leader="none" w:pos="372"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Subject to Section 11.1 of the Plan, this list of Investment Funds may be changed at any time by action of the General Counsel or any Vice President, Human Resources of the Company.</w:t>
      </w:r>
    </w:p>
    <w:p>
      <w:pPr>
        <w:spacing w:after="0" w:line="374"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92"/>
          </w:cols>
          <w:pgMar w:left="988" w:top="959" w:right="1119" w:bottom="1440" w:gutter="0" w:footer="0" w:header="0"/>
        </w:sectPr>
      </w:pPr>
    </w:p>
    <w:bookmarkStart w:id="346" w:name="page347"/>
    <w:bookmarkEnd w:id="346"/>
    <w:p>
      <w:pPr>
        <w:ind w:left="2140"/>
        <w:spacing w:after="0"/>
        <w:rPr>
          <w:sz w:val="20"/>
          <w:szCs w:val="20"/>
          <w:color w:val="auto"/>
        </w:rPr>
      </w:pPr>
      <w:r>
        <w:rPr>
          <w:rFonts w:ascii="Times New Roman" w:cs="Times New Roman" w:eastAsia="Times New Roman" w:hAnsi="Times New Roman"/>
          <w:sz w:val="22"/>
          <w:szCs w:val="22"/>
          <w:b w:val="1"/>
          <w:bCs w:val="1"/>
          <w:color w:val="auto"/>
        </w:rPr>
        <w:t>Stocks</w:t>
      </w:r>
    </w:p>
    <w:p>
      <w:pPr>
        <w:spacing w:after="0" w:line="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American Century Equity Income-Inst</w:t>
      </w:r>
    </w:p>
    <w:p>
      <w:pPr>
        <w:ind w:left="2140"/>
        <w:spacing w:after="0" w:line="230" w:lineRule="auto"/>
        <w:rPr>
          <w:sz w:val="20"/>
          <w:szCs w:val="20"/>
          <w:color w:val="auto"/>
        </w:rPr>
      </w:pPr>
      <w:r>
        <w:rPr>
          <w:rFonts w:ascii="Times New Roman" w:cs="Times New Roman" w:eastAsia="Times New Roman" w:hAnsi="Times New Roman"/>
          <w:sz w:val="22"/>
          <w:szCs w:val="22"/>
          <w:color w:val="auto"/>
        </w:rPr>
        <w:t>American Century Real Estate-Inst</w:t>
      </w:r>
    </w:p>
    <w:p>
      <w:pPr>
        <w:ind w:left="2140"/>
        <w:spacing w:after="0" w:line="231" w:lineRule="auto"/>
        <w:rPr>
          <w:sz w:val="20"/>
          <w:szCs w:val="20"/>
          <w:color w:val="auto"/>
        </w:rPr>
      </w:pPr>
      <w:r>
        <w:rPr>
          <w:rFonts w:ascii="Times New Roman" w:cs="Times New Roman" w:eastAsia="Times New Roman" w:hAnsi="Times New Roman"/>
          <w:sz w:val="22"/>
          <w:szCs w:val="22"/>
          <w:color w:val="auto"/>
        </w:rPr>
        <w:t>American Century Value-Inst</w:t>
      </w:r>
    </w:p>
    <w:p>
      <w:pPr>
        <w:ind w:left="2140"/>
        <w:spacing w:after="0" w:line="230" w:lineRule="auto"/>
        <w:rPr>
          <w:sz w:val="20"/>
          <w:szCs w:val="20"/>
          <w:color w:val="auto"/>
        </w:rPr>
      </w:pPr>
      <w:r>
        <w:rPr>
          <w:rFonts w:ascii="Times New Roman" w:cs="Times New Roman" w:eastAsia="Times New Roman" w:hAnsi="Times New Roman"/>
          <w:sz w:val="22"/>
          <w:szCs w:val="22"/>
          <w:color w:val="auto"/>
        </w:rPr>
        <w:t>American Funds EuroPacific Growth-R4</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color w:val="auto"/>
        </w:rPr>
        <w:t>American Funds Growth Fund of America-R4</w:t>
      </w:r>
    </w:p>
    <w:p>
      <w:pPr>
        <w:ind w:left="2140"/>
        <w:spacing w:after="0" w:line="231" w:lineRule="auto"/>
        <w:rPr>
          <w:sz w:val="20"/>
          <w:szCs w:val="20"/>
          <w:color w:val="auto"/>
        </w:rPr>
      </w:pPr>
      <w:r>
        <w:rPr>
          <w:rFonts w:ascii="Times New Roman" w:cs="Times New Roman" w:eastAsia="Times New Roman" w:hAnsi="Times New Roman"/>
          <w:sz w:val="22"/>
          <w:szCs w:val="22"/>
          <w:color w:val="auto"/>
        </w:rPr>
        <w:t>Fidelity Spartan International Index-Inv</w:t>
      </w:r>
    </w:p>
    <w:p>
      <w:pPr>
        <w:ind w:left="2140"/>
        <w:spacing w:after="0" w:line="231" w:lineRule="auto"/>
        <w:rPr>
          <w:sz w:val="20"/>
          <w:szCs w:val="20"/>
          <w:color w:val="auto"/>
        </w:rPr>
      </w:pPr>
      <w:r>
        <w:rPr>
          <w:rFonts w:ascii="Times New Roman" w:cs="Times New Roman" w:eastAsia="Times New Roman" w:hAnsi="Times New Roman"/>
          <w:sz w:val="22"/>
          <w:szCs w:val="22"/>
          <w:color w:val="auto"/>
        </w:rPr>
        <w:t>JPMorgan US Equity-Select</w:t>
      </w:r>
    </w:p>
    <w:p>
      <w:pPr>
        <w:ind w:left="2140"/>
        <w:spacing w:after="0" w:line="231" w:lineRule="auto"/>
        <w:rPr>
          <w:sz w:val="20"/>
          <w:szCs w:val="20"/>
          <w:color w:val="auto"/>
        </w:rPr>
      </w:pPr>
      <w:r>
        <w:rPr>
          <w:rFonts w:ascii="Times New Roman" w:cs="Times New Roman" w:eastAsia="Times New Roman" w:hAnsi="Times New Roman"/>
          <w:sz w:val="22"/>
          <w:szCs w:val="22"/>
          <w:color w:val="auto"/>
        </w:rPr>
        <w:t>Prudential Jennison Mid Cap Growth-Z</w:t>
      </w:r>
    </w:p>
    <w:p>
      <w:pPr>
        <w:ind w:left="2140"/>
        <w:spacing w:after="0" w:line="230" w:lineRule="auto"/>
        <w:rPr>
          <w:sz w:val="20"/>
          <w:szCs w:val="20"/>
          <w:color w:val="auto"/>
        </w:rPr>
      </w:pPr>
      <w:r>
        <w:rPr>
          <w:rFonts w:ascii="Times New Roman" w:cs="Times New Roman" w:eastAsia="Times New Roman" w:hAnsi="Times New Roman"/>
          <w:sz w:val="22"/>
          <w:szCs w:val="22"/>
          <w:color w:val="auto"/>
        </w:rPr>
        <w:t>Royce Premier-Service</w:t>
      </w:r>
    </w:p>
    <w:p>
      <w:pPr>
        <w:ind w:left="2140"/>
        <w:spacing w:after="0" w:line="231" w:lineRule="auto"/>
        <w:rPr>
          <w:sz w:val="20"/>
          <w:szCs w:val="20"/>
          <w:color w:val="auto"/>
        </w:rPr>
      </w:pPr>
      <w:r>
        <w:rPr>
          <w:rFonts w:ascii="Times New Roman" w:cs="Times New Roman" w:eastAsia="Times New Roman" w:hAnsi="Times New Roman"/>
          <w:sz w:val="22"/>
          <w:szCs w:val="22"/>
          <w:color w:val="auto"/>
        </w:rPr>
        <w:t>Fidelity Spartan 500 Index-Inv</w:t>
      </w:r>
    </w:p>
    <w:p>
      <w:pPr>
        <w:ind w:left="2140"/>
        <w:spacing w:after="0" w:line="230" w:lineRule="auto"/>
        <w:rPr>
          <w:sz w:val="20"/>
          <w:szCs w:val="20"/>
          <w:color w:val="auto"/>
        </w:rPr>
      </w:pPr>
      <w:r>
        <w:rPr>
          <w:rFonts w:ascii="Times New Roman" w:cs="Times New Roman" w:eastAsia="Times New Roman" w:hAnsi="Times New Roman"/>
          <w:sz w:val="22"/>
          <w:szCs w:val="22"/>
          <w:color w:val="auto"/>
        </w:rPr>
        <w:t>Vanguard Mid-Cap Index-Admiral</w:t>
      </w:r>
    </w:p>
    <w:p>
      <w:pPr>
        <w:ind w:left="2140"/>
        <w:spacing w:after="0" w:line="231" w:lineRule="auto"/>
        <w:rPr>
          <w:sz w:val="20"/>
          <w:szCs w:val="20"/>
          <w:color w:val="auto"/>
        </w:rPr>
      </w:pPr>
      <w:r>
        <w:rPr>
          <w:rFonts w:ascii="Times New Roman" w:cs="Times New Roman" w:eastAsia="Times New Roman" w:hAnsi="Times New Roman"/>
          <w:sz w:val="22"/>
          <w:szCs w:val="22"/>
          <w:color w:val="auto"/>
        </w:rPr>
        <w:t>Vanguard Prime Money Market-Inv</w:t>
      </w:r>
    </w:p>
    <w:p>
      <w:pPr>
        <w:ind w:left="2140"/>
        <w:spacing w:after="0"/>
        <w:rPr>
          <w:sz w:val="20"/>
          <w:szCs w:val="20"/>
          <w:color w:val="auto"/>
        </w:rPr>
      </w:pPr>
      <w:r>
        <w:rPr>
          <w:rFonts w:ascii="Times New Roman" w:cs="Times New Roman" w:eastAsia="Times New Roman" w:hAnsi="Times New Roman"/>
          <w:sz w:val="22"/>
          <w:szCs w:val="22"/>
          <w:color w:val="auto"/>
        </w:rPr>
        <w:t>Vanguard Small Cap Index-Inv</w:t>
      </w:r>
    </w:p>
    <w:p>
      <w:pPr>
        <w:spacing w:after="0" w:line="17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Cash, Non-Interest Bearing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347" w:name="page348"/>
    <w:bookmarkEnd w:id="34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BENTLEY SYSTEMS, INCORPORATED</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APPENDIX C</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BENEFICIARY DESIGNATION FORM</w:t>
      </w:r>
    </w:p>
    <w:p>
      <w:pPr>
        <w:spacing w:after="0" w:line="210" w:lineRule="exact"/>
        <w:rPr>
          <w:sz w:val="20"/>
          <w:szCs w:val="20"/>
          <w:color w:val="auto"/>
        </w:rPr>
      </w:pPr>
    </w:p>
    <w:p>
      <w:pPr>
        <w:jc w:val="both"/>
        <w:ind w:right="80" w:firstLine="648"/>
        <w:spacing w:after="0" w:line="239" w:lineRule="auto"/>
        <w:rPr>
          <w:sz w:val="20"/>
          <w:szCs w:val="20"/>
          <w:color w:val="auto"/>
        </w:rPr>
      </w:pPr>
      <w:r>
        <w:rPr>
          <w:rFonts w:ascii="Times New Roman" w:cs="Times New Roman" w:eastAsia="Times New Roman" w:hAnsi="Times New Roman"/>
          <w:sz w:val="22"/>
          <w:szCs w:val="22"/>
          <w:color w:val="auto"/>
        </w:rPr>
        <w:t>This Form is for your use under the Bentley Systems, Incorporated Nonqualified Deferred Compensation Plan (the “Plan”) to name a beneficiary for the Company Contribution Units and/or Employee Deferrals that may be distributed to you under the Plan. You should complete the Form, sign it, have it signed by the Company, and date it.</w:t>
      </w:r>
    </w:p>
    <w:p>
      <w:pPr>
        <w:spacing w:after="0" w:line="180" w:lineRule="exact"/>
        <w:rPr>
          <w:sz w:val="20"/>
          <w:szCs w:val="20"/>
          <w:color w:val="auto"/>
        </w:rPr>
      </w:pPr>
    </w:p>
    <w:p>
      <w:pPr>
        <w:jc w:val="center"/>
        <w:ind w:right="-39"/>
        <w:spacing w:after="0"/>
        <w:tabs>
          <w:tab w:leader="none" w:pos="300" w:val="left"/>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w:t>
        <w:tab/>
        <w:t>*</w:t>
        <w:tab/>
        <w:t>*</w:t>
      </w:r>
      <w:r>
        <w:rPr>
          <w:sz w:val="20"/>
          <w:szCs w:val="20"/>
          <w:color w:val="auto"/>
        </w:rPr>
        <w:tab/>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I understand that in the event of my death before I receive full distribution with respect to my Company Contribution Units and/or Employee Deferrals, such Company Contribution Units and/or Employee Deferrals will be distributed to the beneficiary designated by me below or, if none or if my designated beneficiary predeceases me, to my surviving spouse or, if none, to my estate. I further understand that the last beneficiary designation filed by me during my lifetime and accepted by the Company cancels all prior beneficiary designations previously filed by me under the Plan.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 hereby state that _______________ </w:t>
      </w:r>
      <w:r>
        <w:rPr>
          <w:rFonts w:ascii="Times New Roman" w:cs="Times New Roman" w:eastAsia="Times New Roman" w:hAnsi="Times New Roman"/>
          <w:sz w:val="22"/>
          <w:szCs w:val="22"/>
          <w:b w:val="1"/>
          <w:bCs w:val="1"/>
          <w:color w:val="auto"/>
        </w:rPr>
        <w:t>[insert name],</w:t>
      </w:r>
      <w:r>
        <w:rPr>
          <w:rFonts w:ascii="Times New Roman" w:cs="Times New Roman" w:eastAsia="Times New Roman" w:hAnsi="Times New Roman"/>
          <w:sz w:val="22"/>
          <w:szCs w:val="22"/>
          <w:color w:val="auto"/>
        </w:rPr>
        <w:t xml:space="preserve"> residing 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______________________________________________________ </w:t>
      </w:r>
      <w:r>
        <w:rPr>
          <w:rFonts w:ascii="Times New Roman" w:cs="Times New Roman" w:eastAsia="Times New Roman" w:hAnsi="Times New Roman"/>
          <w:sz w:val="22"/>
          <w:szCs w:val="22"/>
          <w:b w:val="1"/>
          <w:bCs w:val="1"/>
          <w:color w:val="auto"/>
        </w:rPr>
        <w:t>[insert address]</w:t>
      </w:r>
      <w:r>
        <w:rPr>
          <w:rFonts w:ascii="Times New Roman" w:cs="Times New Roman" w:eastAsia="Times New Roman" w:hAnsi="Times New Roman"/>
          <w:sz w:val="22"/>
          <w:szCs w:val="22"/>
          <w:color w:val="auto"/>
        </w:rPr>
        <w:t>, whose Social Security</w:t>
      </w:r>
    </w:p>
    <w:p>
      <w:pPr>
        <w:spacing w:after="0"/>
        <w:rPr>
          <w:sz w:val="20"/>
          <w:szCs w:val="20"/>
          <w:color w:val="auto"/>
        </w:rPr>
      </w:pPr>
      <w:r>
        <w:rPr>
          <w:rFonts w:ascii="Times New Roman" w:cs="Times New Roman" w:eastAsia="Times New Roman" w:hAnsi="Times New Roman"/>
          <w:sz w:val="22"/>
          <w:szCs w:val="22"/>
          <w:color w:val="auto"/>
        </w:rPr>
        <w:t>number is _____________________, is designated as my beneficiary.</w:t>
      </w:r>
    </w:p>
    <w:p>
      <w:pPr>
        <w:sectPr>
          <w:pgSz w:w="11900" w:h="16838" w:orient="portrait"/>
          <w:cols w:equalWidth="0" w:num="1">
            <w:col w:w="9880"/>
          </w:cols>
          <w:pgMar w:left="980" w:top="95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right="780"/>
        <w:spacing w:after="0" w:line="282" w:lineRule="auto"/>
        <w:rPr>
          <w:sz w:val="20"/>
          <w:szCs w:val="20"/>
          <w:color w:val="auto"/>
        </w:rPr>
      </w:pPr>
      <w:r>
        <w:rPr>
          <w:rFonts w:ascii="Times New Roman" w:cs="Times New Roman" w:eastAsia="Times New Roman" w:hAnsi="Times New Roman"/>
          <w:sz w:val="21"/>
          <w:szCs w:val="21"/>
          <w:color w:val="auto"/>
        </w:rPr>
        <w:t>__________________________ Signature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 ___, 20__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sectPr>
          <w:pgSz w:w="11900" w:h="16838" w:orient="portrait"/>
          <w:cols w:equalWidth="0" w:num="2">
            <w:col w:w="3600" w:space="720"/>
            <w:col w:w="5560"/>
          </w:cols>
          <w:pgMar w:left="980" w:top="959" w:right="10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______________ __, 20__</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959" w:right="1039" w:bottom="1440" w:gutter="0" w:footer="0" w:header="0"/>
          <w:type w:val="continuous"/>
        </w:sectPr>
      </w:pPr>
    </w:p>
    <w:bookmarkStart w:id="348" w:name="page349"/>
    <w:bookmarkEnd w:id="348"/>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19" w:lineRule="exact"/>
        <w:rPr>
          <w:sz w:val="20"/>
          <w:szCs w:val="20"/>
          <w:color w:val="auto"/>
        </w:rPr>
      </w:pPr>
    </w:p>
    <w:p>
      <w:pPr>
        <w:jc w:val="center"/>
        <w:ind w:left="1780" w:right="2220"/>
        <w:spacing w:after="0" w:line="235"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w:t>
      </w:r>
    </w:p>
    <w:p>
      <w:pPr>
        <w:spacing w:after="0" w:line="20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(As Amended and Restated Effective as of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647700</wp:posOffset>
            </wp:positionV>
            <wp:extent cx="6292215" cy="2540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08" w:right="9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6080" w:type="dxa"/>
            <w:vAlign w:val="bottom"/>
          </w:tcPr>
          <w:p>
            <w:pPr>
              <w:ind w:left="20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120" w:type="dxa"/>
            <w:vAlign w:val="bottom"/>
          </w:tcPr>
          <w:p>
            <w:pPr>
              <w:spacing w:after="0"/>
              <w:rPr>
                <w:sz w:val="24"/>
                <w:szCs w:val="24"/>
                <w:color w:val="auto"/>
              </w:rPr>
            </w:pPr>
          </w:p>
        </w:tc>
      </w:tr>
      <w:tr>
        <w:trPr>
          <w:trHeight w:val="499"/>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47"/>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I</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“409A Change in Control”</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“Account”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“Agreement”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“Board”</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“Cause”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“Change in Control”</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B Stock”</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“Code”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1.10</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Contribution Unit”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Stock”</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“Director Deferrals”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“Disability”</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“Participant”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“Phantom Share”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“Plan”</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“Plan Administrator”</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1.19</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“Plan Year”</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1.20</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“Publicly Traded”</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“Securities Exchange Act”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“Separation from Service”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 Value”</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82"/>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1.24</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“Valuation Date”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47"/>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II</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 CONTRIBUTION UNITS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Prior Awards.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Vesting</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Deemed Investment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82"/>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2.4</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 of Company Contribution Units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47"/>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III</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 DEFERRALS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Terms of Participation</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Deferred Compensation Account</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2"/>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3.3</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 of Director Deferrals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447"/>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IV</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SUBSEQUENT DEFERRALS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43"/>
        </w:trPr>
        <w:tc>
          <w:tcPr>
            <w:tcW w:w="17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6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Contribution Units</w:t>
            </w:r>
          </w:p>
        </w:tc>
        <w:tc>
          <w:tcPr>
            <w:tcW w:w="2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2"/>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4.2</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 Deferrals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86"/>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V</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DIVIDEND EQUIVALENTS</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47"/>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ARTICLE VI</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ADMINISTRATION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17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6.1</w:t>
            </w:r>
          </w:p>
        </w:tc>
        <w:tc>
          <w:tcPr>
            <w:tcW w:w="6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Authority</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980"/>
        </w:trPr>
        <w:tc>
          <w:tcPr>
            <w:tcW w:w="17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91" w:right="999" w:bottom="1440" w:gutter="0" w:footer="0" w:header="0"/>
        </w:sectPr>
      </w:pPr>
    </w:p>
    <w:bookmarkStart w:id="350" w:name="page351"/>
    <w:bookmarkEnd w:id="350"/>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6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47"/>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Rights of the Plan Administrator.</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82"/>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Final Determination.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ARTICLE VII</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CAPITAL ADJUSTMENTS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ARTICLE VIII</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SHARES AUTHORIZED UNDER PLAN</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47"/>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ARTICLE IX</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409A COMPLIANCE</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Specified Employee Status</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Compliance in General</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82"/>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Liability for Section 409A Problems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47"/>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ARTICLE X</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MISCELLANEOUS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10.1</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Amendment or Termination of the Plan</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Withholding</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Lock-Up Agreement</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Beneficiary Designation</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Distribution to Guardian</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16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7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 Funding</w:t>
            </w:r>
          </w:p>
        </w:tc>
        <w:tc>
          <w:tcPr>
            <w:tcW w:w="6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82"/>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10.7</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Governing Law</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5"/>
              </w:rPr>
              <w:t>APPENDICES A</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AWARD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A-1</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APPENDIX A-1</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ELECTION OF DIRECTOR DEFERRALS</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A1-1</w:t>
            </w:r>
          </w:p>
        </w:tc>
      </w:tr>
      <w:tr>
        <w:trPr>
          <w:trHeight w:val="447"/>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APPENDIX A-2</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ELECTION OF A LATER DISTRIBUTION (COMMENCEMENT OF</w:t>
            </w:r>
          </w:p>
        </w:tc>
        <w:tc>
          <w:tcPr>
            <w:tcW w:w="660" w:type="dxa"/>
            <w:vAlign w:val="bottom"/>
          </w:tcPr>
          <w:p>
            <w:pPr>
              <w:spacing w:after="0"/>
              <w:rPr>
                <w:sz w:val="24"/>
                <w:szCs w:val="24"/>
                <w:color w:val="auto"/>
              </w:rPr>
            </w:pPr>
          </w:p>
        </w:tc>
      </w:tr>
      <w:tr>
        <w:trPr>
          <w:trHeight w:val="282"/>
        </w:trPr>
        <w:tc>
          <w:tcPr>
            <w:tcW w:w="162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 DATE AND POSSIBLY DIFFERENT DISTRIBUTION FORM</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A2-1</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APPENDIX A-3</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TERMINATION OF DEFERRAL ELECTION</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A3-1</w:t>
            </w:r>
          </w:p>
        </w:tc>
      </w:tr>
      <w:tr>
        <w:trPr>
          <w:trHeight w:val="486"/>
        </w:trPr>
        <w:tc>
          <w:tcPr>
            <w:tcW w:w="16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APPENDIX B</w:t>
            </w:r>
          </w:p>
        </w:tc>
        <w:tc>
          <w:tcPr>
            <w:tcW w:w="7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BENEFICIARY DESIGNATION FORM</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B-1</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353695</wp:posOffset>
            </wp:positionV>
            <wp:extent cx="6292215" cy="2540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91" w:right="999" w:bottom="1440" w:gutter="0" w:footer="0" w:header="0"/>
        </w:sectPr>
      </w:pPr>
    </w:p>
    <w:bookmarkStart w:id="351" w:name="page352"/>
    <w:bookmarkEnd w:id="351"/>
    <w:p>
      <w:pPr>
        <w:jc w:val="center"/>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 (As Amended and Restated Effective as of January 1, 2015)</w:t>
      </w:r>
    </w:p>
    <w:p>
      <w:pPr>
        <w:spacing w:after="0" w:line="199" w:lineRule="exact"/>
        <w:rPr>
          <w:sz w:val="20"/>
          <w:szCs w:val="20"/>
          <w:color w:val="auto"/>
        </w:rPr>
      </w:pPr>
    </w:p>
    <w:p>
      <w:pPr>
        <w:ind w:right="260" w:firstLine="64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Bentley Systems, Incorporated, a Delaware corporation (the “Company”), sponsors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Bentley Systems, Incorporated Nonqualified Deferred Compensation Plan for Non- Employee Directors (the “Plan”), originally effective as of September 9, 2009, in order to attract and retain non-employee directors and motivate them to exercise their best efforts on behalf of the Company and its subsidiaries;</w:t>
      </w:r>
    </w:p>
    <w:p>
      <w:pPr>
        <w:spacing w:after="0" w:line="185" w:lineRule="exact"/>
        <w:rPr>
          <w:sz w:val="20"/>
          <w:szCs w:val="20"/>
          <w:color w:val="auto"/>
        </w:rPr>
      </w:pPr>
    </w:p>
    <w:p>
      <w:pPr>
        <w:ind w:right="26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most recently amended and restated the Plan, effective as of April 2, 2012,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amended the Plan in part on one occasion thereafter;</w:t>
      </w:r>
    </w:p>
    <w:p>
      <w:pPr>
        <w:spacing w:after="0" w:line="150" w:lineRule="exact"/>
        <w:rPr>
          <w:sz w:val="20"/>
          <w:szCs w:val="20"/>
          <w:color w:val="auto"/>
        </w:rPr>
      </w:pPr>
    </w:p>
    <w:p>
      <w:pPr>
        <w:ind w:right="12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Section 9.1 of the Plan provides that the Board of Directors of the Company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amend the Plan from time to time; and</w:t>
      </w:r>
    </w:p>
    <w:p>
      <w:pPr>
        <w:spacing w:after="0" w:line="163" w:lineRule="exact"/>
        <w:rPr>
          <w:sz w:val="20"/>
          <w:szCs w:val="20"/>
          <w:color w:val="auto"/>
        </w:rPr>
      </w:pPr>
    </w:p>
    <w:p>
      <w:pPr>
        <w:ind w:right="20" w:firstLine="64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Board desires to amend and restate the Plan (i) to incorporate the amendment noted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(ii) to require that all distributions from the Plan be made in actual shares of the Company’s Class B Non-Voting Common Stock (or any successor class of common stock); and (iii) to make certain additional changes;</w:t>
      </w:r>
    </w:p>
    <w:p>
      <w:pPr>
        <w:spacing w:after="0" w:line="165" w:lineRule="exact"/>
        <w:rPr>
          <w:sz w:val="20"/>
          <w:szCs w:val="20"/>
          <w:color w:val="auto"/>
        </w:rPr>
      </w:pPr>
    </w:p>
    <w:p>
      <w:pPr>
        <w:ind w:right="58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effective as of January 1, 2015, the Plan is hereby amended and restated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19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409A Change in Control</w:t>
      </w:r>
      <w:r>
        <w:rPr>
          <w:rFonts w:ascii="Times New Roman" w:cs="Times New Roman" w:eastAsia="Times New Roman" w:hAnsi="Times New Roman"/>
          <w:sz w:val="21"/>
          <w:szCs w:val="21"/>
          <w:color w:val="auto"/>
        </w:rPr>
        <w:t>” shall mean:</w:t>
      </w:r>
    </w:p>
    <w:p>
      <w:pPr>
        <w:spacing w:after="0" w:line="206" w:lineRule="exact"/>
        <w:rPr>
          <w:sz w:val="20"/>
          <w:szCs w:val="20"/>
          <w:color w:val="auto"/>
        </w:rPr>
      </w:pPr>
    </w:p>
    <w:p>
      <w:pPr>
        <w:ind w:left="640" w:right="60" w:firstLine="1303"/>
        <w:spacing w:after="0" w:line="244" w:lineRule="auto"/>
        <w:tabs>
          <w:tab w:leader="none" w:pos="2597"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ownership of stock of the Company that, together with stock held by such person or group, constitutes more than 50 percent of the total fair market value or total voting power of the stock of the Company;</w:t>
      </w:r>
    </w:p>
    <w:p>
      <w:pPr>
        <w:spacing w:after="0" w:line="186" w:lineRule="exact"/>
        <w:rPr>
          <w:rFonts w:ascii="Times New Roman" w:cs="Times New Roman" w:eastAsia="Times New Roman" w:hAnsi="Times New Roman"/>
          <w:sz w:val="22"/>
          <w:szCs w:val="22"/>
          <w:color w:val="auto"/>
        </w:rPr>
      </w:pPr>
    </w:p>
    <w:p>
      <w:pPr>
        <w:ind w:left="2620" w:hanging="677"/>
        <w:spacing w:after="0"/>
        <w:tabs>
          <w:tab w:leader="none" w:pos="26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effective control of the Company occurring only on the date that</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w:t>
      </w:r>
    </w:p>
    <w:p>
      <w:pPr>
        <w:spacing w:after="0" w:line="195" w:lineRule="exact"/>
        <w:rPr>
          <w:rFonts w:ascii="Times New Roman" w:cs="Times New Roman" w:eastAsia="Times New Roman" w:hAnsi="Times New Roman"/>
          <w:sz w:val="22"/>
          <w:szCs w:val="22"/>
          <w:color w:val="auto"/>
        </w:rPr>
      </w:pPr>
    </w:p>
    <w:p>
      <w:pPr>
        <w:ind w:left="1300" w:firstLine="1291"/>
        <w:spacing w:after="0" w:line="239" w:lineRule="auto"/>
        <w:tabs>
          <w:tab w:leader="none" w:pos="3269"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(or has acquired during the 12-month period ending on the date of the most recent acquisition by such person or persons) ownership of stock of the Company possessing 35 percent or more of the total voting power of the stock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920750</wp:posOffset>
            </wp:positionV>
            <wp:extent cx="6292215" cy="171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080" w:top="1215" w:right="1039" w:bottom="1440" w:gutter="0" w:footer="0" w:header="0"/>
        </w:sectPr>
      </w:pPr>
    </w:p>
    <w:bookmarkStart w:id="352" w:name="page353"/>
    <w:bookmarkEnd w:id="352"/>
    <w:p>
      <w:pPr>
        <w:ind w:left="1300" w:right="220" w:firstLine="1291"/>
        <w:spacing w:after="0" w:line="244" w:lineRule="auto"/>
        <w:tabs>
          <w:tab w:leader="none" w:pos="3269"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members of the Board is replaced during any 12-month period by directors whose appointment or election is not endorsed by a majority of the members of the Board prior to the date of the appointment or election; or</w:t>
      </w:r>
    </w:p>
    <w:p>
      <w:pPr>
        <w:spacing w:after="0" w:line="186" w:lineRule="exact"/>
        <w:rPr>
          <w:rFonts w:ascii="Times New Roman" w:cs="Times New Roman" w:eastAsia="Times New Roman" w:hAnsi="Times New Roman"/>
          <w:sz w:val="22"/>
          <w:szCs w:val="22"/>
          <w:color w:val="auto"/>
        </w:rPr>
      </w:pPr>
    </w:p>
    <w:p>
      <w:pPr>
        <w:ind w:left="640" w:right="160" w:firstLine="1303"/>
        <w:spacing w:after="0" w:line="238" w:lineRule="auto"/>
        <w:tabs>
          <w:tab w:leader="none" w:pos="259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or more than 40 percent of the total gross fair market value of all of the assets of the Company immediately prior to such acquisition or acquisitions.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Whether or not a 409A Change in Control has occurred shall be determined in accordance with Treas. Reg.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§1.409A-3(i)(5) or any successor thereto.</w:t>
      </w:r>
    </w:p>
    <w:p>
      <w:pPr>
        <w:spacing w:after="0" w:line="20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shall mean a bookkeeping account (or, when appropriate, sub- accounts) to which a Participant’s Company Contribution Units and/or Director Deferrals are credited.</w:t>
      </w:r>
    </w:p>
    <w:p>
      <w:pPr>
        <w:spacing w:after="0" w:line="172"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mean, as applicable, one of the deferred compensation agreements, substantially in the forms set forth in Appendices A attached hereto, to be entered into by a Participant and the Company to provide the Participant with the opportunity (i) to make an initial election of Director Deferrals (Appendix A-1 attached hereto); (ii) to elect a later distribution date (or commencement of distribution date) (Appendix A-2 attached hereto); and (iii) to terminate Director Deferrals (Appendix A-3 attached hereto).</w:t>
      </w:r>
    </w:p>
    <w:p>
      <w:pPr>
        <w:spacing w:after="0" w:line="16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Participant’s breach of his or her duty of care or duty of loyalty to the Company or any subsidiary (including his or her disclosure of the trade secrets of the Company or any subsidiary to a competitor of the Company or any subsidiary).</w:t>
      </w:r>
    </w:p>
    <w:p>
      <w:pPr>
        <w:spacing w:after="0" w:line="17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w:t>
      </w:r>
    </w:p>
    <w:p>
      <w:pPr>
        <w:spacing w:after="0" w:line="220" w:lineRule="exact"/>
        <w:rPr>
          <w:sz w:val="20"/>
          <w:szCs w:val="20"/>
          <w:color w:val="auto"/>
        </w:rPr>
      </w:pPr>
    </w:p>
    <w:p>
      <w:pPr>
        <w:ind w:left="640" w:right="80" w:firstLine="1303"/>
        <w:spacing w:after="0" w:line="238" w:lineRule="auto"/>
        <w:tabs>
          <w:tab w:leader="none" w:pos="259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including a group of persons acting in concert (but not including the Company or any stockholder who is part of a group of stockholders who collectively beneficially own more than 50 percent of the voting common stock of the Company as of the Effective Date), becomes the beneficial owner of shares of the Company having 50 percent or more of the total number of votes that may be cast for the election of members of the Board; or</w:t>
      </w:r>
    </w:p>
    <w:p>
      <w:pPr>
        <w:spacing w:after="0" w:line="190" w:lineRule="exact"/>
        <w:rPr>
          <w:rFonts w:ascii="Times New Roman" w:cs="Times New Roman" w:eastAsia="Times New Roman" w:hAnsi="Times New Roman"/>
          <w:sz w:val="22"/>
          <w:szCs w:val="22"/>
          <w:color w:val="auto"/>
        </w:rPr>
      </w:pPr>
    </w:p>
    <w:p>
      <w:pPr>
        <w:ind w:left="640" w:right="100" w:firstLine="1303"/>
        <w:spacing w:after="0" w:line="238" w:lineRule="auto"/>
        <w:tabs>
          <w:tab w:leader="none" w:pos="261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occurs a cash tender or exchange offer for shares of the Company, a merger or other business combination, or a sale of assets or a combination of the foregoing transactions, and as a result of or in connection with any such event persons who were members of the Board before the event shall cease to constitute a majority of the Board or of the board of directors of any successor to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8" w:lineRule="exact"/>
        <w:rPr>
          <w:rFonts w:ascii="Times New Roman" w:cs="Times New Roman" w:eastAsia="Times New Roman" w:hAnsi="Times New Roman"/>
          <w:sz w:val="22"/>
          <w:szCs w:val="22"/>
          <w:color w:val="auto"/>
        </w:rPr>
      </w:pPr>
    </w:p>
    <w:p>
      <w:pPr>
        <w:ind w:left="4820" w:hanging="136"/>
        <w:spacing w:after="0"/>
        <w:tabs>
          <w:tab w:leader="none" w:pos="482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53" w:name="page354"/>
    <w:bookmarkEnd w:id="353"/>
    <w:p>
      <w:pPr>
        <w:ind w:left="640" w:right="180" w:firstLine="1303"/>
        <w:spacing w:after="0" w:line="282" w:lineRule="auto"/>
        <w:tabs>
          <w:tab w:leader="none" w:pos="2609"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the terms “person,” “group” and “beneficial owner” shall have the meanings assigned to such terms under Section 13(d) of the Securities Exchange Act.</w:t>
      </w:r>
    </w:p>
    <w:p>
      <w:pPr>
        <w:spacing w:after="0" w:line="148"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Class B Stock</w:t>
      </w:r>
      <w:r>
        <w:rPr>
          <w:rFonts w:ascii="Times New Roman" w:cs="Times New Roman" w:eastAsia="Times New Roman" w:hAnsi="Times New Roman"/>
          <w:sz w:val="22"/>
          <w:szCs w:val="22"/>
          <w:color w:val="auto"/>
        </w:rPr>
        <w:t>” shall mean a number of actual whole (not fractional) shares of the Company’s Class B Non-Voting Common Stock (or any successor class of common stock, including Company Stock).</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20"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Bentley Systems, Incorporated, a Delaware corporation.</w:t>
      </w:r>
    </w:p>
    <w:p>
      <w:pPr>
        <w:spacing w:after="0" w:line="22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u w:val="single" w:color="auto"/>
          <w:color w:val="auto"/>
        </w:rPr>
        <w:t>Company Contribution Unit</w:t>
      </w:r>
      <w:r>
        <w:rPr>
          <w:rFonts w:ascii="Times New Roman" w:cs="Times New Roman" w:eastAsia="Times New Roman" w:hAnsi="Times New Roman"/>
          <w:sz w:val="21"/>
          <w:szCs w:val="21"/>
          <w:color w:val="auto"/>
        </w:rPr>
        <w:t>” shall mean a discretionary credit made by the Company before January 1, 2015 on behalf of a Participant, the value of which shall be deemed invested in Phantom Shares.</w:t>
      </w:r>
    </w:p>
    <w:p>
      <w:pPr>
        <w:spacing w:after="0" w:line="135" w:lineRule="exact"/>
        <w:rPr>
          <w:sz w:val="20"/>
          <w:szCs w:val="20"/>
          <w:color w:val="auto"/>
        </w:rPr>
      </w:pPr>
    </w:p>
    <w:p>
      <w:pPr>
        <w:ind w:right="780" w:firstLine="648"/>
        <w:spacing w:after="0" w:line="258"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Company Stock</w:t>
      </w:r>
      <w:r>
        <w:rPr>
          <w:rFonts w:ascii="Times New Roman" w:cs="Times New Roman" w:eastAsia="Times New Roman" w:hAnsi="Times New Roman"/>
          <w:sz w:val="22"/>
          <w:szCs w:val="22"/>
          <w:color w:val="auto"/>
        </w:rPr>
        <w:t>” shall mean the class of common stock that is registered pursuant to the Company’s becoming Publicly Traded.</w:t>
      </w:r>
    </w:p>
    <w:p>
      <w:pPr>
        <w:spacing w:after="0" w:line="172" w:lineRule="exact"/>
        <w:rPr>
          <w:sz w:val="20"/>
          <w:szCs w:val="20"/>
          <w:color w:val="auto"/>
        </w:rPr>
      </w:pPr>
    </w:p>
    <w:p>
      <w:pPr>
        <w:ind w:right="1000" w:firstLine="648"/>
        <w:spacing w:after="0" w:line="258"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Director Deferrals</w:t>
      </w:r>
      <w:r>
        <w:rPr>
          <w:rFonts w:ascii="Times New Roman" w:cs="Times New Roman" w:eastAsia="Times New Roman" w:hAnsi="Times New Roman"/>
          <w:sz w:val="22"/>
          <w:szCs w:val="22"/>
          <w:color w:val="auto"/>
        </w:rPr>
        <w:t>” shall mean any directors’ fees that are deferred by a Participant in accordance with Article III.</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Participant’s inability to engage in any substantial gainful activity by reason of any medically determinable physical or mental impairment that can be expected to result in death or which has lasted or can be expected to last for a continuous period of not less than 12 months. Whether a Participant has incurred a Disability shall be determined by the Plan Administrator in its sole discretion, provided such decision is supported by medical evidence.</w:t>
      </w:r>
    </w:p>
    <w:p>
      <w:pPr>
        <w:spacing w:after="0" w:line="177" w:lineRule="exact"/>
        <w:rPr>
          <w:sz w:val="20"/>
          <w:szCs w:val="20"/>
          <w:color w:val="auto"/>
        </w:rPr>
      </w:pPr>
    </w:p>
    <w:p>
      <w:pPr>
        <w:ind w:left="640"/>
        <w:spacing w:after="0"/>
        <w:tabs>
          <w:tab w:leader="none" w:pos="13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shall mean September 9, 2009.</w:t>
      </w:r>
    </w:p>
    <w:p>
      <w:pPr>
        <w:spacing w:after="0" w:line="22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a non-employee director of the Company who has been selected by the Plan Administrator to participate in the Plan and for whom an Account is maintained under the Plan.</w:t>
      </w:r>
    </w:p>
    <w:p>
      <w:pPr>
        <w:spacing w:after="0" w:line="17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Phantom Share</w:t>
      </w:r>
      <w:r>
        <w:rPr>
          <w:rFonts w:ascii="Times New Roman" w:cs="Times New Roman" w:eastAsia="Times New Roman" w:hAnsi="Times New Roman"/>
          <w:sz w:val="21"/>
          <w:szCs w:val="21"/>
          <w:color w:val="auto"/>
        </w:rPr>
        <w:t>” shall mean a deemed share, the value of which equals the Share Value.</w:t>
      </w:r>
    </w:p>
    <w:p>
      <w:pPr>
        <w:spacing w:after="0" w:line="20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the Bentley Systems, Incorporated Nonqualified Deferred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Compensation Plan for Non-Employee Directors, as set forth herein and as it may be amended from time to time.</w:t>
      </w:r>
    </w:p>
    <w:p>
      <w:pPr>
        <w:spacing w:after="0" w:line="194" w:lineRule="exact"/>
        <w:rPr>
          <w:sz w:val="20"/>
          <w:szCs w:val="20"/>
          <w:color w:val="auto"/>
        </w:rPr>
      </w:pPr>
    </w:p>
    <w:p>
      <w:pPr>
        <w:ind w:right="440" w:firstLine="648"/>
        <w:spacing w:after="0" w:line="244"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Plan Administrator</w:t>
      </w:r>
      <w:r>
        <w:rPr>
          <w:rFonts w:ascii="Times New Roman" w:cs="Times New Roman" w:eastAsia="Times New Roman" w:hAnsi="Times New Roman"/>
          <w:sz w:val="22"/>
          <w:szCs w:val="22"/>
          <w:color w:val="auto"/>
        </w:rPr>
        <w:t>” shall mean an individual or a committee appointed by the Board to administer the Plan. If no individual or committee is so appointed, the Plan Administrator shall be the Board itself (excluding any Participant).</w:t>
      </w:r>
    </w:p>
    <w:p>
      <w:pPr>
        <w:spacing w:after="0" w:line="18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Year</w:t>
      </w:r>
      <w:r>
        <w:rPr>
          <w:rFonts w:ascii="Times New Roman" w:cs="Times New Roman" w:eastAsia="Times New Roman" w:hAnsi="Times New Roman"/>
          <w:sz w:val="21"/>
          <w:szCs w:val="21"/>
          <w:color w:val="auto"/>
        </w:rPr>
        <w:t>” shall mean each calendar year beginning with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80" w:top="1219" w:right="1019" w:bottom="1440" w:gutter="0" w:footer="0" w:header="0"/>
        </w:sectPr>
      </w:pPr>
    </w:p>
    <w:bookmarkStart w:id="354" w:name="page355"/>
    <w:bookmarkEnd w:id="354"/>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shall mean that the Company has registered a class of its common stock under Section 12 of the Securities Exchange Act. Notwithstanding the preceding sentence, the Company shall not be considered to be Publicly Traded if the Plan Administrator determines, in good faith, that there has not been sufficient trading volume of Company Stock to create a fair determination of Share Value pursuant to Section 1.23(b).</w:t>
      </w:r>
    </w:p>
    <w:p>
      <w:pPr>
        <w:spacing w:after="0" w:line="1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shall mean the Securities Exchange Act of 1934, as amended, and the rules and regulations promulgated thereunder.</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shall mean a “separation from service” (as defined in Section 409A(a)</w:t>
      </w:r>
    </w:p>
    <w:p>
      <w:pPr>
        <w:spacing w:after="0" w:line="14"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2"/>
          <w:szCs w:val="22"/>
          <w:color w:val="auto"/>
        </w:rPr>
        <w:t>(2)(A)(i) of the Code and the regulations issued thereunder). See the footnote in Appendix A-1 attached hereto for a summary of such definition.</w:t>
      </w:r>
    </w:p>
    <w:p>
      <w:pPr>
        <w:spacing w:after="0" w:line="192"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Share Value</w:t>
      </w:r>
      <w:r>
        <w:rPr>
          <w:rFonts w:ascii="Times New Roman" w:cs="Times New Roman" w:eastAsia="Times New Roman" w:hAnsi="Times New Roman"/>
          <w:sz w:val="22"/>
          <w:szCs w:val="22"/>
          <w:color w:val="auto"/>
        </w:rPr>
        <w:t>” shall mean the value determined pursuant to subsection (a), subsection (b), or subsection (c) below, as applicable:</w:t>
      </w:r>
    </w:p>
    <w:p>
      <w:pPr>
        <w:spacing w:after="0" w:line="172" w:lineRule="exact"/>
        <w:rPr>
          <w:sz w:val="20"/>
          <w:szCs w:val="20"/>
          <w:color w:val="auto"/>
        </w:rPr>
      </w:pPr>
    </w:p>
    <w:p>
      <w:pPr>
        <w:ind w:left="640" w:right="140" w:firstLine="1303"/>
        <w:spacing w:after="0" w:line="261" w:lineRule="auto"/>
        <w:tabs>
          <w:tab w:leader="none" w:pos="260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Share Value shall mean the value of one share of Class B Stock, as determined by the Board based on the valuation of such shares by the Company’s independent appraiser, on the Valuation Date coincident with or last prior to the applicable distribution date or investment date.</w:t>
      </w:r>
    </w:p>
    <w:p>
      <w:pPr>
        <w:spacing w:after="0" w:line="157" w:lineRule="exact"/>
        <w:rPr>
          <w:rFonts w:ascii="Times New Roman" w:cs="Times New Roman" w:eastAsia="Times New Roman" w:hAnsi="Times New Roman"/>
          <w:sz w:val="21"/>
          <w:szCs w:val="21"/>
          <w:color w:val="auto"/>
        </w:rPr>
      </w:pPr>
    </w:p>
    <w:p>
      <w:pPr>
        <w:ind w:left="640" w:right="600" w:firstLine="1303"/>
        <w:spacing w:after="0" w:line="258" w:lineRule="auto"/>
        <w:tabs>
          <w:tab w:leader="none" w:pos="2621"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Except as set forth in subsection (c) below, on and after the Company becomes Publicly Traded, Share Value shall mean:</w:t>
      </w:r>
    </w:p>
    <w:p>
      <w:pPr>
        <w:spacing w:after="0" w:line="171" w:lineRule="exact"/>
        <w:rPr>
          <w:rFonts w:ascii="Times New Roman" w:cs="Times New Roman" w:eastAsia="Times New Roman" w:hAnsi="Times New Roman"/>
          <w:sz w:val="22"/>
          <w:szCs w:val="22"/>
          <w:color w:val="auto"/>
        </w:rPr>
      </w:pPr>
    </w:p>
    <w:p>
      <w:pPr>
        <w:ind w:left="1300" w:right="60" w:firstLine="1291"/>
        <w:spacing w:after="0" w:line="244" w:lineRule="auto"/>
        <w:tabs>
          <w:tab w:leader="none" w:pos="328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price of the Company Stock on a registered securities exchange or on an over-the-counter market (as applicable) on the applicable Valuation Date, if there are sales on such date;</w:t>
      </w:r>
    </w:p>
    <w:p>
      <w:pPr>
        <w:spacing w:after="0" w:line="186" w:lineRule="exact"/>
        <w:rPr>
          <w:rFonts w:ascii="Times New Roman" w:cs="Times New Roman" w:eastAsia="Times New Roman" w:hAnsi="Times New Roman"/>
          <w:sz w:val="22"/>
          <w:szCs w:val="22"/>
          <w:color w:val="auto"/>
        </w:rPr>
      </w:pPr>
    </w:p>
    <w:p>
      <w:pPr>
        <w:ind w:left="1300" w:right="80" w:firstLine="1291"/>
        <w:spacing w:after="0" w:line="244" w:lineRule="auto"/>
        <w:tabs>
          <w:tab w:leader="none" w:pos="328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of the closing prices on the nearest date before and the nearest date after the applicable Valuation Date, if there are no sales on such date but there are sales on dates within a reasonable period both before and after such date; or</w:t>
      </w:r>
    </w:p>
    <w:p>
      <w:pPr>
        <w:spacing w:after="0" w:line="173" w:lineRule="exact"/>
        <w:rPr>
          <w:rFonts w:ascii="Times New Roman" w:cs="Times New Roman" w:eastAsia="Times New Roman" w:hAnsi="Times New Roman"/>
          <w:sz w:val="22"/>
          <w:szCs w:val="22"/>
          <w:color w:val="auto"/>
        </w:rPr>
      </w:pPr>
    </w:p>
    <w:p>
      <w:pPr>
        <w:ind w:left="1300" w:right="20" w:firstLine="1291"/>
        <w:spacing w:after="0" w:line="244" w:lineRule="auto"/>
        <w:tabs>
          <w:tab w:leader="none" w:pos="328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mean between the bid and asked prices, as reported by the National Quotation Bureau, on the applicable Valuation Date, if actual sales are not available either on such date or during a reasonable period beginning before and ending after such date.</w:t>
      </w:r>
    </w:p>
    <w:p>
      <w:pPr>
        <w:spacing w:after="0" w:line="187" w:lineRule="exact"/>
        <w:rPr>
          <w:sz w:val="20"/>
          <w:szCs w:val="20"/>
          <w:color w:val="auto"/>
        </w:rPr>
      </w:pPr>
    </w:p>
    <w:p>
      <w:pPr>
        <w:ind w:left="640" w:right="80"/>
        <w:spacing w:after="0" w:line="239" w:lineRule="auto"/>
        <w:rPr>
          <w:sz w:val="20"/>
          <w:szCs w:val="20"/>
          <w:color w:val="auto"/>
        </w:rPr>
      </w:pPr>
      <w:r>
        <w:rPr>
          <w:rFonts w:ascii="Times New Roman" w:cs="Times New Roman" w:eastAsia="Times New Roman" w:hAnsi="Times New Roman"/>
          <w:sz w:val="22"/>
          <w:szCs w:val="22"/>
          <w:color w:val="auto"/>
        </w:rPr>
        <w:t>Where the fair market value of Company Stock is determined under paragraph (2) above, the closing prices of the sales on the nearest date before and the nearest date after the applicable Valuation Date shall be weighted inversely by the respective numbers of trading days between the selling dates and the applicable Valuation Date.</w:t>
      </w:r>
    </w:p>
    <w:p>
      <w:pPr>
        <w:spacing w:after="0" w:line="221" w:lineRule="exact"/>
        <w:rPr>
          <w:sz w:val="20"/>
          <w:szCs w:val="20"/>
          <w:color w:val="auto"/>
        </w:rPr>
      </w:pPr>
    </w:p>
    <w:p>
      <w:pPr>
        <w:ind w:left="2620" w:hanging="677"/>
        <w:spacing w:after="0"/>
        <w:tabs>
          <w:tab w:leader="none" w:pos="26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p>
    <w:p>
      <w:pPr>
        <w:spacing w:after="0" w:line="206" w:lineRule="exact"/>
        <w:rPr>
          <w:rFonts w:ascii="Times New Roman" w:cs="Times New Roman" w:eastAsia="Times New Roman" w:hAnsi="Times New Roman"/>
          <w:sz w:val="22"/>
          <w:szCs w:val="22"/>
          <w:color w:val="auto"/>
        </w:rPr>
      </w:pPr>
    </w:p>
    <w:p>
      <w:pPr>
        <w:ind w:left="1300" w:firstLine="1291"/>
        <w:spacing w:after="0" w:line="258" w:lineRule="auto"/>
        <w:tabs>
          <w:tab w:leader="none" w:pos="3281"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or a 409A Change in Control before the Company becomes Publicly Traded, Share Value shall mean the final price per share 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4820" w:hanging="136"/>
        <w:spacing w:after="0"/>
        <w:tabs>
          <w:tab w:leader="none" w:pos="4820" w:val="left"/>
        </w:tabs>
        <w:numPr>
          <w:ilvl w:val="2"/>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55" w:name="page356"/>
    <w:bookmarkEnd w:id="355"/>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common stock (determined on a fully diluted basis) agreed upon by the parties to such change in control (or, in the event of an asset sale that constitutes a Change in Control or a 409A Change in Control, the final purchase price, including any assumption of debt, agreed upon by the parties to such change in control divided by the number of outstanding shares of common stock, determined on a fully diluted basis, on the date of such sale).</w:t>
      </w:r>
    </w:p>
    <w:p>
      <w:pPr>
        <w:spacing w:after="0" w:line="190" w:lineRule="exact"/>
        <w:rPr>
          <w:sz w:val="20"/>
          <w:szCs w:val="20"/>
          <w:color w:val="auto"/>
        </w:rPr>
      </w:pPr>
    </w:p>
    <w:p>
      <w:pPr>
        <w:ind w:left="1300" w:firstLine="1291"/>
        <w:spacing w:after="0" w:line="235" w:lineRule="auto"/>
        <w:tabs>
          <w:tab w:leader="none" w:pos="328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or a 409A Change in Control after the Company becomes Publicly Traded, Share Value shall mean the final price per share of Company Stock (determined on a fully diluted basis) agreed upon by the parties to such change in control (or, in the event of an asset sale that constitutes a Change in Control or a 409A Change in Control, the final purchase price agreed upon by the parties to such change in control divided by the number of outstanding shares of Company Stock, determined on a fully diluted basis, on the date of such sale).</w:t>
      </w:r>
    </w:p>
    <w:p>
      <w:pPr>
        <w:spacing w:after="0" w:line="18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Valuation Date</w:t>
      </w:r>
      <w:r>
        <w:rPr>
          <w:rFonts w:ascii="Times New Roman" w:cs="Times New Roman" w:eastAsia="Times New Roman" w:hAnsi="Times New Roman"/>
          <w:sz w:val="21"/>
          <w:szCs w:val="21"/>
          <w:color w:val="auto"/>
        </w:rPr>
        <w:t>” shall mean:</w:t>
      </w:r>
    </w:p>
    <w:p>
      <w:pPr>
        <w:spacing w:after="0" w:line="220" w:lineRule="exact"/>
        <w:rPr>
          <w:sz w:val="20"/>
          <w:szCs w:val="20"/>
          <w:color w:val="auto"/>
        </w:rPr>
      </w:pPr>
    </w:p>
    <w:p>
      <w:pPr>
        <w:ind w:right="40" w:firstLine="1294"/>
        <w:spacing w:after="0" w:line="239" w:lineRule="auto"/>
        <w:tabs>
          <w:tab w:leader="none" w:pos="196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(i) With respect to each Investment Fund, Valuation Date shall mean each business day on which such fund is available to be traded on a public market, and (ii) with respect to Phantom Shares and except as provided in subsections (b) and (c) below, Valuation Date shall mean any date on which the Board determines the current fair market value of one share of Class B Stock.</w:t>
      </w:r>
    </w:p>
    <w:p>
      <w:pPr>
        <w:spacing w:after="0" w:line="193" w:lineRule="exact"/>
        <w:rPr>
          <w:rFonts w:ascii="Times New Roman" w:cs="Times New Roman" w:eastAsia="Times New Roman" w:hAnsi="Times New Roman"/>
          <w:sz w:val="22"/>
          <w:szCs w:val="22"/>
          <w:color w:val="auto"/>
        </w:rPr>
      </w:pPr>
    </w:p>
    <w:p>
      <w:pPr>
        <w:ind w:firstLine="1294"/>
        <w:spacing w:after="0" w:line="246" w:lineRule="auto"/>
        <w:tabs>
          <w:tab w:leader="none" w:pos="198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subsection (a)(ii) above, if the Company enters into a binding agreement to undergo a Change in Control or a 409A Change in Control (the “Transaction”), amounts scheduled to be distributed under the Plan after such binding agreement is entered into that are based on the Share Value of Phantom Shares shall generally not be distributed until the closing date of the Transaction or its earlier termination. If distribution occurs on account of the termination of the Transaction, all such amounts shall be distributed at the Share Value last determined prior to such distribution. However, if neither the closing date nor the termination of the Transaction occurs on or before December 31 of the year in which such binding agreement is entered into, all such amounts that are scheduled to be distributed in such year shall be paid on or before such December 31 and shall be distributed at the Share Value last determined prior to such distribution.</w:t>
      </w:r>
    </w:p>
    <w:p>
      <w:pPr>
        <w:spacing w:after="0" w:line="175" w:lineRule="exact"/>
        <w:rPr>
          <w:rFonts w:ascii="Times New Roman" w:cs="Times New Roman" w:eastAsia="Times New Roman" w:hAnsi="Times New Roman"/>
          <w:sz w:val="21"/>
          <w:szCs w:val="21"/>
          <w:color w:val="auto"/>
        </w:rPr>
      </w:pPr>
    </w:p>
    <w:p>
      <w:pPr>
        <w:ind w:right="600" w:firstLine="1294"/>
        <w:spacing w:after="0" w:line="244" w:lineRule="auto"/>
        <w:tabs>
          <w:tab w:leader="none" w:pos="196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If the Company becomes Publicly Traded, the Valuation Date for Phantom Shares shall mean each business day on which shares of Company Stock are tradable on a public market.</w:t>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COMPANY CONTRIBUTION UNITS</w:t>
      </w:r>
    </w:p>
    <w:p>
      <w:pPr>
        <w:spacing w:after="0" w:line="18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Prior Awards</w:t>
      </w:r>
      <w:r>
        <w:rPr>
          <w:rFonts w:ascii="Times New Roman" w:cs="Times New Roman" w:eastAsia="Times New Roman" w:hAnsi="Times New Roman"/>
          <w:sz w:val="21"/>
          <w:szCs w:val="21"/>
          <w:color w:val="auto"/>
        </w:rPr>
        <w:t>. For Plan Years prior to January 1, 2015, the Plan Administrator, in its sole discretion, credited Company Contribution Units on behalf of certain non-employee directors to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080" w:top="1219" w:right="1039" w:bottom="1440" w:gutter="0" w:footer="0" w:header="0"/>
        </w:sectPr>
      </w:pPr>
    </w:p>
    <w:bookmarkStart w:id="356" w:name="page357"/>
    <w:bookmarkEnd w:id="356"/>
    <w:p>
      <w:pPr>
        <w:ind w:right="600"/>
        <w:spacing w:after="0" w:line="258" w:lineRule="auto"/>
        <w:rPr>
          <w:sz w:val="20"/>
          <w:szCs w:val="20"/>
          <w:color w:val="auto"/>
        </w:rPr>
      </w:pPr>
      <w:r>
        <w:rPr>
          <w:rFonts w:ascii="Times New Roman" w:cs="Times New Roman" w:eastAsia="Times New Roman" w:hAnsi="Times New Roman"/>
          <w:sz w:val="22"/>
          <w:szCs w:val="22"/>
          <w:color w:val="auto"/>
        </w:rPr>
        <w:t>established for such non-employee directors. No Company Contribution Units shall be credited on or after January 1, 2015.</w:t>
      </w:r>
    </w:p>
    <w:p>
      <w:pPr>
        <w:spacing w:after="0" w:line="172" w:lineRule="exact"/>
        <w:rPr>
          <w:sz w:val="20"/>
          <w:szCs w:val="20"/>
          <w:color w:val="auto"/>
        </w:rPr>
      </w:pPr>
    </w:p>
    <w:p>
      <w:pPr>
        <w:ind w:right="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Company Contribution Units credited to a Participant’s Account on or after March 1, 2011 and before January 1, 2015 vest in such installments and on such dates as the Plan Administrator specified at the time of grant. In the event the Participant (i) voluntarily resigns or declines to run for re-election (or is not nominated to run for re-election for any reason that would constitute Cause), or (ii) is removed from the Board for Cause, he or she shall forfeit any unvested Company Contribution Units credited to his or her Account at the time of termination of his or her service as a director. In the event the Participant’s service on the Board ends (i) as a result of the Participant’s death or Disability, (ii) because the Participant is not nominated by the Board for re-election to the Board (for a reason not based on Cause), or (iii) because the Company undergoes a Change in Control or a 409A Change in Control while the Participant is still serving on the Board, he or she shall become 100 percent vested in all of the Company Contribution Units credited to his or her Account at the time of such cessation of service or such change in control. Finally, the Plan Administrator may, in its discretion, accelerate (but not decelerate), in whole or in part, the vesting of any Participant’s outstanding Company Contribution Units, if it deems such acceleration to be desirable.</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Deemed Investment</w:t>
      </w:r>
      <w:r>
        <w:rPr>
          <w:rFonts w:ascii="Times New Roman" w:cs="Times New Roman" w:eastAsia="Times New Roman" w:hAnsi="Times New Roman"/>
          <w:sz w:val="21"/>
          <w:szCs w:val="21"/>
          <w:color w:val="auto"/>
        </w:rPr>
        <w:t>. Company Contribution Units shall be deemed invested in Phantom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Phantom Shares may contain a fraction, rounded to the nearest 1/10,000 (0.0001) of a share.</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Distribution of Company Contribution Units</w:t>
      </w:r>
    </w:p>
    <w:p>
      <w:pPr>
        <w:spacing w:after="0" w:line="220" w:lineRule="exact"/>
        <w:rPr>
          <w:sz w:val="20"/>
          <w:szCs w:val="20"/>
          <w:color w:val="auto"/>
        </w:rPr>
      </w:pPr>
    </w:p>
    <w:p>
      <w:pPr>
        <w:ind w:left="640" w:firstLine="1303"/>
        <w:spacing w:after="0" w:line="234" w:lineRule="auto"/>
        <w:tabs>
          <w:tab w:leader="none" w:pos="2605"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distribute a Participant’s vested Company Contribution Units in seven annual installments beginning, unless the Participant elects otherwise in accordance with Section 4.1(a), on, or as soon as administratively practicable after, the April 1 following the fourth anniversary of the date on which such units were credited to the Participant’s Account, and on, or as soon as administratively practicable after, each April 1 thereafter. Such distribution shall be made in Class B Stock, except that the value of any fractional Phantom Share shall be distributed in cash on, or as soon as administratively practicable after, such April 1. For purposes of determining the value of any such fractional Phantom Share and for purposes of determining the value of any such distribution of Class B Stock for tax purposes, the value of each share of Class B Stock shall equal the Share Value on the actual distribution date.</w:t>
      </w:r>
    </w:p>
    <w:p>
      <w:pPr>
        <w:spacing w:after="0" w:line="192" w:lineRule="exact"/>
        <w:rPr>
          <w:rFonts w:ascii="Times New Roman" w:cs="Times New Roman" w:eastAsia="Times New Roman" w:hAnsi="Times New Roman"/>
          <w:sz w:val="22"/>
          <w:szCs w:val="22"/>
          <w:color w:val="auto"/>
        </w:rPr>
      </w:pPr>
    </w:p>
    <w:p>
      <w:pPr>
        <w:ind w:left="640" w:right="40" w:firstLine="1303"/>
        <w:spacing w:after="0" w:line="248" w:lineRule="auto"/>
        <w:tabs>
          <w:tab w:leader="none" w:pos="2621"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subsection (d) below, the amount of each installment distribution, other than the final distribution, shall equal 1/n multiplied by the number of Phantom Shares attributable to vested Company Contribution Units in the Participant’s Account as of the day prior to the stated distribution date, where “n” equals the number of distributions yet to be made. The final distribution will equal the number of Phantom Shares attributable to vested Company Contribution Units in the Participant’s Account as of the day prior to the final stated distribution date. For example, if distributions are to commence to a Participant on April 1, 2015, the first distribution will</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2" w:lineRule="exact"/>
        <w:rPr>
          <w:rFonts w:ascii="Times New Roman" w:cs="Times New Roman" w:eastAsia="Times New Roman" w:hAnsi="Times New Roman"/>
          <w:sz w:val="21"/>
          <w:szCs w:val="21"/>
          <w:color w:val="auto"/>
        </w:rPr>
      </w:pPr>
    </w:p>
    <w:p>
      <w:pPr>
        <w:ind w:left="4820" w:hanging="136"/>
        <w:spacing w:after="0"/>
        <w:tabs>
          <w:tab w:leader="none" w:pos="482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080" w:top="1219" w:right="1039" w:bottom="1440" w:gutter="0" w:footer="0" w:header="0"/>
        </w:sectPr>
      </w:pPr>
    </w:p>
    <w:bookmarkStart w:id="357" w:name="page358"/>
    <w:bookmarkEnd w:id="357"/>
    <w:p>
      <w:pPr>
        <w:ind w:left="280"/>
        <w:spacing w:after="0" w:line="251" w:lineRule="auto"/>
        <w:rPr>
          <w:sz w:val="20"/>
          <w:szCs w:val="20"/>
          <w:color w:val="auto"/>
        </w:rPr>
      </w:pPr>
      <w:r>
        <w:rPr>
          <w:rFonts w:ascii="Times New Roman" w:cs="Times New Roman" w:eastAsia="Times New Roman" w:hAnsi="Times New Roman"/>
          <w:sz w:val="21"/>
          <w:szCs w:val="21"/>
          <w:color w:val="auto"/>
        </w:rPr>
        <w:t>be made to the Participant on, or as soon as administratively practicable after, April 1, 2015 and will equal 1/7 of the March 31, 2015 number of Phantom Shares attributable to vested Company Contribution Units in the Participant’s Account. The April 1, 2016 distribution will be made to the Participant as soon as administrative practicable on or after April 1, 2016 and will equal 1/6 of the March 31, 2016 number of Phantom Shares attributable to vested Company Contribution Units in the Participant’s Account.</w:t>
      </w:r>
    </w:p>
    <w:p>
      <w:pPr>
        <w:spacing w:after="0" w:line="182" w:lineRule="exact"/>
        <w:rPr>
          <w:sz w:val="20"/>
          <w:szCs w:val="20"/>
          <w:color w:val="auto"/>
        </w:rPr>
      </w:pPr>
    </w:p>
    <w:p>
      <w:pPr>
        <w:ind w:left="280" w:right="160" w:firstLine="1296"/>
        <w:spacing w:after="0" w:line="238" w:lineRule="auto"/>
        <w:rPr>
          <w:sz w:val="20"/>
          <w:szCs w:val="20"/>
          <w:color w:val="auto"/>
        </w:rPr>
      </w:pPr>
      <w:r>
        <w:rPr>
          <w:rFonts w:ascii="Times New Roman" w:cs="Times New Roman" w:eastAsia="Times New Roman" w:hAnsi="Times New Roman"/>
          <w:sz w:val="22"/>
          <w:szCs w:val="22"/>
          <w:color w:val="auto"/>
        </w:rPr>
        <w:t>In the above example, if the Participant has 700 Phantom Shares in his or her Account as of March 31, 2015, the Participant will receive 100 shares of Class B Stock as soon as administrative practicable on or after April 1, 2015. Six hundred Phantom Shares will remain in the Participant’s Account to be distributed soon as administratively practicable on or after each of the next six April 1s in the form of Class B Stock.</w:t>
      </w:r>
    </w:p>
    <w:p>
      <w:pPr>
        <w:spacing w:after="0" w:line="204" w:lineRule="exact"/>
        <w:rPr>
          <w:sz w:val="20"/>
          <w:szCs w:val="20"/>
          <w:color w:val="auto"/>
        </w:rPr>
      </w:pPr>
    </w:p>
    <w:p>
      <w:pPr>
        <w:ind w:left="280" w:firstLine="1303"/>
        <w:spacing w:after="0" w:line="238" w:lineRule="auto"/>
        <w:tabs>
          <w:tab w:leader="none" w:pos="224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death occurs during the deferral or distribution period, the number of Phantom Shares attributable to the Participant’s remaining vested Company Contribution Units (as of the day immediately preceding the date of the Participant’s death) shall be distributed in Class B Stock to the Participant’s beneficiary(ies) on, or as soon as administratively practicable after, the date of the Participant’s death.</w:t>
      </w:r>
    </w:p>
    <w:p>
      <w:pPr>
        <w:spacing w:after="0" w:line="176" w:lineRule="exact"/>
        <w:rPr>
          <w:rFonts w:ascii="Times New Roman" w:cs="Times New Roman" w:eastAsia="Times New Roman" w:hAnsi="Times New Roman"/>
          <w:sz w:val="22"/>
          <w:szCs w:val="22"/>
          <w:color w:val="auto"/>
        </w:rPr>
      </w:pPr>
    </w:p>
    <w:p>
      <w:pPr>
        <w:ind w:left="280" w:right="20" w:firstLine="1303"/>
        <w:spacing w:after="0" w:line="249" w:lineRule="auto"/>
        <w:tabs>
          <w:tab w:leader="none" w:pos="226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the value of the sum of the Company Contribution Units and Director Deferrals in the Participant’s Account as of the date of the first scheduled distribution of either Company Contribution Units or Director Deferrals or as of any future date is less than or equal to the limit set forth (as adjusted) in Section 402(g)(1)(B) of the Code ($18,000 for 2015), the Company may, in its sole discretion, distribute the entire amount in such Participant’s Account in Class B Stock to the Participant soon as administratively practicable on or after such date.</w:t>
      </w:r>
    </w:p>
    <w:p>
      <w:pPr>
        <w:spacing w:after="0" w:line="18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ARTICLE III</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u w:val="single" w:color="auto"/>
          <w:color w:val="auto"/>
        </w:rPr>
        <w:t>DIRECTOR DEFERRALS</w:t>
      </w:r>
    </w:p>
    <w:p>
      <w:pPr>
        <w:spacing w:after="0" w:line="182" w:lineRule="exact"/>
        <w:rPr>
          <w:sz w:val="20"/>
          <w:szCs w:val="20"/>
          <w:color w:val="auto"/>
        </w:rPr>
      </w:pPr>
    </w:p>
    <w:p>
      <w:pPr>
        <w:ind w:left="280"/>
        <w:spacing w:after="0"/>
        <w:tabs>
          <w:tab w:leader="none" w:pos="9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Terms of Participation</w:t>
      </w:r>
    </w:p>
    <w:p>
      <w:pPr>
        <w:spacing w:after="0" w:line="220" w:lineRule="exact"/>
        <w:rPr>
          <w:sz w:val="20"/>
          <w:szCs w:val="20"/>
          <w:color w:val="auto"/>
        </w:rPr>
      </w:pPr>
    </w:p>
    <w:p>
      <w:pPr>
        <w:ind w:left="280" w:right="80" w:firstLine="1303"/>
        <w:spacing w:after="0" w:line="234" w:lineRule="auto"/>
        <w:tabs>
          <w:tab w:leader="none" w:pos="2237"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elect to defer up to 100% of his or her directors’ fees under the Plan by filing an Agreement with the Company, substantially in the form of Appendix A-1 attached hereto. Except as described below with respect to a newly eligible Participant, in order to defer directors’ fees, the Agreement must be filed with the Company no later than December 31 of the Plan Year prior to the Plan Year containing any quarter in which the directors’ fees may be earned (the “Election Date”). When a Participant (who is ineligible to participate in any other nonqualified deferred compensation plan of the same type as the Plan that is sponsored by the Company or any member of its controlled group of entities within the meaning of Section 414(b) or Section 414(c) of the Code) files an Agreement with the Company, substantially in the form of Appendix A-1 attached hereto, within 30 days of first becoming eligible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19" w:right="999" w:bottom="1440" w:gutter="0" w:footer="0" w:header="0"/>
        </w:sectPr>
      </w:pPr>
    </w:p>
    <w:bookmarkStart w:id="358" w:name="page359"/>
    <w:bookmarkEnd w:id="358"/>
    <w:p>
      <w:pPr>
        <w:ind w:left="640" w:right="20"/>
        <w:spacing w:after="0" w:line="258" w:lineRule="auto"/>
        <w:rPr>
          <w:sz w:val="20"/>
          <w:szCs w:val="20"/>
          <w:color w:val="auto"/>
        </w:rPr>
      </w:pPr>
      <w:r>
        <w:rPr>
          <w:rFonts w:ascii="Times New Roman" w:cs="Times New Roman" w:eastAsia="Times New Roman" w:hAnsi="Times New Roman"/>
          <w:sz w:val="22"/>
          <w:szCs w:val="22"/>
          <w:color w:val="auto"/>
        </w:rPr>
        <w:t>participate in the Plan, deferrals of directors’ fees will commence with respect to services to be performed subsequent to the date of the Agreement.</w:t>
      </w:r>
    </w:p>
    <w:p>
      <w:pPr>
        <w:spacing w:after="0" w:line="172" w:lineRule="exact"/>
        <w:rPr>
          <w:sz w:val="20"/>
          <w:szCs w:val="20"/>
          <w:color w:val="auto"/>
        </w:rPr>
      </w:pPr>
    </w:p>
    <w:p>
      <w:pPr>
        <w:ind w:left="1300" w:right="420"/>
        <w:spacing w:after="0" w:line="238" w:lineRule="auto"/>
        <w:rPr>
          <w:sz w:val="20"/>
          <w:szCs w:val="20"/>
          <w:color w:val="auto"/>
        </w:rPr>
      </w:pPr>
      <w:r>
        <w:rPr>
          <w:rFonts w:ascii="Times New Roman" w:cs="Times New Roman" w:eastAsia="Times New Roman" w:hAnsi="Times New Roman"/>
          <w:sz w:val="22"/>
          <w:szCs w:val="22"/>
          <w:color w:val="auto"/>
        </w:rPr>
        <w:t>Except as provided above with respect to a newly eligible Participant, a Participant’s deferral election will commence on January 1 of the Plan Year immediately following the applicable Election Date, and will continue in effect until terminated pursuant to subsection (b) below. A Participant may revoke his or her election under this subsection (a) at any time up to the applicable Election Date, after which any such election shall become irrevocable.</w:t>
      </w:r>
    </w:p>
    <w:p>
      <w:pPr>
        <w:spacing w:after="0" w:line="177" w:lineRule="exact"/>
        <w:rPr>
          <w:sz w:val="20"/>
          <w:szCs w:val="20"/>
          <w:color w:val="auto"/>
        </w:rPr>
      </w:pPr>
    </w:p>
    <w:p>
      <w:pPr>
        <w:ind w:left="640" w:right="20" w:firstLine="1303"/>
        <w:spacing w:after="0" w:line="236" w:lineRule="auto"/>
        <w:tabs>
          <w:tab w:leader="none" w:pos="262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Deferrals will continue until the Participant furnishes an Agreement to the Company indicating that the Participant terminates his or her Director Deferrals, or until such time as the Company terminates the Plan. A Participant may terminate his or her deferral elections with respect to any directors’ fees for which the applicable Election Date has not passed by delivering an Agreement to the Company, substantially in the form of Appendix A-3 attached hereto, no later than the applicable Election Date.</w:t>
      </w:r>
    </w:p>
    <w:p>
      <w:pPr>
        <w:spacing w:after="0" w:line="181" w:lineRule="exact"/>
        <w:rPr>
          <w:rFonts w:ascii="Times New Roman" w:cs="Times New Roman" w:eastAsia="Times New Roman" w:hAnsi="Times New Roman"/>
          <w:sz w:val="22"/>
          <w:szCs w:val="22"/>
          <w:color w:val="auto"/>
        </w:rPr>
      </w:pPr>
    </w:p>
    <w:p>
      <w:pPr>
        <w:ind w:left="640" w:right="220" w:firstLine="1303"/>
        <w:spacing w:after="0" w:line="244" w:lineRule="auto"/>
        <w:tabs>
          <w:tab w:leader="none" w:pos="259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has terminated his or her Director Deferrals may subsequently elect to make Director Deferrals again by filing a new Agreement in accordance with subsection (a) above.</w:t>
      </w:r>
    </w:p>
    <w:p>
      <w:pPr>
        <w:spacing w:after="0" w:line="173" w:lineRule="exact"/>
        <w:rPr>
          <w:rFonts w:ascii="Times New Roman" w:cs="Times New Roman" w:eastAsia="Times New Roman" w:hAnsi="Times New Roman"/>
          <w:sz w:val="22"/>
          <w:szCs w:val="22"/>
          <w:color w:val="auto"/>
        </w:rPr>
      </w:pPr>
    </w:p>
    <w:p>
      <w:pPr>
        <w:ind w:left="640" w:right="300" w:firstLine="1303"/>
        <w:spacing w:after="0" w:line="248" w:lineRule="auto"/>
        <w:tabs>
          <w:tab w:leader="none" w:pos="2609"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alter the amount of Director Deferrals for any directors’ fees with respect to which the applicable Election Date has not passed and/or elect a different method by which he or she will be distributed Director Deferrals for any directors’ fees with respect to which the applicable Election Date has not passed, if the Participant executes and files with the Company a new Agreement, in accordance with subsection (a) above, no later than the applicable Election Date for the directors’ fees. For each new Agreement that changes the method of distribution of Director Deferrals, the Plan Administrator will establish a new sub-account for the Participant.</w:t>
      </w:r>
    </w:p>
    <w:p>
      <w:pPr>
        <w:spacing w:after="0" w:line="184"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Deferred Compensation Account</w:t>
      </w:r>
      <w:r>
        <w:rPr>
          <w:rFonts w:ascii="Times New Roman" w:cs="Times New Roman" w:eastAsia="Times New Roman" w:hAnsi="Times New Roman"/>
          <w:sz w:val="22"/>
          <w:szCs w:val="22"/>
          <w:color w:val="auto"/>
        </w:rPr>
        <w:t>. All of a Participant’s Director Deferrals shall be credited to the Participant’s Account in the form of a bookkeeping entry. Director Deferrals credited to a Participant’s Account shall be deemed invested in Phantom Shares (based on their Share Value on the date the Director Deferrals are withheld from the Participant’s directors’ fees).</w:t>
      </w:r>
    </w:p>
    <w:p>
      <w:pPr>
        <w:spacing w:after="0" w:line="180"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Distribution of Director Deferrals</w:t>
      </w:r>
    </w:p>
    <w:p>
      <w:pPr>
        <w:spacing w:after="0" w:line="220" w:lineRule="exact"/>
        <w:rPr>
          <w:sz w:val="20"/>
          <w:szCs w:val="20"/>
          <w:color w:val="auto"/>
        </w:rPr>
      </w:pPr>
    </w:p>
    <w:p>
      <w:pPr>
        <w:ind w:left="640" w:firstLine="1303"/>
        <w:spacing w:after="0" w:line="246" w:lineRule="auto"/>
        <w:tabs>
          <w:tab w:leader="none" w:pos="260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a Participant’s election in his or her Agreement substantially in the form of Appendix A-1 attached hereto, his or her Director Deferrals shall be distributed on, or as soon as administratively practicable after, either (i) his or her Separation from Service or (ii) a date(s) chosen by the Participant. The Participant may also elect to receive his or her Director Deferrals on, or as soon as administratively practicable after, either (A) an “unforeseeable emergency,” as defined in Section 409A(a)</w:t>
      </w:r>
    </w:p>
    <w:p>
      <w:pPr>
        <w:spacing w:after="0" w:line="1"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(2)(B)(ii) of the Code, to the extent not prohibited by that Section of the Code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84" w:lineRule="exact"/>
        <w:rPr>
          <w:rFonts w:ascii="Times New Roman" w:cs="Times New Roman" w:eastAsia="Times New Roman" w:hAnsi="Times New Roman"/>
          <w:sz w:val="21"/>
          <w:szCs w:val="21"/>
          <w:color w:val="auto"/>
        </w:rPr>
      </w:pPr>
    </w:p>
    <w:p>
      <w:pPr>
        <w:ind w:left="4820" w:hanging="136"/>
        <w:spacing w:after="0"/>
        <w:tabs>
          <w:tab w:leader="none" w:pos="4820"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59" w:name="page360"/>
    <w:bookmarkEnd w:id="359"/>
    <w:p>
      <w:pPr>
        <w:jc w:val="both"/>
        <w:ind w:left="280" w:right="380"/>
        <w:spacing w:after="0" w:line="244" w:lineRule="auto"/>
        <w:rPr>
          <w:sz w:val="20"/>
          <w:szCs w:val="20"/>
          <w:color w:val="auto"/>
        </w:rPr>
      </w:pPr>
      <w:r>
        <w:rPr>
          <w:rFonts w:ascii="Times New Roman" w:cs="Times New Roman" w:eastAsia="Times New Roman" w:hAnsi="Times New Roman"/>
          <w:sz w:val="22"/>
          <w:szCs w:val="22"/>
          <w:color w:val="auto"/>
        </w:rPr>
        <w:t>and regulations issued thereunder or (B) a 409A Change in Control. If the Participant wishes to defer further the distribution (or commencement of distribution) date for his or her Director Deferrals, the Participant may do so pursuant to Section 4.2.</w:t>
      </w:r>
    </w:p>
    <w:p>
      <w:pPr>
        <w:spacing w:after="0" w:line="187" w:lineRule="exact"/>
        <w:rPr>
          <w:sz w:val="20"/>
          <w:szCs w:val="20"/>
          <w:color w:val="auto"/>
        </w:rPr>
      </w:pPr>
    </w:p>
    <w:p>
      <w:pPr>
        <w:ind w:left="2260" w:hanging="677"/>
        <w:spacing w:after="0"/>
        <w:tabs>
          <w:tab w:leader="none" w:pos="226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elect in an Agreement substantially in the form of Appendix A-</w:t>
      </w:r>
    </w:p>
    <w:p>
      <w:pPr>
        <w:spacing w:after="0" w:line="25" w:lineRule="exact"/>
        <w:rPr>
          <w:rFonts w:ascii="Times New Roman" w:cs="Times New Roman" w:eastAsia="Times New Roman" w:hAnsi="Times New Roman"/>
          <w:sz w:val="21"/>
          <w:szCs w:val="21"/>
          <w:color w:val="auto"/>
        </w:rPr>
      </w:pPr>
    </w:p>
    <w:p>
      <w:pPr>
        <w:ind w:left="2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attached hereto to have his or her Director Deferrals distributed in:</w:t>
      </w:r>
    </w:p>
    <w:p>
      <w:pPr>
        <w:spacing w:after="0" w:line="182" w:lineRule="exact"/>
        <w:rPr>
          <w:rFonts w:ascii="Times New Roman" w:cs="Times New Roman" w:eastAsia="Times New Roman" w:hAnsi="Times New Roman"/>
          <w:sz w:val="21"/>
          <w:szCs w:val="21"/>
          <w:color w:val="auto"/>
        </w:rPr>
      </w:pPr>
    </w:p>
    <w:p>
      <w:pPr>
        <w:ind w:left="2920" w:hanging="689"/>
        <w:spacing w:after="0"/>
        <w:tabs>
          <w:tab w:leader="none" w:pos="2920"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distribution; or</w:t>
      </w:r>
    </w:p>
    <w:p>
      <w:pPr>
        <w:spacing w:after="0" w:line="219" w:lineRule="exact"/>
        <w:rPr>
          <w:rFonts w:ascii="Times New Roman" w:cs="Times New Roman" w:eastAsia="Times New Roman" w:hAnsi="Times New Roman"/>
          <w:sz w:val="22"/>
          <w:szCs w:val="22"/>
          <w:color w:val="auto"/>
        </w:rPr>
      </w:pPr>
    </w:p>
    <w:p>
      <w:pPr>
        <w:ind w:left="940" w:right="80" w:firstLine="1291"/>
        <w:spacing w:after="0" w:line="244" w:lineRule="auto"/>
        <w:tabs>
          <w:tab w:leader="none" w:pos="2921" w:val="left"/>
        </w:tabs>
        <w:numPr>
          <w:ilvl w:val="2"/>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number of annual installments (as calculated in the following paragraph) for a period of two to 10 years, distributable as of the same date in each calendar year until the balance in the Participant’s Account is exhausted.</w:t>
      </w:r>
    </w:p>
    <w:p>
      <w:pPr>
        <w:spacing w:after="0" w:line="187" w:lineRule="exact"/>
        <w:rPr>
          <w:sz w:val="20"/>
          <w:szCs w:val="20"/>
          <w:color w:val="auto"/>
        </w:rPr>
      </w:pPr>
    </w:p>
    <w:p>
      <w:pPr>
        <w:ind w:left="280" w:right="40" w:firstLine="1296"/>
        <w:spacing w:after="0" w:line="233" w:lineRule="auto"/>
        <w:rPr>
          <w:sz w:val="20"/>
          <w:szCs w:val="20"/>
          <w:color w:val="auto"/>
        </w:rPr>
      </w:pPr>
      <w:r>
        <w:rPr>
          <w:rFonts w:ascii="Times New Roman" w:cs="Times New Roman" w:eastAsia="Times New Roman" w:hAnsi="Times New Roman"/>
          <w:sz w:val="22"/>
          <w:szCs w:val="22"/>
          <w:color w:val="auto"/>
        </w:rPr>
        <w:t>Except as provided in subsection (d) below, the amount of each installment distribution, other than the final distribution, shall equal 1/n multiplied by the number of Phantom Shares attributable to Director Deferrals in the Participant’s Account as of the day prior to the stated distribution date, where “n” equals the number of distributions yet to be made. The final distribution will equal the number of Phantom Shares attributable to Director Deferrals in the Participant’s Account as of the day prior to the final stated distribution date. For example, if distributions are to be made in 10 annual installments commencing on April 1, 2015, the first distribution will be made to the Participant on, or as soon as administratively practicable after, April 1, 2015 and will equal 1/10 of the March 31, 2015 number of Phantom Shares attributable to Director Deferrals in the Participant’s Account. The April 1, 2016 distribution will be made to the Participant on, or as soon as administratively practicable after, April 1, 2016 and will equal 1/9 of the March 31, 2016 number of Phantom Shares attributable to Director Deferrals in the Participant’s Account.</w:t>
      </w:r>
    </w:p>
    <w:p>
      <w:pPr>
        <w:spacing w:after="0" w:line="185" w:lineRule="exact"/>
        <w:rPr>
          <w:sz w:val="20"/>
          <w:szCs w:val="20"/>
          <w:color w:val="auto"/>
        </w:rPr>
      </w:pPr>
    </w:p>
    <w:p>
      <w:pPr>
        <w:ind w:left="280" w:right="140" w:firstLine="1296"/>
        <w:spacing w:after="0" w:line="238" w:lineRule="auto"/>
        <w:rPr>
          <w:sz w:val="20"/>
          <w:szCs w:val="20"/>
          <w:color w:val="auto"/>
        </w:rPr>
      </w:pPr>
      <w:r>
        <w:rPr>
          <w:rFonts w:ascii="Times New Roman" w:cs="Times New Roman" w:eastAsia="Times New Roman" w:hAnsi="Times New Roman"/>
          <w:sz w:val="22"/>
          <w:szCs w:val="22"/>
          <w:color w:val="auto"/>
        </w:rPr>
        <w:t>In the above example, if the Participant has 500 Phantom Shares in his or her Account as of March 31, 2015, the Participant will receive 50 shares of Class B Stock on, or as soon as administratively practicable after, April 1, 2015. Four hundred fifty Phantom Shares will remain in the Participant’s Account to be distributed on, or as soon as administratively practicable after, each of the next nine April 1s in the form of Class B Stock.</w:t>
      </w:r>
    </w:p>
    <w:p>
      <w:pPr>
        <w:spacing w:after="0" w:line="177" w:lineRule="exact"/>
        <w:rPr>
          <w:sz w:val="20"/>
          <w:szCs w:val="20"/>
          <w:color w:val="auto"/>
        </w:rPr>
      </w:pPr>
    </w:p>
    <w:p>
      <w:pPr>
        <w:ind w:left="280" w:right="60" w:firstLine="1303"/>
        <w:spacing w:after="0" w:line="255" w:lineRule="auto"/>
        <w:tabs>
          <w:tab w:leader="none" w:pos="2249"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death occurs during the deferral or distribution period, the number of Phantom Shares attributable to the Participant’s Director Deferrals (as of the day immediately preceding the date of the Participant’s death) shall be distributed in Class B Stock to the Participant’s beneficiary(ies) on, or as soon as administratively practicable after, the date of the Participant’s death.</w:t>
      </w:r>
    </w:p>
    <w:p>
      <w:pPr>
        <w:spacing w:after="0" w:line="175" w:lineRule="exact"/>
        <w:rPr>
          <w:rFonts w:ascii="Times New Roman" w:cs="Times New Roman" w:eastAsia="Times New Roman" w:hAnsi="Times New Roman"/>
          <w:sz w:val="21"/>
          <w:szCs w:val="21"/>
          <w:color w:val="auto"/>
        </w:rPr>
      </w:pPr>
    </w:p>
    <w:p>
      <w:pPr>
        <w:ind w:left="280" w:right="340" w:firstLine="1303"/>
        <w:spacing w:after="0" w:line="239" w:lineRule="auto"/>
        <w:tabs>
          <w:tab w:leader="none" w:pos="226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value of the sum of the Company Contribution Units and the Director Deferrals in the Participant’s Account as of the date of the first scheduled distribution of either Company Contribution Units or Director Deferrals or as of any future date is less than or equal to the limit set forth (as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2" w:lineRule="exact"/>
        <w:rPr>
          <w:rFonts w:ascii="Times New Roman" w:cs="Times New Roman" w:eastAsia="Times New Roman" w:hAnsi="Times New Roman"/>
          <w:sz w:val="22"/>
          <w:szCs w:val="22"/>
          <w:color w:val="auto"/>
        </w:rPr>
      </w:pPr>
    </w:p>
    <w:p>
      <w:pPr>
        <w:ind w:left="4460" w:hanging="136"/>
        <w:spacing w:after="0"/>
        <w:tabs>
          <w:tab w:leader="none" w:pos="446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00"/>
          </w:cols>
          <w:pgMar w:left="1440" w:top="1219" w:right="1059" w:bottom="1440" w:gutter="0" w:footer="0" w:header="0"/>
        </w:sectPr>
      </w:pPr>
    </w:p>
    <w:bookmarkStart w:id="360" w:name="page361"/>
    <w:bookmarkEnd w:id="360"/>
    <w:p>
      <w:pPr>
        <w:jc w:val="both"/>
        <w:ind w:left="640"/>
        <w:spacing w:after="0" w:line="244" w:lineRule="auto"/>
        <w:rPr>
          <w:sz w:val="20"/>
          <w:szCs w:val="20"/>
          <w:color w:val="auto"/>
        </w:rPr>
      </w:pPr>
      <w:r>
        <w:rPr>
          <w:rFonts w:ascii="Times New Roman" w:cs="Times New Roman" w:eastAsia="Times New Roman" w:hAnsi="Times New Roman"/>
          <w:sz w:val="22"/>
          <w:szCs w:val="22"/>
          <w:color w:val="auto"/>
        </w:rPr>
        <w:t>adjusted) in Section 402(g)(1)(B) of the Code ($18,000 for 2015), the Company may, in its sole discretion, distribute the entire amount in such Participant’s Account in Class B Stock to the Participant on, or as soon as administratively practicable after, such date.</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IV</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u w:val="single" w:color="auto"/>
          <w:color w:val="auto"/>
        </w:rPr>
        <w:t>SUBSEQUENT DEFERRALS</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Company Contribution Units</w:t>
      </w:r>
    </w:p>
    <w:p>
      <w:pPr>
        <w:spacing w:after="0" w:line="206" w:lineRule="exact"/>
        <w:rPr>
          <w:sz w:val="20"/>
          <w:szCs w:val="20"/>
          <w:color w:val="auto"/>
        </w:rPr>
      </w:pPr>
    </w:p>
    <w:p>
      <w:pPr>
        <w:ind w:left="640" w:right="60" w:firstLine="1303"/>
        <w:spacing w:after="0" w:line="232" w:lineRule="auto"/>
        <w:tabs>
          <w:tab w:leader="none" w:pos="259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an election to defer the currently scheduled distribution (commencement of distribution) date for the distribution of his or her Company Contribution Units credited for a particular Plan Year beyond such currently scheduled date by filing an Agreement with the Company, substantially in the form of Appendix A-2 attached hereto, at least 12 months prior to the currently scheduled date; provided that the distribution (commencement of distribution) date is deferred to a date that is at least five years after such currently scheduled date. The Participant, in such subsequent deferral election, may also change the form of distribution as provided in subsection (b) below. The number of such subsequent deferral elections shall not be limited. For purposes of this Plan, any series of installment distributions of Company Contribution Units shall be treated as a single distribution, in accordance with Treas. Reg.</w:t>
      </w:r>
    </w:p>
    <w:p>
      <w:pPr>
        <w:spacing w:after="0" w:line="8"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§1.409A-2(b)(2)(iii) or any successor thereto.</w:t>
      </w:r>
    </w:p>
    <w:p>
      <w:pPr>
        <w:spacing w:after="0" w:line="195" w:lineRule="exact"/>
        <w:rPr>
          <w:rFonts w:ascii="Times New Roman" w:cs="Times New Roman" w:eastAsia="Times New Roman" w:hAnsi="Times New Roman"/>
          <w:sz w:val="22"/>
          <w:szCs w:val="22"/>
          <w:color w:val="auto"/>
        </w:rPr>
      </w:pPr>
    </w:p>
    <w:p>
      <w:pPr>
        <w:ind w:left="640" w:right="440" w:firstLine="1303"/>
        <w:spacing w:after="0" w:line="244" w:lineRule="auto"/>
        <w:tabs>
          <w:tab w:leader="none" w:pos="2609"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making an election under subsection (a) above may make a concurrent election, also substantially in the form of Appendix A-2 attached hereto, to have any such deferred Company Contribution Units distributed in:</w:t>
      </w:r>
    </w:p>
    <w:p>
      <w:pPr>
        <w:spacing w:after="0" w:line="186" w:lineRule="exact"/>
        <w:rPr>
          <w:rFonts w:ascii="Times New Roman" w:cs="Times New Roman" w:eastAsia="Times New Roman" w:hAnsi="Times New Roman"/>
          <w:sz w:val="22"/>
          <w:szCs w:val="22"/>
          <w:color w:val="auto"/>
        </w:rPr>
      </w:pPr>
    </w:p>
    <w:p>
      <w:pPr>
        <w:ind w:left="3280" w:hanging="689"/>
        <w:spacing w:after="0"/>
        <w:tabs>
          <w:tab w:leader="none" w:pos="328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distribution; or</w:t>
      </w:r>
    </w:p>
    <w:p>
      <w:pPr>
        <w:spacing w:after="0" w:line="206" w:lineRule="exact"/>
        <w:rPr>
          <w:rFonts w:ascii="Times New Roman" w:cs="Times New Roman" w:eastAsia="Times New Roman" w:hAnsi="Times New Roman"/>
          <w:sz w:val="22"/>
          <w:szCs w:val="22"/>
          <w:color w:val="auto"/>
        </w:rPr>
      </w:pPr>
    </w:p>
    <w:p>
      <w:pPr>
        <w:ind w:left="1300" w:right="60" w:firstLine="1291"/>
        <w:spacing w:after="0" w:line="255" w:lineRule="auto"/>
        <w:tabs>
          <w:tab w:leader="none" w:pos="3281"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number of annual installments (with the amount of each installment distribution calculated pursuant to Section 2.4(b)) for a period of two to seven years, distributable on, or as soon as administratively practicable after, the same date (as elected by the Participant) in each calendar year until the balance in the Participant’s Account is exhausted.</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If no election is made under this subsection (b), the distribution of any Company Contribution Units further deferred under subsection (a) above will be made in accordance with the previous method of distribution.</w:t>
      </w:r>
    </w:p>
    <w:p>
      <w:pPr>
        <w:spacing w:after="0" w:line="16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Director Deferrals</w:t>
      </w:r>
    </w:p>
    <w:p>
      <w:pPr>
        <w:spacing w:after="0" w:line="220" w:lineRule="exact"/>
        <w:rPr>
          <w:sz w:val="20"/>
          <w:szCs w:val="20"/>
          <w:color w:val="auto"/>
        </w:rPr>
      </w:pPr>
    </w:p>
    <w:p>
      <w:pPr>
        <w:ind w:left="640" w:right="120" w:firstLine="1303"/>
        <w:spacing w:after="0" w:line="236" w:lineRule="auto"/>
        <w:tabs>
          <w:tab w:leader="none" w:pos="259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an election to defer the currently scheduled distribution (commencement of distribution) date for the distribution of his or her Director Deferrals beyond such currently scheduled date by filing a new Agreement with the Company, substantially in the form of Appendix A-2 attached hereto, at least 12 months prior to the currently scheduled date; provided that the distribution (commencement of distribution) date is deferred to a date that is at least five years after such currently scheduled date. The Participant, in such subsequent deferral election, may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ind w:left="4760" w:hanging="130"/>
        <w:spacing w:after="0"/>
        <w:tabs>
          <w:tab w:leader="none" w:pos="47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61" w:name="page362"/>
    <w:bookmarkEnd w:id="361"/>
    <w:p>
      <w:pPr>
        <w:jc w:val="both"/>
        <w:ind w:left="640" w:right="120"/>
        <w:spacing w:after="0" w:line="249" w:lineRule="auto"/>
        <w:rPr>
          <w:sz w:val="20"/>
          <w:szCs w:val="20"/>
          <w:color w:val="auto"/>
        </w:rPr>
      </w:pPr>
      <w:r>
        <w:rPr>
          <w:rFonts w:ascii="Times New Roman" w:cs="Times New Roman" w:eastAsia="Times New Roman" w:hAnsi="Times New Roman"/>
          <w:sz w:val="21"/>
          <w:szCs w:val="21"/>
          <w:color w:val="auto"/>
        </w:rPr>
        <w:t>also change the form of distribution as provided in subsection (b) below. The number of such subsequent deferral elections shall not be limited. For purposes of this Plan, any series of installment distributions of Director Deferrals shall be treated as a single distribution, in accordance with Treas. Reg. §1.409A-2(b)</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(2)(iii) or any successor thereto.</w:t>
      </w:r>
    </w:p>
    <w:p>
      <w:pPr>
        <w:spacing w:after="0" w:line="182" w:lineRule="exact"/>
        <w:rPr>
          <w:sz w:val="20"/>
          <w:szCs w:val="20"/>
          <w:color w:val="auto"/>
        </w:rPr>
      </w:pPr>
    </w:p>
    <w:p>
      <w:pPr>
        <w:ind w:left="640" w:right="440" w:firstLine="1303"/>
        <w:spacing w:after="0" w:line="244" w:lineRule="auto"/>
        <w:tabs>
          <w:tab w:leader="none" w:pos="2609"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making an election under subsection (a) above may make a concurrent election, also substantially in the form of Appendix A-2 attached hereto, to have any such deferred Director Deferrals distributed in:</w:t>
      </w:r>
    </w:p>
    <w:p>
      <w:pPr>
        <w:spacing w:after="0" w:line="186" w:lineRule="exact"/>
        <w:rPr>
          <w:rFonts w:ascii="Times New Roman" w:cs="Times New Roman" w:eastAsia="Times New Roman" w:hAnsi="Times New Roman"/>
          <w:sz w:val="22"/>
          <w:szCs w:val="22"/>
          <w:color w:val="auto"/>
        </w:rPr>
      </w:pPr>
    </w:p>
    <w:p>
      <w:pPr>
        <w:ind w:left="3280" w:hanging="689"/>
        <w:spacing w:after="0"/>
        <w:tabs>
          <w:tab w:leader="none" w:pos="328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single distribution; or</w:t>
      </w:r>
    </w:p>
    <w:p>
      <w:pPr>
        <w:spacing w:after="0" w:line="206" w:lineRule="exact"/>
        <w:rPr>
          <w:rFonts w:ascii="Times New Roman" w:cs="Times New Roman" w:eastAsia="Times New Roman" w:hAnsi="Times New Roman"/>
          <w:sz w:val="22"/>
          <w:szCs w:val="22"/>
          <w:color w:val="auto"/>
        </w:rPr>
      </w:pPr>
    </w:p>
    <w:p>
      <w:pPr>
        <w:ind w:left="1300" w:right="40" w:firstLine="1291"/>
        <w:spacing w:after="0" w:line="236" w:lineRule="auto"/>
        <w:tabs>
          <w:tab w:leader="none" w:pos="3281"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number of annual installments (with the amount of each installment distribution calculated pursuant to Section 3.3(b)) for a period of two to 10 years, distributable on, or as soon as administratively practicable after, the same date (as elected by the Participant) in each calendar year until the</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balance in the Participant’s Account is exhausted.</w:t>
      </w:r>
    </w:p>
    <w:p>
      <w:pPr>
        <w:spacing w:after="0" w:line="196" w:lineRule="exact"/>
        <w:rPr>
          <w:sz w:val="20"/>
          <w:szCs w:val="20"/>
          <w:color w:val="auto"/>
        </w:rPr>
      </w:pPr>
    </w:p>
    <w:p>
      <w:pPr>
        <w:ind w:left="640" w:right="20"/>
        <w:spacing w:after="0" w:line="282" w:lineRule="auto"/>
        <w:rPr>
          <w:sz w:val="20"/>
          <w:szCs w:val="20"/>
          <w:color w:val="auto"/>
        </w:rPr>
      </w:pPr>
      <w:r>
        <w:rPr>
          <w:rFonts w:ascii="Times New Roman" w:cs="Times New Roman" w:eastAsia="Times New Roman" w:hAnsi="Times New Roman"/>
          <w:sz w:val="21"/>
          <w:szCs w:val="21"/>
          <w:color w:val="auto"/>
        </w:rPr>
        <w:t>If no election is made under this subsection (b), the distribution of any Director Deferrals further deferred under subsection (a) above will be made in accordance with the previous method of distribution.</w:t>
      </w:r>
    </w:p>
    <w:p>
      <w:pPr>
        <w:spacing w:after="0" w:line="1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V</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u w:val="single" w:color="auto"/>
          <w:color w:val="auto"/>
        </w:rPr>
        <w:t>DIVIDEND EQUIVALENTS</w:t>
      </w:r>
    </w:p>
    <w:p>
      <w:pPr>
        <w:spacing w:after="0" w:line="182"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22"/>
          <w:szCs w:val="22"/>
          <w:color w:val="auto"/>
        </w:rPr>
        <w:t>A Participant’s Account that is deemed invested in Phantom Shares shall be credited, based on the number of such Phantom Shares, with any cash dividends that would have been paid if the Phantom Shares were instead shares of the Company’s Class A Voting Common Stock or Class B Stock, as applicable, and the amount of such credit shall be deemed invested in Phantom Shares, as determined by the Board. For this purpose, the extraordinary cash dividend that would have been paid on March 19, 2015 shall be deemed invested in Phantom Shares, as determined by the Board.</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VI</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ADMINISTRATION</w:t>
      </w:r>
    </w:p>
    <w:p>
      <w:pPr>
        <w:spacing w:after="0" w:line="18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 Authority</w:t>
      </w:r>
      <w:r>
        <w:rPr>
          <w:rFonts w:ascii="Times New Roman" w:cs="Times New Roman" w:eastAsia="Times New Roman" w:hAnsi="Times New Roman"/>
          <w:sz w:val="22"/>
          <w:szCs w:val="22"/>
          <w:color w:val="auto"/>
        </w:rPr>
        <w:t>. The Plan shall be administered by the Plan Administrator. The Plan Administrator shall have full authority, subject to the terms of the Plan, to select the non-employee directors to become Participants.</w:t>
      </w:r>
    </w:p>
    <w:p>
      <w:pPr>
        <w:spacing w:after="0" w:line="187" w:lineRule="exact"/>
        <w:rPr>
          <w:sz w:val="20"/>
          <w:szCs w:val="20"/>
          <w:color w:val="auto"/>
        </w:rPr>
      </w:pPr>
    </w:p>
    <w:p>
      <w:pPr>
        <w:ind w:right="2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Rights of the Plan Administrator</w:t>
      </w:r>
      <w:r>
        <w:rPr>
          <w:rFonts w:ascii="Times New Roman" w:cs="Times New Roman" w:eastAsia="Times New Roman" w:hAnsi="Times New Roman"/>
          <w:sz w:val="22"/>
          <w:szCs w:val="22"/>
          <w:color w:val="auto"/>
        </w:rPr>
        <w:t>. The Plan Administrator shall also have the authority to adopt 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subsidiaries, shareholders, employees and directors, upon their respective legal representatives, beneficiaries,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62" w:name="page363"/>
    <w:bookmarkEnd w:id="362"/>
    <w:p>
      <w:pPr>
        <w:jc w:val="both"/>
        <w:ind w:right="440"/>
        <w:spacing w:after="0" w:line="244" w:lineRule="auto"/>
        <w:rPr>
          <w:sz w:val="20"/>
          <w:szCs w:val="20"/>
          <w:color w:val="auto"/>
        </w:rPr>
      </w:pPr>
      <w:r>
        <w:rPr>
          <w:rFonts w:ascii="Times New Roman" w:cs="Times New Roman" w:eastAsia="Times New Roman" w:hAnsi="Times New Roman"/>
          <w:sz w:val="22"/>
          <w:szCs w:val="22"/>
          <w:color w:val="auto"/>
        </w:rPr>
        <w:t>and assigns, and upon all other persons claiming under or through any of them. The Plan Administrator may correct any defect, supply any omission, and reconcile any inconsistency in this Plan and in any Agreement hereunder in the manner and to the extent it shall deem desirable.</w:t>
      </w:r>
    </w:p>
    <w:p>
      <w:pPr>
        <w:spacing w:after="0" w:line="187" w:lineRule="exact"/>
        <w:rPr>
          <w:sz w:val="20"/>
          <w:szCs w:val="20"/>
          <w:color w:val="auto"/>
        </w:rPr>
      </w:pPr>
    </w:p>
    <w:p>
      <w:pPr>
        <w:ind w:right="4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Final Determination</w:t>
      </w:r>
      <w:r>
        <w:rPr>
          <w:rFonts w:ascii="Times New Roman" w:cs="Times New Roman" w:eastAsia="Times New Roman" w:hAnsi="Times New Roman"/>
          <w:sz w:val="22"/>
          <w:szCs w:val="22"/>
          <w:color w:val="auto"/>
        </w:rPr>
        <w:t>. All determinations and actions of the Plan Administrator made or taken under authority granted by any provision of the Plan, shall be conclusive and shall bind all parties. However, nothing in this Section shall be construed as limiting the power of the Plan Administrator to make the adjustments described in Article VIII.</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VII</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CAPITAL ADJUSTMENTS</w:t>
      </w:r>
    </w:p>
    <w:p>
      <w:pPr>
        <w:spacing w:after="0" w:line="182" w:lineRule="exact"/>
        <w:rPr>
          <w:sz w:val="20"/>
          <w:szCs w:val="20"/>
          <w:color w:val="auto"/>
        </w:rPr>
      </w:pPr>
    </w:p>
    <w:p>
      <w:pPr>
        <w:ind w:firstLine="647"/>
        <w:spacing w:after="0" w:line="238" w:lineRule="auto"/>
        <w:rPr>
          <w:sz w:val="20"/>
          <w:szCs w:val="20"/>
          <w:color w:val="auto"/>
        </w:rPr>
      </w:pPr>
      <w:r>
        <w:rPr>
          <w:rFonts w:ascii="Times New Roman" w:cs="Times New Roman" w:eastAsia="Times New Roman" w:hAnsi="Times New Roman"/>
          <w:sz w:val="22"/>
          <w:szCs w:val="22"/>
          <w:color w:val="auto"/>
        </w:rPr>
        <w:t>The number of Phantom Shares in which Company Contribution Units and Director Deferrals are deemed invested shall be proportionately adjusted, as may be deemed appropriate by the Plan Administrator, to reflect any increase or decrease in the number of issued shares of common stock for which such Phantom Shares represent, resulting from a subdivision (share- split), consolidation (reverse split), stock dividend or similar change in the capitalization of the Company.</w:t>
      </w: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VIII</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SHARES AUTHORIZED UNDER PLAN</w:t>
      </w:r>
    </w:p>
    <w:p>
      <w:pPr>
        <w:spacing w:after="0" w:line="182"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22"/>
          <w:szCs w:val="22"/>
          <w:color w:val="auto"/>
        </w:rPr>
        <w:t>In order for shares to be available for the distribution of Class B Stock under Section 2.4 or Section 3.3, the Company is authorized to issue up to 500,000 shares of its Class B Stock for use under the Plan.</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ARTICLE IX</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SECTION 409A COMPLIANCE</w:t>
      </w:r>
    </w:p>
    <w:p>
      <w:pPr>
        <w:spacing w:after="0" w:line="18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Specified Employee Status</w:t>
      </w:r>
      <w:r>
        <w:rPr>
          <w:rFonts w:ascii="Times New Roman" w:cs="Times New Roman" w:eastAsia="Times New Roman" w:hAnsi="Times New Roman"/>
          <w:sz w:val="22"/>
          <w:szCs w:val="22"/>
          <w:color w:val="auto"/>
        </w:rPr>
        <w:t>. If any distribution to a Participant in connection with his or her Separation from Service is determined, in whole or in part, to constitute “nonqualified deferred compensation” within the meaning of Section 409A of the Code and the final regulations issued thereunder, and the Participant is a “specified employee” as defined in Section 409A of the Code and the final regulations issued thereunder, no part of such distribution shall be made before the day that is six months plus one day after the Participant’s date of termination of employment for reasons other than his or her death (the “New Distribution Date”). The aggregate of any distributions that otherwise would have been distributed to the Participant during the period between the Separation from Service date and the New Distribution Date shall be distributed to the Participant (or his or her beneficiary) in a single sum on the earlier of (i) the New Distribution Date, or (ii) the Participant’s death. Thereafter, any distributions that remain outstanding as of the day immediately following the New Distribution Date shall be distributed without delay over the time period originally scheduled, in accordance with the terms of the Participant’s Agreement or this Plan.</w:t>
      </w:r>
    </w:p>
    <w:p>
      <w:pPr>
        <w:spacing w:after="0" w:line="19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Compliance in General</w:t>
      </w:r>
      <w:r>
        <w:rPr>
          <w:rFonts w:ascii="Times New Roman" w:cs="Times New Roman" w:eastAsia="Times New Roman" w:hAnsi="Times New Roman"/>
          <w:sz w:val="22"/>
          <w:szCs w:val="22"/>
          <w:color w:val="auto"/>
        </w:rPr>
        <w:t>. This Plan is intended to comply with Section 409A of the Code (to the extent applicable) and the Company shall interpret, apply and administer this Plan to comply therewith,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080" w:top="1219" w:right="101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22"/>
          <w:szCs w:val="22"/>
          <w:color w:val="auto"/>
        </w:rPr>
        <w:t>without resulting in any increase in the amounts owed hereunder by the Company.</w:t>
      </w:r>
    </w:p>
    <w:p>
      <w:pPr>
        <w:spacing w:after="0" w:line="22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 Liability for Section 409A Problems</w:t>
      </w:r>
      <w:r>
        <w:rPr>
          <w:rFonts w:ascii="Times New Roman" w:cs="Times New Roman" w:eastAsia="Times New Roman" w:hAnsi="Times New Roman"/>
          <w:sz w:val="22"/>
          <w:szCs w:val="22"/>
          <w:color w:val="auto"/>
        </w:rPr>
        <w:t>. In no event whatsoever shall the Company or its subsidiaries or their respective officers, directors, employees or agents be liable for any additional tax, interest or penalties that may be imposed on a Participant by Section 409A of the Code or for damages for failing to comply with Section 409A of the Code.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X</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182"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Amendment or Termination of the Plan</w:t>
      </w:r>
      <w:r>
        <w:rPr>
          <w:rFonts w:ascii="Times New Roman" w:cs="Times New Roman" w:eastAsia="Times New Roman" w:hAnsi="Times New Roman"/>
          <w:sz w:val="22"/>
          <w:szCs w:val="22"/>
          <w:color w:val="auto"/>
        </w:rPr>
        <w:t>. The Board may from time to time amend the Plan in any respect whatsoever or terminate the Plan. Notwithstanding the foregoing sentence, no such amendment or termination shall materially impair the rights of any Participant without the consent of the Participant.</w:t>
      </w:r>
    </w:p>
    <w:p>
      <w:pPr>
        <w:spacing w:after="0" w:line="18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obligation of the Company to make any distribution under the Plan shall be subject to applicable tax withholding requirements.</w:t>
      </w:r>
    </w:p>
    <w:p>
      <w:pPr>
        <w:spacing w:after="0" w:line="17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Lock-Up Agreement</w:t>
      </w:r>
      <w:r>
        <w:rPr>
          <w:rFonts w:ascii="Times New Roman" w:cs="Times New Roman" w:eastAsia="Times New Roman" w:hAnsi="Times New Roman"/>
          <w:sz w:val="22"/>
          <w:szCs w:val="22"/>
          <w:color w:val="auto"/>
        </w:rPr>
        <w:t>. Each recipient of shares of Company Stock distributed under this Plan shall agree, as a condition to receipt of such shares, that, in connection with an initial public offering of Common Stock and upon the request of the managing underwriter in such offering, such recipient shall not, without the prior written consent of such managing underwriter, during the period commencing on the effective date of the registration statement with respect to such offering and ending on the date specified by such managing underwriter (such period not to exceed one year), (i) offer, sell, contract to sell, grant any option or contract to purchase, purchase any option or contract to sell, hedge the beneficial ownership of or otherwise dispose of, directly or indirectly, any shares of Common Stock or any securities convertible into, exercisable for, or exchangeable for shares of Common Stock, or (ii) enter into any swap or other arrangement that transfers to another, in whole or in part, any of the economic consequences of ownership of such securities, whether any such transaction described in clause (i) or clause (ii) above is to be settled by delivery of Common Stock or such other securities, in cash or otherwise. Each recipient agrees to execute and deliver such other agreements as may be reasonably requested by the Company or the managing underwriter that are consistent with the foregoing or that are necessary to give further effect thereto.</w:t>
      </w:r>
    </w:p>
    <w:p>
      <w:pPr>
        <w:spacing w:after="0" w:line="180"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Beneficiary Designation</w:t>
      </w:r>
    </w:p>
    <w:p>
      <w:pPr>
        <w:spacing w:after="0" w:line="206" w:lineRule="exact"/>
        <w:rPr>
          <w:sz w:val="20"/>
          <w:szCs w:val="20"/>
          <w:color w:val="auto"/>
        </w:rPr>
      </w:pPr>
    </w:p>
    <w:p>
      <w:pPr>
        <w:ind w:left="640" w:right="180" w:firstLine="1303"/>
        <w:spacing w:after="0" w:line="238" w:lineRule="auto"/>
        <w:tabs>
          <w:tab w:leader="none" w:pos="260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shall designate the person(s) as the beneficiary(ies) to whom the Participant’s Company Contribution Units and Director Deferrals shall be delivered in the event of the Participant’s death prior to distribution to him or her. Each beneficiary designation shall be substantially in the form of Appendix B attached hereto and shall be effective only when filed with the Plan Administrator during the Participant’s lifetime.</w:t>
      </w:r>
    </w:p>
    <w:p>
      <w:pPr>
        <w:spacing w:after="0" w:line="190" w:lineRule="exact"/>
        <w:rPr>
          <w:rFonts w:ascii="Times New Roman" w:cs="Times New Roman" w:eastAsia="Times New Roman" w:hAnsi="Times New Roman"/>
          <w:sz w:val="22"/>
          <w:szCs w:val="22"/>
          <w:color w:val="auto"/>
        </w:rPr>
      </w:pPr>
    </w:p>
    <w:p>
      <w:pPr>
        <w:ind w:left="640" w:right="140" w:firstLine="1303"/>
        <w:spacing w:after="0" w:line="258" w:lineRule="auto"/>
        <w:tabs>
          <w:tab w:leader="none" w:pos="260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beneficiary designation may be changed by a Participant without the consent of any previously designated beneficiary or any other person by the filing of a new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4760" w:hanging="130"/>
        <w:spacing w:after="0"/>
        <w:tabs>
          <w:tab w:leader="none" w:pos="476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64" w:name="page365"/>
    <w:bookmarkEnd w:id="364"/>
    <w:p>
      <w:pPr>
        <w:ind w:left="640" w:right="380"/>
        <w:spacing w:after="0" w:line="258" w:lineRule="auto"/>
        <w:rPr>
          <w:sz w:val="20"/>
          <w:szCs w:val="20"/>
          <w:color w:val="auto"/>
        </w:rPr>
      </w:pPr>
      <w:r>
        <w:rPr>
          <w:rFonts w:ascii="Times New Roman" w:cs="Times New Roman" w:eastAsia="Times New Roman" w:hAnsi="Times New Roman"/>
          <w:sz w:val="22"/>
          <w:szCs w:val="22"/>
          <w:color w:val="auto"/>
        </w:rPr>
        <w:t>beneficiary designation with the Plan Administrator. The filing of a new beneficiary designation shall cancel all beneficiary designations previously filed.</w:t>
      </w:r>
    </w:p>
    <w:p>
      <w:pPr>
        <w:spacing w:after="0" w:line="172" w:lineRule="exact"/>
        <w:rPr>
          <w:sz w:val="20"/>
          <w:szCs w:val="20"/>
          <w:color w:val="auto"/>
        </w:rPr>
      </w:pPr>
    </w:p>
    <w:p>
      <w:pPr>
        <w:ind w:left="640" w:right="80" w:firstLine="1303"/>
        <w:spacing w:after="0" w:line="239" w:lineRule="auto"/>
        <w:tabs>
          <w:tab w:leader="none" w:pos="260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Participant fails to designate a beneficiary in the manner provided above, or if the beneficiary designated by a Participant predeceases the Participant, the Plan Administrator shall direct that such Participant’s Account be distributed to the Participant’s surviving spouse or, if the Participant has no surviving spouse, then to the Participant’s estate.</w:t>
      </w:r>
    </w:p>
    <w:p>
      <w:pPr>
        <w:spacing w:after="0" w:line="18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Distribution to Guardian</w:t>
      </w:r>
      <w:r>
        <w:rPr>
          <w:rFonts w:ascii="Times New Roman" w:cs="Times New Roman" w:eastAsia="Times New Roman" w:hAnsi="Times New Roman"/>
          <w:sz w:val="22"/>
          <w:szCs w:val="22"/>
          <w:color w:val="auto"/>
        </w:rPr>
        <w:t>. If Company Contribution Units and Director Deferrals are distributable under this Plan to a minor, a person declared incompetent, or a person incapable of handling the disposition of property, the Plan Administrator may direct distribution to the guardian, legal representative, or person having the care and custody of the minor, incompetent or incapable person. The Plan Administrator may require proof of incompetency, minority, incapacity or guardianship as the Plan Administrator may deem appropriate prior to the delivery. The delivery shall completely discharge the Plan Administrator and the Company from all liability with respect to the distribution.</w:t>
      </w:r>
    </w:p>
    <w:p>
      <w:pPr>
        <w:spacing w:after="0" w:line="19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No Funding</w:t>
      </w:r>
      <w:r>
        <w:rPr>
          <w:rFonts w:ascii="Times New Roman" w:cs="Times New Roman" w:eastAsia="Times New Roman" w:hAnsi="Times New Roman"/>
          <w:sz w:val="22"/>
          <w:szCs w:val="22"/>
          <w:color w:val="auto"/>
        </w:rPr>
        <w:t>. The Company shall not be required to fund or secure in any way its obligations hereunder. Nothing in the Plan or in any Agreement hereunder and no action taken pursuant to the provisions of the Plan or of any Agreement hereunder shall be construed to create a trust or a fiduciary relationship of any kind. Distributions under the Plan and any Agreement hereunder shall be made when due from the general assets of the Company. All assets, if any, maintained under a Participant’s Account shall remain a part of the general assets of the Company. Neither a Participant nor his or her designated beneficiary shall acquire any interest in such assets by virtue of the Plan or any Agreement hereunder. This Plan constitutes a mere promise by the Company to make distributions in the future, and to the extent that a Participant or his or her designated beneficiary acquires a right to receive any distribution from the Company under the Plan, such right shall be no greater than the right of any unsecured general creditor of the Company. The Company intends for this Plan to be unfunded for tax purposes and for the purposes of Title I of the Employee Retirement Income Security Act of 1974, as amended.</w:t>
      </w:r>
    </w:p>
    <w:p>
      <w:pPr>
        <w:spacing w:after="0" w:line="19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operation of, and the rights of Participants under, the Plan and the Agreements hereunder shall be governed by applicable United States laws and otherwise by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171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080" w:top="1219" w:right="10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22"/>
          <w:szCs w:val="22"/>
          <w:color w:val="auto"/>
        </w:rPr>
        <w:t>State of Delaware (without reference to the principles of conflict of laws).</w:t>
      </w:r>
    </w:p>
    <w:p>
      <w:pPr>
        <w:spacing w:after="0" w:line="297"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Bentley Systems, Incorporated hereby executes this Plan, as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on this 27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of May, 2015.</w:t>
      </w:r>
    </w:p>
    <w:p>
      <w:pPr>
        <w:spacing w:after="0" w:line="184" w:lineRule="exact"/>
        <w:rPr>
          <w:sz w:val="20"/>
          <w:szCs w:val="20"/>
          <w:color w:val="auto"/>
        </w:rPr>
      </w:pPr>
    </w:p>
    <w:tbl>
      <w:tblPr>
        <w:tblLayout w:type="fixed"/>
        <w:tblInd w:w="488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/s/ David Shaman</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 (Printed):</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80" w:type="dxa"/>
            <w:vAlign w:val="bottom"/>
            <w:vMerge w:val="continue"/>
          </w:tcPr>
          <w:p>
            <w:pPr>
              <w:spacing w:after="0"/>
              <w:rPr>
                <w:sz w:val="18"/>
                <w:szCs w:val="18"/>
                <w:color w:val="auto"/>
              </w:rPr>
            </w:pPr>
          </w:p>
        </w:tc>
        <w:tc>
          <w:tcPr>
            <w:tcW w:w="34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David Shaman</w:t>
            </w:r>
          </w:p>
        </w:tc>
        <w:tc>
          <w:tcPr>
            <w:tcW w:w="0" w:type="dxa"/>
            <w:vAlign w:val="bottom"/>
          </w:tcPr>
          <w:p>
            <w:pPr>
              <w:spacing w:after="0"/>
              <w:rPr>
                <w:sz w:val="1"/>
                <w:szCs w:val="1"/>
                <w:color w:val="auto"/>
              </w:rPr>
            </w:pPr>
          </w:p>
        </w:tc>
      </w:tr>
      <w:tr>
        <w:trPr>
          <w:trHeight w:val="27"/>
        </w:trPr>
        <w:tc>
          <w:tcPr>
            <w:tcW w:w="1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vMerge w:val="continue"/>
          </w:tcPr>
          <w:p>
            <w:pPr>
              <w:spacing w:after="0"/>
              <w:rPr>
                <w:sz w:val="20"/>
                <w:szCs w:val="20"/>
                <w:color w:val="auto"/>
              </w:rPr>
            </w:pPr>
          </w:p>
        </w:tc>
        <w:tc>
          <w:tcPr>
            <w:tcW w:w="3460" w:type="dxa"/>
            <w:vAlign w:val="bottom"/>
            <w:tcBorders>
              <w:bottom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Vice President and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9" w:right="999" w:bottom="1440" w:gutter="0" w:footer="0" w:header="0"/>
        </w:sectPr>
      </w:pPr>
    </w:p>
    <w:bookmarkStart w:id="366" w:name="page367"/>
    <w:bookmarkEnd w:id="366"/>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APPENDICES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9" w:right="1440" w:bottom="1440" w:gutter="0" w:footer="0" w:header="0"/>
        </w:sectPr>
      </w:pPr>
    </w:p>
    <w:bookmarkStart w:id="367" w:name="page368"/>
    <w:bookmarkEnd w:id="367"/>
    <w:p>
      <w:pPr>
        <w:jc w:val="center"/>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 DEFERRED COMPENSATION AGREEMENT</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A-1</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ELECTION OF DIRECTOR DEFERRALS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w w:val="99"/>
              </w:rPr>
              <w:t>This Agreement is entered into this</w:t>
            </w:r>
          </w:p>
        </w:tc>
        <w:tc>
          <w:tcPr>
            <w:tcW w:w="640" w:type="dxa"/>
            <w:vAlign w:val="bottom"/>
            <w:tcBorders>
              <w:bottom w:val="single" w:sz="8" w:color="auto"/>
            </w:tcBorders>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day of</w:t>
            </w:r>
          </w:p>
        </w:tc>
        <w:tc>
          <w:tcPr>
            <w:tcW w:w="12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,20 , between Bentley Systems,</w:t>
            </w:r>
          </w:p>
        </w:tc>
      </w:tr>
      <w:tr>
        <w:trPr>
          <w:trHeight w:val="223"/>
        </w:trPr>
        <w:tc>
          <w:tcPr>
            <w:tcW w:w="30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8"/>
              </w:rPr>
              <w:t>Incorporated (the “Company”) and</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40" w:type="dxa"/>
            <w:vAlign w:val="bottom"/>
          </w:tcPr>
          <w:p>
            <w:pPr>
              <w:ind w:left="60"/>
              <w:spacing w:after="0" w:line="223" w:lineRule="exact"/>
              <w:rPr>
                <w:sz w:val="20"/>
                <w:szCs w:val="20"/>
                <w:color w:val="auto"/>
              </w:rPr>
            </w:pPr>
            <w:r>
              <w:rPr>
                <w:rFonts w:ascii="Times New Roman" w:cs="Times New Roman" w:eastAsia="Times New Roman" w:hAnsi="Times New Roman"/>
                <w:sz w:val="22"/>
                <w:szCs w:val="22"/>
                <w:color w:val="auto"/>
              </w:rPr>
              <w:t>(the “Participant”).</w:t>
            </w:r>
          </w:p>
        </w:tc>
      </w:tr>
    </w:tbl>
    <w:p>
      <w:pPr>
        <w:spacing w:after="0" w:line="239" w:lineRule="exact"/>
        <w:rPr>
          <w:sz w:val="20"/>
          <w:szCs w:val="20"/>
          <w:color w:val="auto"/>
        </w:rPr>
      </w:pPr>
    </w:p>
    <w:p>
      <w:pPr>
        <w:ind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a non-employee director of the Company, has been selected to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Bentley Systems, Incorporated Nonqualified Deferred Compensation Plan for Non-Employee Directors (the “Plan”); and</w:t>
      </w:r>
    </w:p>
    <w:p>
      <w:pPr>
        <w:spacing w:after="0" w:line="194" w:lineRule="exact"/>
        <w:rPr>
          <w:sz w:val="20"/>
          <w:szCs w:val="20"/>
          <w:color w:val="auto"/>
        </w:rPr>
      </w:pPr>
    </w:p>
    <w:p>
      <w:pPr>
        <w:ind w:right="12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wishes to make an initial deferral election with respect to all or any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his or her directors’ fees;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as follows:</w:t>
      </w:r>
    </w:p>
    <w:p>
      <w:pPr>
        <w:spacing w:after="0" w:line="237" w:lineRule="exact"/>
        <w:rPr>
          <w:sz w:val="20"/>
          <w:szCs w:val="20"/>
          <w:color w:val="auto"/>
        </w:rPr>
      </w:pPr>
    </w:p>
    <w:p>
      <w:pPr>
        <w:ind w:left="1300" w:hanging="654"/>
        <w:spacing w:after="0"/>
        <w:tabs>
          <w:tab w:leader="none" w:pos="130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Percentage or Dollar Amount of Directors’ Fees to Defer</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[Complete this Section 1 to make an initial deferral election with respect to your Director Deferrals under the Plan, to change your Director Deferral election with respect to future directors’ fees, or to make a Director Deferral election upon recommencing participation in the Plan.]</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[Check only one box, and complete the paragraph below]</w:t>
      </w:r>
    </w:p>
    <w:p>
      <w:pPr>
        <w:spacing w:after="0" w:line="264" w:lineRule="exact"/>
        <w:rPr>
          <w:sz w:val="20"/>
          <w:szCs w:val="20"/>
          <w:color w:val="auto"/>
        </w:rPr>
      </w:pPr>
    </w:p>
    <w:p>
      <w:pPr>
        <w:ind w:left="1240" w:hanging="594"/>
        <w:spacing w:after="0"/>
        <w:tabs>
          <w:tab w:leader="none" w:pos="1240" w:val="left"/>
        </w:tabs>
        <w:numPr>
          <w:ilvl w:val="0"/>
          <w:numId w:val="22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Initial Election</w:t>
      </w:r>
    </w:p>
    <w:p>
      <w:pPr>
        <w:spacing w:after="0" w:line="27" w:lineRule="exact"/>
        <w:rPr>
          <w:rFonts w:ascii="MS PGothic" w:cs="MS PGothic" w:eastAsia="MS PGothic" w:hAnsi="MS PGothic"/>
          <w:sz w:val="22"/>
          <w:szCs w:val="22"/>
          <w:color w:val="auto"/>
        </w:rPr>
      </w:pPr>
    </w:p>
    <w:p>
      <w:pPr>
        <w:ind w:left="1240" w:hanging="594"/>
        <w:spacing w:after="0"/>
        <w:tabs>
          <w:tab w:leader="none" w:pos="1240" w:val="left"/>
        </w:tabs>
        <w:numPr>
          <w:ilvl w:val="0"/>
          <w:numId w:val="22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Change in Election</w:t>
      </w:r>
    </w:p>
    <w:p>
      <w:pPr>
        <w:spacing w:after="0" w:line="3" w:lineRule="exact"/>
        <w:rPr>
          <w:rFonts w:ascii="MS PGothic" w:cs="MS PGothic" w:eastAsia="MS PGothic" w:hAnsi="MS PGothic"/>
          <w:sz w:val="22"/>
          <w:szCs w:val="22"/>
          <w:color w:val="auto"/>
        </w:rPr>
      </w:pPr>
    </w:p>
    <w:p>
      <w:pPr>
        <w:ind w:left="1240" w:hanging="594"/>
        <w:spacing w:after="0"/>
        <w:tabs>
          <w:tab w:leader="none" w:pos="1240" w:val="left"/>
        </w:tabs>
        <w:numPr>
          <w:ilvl w:val="0"/>
          <w:numId w:val="22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Recommencement of Participation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Commencing</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 20  , I elect to defer</w:t>
            </w:r>
          </w:p>
        </w:tc>
        <w:tc>
          <w:tcPr>
            <w:tcW w:w="700" w:type="dxa"/>
            <w:vAlign w:val="bottom"/>
          </w:tcPr>
          <w:p>
            <w:pPr>
              <w:spacing w:after="0"/>
              <w:rPr>
                <w:sz w:val="21"/>
                <w:szCs w:val="21"/>
                <w:color w:val="auto"/>
              </w:rPr>
            </w:pPr>
          </w:p>
        </w:tc>
        <w:tc>
          <w:tcPr>
            <w:tcW w:w="4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 xml:space="preserve">percent </w:t>
            </w:r>
            <w:r>
              <w:rPr>
                <w:rFonts w:ascii="Times New Roman" w:cs="Times New Roman" w:eastAsia="Times New Roman" w:hAnsi="Times New Roman"/>
                <w:sz w:val="22"/>
                <w:szCs w:val="22"/>
                <w:b w:val="1"/>
                <w:bCs w:val="1"/>
                <w:color w:val="auto"/>
                <w:w w:val="97"/>
              </w:rPr>
              <w:t>[insert whole number from one to 100]</w:t>
            </w:r>
            <w:r>
              <w:rPr>
                <w:rFonts w:ascii="Times New Roman" w:cs="Times New Roman" w:eastAsia="Times New Roman" w:hAnsi="Times New Roman"/>
                <w:sz w:val="22"/>
                <w:szCs w:val="22"/>
                <w:color w:val="auto"/>
                <w:w w:val="97"/>
              </w:rPr>
              <w:t xml:space="preserve"> or</w:t>
            </w:r>
          </w:p>
        </w:tc>
      </w:tr>
      <w:tr>
        <w:trPr>
          <w:trHeight w:val="223"/>
        </w:trPr>
        <w:tc>
          <w:tcPr>
            <w:tcW w:w="1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ind w:left="60"/>
              <w:spacing w:after="0" w:line="223" w:lineRule="exact"/>
              <w:rPr>
                <w:sz w:val="20"/>
                <w:szCs w:val="20"/>
                <w:color w:val="auto"/>
              </w:rPr>
            </w:pPr>
            <w:r>
              <w:rPr>
                <w:rFonts w:ascii="Times New Roman" w:cs="Times New Roman" w:eastAsia="Times New Roman" w:hAnsi="Times New Roman"/>
                <w:sz w:val="22"/>
                <w:szCs w:val="22"/>
                <w:color w:val="auto"/>
                <w:w w:val="87"/>
              </w:rPr>
              <w:t>of</w:t>
            </w:r>
          </w:p>
        </w:tc>
        <w:tc>
          <w:tcPr>
            <w:tcW w:w="38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rPr>
              <w:t>my</w:t>
            </w:r>
          </w:p>
        </w:tc>
        <w:tc>
          <w:tcPr>
            <w:tcW w:w="160" w:type="dxa"/>
            <w:vAlign w:val="bottom"/>
            <w:tcBorders>
              <w:top w:val="single" w:sz="8" w:color="auto"/>
            </w:tcBorders>
          </w:tcPr>
          <w:p>
            <w:pPr>
              <w:spacing w:after="0"/>
              <w:rPr>
                <w:sz w:val="19"/>
                <w:szCs w:val="19"/>
                <w:color w:val="auto"/>
              </w:rPr>
            </w:pPr>
          </w:p>
        </w:tc>
        <w:tc>
          <w:tcPr>
            <w:tcW w:w="14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7"/>
              </w:rPr>
              <w:t>directors’ fees. I</w:t>
            </w:r>
          </w:p>
        </w:tc>
        <w:tc>
          <w:tcPr>
            <w:tcW w:w="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70"/>
              </w:rPr>
              <w:t>understand</w:t>
            </w:r>
          </w:p>
        </w:tc>
        <w:tc>
          <w:tcPr>
            <w:tcW w:w="4520" w:type="dxa"/>
            <w:vAlign w:val="bottom"/>
          </w:tcPr>
          <w:p>
            <w:pPr>
              <w:ind w:left="180"/>
              <w:spacing w:after="0" w:line="223" w:lineRule="exact"/>
              <w:rPr>
                <w:sz w:val="20"/>
                <w:szCs w:val="20"/>
                <w:color w:val="auto"/>
              </w:rPr>
            </w:pPr>
            <w:r>
              <w:rPr>
                <w:rFonts w:ascii="Times New Roman" w:cs="Times New Roman" w:eastAsia="Times New Roman" w:hAnsi="Times New Roman"/>
                <w:sz w:val="22"/>
                <w:szCs w:val="22"/>
                <w:color w:val="auto"/>
              </w:rPr>
              <w:t>that these Director Deferrals shall be credited in</w:t>
            </w:r>
          </w:p>
        </w:tc>
      </w:tr>
    </w:tbl>
    <w:p>
      <w:pPr>
        <w:jc w:val="both"/>
        <w:ind w:right="360"/>
        <w:spacing w:after="0" w:line="261" w:lineRule="auto"/>
        <w:rPr>
          <w:sz w:val="20"/>
          <w:szCs w:val="20"/>
          <w:color w:val="auto"/>
        </w:rPr>
      </w:pPr>
      <w:r>
        <w:rPr>
          <w:rFonts w:ascii="Times New Roman" w:cs="Times New Roman" w:eastAsia="Times New Roman" w:hAnsi="Times New Roman"/>
          <w:sz w:val="21"/>
          <w:szCs w:val="21"/>
          <w:color w:val="auto"/>
        </w:rPr>
        <w:t>the form of a bookkeeping entry to a reserve maintained by the Company in my name, together with credited amounts in the nature of income, gains and losses (the “Account”). The Account maintained for me shall be distributed to me on a deferred basis in accordance with the terms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080" w:top="1215" w:right="1039" w:bottom="1440" w:gutter="0" w:footer="0" w:header="0"/>
        </w:sectPr>
      </w:pPr>
    </w:p>
    <w:bookmarkStart w:id="368" w:name="page369"/>
    <w:bookmarkEnd w:id="368"/>
    <w:p>
      <w:pPr>
        <w:ind w:left="1302" w:hanging="654"/>
        <w:spacing w:after="0"/>
        <w:tabs>
          <w:tab w:leader="none" w:pos="130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Date Election</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[This Section 2 must be completed with respect to Director Deferral elections made in accordance with Section 1 above.]</w:t>
      </w:r>
    </w:p>
    <w:p>
      <w:pPr>
        <w:spacing w:after="0" w:line="220" w:lineRule="exact"/>
        <w:rPr>
          <w:sz w:val="20"/>
          <w:szCs w:val="20"/>
          <w:color w:val="auto"/>
        </w:rPr>
      </w:pPr>
    </w:p>
    <w:p>
      <w:pPr>
        <w:ind w:left="2" w:right="600"/>
        <w:spacing w:after="0" w:line="258" w:lineRule="auto"/>
        <w:rPr>
          <w:sz w:val="20"/>
          <w:szCs w:val="20"/>
          <w:color w:val="auto"/>
        </w:rPr>
      </w:pPr>
      <w:r>
        <w:rPr>
          <w:rFonts w:ascii="Times New Roman" w:cs="Times New Roman" w:eastAsia="Times New Roman" w:hAnsi="Times New Roman"/>
          <w:sz w:val="22"/>
          <w:szCs w:val="22"/>
          <w:color w:val="auto"/>
        </w:rPr>
        <w:t xml:space="preserve">I hereby elect to have the Company distribute (or commence to distribute) any Director Deferrals upon the following event </w:t>
      </w:r>
      <w:r>
        <w:rPr>
          <w:rFonts w:ascii="Times New Roman" w:cs="Times New Roman" w:eastAsia="Times New Roman" w:hAnsi="Times New Roman"/>
          <w:sz w:val="22"/>
          <w:szCs w:val="22"/>
          <w:b w:val="1"/>
          <w:bCs w:val="1"/>
          <w:color w:val="auto"/>
        </w:rPr>
        <w:t>[check only one box]</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1302" w:right="100" w:hanging="654"/>
        <w:spacing w:after="0" w:line="271" w:lineRule="auto"/>
        <w:tabs>
          <w:tab w:leader="none" w:pos="1130" w:val="left"/>
        </w:tabs>
        <w:numPr>
          <w:ilvl w:val="0"/>
          <w:numId w:val="22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On the fifth business day after “Separation from Service” (as defined in the Plan)</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(the first business day after the six-month anniversary of such Separation from Service if I am a “specified employee,” as defined in Section 409A(a)(2)(B)(i) of the Internal Revenue Code, and if, at the time of my separation from service, the Company is “Publicly Traded” (as defined in the Plan)).</w:t>
      </w:r>
    </w:p>
    <w:p>
      <w:pPr>
        <w:spacing w:after="0" w:line="156" w:lineRule="exact"/>
        <w:rPr>
          <w:sz w:val="20"/>
          <w:szCs w:val="20"/>
          <w:color w:val="auto"/>
        </w:rPr>
      </w:pPr>
    </w:p>
    <w:tbl>
      <w:tblPr>
        <w:tblLayout w:type="fixed"/>
        <w:tblInd w:w="642" w:type="dxa"/>
        <w:tblCellMar>
          <w:top w:w="0" w:type="dxa"/>
          <w:left w:w="0" w:type="dxa"/>
          <w:bottom w:w="0" w:type="dxa"/>
          <w:right w:w="0" w:type="dxa"/>
        </w:tblCellMar>
      </w:tblPr>
      <w:tr>
        <w:trPr>
          <w:trHeight w:val="264"/>
        </w:trPr>
        <w:tc>
          <w:tcPr>
            <w:tcW w:w="3180" w:type="dxa"/>
            <w:vAlign w:val="bottom"/>
          </w:tcPr>
          <w:p>
            <w:pPr>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On the following date:</w:t>
            </w: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,20  .</w:t>
            </w:r>
          </w:p>
        </w:tc>
      </w:tr>
      <w:tr>
        <w:trPr>
          <w:trHeight w:val="20"/>
        </w:trPr>
        <w:tc>
          <w:tcPr>
            <w:tcW w:w="3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02" w:hanging="554"/>
        <w:spacing w:after="0"/>
        <w:tabs>
          <w:tab w:leader="none" w:pos="1202" w:val="left"/>
        </w:tabs>
        <w:numPr>
          <w:ilvl w:val="0"/>
          <w:numId w:val="22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    On the earlier of the date described in event (A) above, or the following date:</w:t>
      </w:r>
    </w:p>
    <w:p>
      <w:pPr>
        <w:spacing w:after="0" w:line="14" w:lineRule="exact"/>
        <w:rPr>
          <w:rFonts w:ascii="MS PGothic" w:cs="MS PGothic" w:eastAsia="MS PGothic" w:hAnsi="MS PGothic"/>
          <w:sz w:val="22"/>
          <w:szCs w:val="22"/>
          <w:color w:val="auto"/>
        </w:rPr>
      </w:pPr>
    </w:p>
    <w:p>
      <w:pPr>
        <w:ind w:left="2602" w:hanging="118"/>
        <w:spacing w:after="0"/>
        <w:tabs>
          <w:tab w:leader="none" w:pos="2602"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-29210</wp:posOffset>
            </wp:positionV>
            <wp:extent cx="109728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7" w:lineRule="exact"/>
        <w:rPr>
          <w:sz w:val="20"/>
          <w:szCs w:val="20"/>
          <w:color w:val="auto"/>
        </w:rPr>
      </w:pPr>
    </w:p>
    <w:p>
      <w:pPr>
        <w:ind w:left="1302" w:hanging="654"/>
        <w:spacing w:after="0"/>
        <w:tabs>
          <w:tab w:leader="none" w:pos="130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Acceleration in the Event of an Unforeseeable Emergency or a 409A Change in Control</w:t>
      </w:r>
    </w:p>
    <w:p>
      <w:pPr>
        <w:spacing w:after="0" w:line="220" w:lineRule="exact"/>
        <w:rPr>
          <w:sz w:val="20"/>
          <w:szCs w:val="20"/>
          <w:color w:val="auto"/>
        </w:rPr>
      </w:pPr>
    </w:p>
    <w:p>
      <w:pPr>
        <w:jc w:val="both"/>
        <w:ind w:left="2" w:right="40"/>
        <w:spacing w:after="0" w:line="244" w:lineRule="auto"/>
        <w:rPr>
          <w:sz w:val="20"/>
          <w:szCs w:val="20"/>
          <w:color w:val="auto"/>
        </w:rPr>
      </w:pPr>
      <w:r>
        <w:rPr>
          <w:rFonts w:ascii="Times New Roman" w:cs="Times New Roman" w:eastAsia="Times New Roman" w:hAnsi="Times New Roman"/>
          <w:sz w:val="22"/>
          <w:szCs w:val="22"/>
          <w:color w:val="auto"/>
        </w:rPr>
        <w:t xml:space="preserve">In addition to the election I made in Section 2 above, if I check one or both of the following boxes, I also elect to have the Company distribute any Director Deferrals, to the extent permitted by applicable law, to me </w:t>
      </w:r>
      <w:r>
        <w:rPr>
          <w:rFonts w:ascii="Times New Roman" w:cs="Times New Roman" w:eastAsia="Times New Roman" w:hAnsi="Times New Roman"/>
          <w:sz w:val="22"/>
          <w:szCs w:val="22"/>
          <w:b w:val="1"/>
          <w:bCs w:val="1"/>
          <w:color w:val="auto"/>
        </w:rPr>
        <w:t>[check 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box, both boxes, or neither box]</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568450" cy="171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94" w:lineRule="exact"/>
        <w:rPr>
          <w:sz w:val="20"/>
          <w:szCs w:val="20"/>
          <w:color w:val="auto"/>
        </w:rPr>
      </w:pPr>
    </w:p>
    <w:p>
      <w:pPr>
        <w:ind w:left="2" w:hanging="2"/>
        <w:spacing w:after="0" w:line="233" w:lineRule="auto"/>
        <w:tabs>
          <w:tab w:leader="none" w:pos="146"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“Separation from service,” as defined in the Section of the Internal Revenue Code cited in Section 1.23 of the Plan, means the Participant has terminated his or her relationship (directorship, etc.) with all entities in the group of entities under common control with the Company, as determined by using a 50%, rather than an 80%, test. See Sections 414(b) and 414(c) of the Internal Revenue Code. Generally, an individual has not separated from service, for purposes of the Plan, unless the facts and circumstances indicate that the Company and the Participant reasonably anticipated that no further services would be performed after a certain date or that the level of bona fide services the individual would perform after such date would permanently decrease to no more than 20% of the average level of bona fide services performed by the individual over the immediately preceding 36 months (or over the full period of service if the individual has been providing services to the Company for less than 36 months). Thus, for example, an individual who terminates his or her directorship with the Company and becomes a consultant to the Company at a more than 20% level has not “separated from service”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353695</wp:posOffset>
            </wp:positionV>
            <wp:extent cx="6292215" cy="254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2"/>
          </w:cols>
          <w:pgMar w:left="1078" w:top="1219" w:right="1019" w:bottom="1440" w:gutter="0" w:footer="0" w:header="0"/>
        </w:sectPr>
      </w:pPr>
    </w:p>
    <w:bookmarkStart w:id="369" w:name="page370"/>
    <w:bookmarkEnd w:id="369"/>
    <w:p>
      <w:pPr>
        <w:ind w:left="1300" w:right="20" w:hanging="654"/>
        <w:spacing w:after="0" w:line="258" w:lineRule="auto"/>
        <w:tabs>
          <w:tab w:leader="none" w:pos="1245" w:val="left"/>
        </w:tabs>
        <w:numPr>
          <w:ilvl w:val="0"/>
          <w:numId w:val="23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Upon an “unforeseeable emergency,” as defined in Section 3.3(a) of the Plan. (This term is defined quite restrictively in the Internal Revenue Code.)</w:t>
      </w:r>
    </w:p>
    <w:p>
      <w:pPr>
        <w:spacing w:after="0" w:line="198" w:lineRule="exact"/>
        <w:rPr>
          <w:rFonts w:ascii="MS PGothic" w:cs="MS PGothic" w:eastAsia="MS PGothic" w:hAnsi="MS PGothic"/>
          <w:sz w:val="22"/>
          <w:szCs w:val="22"/>
          <w:color w:val="auto"/>
        </w:rPr>
      </w:pPr>
    </w:p>
    <w:p>
      <w:pPr>
        <w:ind w:left="1240" w:hanging="594"/>
        <w:spacing w:after="0"/>
        <w:tabs>
          <w:tab w:leader="none" w:pos="1240" w:val="left"/>
        </w:tabs>
        <w:numPr>
          <w:ilvl w:val="0"/>
          <w:numId w:val="23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Upon a “409A Change in Control” (as defined in the Plan).</w:t>
      </w:r>
    </w:p>
    <w:p>
      <w:pPr>
        <w:spacing w:after="0" w:line="341" w:lineRule="exact"/>
        <w:rPr>
          <w:sz w:val="20"/>
          <w:szCs w:val="20"/>
          <w:color w:val="auto"/>
        </w:rPr>
      </w:pPr>
    </w:p>
    <w:p>
      <w:pPr>
        <w:ind w:left="1300" w:hanging="654"/>
        <w:spacing w:after="0"/>
        <w:tabs>
          <w:tab w:leader="none" w:pos="13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Section 4 must be completed with respect to Director Deferral elections made in accordance with Section 1 above.]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I elect for my Director Deferrals to be distributed </w:t>
      </w:r>
      <w:r>
        <w:rPr>
          <w:rFonts w:ascii="Times New Roman" w:cs="Times New Roman" w:eastAsia="Times New Roman" w:hAnsi="Times New Roman"/>
          <w:sz w:val="22"/>
          <w:szCs w:val="22"/>
          <w:b w:val="1"/>
          <w:bCs w:val="1"/>
          <w:color w:val="auto"/>
        </w:rPr>
        <w:t>[check only one box]</w:t>
      </w:r>
    </w:p>
    <w:p>
      <w:pPr>
        <w:spacing w:after="0" w:line="237" w:lineRule="exact"/>
        <w:rPr>
          <w:sz w:val="20"/>
          <w:szCs w:val="20"/>
          <w:color w:val="auto"/>
        </w:rPr>
      </w:pPr>
    </w:p>
    <w:p>
      <w:pPr>
        <w:ind w:left="1240" w:hanging="594"/>
        <w:spacing w:after="0"/>
        <w:tabs>
          <w:tab w:leader="none" w:pos="1240" w:val="left"/>
        </w:tabs>
        <w:numPr>
          <w:ilvl w:val="0"/>
          <w:numId w:val="23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42" w:lineRule="exact"/>
        <w:rPr>
          <w:rFonts w:ascii="MS PGothic" w:cs="MS PGothic" w:eastAsia="MS PGothic" w:hAnsi="MS PGothic"/>
          <w:sz w:val="22"/>
          <w:szCs w:val="22"/>
          <w:color w:val="auto"/>
        </w:rPr>
      </w:pPr>
    </w:p>
    <w:p>
      <w:pPr>
        <w:ind w:left="1240" w:hanging="594"/>
        <w:spacing w:after="0"/>
        <w:tabs>
          <w:tab w:leader="none" w:pos="1240" w:val="left"/>
        </w:tabs>
        <w:numPr>
          <w:ilvl w:val="0"/>
          <w:numId w:val="23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in annual distributions for a period of   </w:t>
      </w:r>
      <w:r>
        <w:rPr>
          <w:rFonts w:ascii="Times New Roman" w:cs="Times New Roman" w:eastAsia="Times New Roman" w:hAnsi="Times New Roman"/>
          <w:sz w:val="22"/>
          <w:szCs w:val="22"/>
          <w:b w:val="1"/>
          <w:bCs w:val="1"/>
          <w:color w:val="auto"/>
        </w:rPr>
        <w:t>[insert a whole number from two to 10]</w:t>
      </w:r>
      <w:r>
        <w:rPr>
          <w:rFonts w:ascii="Times New Roman" w:cs="Times New Roman" w:eastAsia="Times New Roman" w:hAnsi="Times New Roman"/>
          <w:sz w:val="22"/>
          <w:szCs w:val="22"/>
          <w:color w:val="auto"/>
        </w:rPr>
        <w:t xml:space="preser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-11430</wp:posOffset>
            </wp:positionV>
            <wp:extent cx="13716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7" w:lineRule="exact"/>
        <w:rPr>
          <w:sz w:val="20"/>
          <w:szCs w:val="20"/>
          <w:color w:val="auto"/>
        </w:rPr>
      </w:pPr>
    </w:p>
    <w:p>
      <w:pPr>
        <w:ind w:left="1300" w:right="180"/>
        <w:spacing w:after="0" w:line="234" w:lineRule="auto"/>
        <w:rPr>
          <w:sz w:val="20"/>
          <w:szCs w:val="20"/>
          <w:color w:val="auto"/>
        </w:rPr>
      </w:pPr>
      <w:r>
        <w:rPr>
          <w:rFonts w:ascii="Times New Roman" w:cs="Times New Roman" w:eastAsia="Times New Roman" w:hAnsi="Times New Roman"/>
          <w:sz w:val="22"/>
          <w:szCs w:val="22"/>
          <w:color w:val="auto"/>
        </w:rPr>
        <w:t>If the second box is checked, after the distribution of the first installment on, or as soon as administratively practicable after, the date described in Section 2 above, subsequent installments shall be distributed on, or as soon as administratively practicable after, the same date of each succeeding calendar year in annual installments, as adjusted and computed by the Company in accordance with the terms of the Plan, with the final distribution equaling the then remaining balance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the Participant’s Account.</w:t>
      </w:r>
    </w:p>
    <w:p>
      <w:pPr>
        <w:spacing w:after="0" w:line="209" w:lineRule="exact"/>
        <w:rPr>
          <w:sz w:val="20"/>
          <w:szCs w:val="20"/>
          <w:color w:val="auto"/>
        </w:rPr>
      </w:pPr>
    </w:p>
    <w:p>
      <w:pPr>
        <w:jc w:val="both"/>
        <w:ind w:left="80" w:right="200" w:firstLine="566"/>
        <w:spacing w:after="0" w:line="236" w:lineRule="auto"/>
        <w:tabs>
          <w:tab w:leader="none" w:pos="129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elections made under this Agreement shall remain in effect with respect to the Participant’s directors’ fees in all future years unless terminated (or revoked) on a prospective basis in writing pursuant to a form acceptable to the Plan Administrator. If a Participant decides to recommence participation in the Plan, he or she shall execute a new</w:t>
      </w:r>
    </w:p>
    <w:p>
      <w:pPr>
        <w:ind w:left="80" w:right="4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If a new Agreement is entered into that changes the manner in which and/or time at which future Director Deferrals will be distributed, a new subaccount will be established for purposes of crediting Director Deferrals under the new Agreement. Any new Agreement shall relate solely to future directors’ fees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those directors’ fees with respect to which the applicable “Election Date,” as described in Section 3.1(a) of the Plan, has not passed). If the Participant desires to defer further the distribution (or commencement of distribution) date of any Director Deferrals, the Participant may file a new Agreement with the Company, substantially in the form of Appendix A-2 of the Plan and set forth herein.</w:t>
      </w:r>
    </w:p>
    <w:p>
      <w:pPr>
        <w:spacing w:after="0" w:line="1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080" w:top="1233" w:right="1019" w:bottom="1440" w:gutter="0" w:footer="0" w:header="0"/>
        </w:sectPr>
      </w:pPr>
    </w:p>
    <w:bookmarkStart w:id="370" w:name="page371"/>
    <w:bookmarkEnd w:id="370"/>
    <w:p>
      <w:pPr>
        <w:ind w:left="100" w:right="599"/>
        <w:spacing w:after="0" w:line="262" w:lineRule="auto"/>
        <w:rPr>
          <w:sz w:val="20"/>
          <w:szCs w:val="20"/>
          <w:color w:val="auto"/>
        </w:rPr>
      </w:pPr>
      <w:r>
        <w:rPr>
          <w:rFonts w:ascii="Times New Roman" w:cs="Times New Roman" w:eastAsia="Times New Roman" w:hAnsi="Times New Roman"/>
          <w:sz w:val="22"/>
          <w:szCs w:val="22"/>
          <w:i w:val="1"/>
          <w:iCs w:val="1"/>
          <w:color w:val="auto"/>
        </w:rPr>
        <w:t>SECURITIES ADVISOR REGARDING YOUR OWN SITUATION BEFORE YOU ENTER INTO THIS AGREEMENT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30302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2">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-13970</wp:posOffset>
            </wp:positionV>
            <wp:extent cx="44577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-13970</wp:posOffset>
            </wp:positionV>
            <wp:extent cx="10287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 of Participant</w:t>
      </w:r>
      <w:r>
        <w:rPr>
          <w:sz w:val="20"/>
          <w:szCs w:val="20"/>
          <w:color w:val="auto"/>
        </w:rPr>
        <w:tab/>
      </w:r>
      <w:r>
        <w:rPr>
          <w:rFonts w:ascii="Times New Roman" w:cs="Times New Roman" w:eastAsia="Times New Roman" w:hAnsi="Times New Roman"/>
          <w:sz w:val="21"/>
          <w:szCs w:val="21"/>
          <w:color w:val="auto"/>
        </w:rPr>
        <w:t>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-13970</wp:posOffset>
            </wp:positionV>
            <wp:extent cx="75438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-29210</wp:posOffset>
            </wp:positionV>
            <wp:extent cx="44577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-29210</wp:posOffset>
            </wp:positionV>
            <wp:extent cx="10287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5" w:right="1440" w:bottom="1440" w:gutter="0" w:footer="0" w:header="0"/>
        </w:sectPr>
      </w:pPr>
    </w:p>
    <w:bookmarkStart w:id="371" w:name="page372"/>
    <w:bookmarkEnd w:id="371"/>
    <w:p>
      <w:pPr>
        <w:jc w:val="center"/>
        <w:ind w:right="78"/>
        <w:spacing w:after="0" w:line="241"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 DEFERRED COMPENSATION AGREEMENT</w:t>
      </w:r>
    </w:p>
    <w:p>
      <w:pPr>
        <w:spacing w:after="0" w:line="199"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22"/>
          <w:szCs w:val="22"/>
          <w:b w:val="1"/>
          <w:bCs w:val="1"/>
          <w:u w:val="single" w:color="auto"/>
          <w:color w:val="auto"/>
        </w:rPr>
        <w:t>APPENDIX A-2</w:t>
      </w:r>
    </w:p>
    <w:p>
      <w:pPr>
        <w:spacing w:after="0" w:line="233" w:lineRule="exact"/>
        <w:rPr>
          <w:sz w:val="20"/>
          <w:szCs w:val="20"/>
          <w:color w:val="auto"/>
        </w:rPr>
      </w:pPr>
    </w:p>
    <w:p>
      <w:pPr>
        <w:jc w:val="center"/>
        <w:ind w:left="1140" w:right="72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ELECTION OF A LATER DISTRIBUTION (COMMENCEMENT OF DISTRIBUTION) DATE AND POSSIBLY DIFFERENT DISTRIBUTION FORM</w:t>
      </w:r>
    </w:p>
    <w:p>
      <w:pPr>
        <w:spacing w:after="0" w:line="186" w:lineRule="exact"/>
        <w:rPr>
          <w:sz w:val="20"/>
          <w:szCs w:val="20"/>
          <w:color w:val="auto"/>
        </w:rPr>
      </w:pPr>
    </w:p>
    <w:p>
      <w:pPr>
        <w:ind w:left="2"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[Complete this Agreement if you wish to delay the currently scheduled distribution (commencement of distribution) date for your vested Company Contribution Units or your Director Deferrals beyond the time set forth in your most recent agreement. If you elect to delay such distribution (commencement of distribution) date, you may also change the form of distribution. Any election made under this Agreement must be made at least 12 months prior to the currently scheduled distribution (commencement of distribution) date for which such election is being made hereunder.]</w:t>
      </w:r>
    </w:p>
    <w:p>
      <w:pPr>
        <w:spacing w:after="0" w:line="178" w:lineRule="exact"/>
        <w:rPr>
          <w:sz w:val="20"/>
          <w:szCs w:val="20"/>
          <w:color w:val="auto"/>
        </w:rPr>
      </w:pPr>
    </w:p>
    <w:tbl>
      <w:tblPr>
        <w:tblLayout w:type="fixed"/>
        <w:tblInd w:w="2" w:type="dxa"/>
        <w:tblCellMar>
          <w:top w:w="0" w:type="dxa"/>
          <w:left w:w="0" w:type="dxa"/>
          <w:bottom w:w="0" w:type="dxa"/>
          <w:right w:w="0" w:type="dxa"/>
        </w:tblCellMar>
      </w:tblPr>
      <w:tr>
        <w:trPr>
          <w:trHeight w:val="253"/>
        </w:trPr>
        <w:tc>
          <w:tcPr>
            <w:tcW w:w="44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This Agreement is entered into this</w:t>
            </w:r>
          </w:p>
        </w:tc>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day of</w:t>
            </w:r>
          </w:p>
        </w:tc>
        <w:tc>
          <w:tcPr>
            <w:tcW w:w="34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w w:val="97"/>
              </w:rPr>
              <w:t>, 20 , between Bentley Systems,</w:t>
            </w:r>
          </w:p>
        </w:tc>
      </w:tr>
      <w:tr>
        <w:trPr>
          <w:trHeight w:val="223"/>
        </w:trPr>
        <w:tc>
          <w:tcPr>
            <w:tcW w:w="30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7"/>
              </w:rPr>
              <w:t>Incorporated (the “Company”) and</w:t>
            </w:r>
          </w:p>
        </w:tc>
        <w:tc>
          <w:tcPr>
            <w:tcW w:w="66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(the “Participant”).</w:t>
            </w:r>
          </w:p>
        </w:tc>
      </w:tr>
    </w:tbl>
    <w:p>
      <w:pPr>
        <w:spacing w:after="0" w:line="252" w:lineRule="exact"/>
        <w:rPr>
          <w:sz w:val="20"/>
          <w:szCs w:val="20"/>
          <w:color w:val="auto"/>
        </w:rPr>
      </w:pPr>
    </w:p>
    <w:p>
      <w:pPr>
        <w:ind w:left="2" w:right="40"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a non-employee director of the Company, has been selected to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Bentley Systems, Incorporated Nonqualified Deferred Compensation Plan for Non-Employee Directors (the “Plan”); and</w:t>
      </w:r>
    </w:p>
    <w:p>
      <w:pPr>
        <w:spacing w:after="0" w:line="59" w:lineRule="exact"/>
        <w:rPr>
          <w:sz w:val="20"/>
          <w:szCs w:val="20"/>
          <w:color w:val="auto"/>
        </w:rPr>
      </w:pPr>
    </w:p>
    <w:p>
      <w:pPr>
        <w:ind w:left="2" w:right="500" w:firstLine="64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wishes to make a subsequent deferral election with respect to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Company Contribution Units and/or Director Deferrals;</w:t>
      </w:r>
    </w:p>
    <w:p>
      <w:pPr>
        <w:spacing w:after="0" w:line="42"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as follows:</w:t>
      </w:r>
    </w:p>
    <w:p>
      <w:pPr>
        <w:spacing w:after="0" w:line="98" w:lineRule="exact"/>
        <w:rPr>
          <w:sz w:val="20"/>
          <w:szCs w:val="20"/>
          <w:color w:val="auto"/>
        </w:rPr>
      </w:pPr>
    </w:p>
    <w:p>
      <w:pPr>
        <w:ind w:left="2" w:right="420" w:firstLine="647"/>
        <w:spacing w:after="0" w:line="262" w:lineRule="auto"/>
        <w:rPr>
          <w:sz w:val="20"/>
          <w:szCs w:val="20"/>
          <w:color w:val="auto"/>
        </w:rPr>
      </w:pPr>
      <w:r>
        <w:rPr>
          <w:rFonts w:ascii="Times New Roman" w:cs="Times New Roman" w:eastAsia="Times New Roman" w:hAnsi="Times New Roman"/>
          <w:sz w:val="22"/>
          <w:szCs w:val="22"/>
          <w:color w:val="auto"/>
        </w:rPr>
        <w:t xml:space="preserve">Later Distribution Date for my </w:t>
      </w:r>
      <w:r>
        <w:rPr>
          <w:rFonts w:ascii="Times New Roman" w:cs="Times New Roman" w:eastAsia="Times New Roman" w:hAnsi="Times New Roman"/>
          <w:sz w:val="22"/>
          <w:szCs w:val="22"/>
          <w:b w:val="1"/>
          <w:bCs w:val="1"/>
          <w:color w:val="auto"/>
        </w:rPr>
        <w:t>[check one or both boxes, and complete, as applicable, A and/or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below]</w:t>
      </w:r>
      <w:r>
        <w:rPr>
          <w:rFonts w:ascii="Times New Roman" w:cs="Times New Roman" w:eastAsia="Times New Roman" w:hAnsi="Times New Roman"/>
          <w:sz w:val="22"/>
          <w:szCs w:val="22"/>
          <w:color w:val="auto"/>
        </w:rPr>
        <w:t>:</w:t>
      </w:r>
    </w:p>
    <w:p>
      <w:pPr>
        <w:spacing w:after="0" w:line="59" w:lineRule="exact"/>
        <w:rPr>
          <w:sz w:val="20"/>
          <w:szCs w:val="20"/>
          <w:color w:val="auto"/>
        </w:rPr>
      </w:pPr>
    </w:p>
    <w:p>
      <w:pPr>
        <w:ind w:left="602" w:hanging="602"/>
        <w:spacing w:after="0"/>
        <w:tabs>
          <w:tab w:leader="none" w:pos="602" w:val="left"/>
        </w:tabs>
        <w:numPr>
          <w:ilvl w:val="0"/>
          <w:numId w:val="23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Vested Company Contribution Units</w:t>
      </w:r>
    </w:p>
    <w:p>
      <w:pPr>
        <w:spacing w:after="0" w:line="111" w:lineRule="exact"/>
        <w:rPr>
          <w:rFonts w:ascii="MS PGothic" w:cs="MS PGothic" w:eastAsia="MS PGothic" w:hAnsi="MS PGothic"/>
          <w:sz w:val="22"/>
          <w:szCs w:val="22"/>
          <w:color w:val="auto"/>
        </w:rPr>
      </w:pPr>
    </w:p>
    <w:p>
      <w:pPr>
        <w:ind w:left="602" w:hanging="602"/>
        <w:spacing w:after="0"/>
        <w:tabs>
          <w:tab w:leader="none" w:pos="602" w:val="left"/>
        </w:tabs>
        <w:numPr>
          <w:ilvl w:val="0"/>
          <w:numId w:val="23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Director Deferrals</w:t>
      </w:r>
    </w:p>
    <w:p>
      <w:pPr>
        <w:spacing w:after="0" w:line="98" w:lineRule="exact"/>
        <w:rPr>
          <w:rFonts w:ascii="MS PGothic" w:cs="MS PGothic" w:eastAsia="MS PGothic" w:hAnsi="MS PGothic"/>
          <w:sz w:val="22"/>
          <w:szCs w:val="22"/>
          <w:color w:val="auto"/>
        </w:rPr>
      </w:pPr>
    </w:p>
    <w:p>
      <w:pPr>
        <w:ind w:left="802" w:hanging="478"/>
        <w:spacing w:after="0" w:line="255" w:lineRule="auto"/>
        <w:tabs>
          <w:tab w:leader="none" w:pos="796" w:val="left"/>
        </w:tabs>
        <w:numPr>
          <w:ilvl w:val="1"/>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Vested Company Contribution Units</w:t>
      </w:r>
      <w:r>
        <w:rPr>
          <w:rFonts w:ascii="Times New Roman" w:cs="Times New Roman" w:eastAsia="Times New Roman" w:hAnsi="Times New Roman"/>
          <w:sz w:val="21"/>
          <w:szCs w:val="21"/>
          <w:color w:val="auto"/>
        </w:rPr>
        <w:t>. With respect to the following vested Company Contribution Units, I elect to have the Company distribute (or commence to distribute) such vested Company Contribution Units on, or as soon as administratively practicable after, the following date(s) (which must be at least five years from the currently scheduled distribution (commencement of distribution) date(s):</w:t>
      </w:r>
    </w:p>
    <w:p>
      <w:pPr>
        <w:spacing w:after="0" w:line="166" w:lineRule="exact"/>
        <w:rPr>
          <w:sz w:val="20"/>
          <w:szCs w:val="20"/>
          <w:color w:val="auto"/>
        </w:rPr>
      </w:pPr>
    </w:p>
    <w:tbl>
      <w:tblPr>
        <w:tblLayout w:type="fixed"/>
        <w:tblInd w:w="642" w:type="dxa"/>
        <w:tblCellMar>
          <w:top w:w="0" w:type="dxa"/>
          <w:left w:w="0" w:type="dxa"/>
          <w:bottom w:w="0" w:type="dxa"/>
          <w:right w:w="0" w:type="dxa"/>
        </w:tblCellMar>
      </w:tblPr>
      <w:tr>
        <w:trPr>
          <w:trHeight w:val="253"/>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1"/>
              </w:rPr>
              <w:t>1.a</w:t>
            </w:r>
          </w:p>
        </w:tc>
        <w:tc>
          <w:tcPr>
            <w:tcW w:w="35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Date of Deferral Election Agreement:</w:t>
            </w: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 20</w:t>
            </w:r>
          </w:p>
        </w:tc>
        <w:tc>
          <w:tcPr>
            <w:tcW w:w="1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3"/>
        </w:trPr>
        <w:tc>
          <w:tcPr>
            <w:tcW w:w="46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b</w:t>
            </w:r>
          </w:p>
        </w:tc>
        <w:tc>
          <w:tcPr>
            <w:tcW w:w="3500" w:type="dxa"/>
            <w:vAlign w:val="bottom"/>
          </w:tcPr>
          <w:p>
            <w:pPr>
              <w:ind w:left="200"/>
              <w:spacing w:after="0" w:line="223" w:lineRule="exact"/>
              <w:rPr>
                <w:sz w:val="20"/>
                <w:szCs w:val="20"/>
                <w:color w:val="auto"/>
              </w:rPr>
            </w:pPr>
            <w:r>
              <w:rPr>
                <w:rFonts w:ascii="Times New Roman" w:cs="Times New Roman" w:eastAsia="Times New Roman" w:hAnsi="Times New Roman"/>
                <w:sz w:val="22"/>
                <w:szCs w:val="22"/>
                <w:color w:val="auto"/>
                <w:w w:val="97"/>
              </w:rPr>
              <w:t>Current Distribution (Commencement</w:t>
            </w:r>
          </w:p>
        </w:tc>
        <w:tc>
          <w:tcPr>
            <w:tcW w:w="140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2"/>
                <w:szCs w:val="22"/>
                <w:color w:val="auto"/>
                <w:w w:val="97"/>
              </w:rPr>
              <w:t>of Distribution)</w:t>
            </w:r>
          </w:p>
        </w:tc>
        <w:tc>
          <w:tcPr>
            <w:tcW w:w="48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w w:val="83"/>
              </w:rPr>
              <w:t>Date:</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rPr>
              <w:t>, 20</w:t>
            </w:r>
          </w:p>
        </w:tc>
      </w:tr>
      <w:tr>
        <w:trPr>
          <w:trHeight w:val="223"/>
        </w:trPr>
        <w:tc>
          <w:tcPr>
            <w:tcW w:w="460" w:type="dxa"/>
            <w:vAlign w:val="bottom"/>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c</w:t>
            </w:r>
          </w:p>
        </w:tc>
        <w:tc>
          <w:tcPr>
            <w:tcW w:w="5420" w:type="dxa"/>
            <w:vAlign w:val="bottom"/>
            <w:gridSpan w:val="6"/>
          </w:tcPr>
          <w:p>
            <w:pPr>
              <w:ind w:left="240"/>
              <w:spacing w:after="0" w:line="223" w:lineRule="exact"/>
              <w:rPr>
                <w:sz w:val="20"/>
                <w:szCs w:val="20"/>
                <w:color w:val="auto"/>
              </w:rPr>
            </w:pPr>
            <w:r>
              <w:rPr>
                <w:rFonts w:ascii="Times New Roman" w:cs="Times New Roman" w:eastAsia="Times New Roman" w:hAnsi="Times New Roman"/>
                <w:sz w:val="22"/>
                <w:szCs w:val="22"/>
                <w:color w:val="auto"/>
              </w:rPr>
              <w:t>New Distribution (Commencement of Distribution) Date:</w:t>
            </w:r>
          </w:p>
        </w:tc>
        <w:tc>
          <w:tcPr>
            <w:tcW w:w="10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 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5272405</wp:posOffset>
            </wp:positionH>
            <wp:positionV relativeFrom="paragraph">
              <wp:posOffset>-161925</wp:posOffset>
            </wp:positionV>
            <wp:extent cx="10287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1302" w:hanging="492"/>
        <w:spacing w:after="0"/>
        <w:tabs>
          <w:tab w:leader="none" w:pos="130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Method of Distribution:</w:t>
      </w:r>
    </w:p>
    <w:p>
      <w:pPr>
        <w:spacing w:after="0" w:line="57" w:lineRule="exact"/>
        <w:rPr>
          <w:rFonts w:ascii="Times New Roman" w:cs="Times New Roman" w:eastAsia="Times New Roman" w:hAnsi="Times New Roman"/>
          <w:sz w:val="22"/>
          <w:szCs w:val="22"/>
          <w:color w:val="auto"/>
        </w:rPr>
      </w:pPr>
    </w:p>
    <w:p>
      <w:pPr>
        <w:ind w:left="1882" w:hanging="586"/>
        <w:spacing w:after="0"/>
        <w:tabs>
          <w:tab w:leader="none" w:pos="1882" w:val="left"/>
        </w:tabs>
        <w:numPr>
          <w:ilvl w:val="1"/>
          <w:numId w:val="23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57" w:lineRule="exact"/>
        <w:rPr>
          <w:rFonts w:ascii="MS PGothic" w:cs="MS PGothic" w:eastAsia="MS PGothic" w:hAnsi="MS PGothic"/>
          <w:sz w:val="22"/>
          <w:szCs w:val="22"/>
          <w:color w:val="auto"/>
        </w:rPr>
      </w:pPr>
    </w:p>
    <w:p>
      <w:pPr>
        <w:ind w:left="1882" w:hanging="586"/>
        <w:spacing w:after="0"/>
        <w:tabs>
          <w:tab w:leader="none" w:pos="1882" w:val="left"/>
        </w:tabs>
        <w:numPr>
          <w:ilvl w:val="1"/>
          <w:numId w:val="236"/>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353695</wp:posOffset>
            </wp:positionV>
            <wp:extent cx="6292215" cy="2603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2"/>
          </w:cols>
          <w:pgMar w:left="1078" w:top="1202" w:right="999" w:bottom="1440" w:gutter="0" w:footer="0" w:header="0"/>
        </w:sectPr>
      </w:pPr>
    </w:p>
    <w:bookmarkStart w:id="372" w:name="page373"/>
    <w:bookmarkEnd w:id="372"/>
    <w:tbl>
      <w:tblPr>
        <w:tblLayout w:type="fixed"/>
        <w:tblInd w:w="640" w:type="dxa"/>
        <w:tblCellMar>
          <w:top w:w="0" w:type="dxa"/>
          <w:left w:w="0" w:type="dxa"/>
          <w:bottom w:w="0" w:type="dxa"/>
          <w:right w:w="0" w:type="dxa"/>
        </w:tblCellMar>
      </w:tblPr>
      <w:tr>
        <w:trPr>
          <w:trHeight w:val="264"/>
        </w:trPr>
        <w:tc>
          <w:tcPr>
            <w:tcW w:w="460" w:type="dxa"/>
            <w:vAlign w:val="bottom"/>
          </w:tcPr>
          <w:p>
            <w:pPr>
              <w:spacing w:after="0"/>
              <w:rPr>
                <w:sz w:val="22"/>
                <w:szCs w:val="22"/>
                <w:color w:val="auto"/>
              </w:rPr>
            </w:pPr>
          </w:p>
        </w:tc>
        <w:tc>
          <w:tcPr>
            <w:tcW w:w="58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9"/>
              </w:rPr>
              <w:t>in annual distributions for a period of</w:t>
            </w:r>
          </w:p>
        </w:tc>
        <w:tc>
          <w:tcPr>
            <w:tcW w:w="280" w:type="dxa"/>
            <w:vAlign w:val="bottom"/>
            <w:tcBorders>
              <w:bottom w:val="single" w:sz="8" w:color="auto"/>
            </w:tcBorders>
          </w:tcPr>
          <w:p>
            <w:pPr>
              <w:spacing w:after="0"/>
              <w:rPr>
                <w:sz w:val="22"/>
                <w:szCs w:val="22"/>
                <w:color w:val="auto"/>
              </w:rPr>
            </w:pPr>
          </w:p>
        </w:tc>
        <w:tc>
          <w:tcPr>
            <w:tcW w:w="3020" w:type="dxa"/>
            <w:vAlign w:val="bottom"/>
            <w:gridSpan w:val="9"/>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w w:val="99"/>
              </w:rPr>
              <w:t xml:space="preserve">[from two to seven] </w:t>
            </w:r>
            <w:r>
              <w:rPr>
                <w:rFonts w:ascii="Times New Roman" w:cs="Times New Roman" w:eastAsia="Times New Roman" w:hAnsi="Times New Roman"/>
                <w:sz w:val="22"/>
                <w:szCs w:val="22"/>
                <w:color w:val="auto"/>
                <w:w w:val="99"/>
              </w:rPr>
              <w:t>years.</w:t>
            </w:r>
          </w:p>
        </w:tc>
        <w:tc>
          <w:tcPr>
            <w:tcW w:w="0" w:type="dxa"/>
            <w:vAlign w:val="bottom"/>
          </w:tcPr>
          <w:p>
            <w:pPr>
              <w:spacing w:after="0"/>
              <w:rPr>
                <w:sz w:val="1"/>
                <w:szCs w:val="1"/>
                <w:color w:val="auto"/>
              </w:rPr>
            </w:pPr>
          </w:p>
        </w:tc>
      </w:tr>
      <w:tr>
        <w:trPr>
          <w:trHeight w:val="331"/>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1"/>
              </w:rPr>
              <w:t>2.a</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Date of Deferral Election Agreement:</w:t>
            </w:r>
          </w:p>
        </w:tc>
        <w:tc>
          <w:tcPr>
            <w:tcW w:w="46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6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,20 ;</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b</w:t>
            </w:r>
          </w:p>
        </w:tc>
        <w:tc>
          <w:tcPr>
            <w:tcW w:w="3600" w:type="dxa"/>
            <w:vAlign w:val="bottom"/>
            <w:gridSpan w:val="2"/>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3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w w:val="72"/>
              </w:rPr>
              <w:t>Date</w:t>
            </w: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4"/>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 20</w:t>
            </w: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4900" w:type="dxa"/>
            <w:vAlign w:val="bottom"/>
            <w:gridSpan w:val="5"/>
          </w:tcPr>
          <w:p>
            <w:pPr>
              <w:ind w:left="200"/>
              <w:spacing w:after="0" w:line="223" w:lineRule="exact"/>
              <w:rPr>
                <w:sz w:val="20"/>
                <w:szCs w:val="20"/>
                <w:color w:val="auto"/>
              </w:rPr>
            </w:pPr>
            <w:r>
              <w:rPr>
                <w:rFonts w:ascii="Times New Roman" w:cs="Times New Roman" w:eastAsia="Times New Roman" w:hAnsi="Times New Roman"/>
                <w:sz w:val="22"/>
                <w:szCs w:val="22"/>
                <w:color w:val="auto"/>
                <w:w w:val="97"/>
              </w:rPr>
              <w:t>Current Distribution (Commencement of Distribution)</w:t>
            </w:r>
          </w:p>
        </w:tc>
        <w:tc>
          <w:tcPr>
            <w:tcW w:w="380" w:type="dxa"/>
            <w:vAlign w:val="bottom"/>
            <w:vMerge w:val="continue"/>
          </w:tcPr>
          <w:p>
            <w:pPr>
              <w:spacing w:after="0"/>
              <w:rPr>
                <w:sz w:val="19"/>
                <w:szCs w:val="19"/>
                <w:color w:val="auto"/>
              </w:rPr>
            </w:pPr>
          </w:p>
        </w:tc>
        <w:tc>
          <w:tcPr>
            <w:tcW w:w="30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c</w:t>
            </w:r>
          </w:p>
        </w:tc>
        <w:tc>
          <w:tcPr>
            <w:tcW w:w="5320" w:type="dxa"/>
            <w:vAlign w:val="bottom"/>
            <w:gridSpan w:val="7"/>
          </w:tcPr>
          <w:p>
            <w:pPr>
              <w:ind w:left="240"/>
              <w:spacing w:after="0" w:line="223" w:lineRule="exact"/>
              <w:rPr>
                <w:sz w:val="20"/>
                <w:szCs w:val="20"/>
                <w:color w:val="auto"/>
              </w:rPr>
            </w:pPr>
            <w:r>
              <w:rPr>
                <w:rFonts w:ascii="Times New Roman" w:cs="Times New Roman" w:eastAsia="Times New Roman" w:hAnsi="Times New Roman"/>
                <w:sz w:val="22"/>
                <w:szCs w:val="22"/>
                <w:color w:val="auto"/>
                <w:w w:val="99"/>
              </w:rPr>
              <w:t>New Distribution (Commencement of Distribution) Date:</w:t>
            </w:r>
          </w:p>
        </w:tc>
        <w:tc>
          <w:tcPr>
            <w:tcW w:w="260" w:type="dxa"/>
            <w:vAlign w:val="bottom"/>
            <w:gridSpan w:val="2"/>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rPr>
              <w:t>, 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5374005</wp:posOffset>
            </wp:positionH>
            <wp:positionV relativeFrom="paragraph">
              <wp:posOffset>-162560</wp:posOffset>
            </wp:positionV>
            <wp:extent cx="10287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1300" w:hanging="492"/>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Method of Distribution:</w:t>
      </w:r>
    </w:p>
    <w:p>
      <w:pPr>
        <w:spacing w:after="0" w:line="57" w:lineRule="exact"/>
        <w:rPr>
          <w:rFonts w:ascii="Times New Roman" w:cs="Times New Roman" w:eastAsia="Times New Roman" w:hAnsi="Times New Roman"/>
          <w:sz w:val="22"/>
          <w:szCs w:val="22"/>
          <w:color w:val="auto"/>
        </w:rPr>
      </w:pPr>
    </w:p>
    <w:p>
      <w:pPr>
        <w:ind w:left="1880" w:hanging="586"/>
        <w:spacing w:after="0"/>
        <w:tabs>
          <w:tab w:leader="none" w:pos="1880" w:val="left"/>
        </w:tabs>
        <w:numPr>
          <w:ilvl w:val="1"/>
          <w:numId w:val="23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57" w:lineRule="exact"/>
        <w:rPr>
          <w:rFonts w:ascii="MS PGothic" w:cs="MS PGothic" w:eastAsia="MS PGothic" w:hAnsi="MS PGothic"/>
          <w:sz w:val="22"/>
          <w:szCs w:val="22"/>
          <w:color w:val="auto"/>
        </w:rPr>
      </w:pPr>
    </w:p>
    <w:p>
      <w:pPr>
        <w:ind w:left="1880" w:hanging="586"/>
        <w:spacing w:after="0"/>
        <w:tabs>
          <w:tab w:leader="none" w:pos="1880" w:val="left"/>
        </w:tabs>
        <w:numPr>
          <w:ilvl w:val="1"/>
          <w:numId w:val="23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51" w:lineRule="exact"/>
        <w:rPr>
          <w:sz w:val="20"/>
          <w:szCs w:val="20"/>
          <w:color w:val="auto"/>
        </w:rPr>
      </w:pPr>
    </w:p>
    <w:p>
      <w:pPr>
        <w:ind w:left="1300"/>
        <w:spacing w:after="0"/>
        <w:tabs>
          <w:tab w:leader="none" w:pos="1860" w:val="left"/>
          <w:tab w:leader="none" w:pos="54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in annual distributions for a period of</w:t>
      </w:r>
      <w:r>
        <w:rPr>
          <w:sz w:val="20"/>
          <w:szCs w:val="20"/>
          <w:color w:val="auto"/>
        </w:rPr>
        <w:tab/>
      </w:r>
      <w:r>
        <w:rPr>
          <w:rFonts w:ascii="Times New Roman" w:cs="Times New Roman" w:eastAsia="Times New Roman" w:hAnsi="Times New Roman"/>
          <w:sz w:val="21"/>
          <w:szCs w:val="21"/>
          <w:b w:val="1"/>
          <w:bCs w:val="1"/>
          <w:color w:val="auto"/>
        </w:rPr>
        <w:t xml:space="preserve">[from two to seven] </w:t>
      </w:r>
      <w:r>
        <w:rPr>
          <w:rFonts w:ascii="Times New Roman" w:cs="Times New Roman" w:eastAsia="Times New Roman" w:hAnsi="Times New Roman"/>
          <w:sz w:val="21"/>
          <w:szCs w:val="2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-10160</wp:posOffset>
            </wp:positionV>
            <wp:extent cx="17145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19" w:lineRule="exact"/>
        <w:rPr>
          <w:sz w:val="20"/>
          <w:szCs w:val="20"/>
          <w:color w:val="auto"/>
        </w:rPr>
      </w:pPr>
    </w:p>
    <w:p>
      <w:pPr>
        <w:ind w:left="800" w:right="200" w:hanging="478"/>
        <w:spacing w:after="0" w:line="239" w:lineRule="auto"/>
        <w:tabs>
          <w:tab w:leader="none" w:pos="83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Deferrals</w:t>
      </w:r>
      <w:r>
        <w:rPr>
          <w:rFonts w:ascii="Times New Roman" w:cs="Times New Roman" w:eastAsia="Times New Roman" w:hAnsi="Times New Roman"/>
          <w:sz w:val="22"/>
          <w:szCs w:val="22"/>
          <w:color w:val="auto"/>
        </w:rPr>
        <w:t>. With respect to the following Director Deferrals, I elect to have the Company distribute (or commence to distribute) such Director Deferrals on, or as soon as administratively practicable after, the following date(s) (which must be at least five years from the currently scheduled distribution (commencement of distribution) date(s)):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1"/>
              </w:rPr>
              <w:t>1.a</w:t>
            </w:r>
          </w:p>
        </w:tc>
        <w:tc>
          <w:tcPr>
            <w:tcW w:w="35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Date of Deferral Election Agreement: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20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b</w:t>
            </w:r>
          </w:p>
        </w:tc>
        <w:tc>
          <w:tcPr>
            <w:tcW w:w="356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color w:val="auto"/>
                <w:w w:val="99"/>
              </w:rPr>
              <w:t>Current Distribution (Commencement</w:t>
            </w: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4"/>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 20</w:t>
            </w:r>
          </w:p>
        </w:tc>
        <w:tc>
          <w:tcPr>
            <w:tcW w:w="0" w:type="dxa"/>
            <w:vAlign w:val="bottom"/>
          </w:tcPr>
          <w:p>
            <w:pPr>
              <w:spacing w:after="0" w:line="20" w:lineRule="exact"/>
              <w:rPr>
                <w:sz w:val="1"/>
                <w:szCs w:val="1"/>
                <w:color w:val="auto"/>
              </w:rPr>
            </w:pPr>
          </w:p>
        </w:tc>
      </w:tr>
      <w:tr>
        <w:trPr>
          <w:trHeight w:val="223"/>
        </w:trPr>
        <w:tc>
          <w:tcPr>
            <w:tcW w:w="460" w:type="dxa"/>
            <w:vAlign w:val="bottom"/>
            <w:vMerge w:val="continue"/>
          </w:tcPr>
          <w:p>
            <w:pPr>
              <w:spacing w:after="0"/>
              <w:rPr>
                <w:sz w:val="19"/>
                <w:szCs w:val="19"/>
                <w:color w:val="auto"/>
              </w:rPr>
            </w:pPr>
          </w:p>
        </w:tc>
        <w:tc>
          <w:tcPr>
            <w:tcW w:w="3560" w:type="dxa"/>
            <w:vAlign w:val="bottom"/>
            <w:vMerge w:val="continue"/>
          </w:tcPr>
          <w:p>
            <w:pPr>
              <w:spacing w:after="0"/>
              <w:rPr>
                <w:sz w:val="19"/>
                <w:szCs w:val="19"/>
                <w:color w:val="auto"/>
              </w:rPr>
            </w:pPr>
          </w:p>
        </w:tc>
        <w:tc>
          <w:tcPr>
            <w:tcW w:w="12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88"/>
              </w:rPr>
              <w:t>of Distribution)</w:t>
            </w:r>
          </w:p>
        </w:tc>
        <w:tc>
          <w:tcPr>
            <w:tcW w:w="680" w:type="dxa"/>
            <w:vAlign w:val="bottom"/>
            <w:gridSpan w:val="3"/>
          </w:tcPr>
          <w:p>
            <w:pPr>
              <w:ind w:left="160"/>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17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c</w:t>
            </w:r>
          </w:p>
        </w:tc>
        <w:tc>
          <w:tcPr>
            <w:tcW w:w="5280" w:type="dxa"/>
            <w:vAlign w:val="bottom"/>
            <w:gridSpan w:val="4"/>
          </w:tcPr>
          <w:p>
            <w:pPr>
              <w:ind w:left="240"/>
              <w:spacing w:after="0" w:line="223" w:lineRule="exact"/>
              <w:rPr>
                <w:sz w:val="20"/>
                <w:szCs w:val="20"/>
                <w:color w:val="auto"/>
              </w:rPr>
            </w:pPr>
            <w:r>
              <w:rPr>
                <w:rFonts w:ascii="Times New Roman" w:cs="Times New Roman" w:eastAsia="Times New Roman" w:hAnsi="Times New Roman"/>
                <w:sz w:val="22"/>
                <w:szCs w:val="22"/>
                <w:color w:val="auto"/>
                <w:w w:val="98"/>
              </w:rPr>
              <w:t>New Distribution (Commencement of Distribution) Date:</w:t>
            </w:r>
          </w:p>
        </w:tc>
        <w:tc>
          <w:tcPr>
            <w:tcW w:w="20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 20</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-162560</wp:posOffset>
            </wp:positionV>
            <wp:extent cx="10287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1300" w:hanging="492"/>
        <w:spacing w:after="0"/>
        <w:tabs>
          <w:tab w:leader="none" w:pos="1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Method of Distribution:</w:t>
      </w:r>
    </w:p>
    <w:p>
      <w:pPr>
        <w:spacing w:after="0" w:line="57" w:lineRule="exact"/>
        <w:rPr>
          <w:rFonts w:ascii="Times New Roman" w:cs="Times New Roman" w:eastAsia="Times New Roman" w:hAnsi="Times New Roman"/>
          <w:sz w:val="22"/>
          <w:szCs w:val="22"/>
          <w:color w:val="auto"/>
        </w:rPr>
      </w:pPr>
    </w:p>
    <w:p>
      <w:pPr>
        <w:ind w:left="1880" w:hanging="586"/>
        <w:spacing w:after="0"/>
        <w:tabs>
          <w:tab w:leader="none" w:pos="1880" w:val="left"/>
        </w:tabs>
        <w:numPr>
          <w:ilvl w:val="1"/>
          <w:numId w:val="23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57" w:lineRule="exact"/>
        <w:rPr>
          <w:rFonts w:ascii="MS PGothic" w:cs="MS PGothic" w:eastAsia="MS PGothic" w:hAnsi="MS PGothic"/>
          <w:sz w:val="22"/>
          <w:szCs w:val="22"/>
          <w:color w:val="auto"/>
        </w:rPr>
      </w:pPr>
    </w:p>
    <w:p>
      <w:pPr>
        <w:ind w:left="1880" w:hanging="586"/>
        <w:spacing w:after="0"/>
        <w:tabs>
          <w:tab w:leader="none" w:pos="1880" w:val="left"/>
        </w:tabs>
        <w:numPr>
          <w:ilvl w:val="1"/>
          <w:numId w:val="23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3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58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34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9"/>
              </w:rPr>
              <w:t>in annual distributions for a period of</w:t>
            </w:r>
          </w:p>
        </w:tc>
        <w:tc>
          <w:tcPr>
            <w:tcW w:w="220" w:type="dxa"/>
            <w:vAlign w:val="bottom"/>
            <w:tcBorders>
              <w:bottom w:val="single" w:sz="8" w:color="auto"/>
            </w:tcBorders>
          </w:tcPr>
          <w:p>
            <w:pPr>
              <w:spacing w:after="0"/>
              <w:rPr>
                <w:sz w:val="22"/>
                <w:szCs w:val="22"/>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[from two to 10] </w:t>
            </w:r>
            <w:r>
              <w:rPr>
                <w:rFonts w:ascii="Times New Roman" w:cs="Times New Roman" w:eastAsia="Times New Roman" w:hAnsi="Times New Roman"/>
                <w:sz w:val="22"/>
                <w:szCs w:val="22"/>
                <w:color w:val="auto"/>
              </w:rPr>
              <w:t>years.</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31"/>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1"/>
              </w:rPr>
              <w:t>2.a</w:t>
            </w:r>
          </w:p>
        </w:tc>
        <w:tc>
          <w:tcPr>
            <w:tcW w:w="35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w w:val="99"/>
              </w:rPr>
              <w:t>Date of Deferral Election Agreement:</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20</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6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b</w:t>
            </w:r>
          </w:p>
        </w:tc>
        <w:tc>
          <w:tcPr>
            <w:tcW w:w="356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2"/>
                <w:szCs w:val="22"/>
                <w:color w:val="auto"/>
                <w:w w:val="99"/>
              </w:rPr>
              <w:t>Current Distribution (Commencement</w:t>
            </w:r>
          </w:p>
        </w:tc>
        <w:tc>
          <w:tcPr>
            <w:tcW w:w="128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w w:val="91"/>
              </w:rPr>
              <w:t>of Distribution)</w:t>
            </w:r>
          </w:p>
        </w:tc>
        <w:tc>
          <w:tcPr>
            <w:tcW w:w="540" w:type="dxa"/>
            <w:vAlign w:val="bottom"/>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w w:val="83"/>
              </w:rPr>
              <w:t>Date:</w:t>
            </w: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auto"/>
              </w:rPr>
              <w:t>, 20</w:t>
            </w:r>
          </w:p>
        </w:tc>
      </w:tr>
      <w:tr>
        <w:trPr>
          <w:trHeight w:val="223"/>
        </w:trPr>
        <w:tc>
          <w:tcPr>
            <w:tcW w:w="460" w:type="dxa"/>
            <w:vAlign w:val="bottom"/>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rPr>
              <w:t>c</w:t>
            </w:r>
          </w:p>
        </w:tc>
        <w:tc>
          <w:tcPr>
            <w:tcW w:w="5260" w:type="dxa"/>
            <w:vAlign w:val="bottom"/>
            <w:gridSpan w:val="7"/>
          </w:tcPr>
          <w:p>
            <w:pPr>
              <w:ind w:left="240"/>
              <w:spacing w:after="0" w:line="223" w:lineRule="exact"/>
              <w:rPr>
                <w:sz w:val="20"/>
                <w:szCs w:val="20"/>
                <w:color w:val="auto"/>
              </w:rPr>
            </w:pPr>
            <w:r>
              <w:rPr>
                <w:rFonts w:ascii="Times New Roman" w:cs="Times New Roman" w:eastAsia="Times New Roman" w:hAnsi="Times New Roman"/>
                <w:sz w:val="22"/>
                <w:szCs w:val="22"/>
                <w:color w:val="auto"/>
                <w:w w:val="98"/>
              </w:rPr>
              <w:t>New Distribution (Commencement of Distribution) Date:</w:t>
            </w:r>
          </w:p>
        </w:tc>
        <w:tc>
          <w:tcPr>
            <w:tcW w:w="22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rPr>
              <w:t>, 20</w:t>
            </w:r>
          </w:p>
        </w:tc>
        <w:tc>
          <w:tcPr>
            <w:tcW w:w="1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-162560</wp:posOffset>
            </wp:positionV>
            <wp:extent cx="10287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1300" w:hanging="492"/>
        <w:spacing w:after="0"/>
        <w:tabs>
          <w:tab w:leader="none" w:pos="130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Method of Distribution:</w:t>
      </w:r>
    </w:p>
    <w:p>
      <w:pPr>
        <w:spacing w:after="0" w:line="57" w:lineRule="exact"/>
        <w:rPr>
          <w:rFonts w:ascii="Times New Roman" w:cs="Times New Roman" w:eastAsia="Times New Roman" w:hAnsi="Times New Roman"/>
          <w:sz w:val="22"/>
          <w:szCs w:val="22"/>
          <w:color w:val="auto"/>
        </w:rPr>
      </w:pPr>
    </w:p>
    <w:p>
      <w:pPr>
        <w:ind w:left="1880" w:hanging="586"/>
        <w:spacing w:after="0"/>
        <w:tabs>
          <w:tab w:leader="none" w:pos="1880" w:val="left"/>
        </w:tabs>
        <w:numPr>
          <w:ilvl w:val="1"/>
          <w:numId w:val="24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accordance with the previous method of distribution; or</w:t>
      </w:r>
    </w:p>
    <w:p>
      <w:pPr>
        <w:spacing w:after="0" w:line="57" w:lineRule="exact"/>
        <w:rPr>
          <w:rFonts w:ascii="MS PGothic" w:cs="MS PGothic" w:eastAsia="MS PGothic" w:hAnsi="MS PGothic"/>
          <w:sz w:val="22"/>
          <w:szCs w:val="22"/>
          <w:color w:val="auto"/>
        </w:rPr>
      </w:pPr>
    </w:p>
    <w:p>
      <w:pPr>
        <w:ind w:left="1880" w:hanging="586"/>
        <w:spacing w:after="0"/>
        <w:tabs>
          <w:tab w:leader="none" w:pos="1880" w:val="left"/>
        </w:tabs>
        <w:numPr>
          <w:ilvl w:val="1"/>
          <w:numId w:val="24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a single distribution equal to the balance in the Account or subaccount; or</w:t>
      </w:r>
    </w:p>
    <w:p>
      <w:pPr>
        <w:spacing w:after="0" w:line="51" w:lineRule="exact"/>
        <w:rPr>
          <w:sz w:val="20"/>
          <w:szCs w:val="20"/>
          <w:color w:val="auto"/>
        </w:rPr>
      </w:pPr>
    </w:p>
    <w:p>
      <w:pPr>
        <w:ind w:left="1300"/>
        <w:spacing w:after="0"/>
        <w:tabs>
          <w:tab w:leader="none" w:pos="1860" w:val="left"/>
          <w:tab w:leader="none" w:pos="54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in annual distributions for a period of</w:t>
      </w:r>
      <w:r>
        <w:rPr>
          <w:sz w:val="20"/>
          <w:szCs w:val="20"/>
          <w:color w:val="auto"/>
        </w:rPr>
        <w:tab/>
      </w:r>
      <w:r>
        <w:rPr>
          <w:rFonts w:ascii="Times New Roman" w:cs="Times New Roman" w:eastAsia="Times New Roman" w:hAnsi="Times New Roman"/>
          <w:sz w:val="21"/>
          <w:szCs w:val="21"/>
          <w:b w:val="1"/>
          <w:bCs w:val="1"/>
          <w:color w:val="auto"/>
        </w:rPr>
        <w:t xml:space="preserve">[from two to 10] </w:t>
      </w:r>
      <w:r>
        <w:rPr>
          <w:rFonts w:ascii="Times New Roman" w:cs="Times New Roman" w:eastAsia="Times New Roman" w:hAnsi="Times New Roman"/>
          <w:sz w:val="21"/>
          <w:szCs w:val="21"/>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-10160</wp:posOffset>
            </wp:positionV>
            <wp:extent cx="17145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6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080" w:top="1185" w:right="1019" w:bottom="1440" w:gutter="0" w:footer="0" w:header="0"/>
        </w:sectPr>
      </w:pPr>
    </w:p>
    <w:bookmarkStart w:id="373" w:name="page374"/>
    <w:bookmarkEnd w:id="373"/>
    <w:p>
      <w:pPr>
        <w:ind w:left="100" w:right="599"/>
        <w:spacing w:after="0" w:line="262" w:lineRule="auto"/>
        <w:rPr>
          <w:sz w:val="20"/>
          <w:szCs w:val="20"/>
          <w:color w:val="auto"/>
        </w:rPr>
      </w:pPr>
      <w:r>
        <w:rPr>
          <w:rFonts w:ascii="Times New Roman" w:cs="Times New Roman" w:eastAsia="Times New Roman" w:hAnsi="Times New Roman"/>
          <w:sz w:val="22"/>
          <w:szCs w:val="22"/>
          <w:i w:val="1"/>
          <w:iCs w:val="1"/>
          <w:color w:val="auto"/>
        </w:rPr>
        <w:t>SECURITIES ADVISOR REGARDING YOUR OWN SITUATION BEFORE YOU ENTER INTO THIS AGREEMENT</w:t>
      </w:r>
      <w:r>
        <w:rPr>
          <w:rFonts w:ascii="Times New Roman" w:cs="Times New Roman" w:eastAsia="Times New Roman" w:hAnsi="Times New Roman"/>
          <w:sz w:val="22"/>
          <w:szCs w:val="22"/>
          <w:color w:val="auto"/>
        </w:rPr>
        <w:t>.</w:t>
      </w:r>
    </w:p>
    <w:p>
      <w:pPr>
        <w:spacing w:after="0" w:line="1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30302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7">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-13970</wp:posOffset>
            </wp:positionV>
            <wp:extent cx="44577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-13970</wp:posOffset>
            </wp:positionV>
            <wp:extent cx="10287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 of Participant</w:t>
      </w:r>
      <w:r>
        <w:rPr>
          <w:sz w:val="20"/>
          <w:szCs w:val="20"/>
          <w:color w:val="auto"/>
        </w:rPr>
        <w:tab/>
      </w:r>
      <w:r>
        <w:rPr>
          <w:rFonts w:ascii="Times New Roman" w:cs="Times New Roman" w:eastAsia="Times New Roman" w:hAnsi="Times New Roman"/>
          <w:sz w:val="21"/>
          <w:szCs w:val="21"/>
          <w:color w:val="auto"/>
        </w:rPr>
        <w:t>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-13970</wp:posOffset>
            </wp:positionV>
            <wp:extent cx="75438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-29210</wp:posOffset>
            </wp:positionV>
            <wp:extent cx="44577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1">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-29210</wp:posOffset>
            </wp:positionV>
            <wp:extent cx="10287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02" w:right="1440" w:bottom="1440" w:gutter="0" w:footer="0" w:header="0"/>
        </w:sectPr>
      </w:pPr>
    </w:p>
    <w:bookmarkStart w:id="374" w:name="page375"/>
    <w:bookmarkEnd w:id="374"/>
    <w:p>
      <w:pPr>
        <w:jc w:val="center"/>
        <w:ind w:left="1000" w:right="2240"/>
        <w:spacing w:after="0" w:line="241"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 DEFERRED COMPENSATION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TERMINATION OF DEFERRAL ELECTION</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374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w w:val="99"/>
              </w:rPr>
              <w:t>This Agreement is entered into this</w:t>
            </w:r>
          </w:p>
        </w:tc>
        <w:tc>
          <w:tcPr>
            <w:tcW w:w="640" w:type="dxa"/>
            <w:vAlign w:val="bottom"/>
            <w:tcBorders>
              <w:bottom w:val="single" w:sz="8" w:color="auto"/>
            </w:tcBorders>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day of</w:t>
            </w:r>
          </w:p>
        </w:tc>
        <w:tc>
          <w:tcPr>
            <w:tcW w:w="12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 20 , between Bentley Systems,</w:t>
            </w:r>
          </w:p>
        </w:tc>
      </w:tr>
      <w:tr>
        <w:trPr>
          <w:trHeight w:val="223"/>
        </w:trPr>
        <w:tc>
          <w:tcPr>
            <w:tcW w:w="30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8"/>
              </w:rPr>
              <w:t>Incorporated (the “Company”) and</w:t>
            </w: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(the “Participant”).</w:t>
            </w:r>
          </w:p>
        </w:tc>
      </w:tr>
    </w:tbl>
    <w:p>
      <w:pPr>
        <w:spacing w:after="0" w:line="239" w:lineRule="exact"/>
        <w:rPr>
          <w:sz w:val="20"/>
          <w:szCs w:val="20"/>
          <w:color w:val="auto"/>
        </w:rPr>
      </w:pPr>
    </w:p>
    <w:p>
      <w:pPr>
        <w:ind w:left="100" w:right="40"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Participant, a non-employee director of the Company, has been selected to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Bentley Systems, Incorporated Nonqualified Deferred Compensation Plan for Non-Employee Directors (the “Plan”); and</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Participant wishes to terminate his or her election to defer directors’ fees under the Plan;</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agree as follows:</w:t>
      </w:r>
    </w:p>
    <w:p>
      <w:pPr>
        <w:spacing w:after="0" w:line="237" w:lineRule="exact"/>
        <w:rPr>
          <w:sz w:val="20"/>
          <w:szCs w:val="20"/>
          <w:color w:val="auto"/>
        </w:rPr>
      </w:pPr>
    </w:p>
    <w:p>
      <w:pPr>
        <w:jc w:val="both"/>
        <w:ind w:left="100" w:right="100" w:firstLine="647"/>
        <w:spacing w:after="0" w:line="244" w:lineRule="auto"/>
        <w:rPr>
          <w:sz w:val="20"/>
          <w:szCs w:val="20"/>
          <w:color w:val="auto"/>
        </w:rPr>
      </w:pPr>
      <w:r>
        <w:rPr>
          <w:rFonts w:ascii="Times New Roman" w:cs="Times New Roman" w:eastAsia="Times New Roman" w:hAnsi="Times New Roman"/>
          <w:sz w:val="22"/>
          <w:szCs w:val="22"/>
          <w:color w:val="auto"/>
        </w:rPr>
        <w:t>Effective as of January 1, 20 , I hereby elect to cease deferring any future directors’ fees under the Plan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those directors’ fees with respect to which the Election Date, as described in Section 3.1(a) of the Plan, has not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-343535</wp:posOffset>
            </wp:positionV>
            <wp:extent cx="10287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ind w:left="100" w:right="20"/>
        <w:spacing w:after="0" w:line="238" w:lineRule="auto"/>
        <w:rPr>
          <w:sz w:val="20"/>
          <w:szCs w:val="20"/>
          <w:color w:val="auto"/>
        </w:rPr>
      </w:pPr>
      <w:r>
        <w:rPr>
          <w:rFonts w:ascii="Times New Roman" w:cs="Times New Roman" w:eastAsia="Times New Roman" w:hAnsi="Times New Roman"/>
          <w:sz w:val="22"/>
          <w:szCs w:val="22"/>
          <w:i w:val="1"/>
          <w:iCs w:val="1"/>
          <w:color w:val="auto"/>
        </w:rPr>
        <w:t>BECAUSE OF THE COMPLEXITIES INVOLVED IN THE APPLICATION OF FEDERAL, STATE, LOCAL AND FOREIGN TAX AND SECURITIES LAWS TO SPECIFIC CIRCUMSTANCES, AND THE UNCERTAINTIES AS TO POSSIBLE FUTURE CHANGES IN THE TAX AND SECURITIES LAWS, YOU SHOULD CONSULT YOUR PERSONAL TAX AND SECURITIES ADVISOR REGARDING YOUR OWN SITUATION BEFORE YOU ENTER INTO THIS AGREEMENT</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3030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5">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-13970</wp:posOffset>
            </wp:positionV>
            <wp:extent cx="44577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-13970</wp:posOffset>
            </wp:positionV>
            <wp:extent cx="10287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 of Participant</w:t>
      </w:r>
      <w:r>
        <w:rPr>
          <w:sz w:val="20"/>
          <w:szCs w:val="20"/>
          <w:color w:val="auto"/>
        </w:rPr>
        <w:tab/>
      </w:r>
      <w:r>
        <w:rPr>
          <w:rFonts w:ascii="Times New Roman" w:cs="Times New Roman" w:eastAsia="Times New Roman" w:hAnsi="Times New Roman"/>
          <w:sz w:val="21"/>
          <w:szCs w:val="21"/>
          <w:color w:val="auto"/>
        </w:rPr>
        <w:t>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-13970</wp:posOffset>
            </wp:positionV>
            <wp:extent cx="75438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-29210</wp:posOffset>
            </wp:positionV>
            <wp:extent cx="44577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-29210</wp:posOffset>
            </wp:positionV>
            <wp:extent cx="10287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02" w:right="999" w:bottom="1440" w:gutter="0" w:footer="0" w:header="0"/>
        </w:sectPr>
      </w:pPr>
    </w:p>
    <w:bookmarkStart w:id="375" w:name="page376"/>
    <w:bookmarkEnd w:id="375"/>
    <w:p>
      <w:pPr>
        <w:jc w:val="center"/>
        <w:ind w:left="1000" w:right="2240"/>
        <w:spacing w:after="0" w:line="246" w:lineRule="auto"/>
        <w:rPr>
          <w:sz w:val="20"/>
          <w:szCs w:val="20"/>
          <w:color w:val="auto"/>
        </w:rPr>
      </w:pPr>
      <w:r>
        <w:rPr>
          <w:rFonts w:ascii="Times New Roman" w:cs="Times New Roman" w:eastAsia="Times New Roman" w:hAnsi="Times New Roman"/>
          <w:sz w:val="22"/>
          <w:szCs w:val="22"/>
          <w:b w:val="1"/>
          <w:bCs w:val="1"/>
          <w:color w:val="auto"/>
        </w:rPr>
        <w:t>BENTLEY SYSTEMS, INCORPORATED NONQUALIFIED DEFERRED COMPENSATION PLAN FOR NON-EMPLOYEE DIRECTORS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BENEFICIARY DESIGNATION FORM</w:t>
      </w:r>
    </w:p>
    <w:p>
      <w:pPr>
        <w:spacing w:after="0" w:line="237" w:lineRule="exact"/>
        <w:rPr>
          <w:sz w:val="20"/>
          <w:szCs w:val="20"/>
          <w:color w:val="auto"/>
        </w:rPr>
      </w:pPr>
    </w:p>
    <w:p>
      <w:pPr>
        <w:ind w:left="100" w:right="80" w:firstLine="647"/>
        <w:spacing w:after="0" w:line="239" w:lineRule="auto"/>
        <w:rPr>
          <w:sz w:val="20"/>
          <w:szCs w:val="20"/>
          <w:color w:val="auto"/>
        </w:rPr>
      </w:pPr>
      <w:r>
        <w:rPr>
          <w:rFonts w:ascii="Times New Roman" w:cs="Times New Roman" w:eastAsia="Times New Roman" w:hAnsi="Times New Roman"/>
          <w:sz w:val="22"/>
          <w:szCs w:val="22"/>
          <w:color w:val="auto"/>
        </w:rPr>
        <w:t>This Form is for your use under the Bentley Systems, Incorporated Nonqualified Deferred Compensation Plan for Non-Employee Directors (the “Plan”) to name a beneficiary for the Company Contribution Units and/or Director Deferrals that may be distributed to you under the Plan. You should complete the Form, sign it, have it signed by the Company, and date it.</w:t>
      </w:r>
    </w:p>
    <w:p>
      <w:pPr>
        <w:spacing w:after="0" w:line="207" w:lineRule="exact"/>
        <w:rPr>
          <w:sz w:val="20"/>
          <w:szCs w:val="20"/>
          <w:color w:val="auto"/>
        </w:rPr>
      </w:pPr>
    </w:p>
    <w:p>
      <w:pPr>
        <w:ind w:left="3940"/>
        <w:spacing w:after="0"/>
        <w:tabs>
          <w:tab w:leader="none" w:pos="4560" w:val="left"/>
          <w:tab w:leader="none" w:pos="5220" w:val="left"/>
          <w:tab w:leader="none" w:pos="58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00" w:right="140" w:firstLine="647"/>
        <w:spacing w:after="0" w:line="236" w:lineRule="auto"/>
        <w:rPr>
          <w:sz w:val="20"/>
          <w:szCs w:val="20"/>
          <w:color w:val="auto"/>
        </w:rPr>
      </w:pPr>
      <w:r>
        <w:rPr>
          <w:rFonts w:ascii="Times New Roman" w:cs="Times New Roman" w:eastAsia="Times New Roman" w:hAnsi="Times New Roman"/>
          <w:sz w:val="22"/>
          <w:szCs w:val="22"/>
          <w:color w:val="auto"/>
        </w:rPr>
        <w:t>I understand that in the event of my death before I receive full distribution with respect to my Company Contribution Units and/or Director Deferrals, such Company Contribution Units and/or Director Deferrals will be distributed to the beneficiary designated by me below or, if none or if my designated beneficiary predeceases me, to my surviving spouse or, if none, to my estate. I further understand that the last beneficiary designation filed by me during my lifetime and accepted by the Company cancels all prior beneficiary designations previously filed by me under the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 hereby state that</w:t>
            </w:r>
          </w:p>
        </w:tc>
        <w:tc>
          <w:tcPr>
            <w:tcW w:w="2160" w:type="dxa"/>
            <w:vAlign w:val="bottom"/>
            <w:tcBorders>
              <w:bottom w:val="single" w:sz="8" w:color="auto"/>
            </w:tcBorders>
            <w:gridSpan w:val="2"/>
          </w:tcPr>
          <w:p>
            <w:pPr>
              <w:spacing w:after="0"/>
              <w:rPr>
                <w:sz w:val="21"/>
                <w:szCs w:val="21"/>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[insert name]</w:t>
            </w:r>
            <w:r>
              <w:rPr>
                <w:rFonts w:ascii="Times New Roman" w:cs="Times New Roman" w:eastAsia="Times New Roman" w:hAnsi="Times New Roman"/>
                <w:sz w:val="22"/>
                <w:szCs w:val="22"/>
                <w:color w:val="auto"/>
                <w:w w:val="99"/>
              </w:rPr>
              <w:t>, residing at</w:t>
            </w:r>
          </w:p>
        </w:tc>
        <w:tc>
          <w:tcPr>
            <w:tcW w:w="2100" w:type="dxa"/>
            <w:vAlign w:val="bottom"/>
            <w:tcBorders>
              <w:bottom w:val="single" w:sz="8" w:color="auto"/>
            </w:tcBorders>
          </w:tcPr>
          <w:p>
            <w:pPr>
              <w:spacing w:after="0"/>
              <w:rPr>
                <w:sz w:val="21"/>
                <w:szCs w:val="21"/>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[insert</w:t>
            </w:r>
          </w:p>
        </w:tc>
      </w:tr>
      <w:tr>
        <w:trPr>
          <w:trHeight w:val="223"/>
        </w:trPr>
        <w:tc>
          <w:tcPr>
            <w:tcW w:w="20" w:type="dxa"/>
            <w:vAlign w:val="bottom"/>
          </w:tcPr>
          <w:p>
            <w:pPr>
              <w:spacing w:after="0"/>
              <w:rPr>
                <w:sz w:val="19"/>
                <w:szCs w:val="19"/>
                <w:color w:val="auto"/>
              </w:rPr>
            </w:pPr>
          </w:p>
        </w:tc>
        <w:tc>
          <w:tcPr>
            <w:tcW w:w="2320" w:type="dxa"/>
            <w:vAlign w:val="bottom"/>
            <w:gridSpan w:val="6"/>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auto"/>
              </w:rPr>
              <w:t>address]</w:t>
            </w:r>
            <w:r>
              <w:rPr>
                <w:rFonts w:ascii="Times New Roman" w:cs="Times New Roman" w:eastAsia="Times New Roman" w:hAnsi="Times New Roman"/>
                <w:sz w:val="22"/>
                <w:szCs w:val="22"/>
                <w:color w:val="auto"/>
              </w:rPr>
              <w:t>, whose Social</w:t>
            </w:r>
          </w:p>
        </w:tc>
        <w:tc>
          <w:tcPr>
            <w:tcW w:w="15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w w:val="90"/>
              </w:rPr>
              <w:t>Security number is</w:t>
            </w: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8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2"/>
                <w:szCs w:val="22"/>
                <w:color w:val="auto"/>
                <w:w w:val="99"/>
              </w:rPr>
              <w:t>, is designated as my beneficiary.</w:t>
            </w:r>
          </w:p>
        </w:tc>
        <w:tc>
          <w:tcPr>
            <w:tcW w:w="960" w:type="dxa"/>
            <w:vAlign w:val="bottom"/>
          </w:tcPr>
          <w:p>
            <w:pPr>
              <w:spacing w:after="0"/>
              <w:rPr>
                <w:sz w:val="19"/>
                <w:szCs w:val="19"/>
                <w:color w:val="auto"/>
              </w:rPr>
            </w:pPr>
          </w:p>
        </w:tc>
      </w:tr>
      <w:tr>
        <w:trPr>
          <w:trHeight w:val="4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20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20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Signature of Participant</w:t>
            </w:r>
          </w:p>
        </w:tc>
        <w:tc>
          <w:tcPr>
            <w:tcW w:w="2440" w:type="dxa"/>
            <w:vAlign w:val="bottom"/>
            <w:gridSpan w:val="3"/>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320" w:type="dxa"/>
            <w:vAlign w:val="bottom"/>
            <w:gridSpan w:val="2"/>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720" w:type="dxa"/>
            <w:vAlign w:val="bottom"/>
            <w:gridSpan w:val="2"/>
          </w:tcPr>
          <w:p>
            <w:pPr>
              <w:spacing w:after="0"/>
              <w:rPr>
                <w:sz w:val="23"/>
                <w:szCs w:val="23"/>
                <w:color w:val="auto"/>
              </w:rPr>
            </w:pPr>
          </w:p>
        </w:tc>
        <w:tc>
          <w:tcPr>
            <w:tcW w:w="960" w:type="dxa"/>
            <w:vAlign w:val="bottom"/>
          </w:tcPr>
          <w:p>
            <w:pPr>
              <w:spacing w:after="0"/>
              <w:rPr>
                <w:sz w:val="23"/>
                <w:szCs w:val="23"/>
                <w:color w:val="auto"/>
              </w:rPr>
            </w:pPr>
          </w:p>
        </w:tc>
      </w:tr>
      <w:tr>
        <w:trPr>
          <w:trHeight w:val="446"/>
        </w:trPr>
        <w:tc>
          <w:tcPr>
            <w:tcW w:w="45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ACCEPTED:</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2"/>
        </w:trPr>
        <w:tc>
          <w:tcPr>
            <w:tcW w:w="45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BENTLEY SYSTEMS, INCORPORATED</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4"/>
        </w:trPr>
        <w:tc>
          <w:tcPr>
            <w:tcW w:w="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3"/>
        </w:trPr>
        <w:tc>
          <w:tcPr>
            <w:tcW w:w="5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Date:</w:t>
            </w:r>
          </w:p>
        </w:tc>
        <w:tc>
          <w:tcPr>
            <w:tcW w:w="10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 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93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B-1</w:t>
            </w:r>
          </w:p>
        </w:tc>
        <w:tc>
          <w:tcPr>
            <w:tcW w:w="960" w:type="dxa"/>
            <w:vAlign w:val="bottom"/>
          </w:tcPr>
          <w:p>
            <w:pPr>
              <w:spacing w:after="0"/>
              <w:rPr>
                <w:sz w:val="24"/>
                <w:szCs w:val="24"/>
                <w:color w:val="auto"/>
              </w:rPr>
            </w:pPr>
          </w:p>
        </w:tc>
      </w:tr>
      <w:tr>
        <w:trPr>
          <w:trHeight w:val="549"/>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5" w:right="99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BENTLEY SYSTEMS, INCORPORATED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OMNIBUS INCENTIVE PLAN</w:t>
      </w:r>
    </w:p>
    <w:p>
      <w:pPr>
        <w:spacing w:after="0" w:line="190" w:lineRule="exact"/>
        <w:rPr>
          <w:sz w:val="20"/>
          <w:szCs w:val="20"/>
          <w:color w:val="auto"/>
        </w:rPr>
      </w:pPr>
    </w:p>
    <w:p>
      <w:pPr>
        <w:jc w:val="both"/>
        <w:ind w:firstLine="656"/>
        <w:spacing w:after="0" w:line="261" w:lineRule="auto"/>
        <w:tabs>
          <w:tab w:leader="none" w:pos="1372" w:val="left"/>
        </w:tabs>
        <w:numPr>
          <w:ilvl w:val="1"/>
          <w:numId w:val="241"/>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color w:val="auto"/>
        </w:rPr>
        <w:t>Purpose</w:t>
      </w:r>
      <w:r>
        <w:rPr>
          <w:rFonts w:ascii="Times New Roman" w:cs="Times New Roman" w:eastAsia="Times New Roman" w:hAnsi="Times New Roman"/>
          <w:sz w:val="19"/>
          <w:szCs w:val="19"/>
          <w:color w:val="auto"/>
        </w:rPr>
        <w:t>. The purpose of the Bentley Systems, Incorporated 2020 Omnibus Incentive Plan is to provide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Class B Common Stock, thereby strengthening their commitment to the welfare of the Company Group and aligning their interests with those of the Company’s stockholders.</w:t>
      </w:r>
    </w:p>
    <w:p>
      <w:pPr>
        <w:spacing w:after="0" w:line="167" w:lineRule="exact"/>
        <w:rPr>
          <w:rFonts w:ascii="Times New Roman" w:cs="Times New Roman" w:eastAsia="Times New Roman" w:hAnsi="Times New Roman"/>
          <w:sz w:val="19"/>
          <w:szCs w:val="19"/>
          <w:b w:val="1"/>
          <w:bCs w:val="1"/>
          <w:color w:val="010000"/>
        </w:rPr>
      </w:pPr>
    </w:p>
    <w:p>
      <w:pPr>
        <w:ind w:left="1300" w:hanging="644"/>
        <w:spacing w:after="0"/>
        <w:tabs>
          <w:tab w:leader="none" w:pos="1300" w:val="left"/>
        </w:tabs>
        <w:numPr>
          <w:ilvl w:val="1"/>
          <w:numId w:val="24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definitions shall be applicable throughout the Plan.</w:t>
      </w:r>
    </w:p>
    <w:p>
      <w:pPr>
        <w:spacing w:after="0" w:line="215" w:lineRule="exact"/>
        <w:rPr>
          <w:rFonts w:ascii="Times New Roman" w:cs="Times New Roman" w:eastAsia="Times New Roman" w:hAnsi="Times New Roman"/>
          <w:sz w:val="20"/>
          <w:szCs w:val="20"/>
          <w:b w:val="1"/>
          <w:bCs w:val="1"/>
          <w:color w:val="010000"/>
        </w:rPr>
      </w:pPr>
    </w:p>
    <w:p>
      <w:pPr>
        <w:ind w:left="1400" w:hanging="663"/>
        <w:spacing w:after="0"/>
        <w:tabs>
          <w:tab w:leader="none" w:pos="1400"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Absolute Share Limit</w:t>
      </w:r>
      <w:r>
        <w:rPr>
          <w:rFonts w:ascii="Times New Roman" w:cs="Times New Roman" w:eastAsia="Times New Roman" w:hAnsi="Times New Roman"/>
          <w:sz w:val="20"/>
          <w:szCs w:val="20"/>
          <w:color w:val="auto"/>
        </w:rPr>
        <w:t>” has the meaning given to such term in Section 5(b) of the Plan.</w:t>
      </w:r>
    </w:p>
    <w:p>
      <w:pPr>
        <w:spacing w:after="0" w:line="215" w:lineRule="exact"/>
        <w:rPr>
          <w:rFonts w:ascii="Times New Roman" w:cs="Times New Roman" w:eastAsia="Times New Roman" w:hAnsi="Times New Roman"/>
          <w:sz w:val="20"/>
          <w:szCs w:val="20"/>
          <w:color w:val="010000"/>
        </w:rPr>
      </w:pPr>
    </w:p>
    <w:p>
      <w:pPr>
        <w:ind w:left="1420" w:hanging="683"/>
        <w:spacing w:after="0"/>
        <w:tabs>
          <w:tab w:leader="none" w:pos="1420"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Adjustment Event</w:t>
      </w:r>
      <w:r>
        <w:rPr>
          <w:rFonts w:ascii="Times New Roman" w:cs="Times New Roman" w:eastAsia="Times New Roman" w:hAnsi="Times New Roman"/>
          <w:sz w:val="20"/>
          <w:szCs w:val="20"/>
          <w:color w:val="auto"/>
        </w:rPr>
        <w:t>” has the meaning given to such term in Section 11(a) of the Plan.</w:t>
      </w:r>
    </w:p>
    <w:p>
      <w:pPr>
        <w:spacing w:after="0" w:line="215" w:lineRule="exact"/>
        <w:rPr>
          <w:rFonts w:ascii="Times New Roman" w:cs="Times New Roman" w:eastAsia="Times New Roman" w:hAnsi="Times New Roman"/>
          <w:sz w:val="20"/>
          <w:szCs w:val="20"/>
          <w:color w:val="010000"/>
        </w:rPr>
      </w:pPr>
    </w:p>
    <w:p>
      <w:pPr>
        <w:jc w:val="both"/>
        <w:ind w:left="80" w:firstLine="657"/>
        <w:spacing w:after="0" w:line="247" w:lineRule="auto"/>
        <w:tabs>
          <w:tab w:leader="none" w:pos="1555"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0" w:lineRule="exact"/>
        <w:rPr>
          <w:rFonts w:ascii="Times New Roman" w:cs="Times New Roman" w:eastAsia="Times New Roman" w:hAnsi="Times New Roman"/>
          <w:sz w:val="20"/>
          <w:szCs w:val="20"/>
          <w:color w:val="010000"/>
        </w:rPr>
      </w:pPr>
    </w:p>
    <w:p>
      <w:pPr>
        <w:jc w:val="both"/>
        <w:ind w:left="80" w:firstLine="657"/>
        <w:spacing w:after="0" w:line="256" w:lineRule="auto"/>
        <w:tabs>
          <w:tab w:leader="none" w:pos="1579"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Award</w:t>
      </w:r>
      <w:r>
        <w:rPr>
          <w:rFonts w:ascii="Times New Roman" w:cs="Times New Roman" w:eastAsia="Times New Roman" w:hAnsi="Times New Roman"/>
          <w:sz w:val="20"/>
          <w:szCs w:val="20"/>
          <w:color w:val="auto"/>
        </w:rPr>
        <w:t>” means, individually or collectively, any Incentive Stock Option, Nonqualified Stock Option, Stock Appreciation Right, Restricted Stock, Restricted Stock Unit, Other Equity-Based Award and Other Cash-Based Award granted under the Plan.</w:t>
      </w:r>
    </w:p>
    <w:p>
      <w:pPr>
        <w:spacing w:after="0" w:line="168" w:lineRule="exact"/>
        <w:rPr>
          <w:rFonts w:ascii="Times New Roman" w:cs="Times New Roman" w:eastAsia="Times New Roman" w:hAnsi="Times New Roman"/>
          <w:sz w:val="20"/>
          <w:szCs w:val="20"/>
          <w:color w:val="010000"/>
        </w:rPr>
      </w:pPr>
    </w:p>
    <w:p>
      <w:pPr>
        <w:ind w:left="80" w:firstLine="657"/>
        <w:spacing w:after="0" w:line="273" w:lineRule="auto"/>
        <w:tabs>
          <w:tab w:leader="none" w:pos="1420"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Award Agreement</w:t>
      </w:r>
      <w:r>
        <w:rPr>
          <w:rFonts w:ascii="Times New Roman" w:cs="Times New Roman" w:eastAsia="Times New Roman" w:hAnsi="Times New Roman"/>
          <w:sz w:val="20"/>
          <w:szCs w:val="20"/>
          <w:color w:val="auto"/>
        </w:rPr>
        <w:t>” means the document or documents by which each Award (other than an Other Cash-Based Award) is evidenced, which may be in written or electronic form.</w:t>
      </w:r>
    </w:p>
    <w:p>
      <w:pPr>
        <w:spacing w:after="0" w:line="151" w:lineRule="exact"/>
        <w:rPr>
          <w:rFonts w:ascii="Times New Roman" w:cs="Times New Roman" w:eastAsia="Times New Roman" w:hAnsi="Times New Roman"/>
          <w:sz w:val="20"/>
          <w:szCs w:val="20"/>
          <w:color w:val="010000"/>
        </w:rPr>
      </w:pPr>
    </w:p>
    <w:p>
      <w:pPr>
        <w:ind w:left="1380" w:hanging="643"/>
        <w:spacing w:after="0"/>
        <w:tabs>
          <w:tab w:leader="none" w:pos="1380" w:val="left"/>
        </w:tabs>
        <w:numPr>
          <w:ilvl w:val="2"/>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010000"/>
        </w:rPr>
      </w:pPr>
    </w:p>
    <w:p>
      <w:pPr>
        <w:jc w:val="both"/>
        <w:ind w:left="80" w:firstLine="657"/>
        <w:spacing w:after="0" w:line="255" w:lineRule="auto"/>
        <w:tabs>
          <w:tab w:leader="none" w:pos="1354" w:val="left"/>
        </w:tabs>
        <w:numPr>
          <w:ilvl w:val="2"/>
          <w:numId w:val="2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Cause</w:t>
      </w:r>
      <w:r>
        <w:rPr>
          <w:rFonts w:ascii="Times New Roman" w:cs="Times New Roman" w:eastAsia="Times New Roman" w:hAnsi="Times New Roman"/>
          <w:sz w:val="19"/>
          <w:szCs w:val="19"/>
          <w:color w:val="auto"/>
        </w:rPr>
        <w:t>” means, as to any Participant, unless the applicable Award Agreement states otherwise, (i) “Cause,” as defined in any employment, severance or consulting agreement between the Participant and the Service Recipient in effect at the time of such Participant’s Termination, or (ii) in the absence of any such employment, severance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Service Recipient or any other member of the Company Group; (C) conviction of, or plea of guilty or no contest to (I) any felony or</w:t>
      </w:r>
    </w:p>
    <w:p>
      <w:pPr>
        <w:spacing w:after="0" w:line="4" w:lineRule="exact"/>
        <w:rPr>
          <w:rFonts w:ascii="Times New Roman" w:cs="Times New Roman" w:eastAsia="Times New Roman" w:hAnsi="Times New Roman"/>
          <w:sz w:val="19"/>
          <w:szCs w:val="19"/>
          <w:color w:val="010000"/>
        </w:rPr>
      </w:pPr>
    </w:p>
    <w:p>
      <w:pPr>
        <w:jc w:val="both"/>
        <w:ind w:left="80" w:firstLine="9"/>
        <w:spacing w:after="0"/>
        <w:tabs>
          <w:tab w:leader="none" w:pos="39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crime that results in, or could reasonably be expected to result in, material harm to the business or reputation of the Service Recipient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Service Recipient or any other member of the Company Group; or (F) act of personal dishonesty that involves personal profit in connection with the Participant’s employment or service to the Service Recipient;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any case, that a Participant’s resignation after an event that would be grounds for a Termination for Cause will be treated as a Termination for Cause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898525</wp:posOffset>
            </wp:positionV>
            <wp:extent cx="6292215" cy="2540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377" w:name="page378"/>
    <w:bookmarkEnd w:id="377"/>
    <w:p>
      <w:pPr>
        <w:ind w:left="1340" w:hanging="683"/>
        <w:spacing w:after="0"/>
        <w:tabs>
          <w:tab w:leader="none" w:pos="1340"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color w:val="auto"/>
        </w:rPr>
        <w:t>” means:</w:t>
      </w:r>
    </w:p>
    <w:p>
      <w:pPr>
        <w:spacing w:after="0" w:line="219" w:lineRule="exact"/>
        <w:rPr>
          <w:rFonts w:ascii="Times New Roman" w:cs="Times New Roman" w:eastAsia="Times New Roman" w:hAnsi="Times New Roman"/>
          <w:sz w:val="20"/>
          <w:szCs w:val="20"/>
          <w:color w:val="010000"/>
        </w:rPr>
      </w:pPr>
    </w:p>
    <w:p>
      <w:pPr>
        <w:jc w:val="both"/>
        <w:ind w:left="580" w:firstLine="644"/>
        <w:spacing w:after="0" w:line="242" w:lineRule="auto"/>
        <w:tabs>
          <w:tab w:leader="none" w:pos="2251" w:val="left"/>
        </w:tabs>
        <w:numPr>
          <w:ilvl w:val="1"/>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acquisition (whether by purchase, merger, consolidation, combination, or other similar transaction) by any Person of beneficial ownership (within the meaning of Rule 13d-3 promulgated under the Exchange Act) of more than 50% (on a fully diluted basis) of either (A) the then-outstanding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then-outstanding voting securities of the Company entitled to vote generally in the election of directors;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for purposes of the Plan, the following acquisitions shall not constitute a Change in Control: (A) any acquisition by the Company or any Affiliate; (B) any acquisition by any employee benefit plan sponsored or maintained by the Company or any Affiliate; (C) in respect of an Award held by a particular Participant, any acquisition by the Participant or any group of Persons including the Participant (or any entity controlled by the Participant or any group of Persons including the Participant);</w:t>
      </w:r>
    </w:p>
    <w:p>
      <w:pPr>
        <w:spacing w:after="0" w:line="189" w:lineRule="exact"/>
        <w:rPr>
          <w:rFonts w:ascii="Times New Roman" w:cs="Times New Roman" w:eastAsia="Times New Roman" w:hAnsi="Times New Roman"/>
          <w:sz w:val="20"/>
          <w:szCs w:val="20"/>
          <w:color w:val="010000"/>
        </w:rPr>
      </w:pPr>
    </w:p>
    <w:p>
      <w:pPr>
        <w:jc w:val="both"/>
        <w:ind w:left="580" w:firstLine="644"/>
        <w:spacing w:after="0" w:line="242" w:lineRule="auto"/>
        <w:tabs>
          <w:tab w:leader="none" w:pos="2000" w:val="left"/>
        </w:tabs>
        <w:numPr>
          <w:ilvl w:val="1"/>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during any period of 12 months, individuals who, at the beginning of such period, constitute the Board (the “</w:t>
      </w:r>
      <w:r>
        <w:rPr>
          <w:rFonts w:ascii="Times New Roman" w:cs="Times New Roman" w:eastAsia="Times New Roman" w:hAnsi="Times New Roman"/>
          <w:sz w:val="20"/>
          <w:szCs w:val="20"/>
          <w:b w:val="1"/>
          <w:bCs w:val="1"/>
          <w:u w:val="single" w:color="auto"/>
          <w:color w:val="auto"/>
        </w:rPr>
        <w:t>Incumbent Directors</w:t>
      </w:r>
      <w:r>
        <w:rPr>
          <w:rFonts w:ascii="Times New Roman" w:cs="Times New Roman" w:eastAsia="Times New Roman" w:hAnsi="Times New Roman"/>
          <w:sz w:val="20"/>
          <w:szCs w:val="20"/>
          <w:color w:val="auto"/>
        </w:rPr>
        <w:t xml:space="preserve">”) cease for any reason to constitute at least a majority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192" w:lineRule="exact"/>
        <w:rPr>
          <w:rFonts w:ascii="Times New Roman" w:cs="Times New Roman" w:eastAsia="Times New Roman" w:hAnsi="Times New Roman"/>
          <w:sz w:val="20"/>
          <w:szCs w:val="20"/>
          <w:color w:val="010000"/>
        </w:rPr>
      </w:pPr>
    </w:p>
    <w:p>
      <w:pPr>
        <w:ind w:left="580" w:right="20" w:firstLine="644"/>
        <w:spacing w:after="0" w:line="269" w:lineRule="auto"/>
        <w:tabs>
          <w:tab w:leader="none" w:pos="1911" w:val="left"/>
        </w:tabs>
        <w:numPr>
          <w:ilvl w:val="1"/>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sale, transfer, or other disposition of all or substantially all of the assets of the Company Group (taken as a whole) to any Person that is not an Affiliate of the Company.</w:t>
      </w:r>
    </w:p>
    <w:p>
      <w:pPr>
        <w:spacing w:after="0" w:line="155"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Class A Common Stock</w:t>
      </w:r>
      <w:r>
        <w:rPr>
          <w:rFonts w:ascii="Times New Roman" w:cs="Times New Roman" w:eastAsia="Times New Roman" w:hAnsi="Times New Roman"/>
          <w:sz w:val="19"/>
          <w:szCs w:val="19"/>
          <w:color w:val="auto"/>
        </w:rPr>
        <w:t>” means the Class A Common Stock, par value $0.01 per share, of the Company.</w:t>
      </w:r>
    </w:p>
    <w:p>
      <w:pPr>
        <w:spacing w:after="0" w:line="227" w:lineRule="exact"/>
        <w:rPr>
          <w:rFonts w:ascii="Times New Roman" w:cs="Times New Roman" w:eastAsia="Times New Roman" w:hAnsi="Times New Roman"/>
          <w:sz w:val="19"/>
          <w:szCs w:val="19"/>
          <w:color w:val="010000"/>
        </w:rPr>
      </w:pPr>
    </w:p>
    <w:p>
      <w:pPr>
        <w:ind w:left="1340" w:hanging="683"/>
        <w:spacing w:after="0"/>
        <w:tabs>
          <w:tab w:leader="none" w:pos="1340" w:val="left"/>
        </w:tabs>
        <w:numPr>
          <w:ilvl w:val="0"/>
          <w:numId w:val="2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Class B Common Stock</w:t>
      </w:r>
      <w:r>
        <w:rPr>
          <w:rFonts w:ascii="Times New Roman" w:cs="Times New Roman" w:eastAsia="Times New Roman" w:hAnsi="Times New Roman"/>
          <w:sz w:val="19"/>
          <w:szCs w:val="19"/>
          <w:color w:val="auto"/>
        </w:rPr>
        <w:t>” means the Class B Common Stock, par value $0.01 per share, of the Company.</w:t>
      </w:r>
    </w:p>
    <w:p>
      <w:pPr>
        <w:spacing w:after="0" w:line="227" w:lineRule="exact"/>
        <w:rPr>
          <w:rFonts w:ascii="Times New Roman" w:cs="Times New Roman" w:eastAsia="Times New Roman" w:hAnsi="Times New Roman"/>
          <w:sz w:val="19"/>
          <w:szCs w:val="19"/>
          <w:color w:val="010000"/>
        </w:rPr>
      </w:pPr>
    </w:p>
    <w:p>
      <w:pPr>
        <w:jc w:val="both"/>
        <w:ind w:firstLine="657"/>
        <w:spacing w:after="0" w:line="256" w:lineRule="auto"/>
        <w:tabs>
          <w:tab w:leader="none" w:pos="1364"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Code</w:t>
      </w:r>
      <w:r>
        <w:rPr>
          <w:rFonts w:ascii="Times New Roman" w:cs="Times New Roman" w:eastAsia="Times New Roman" w:hAnsi="Times New Roman"/>
          <w:sz w:val="20"/>
          <w:szCs w:val="20"/>
          <w:color w:val="auto"/>
        </w:rPr>
        <w:t>” means the Internal Revenue Code of 1986, as amended, and any successor thereto. References in the Plan to any section of the Code shall be deemed to include any regulations or other interpretative guidance under such section, and any amendments or successor provisions to such section, regulations, or guidance.</w:t>
      </w:r>
    </w:p>
    <w:p>
      <w:pPr>
        <w:spacing w:after="0" w:line="168" w:lineRule="exact"/>
        <w:rPr>
          <w:rFonts w:ascii="Times New Roman" w:cs="Times New Roman" w:eastAsia="Times New Roman" w:hAnsi="Times New Roman"/>
          <w:sz w:val="20"/>
          <w:szCs w:val="20"/>
          <w:color w:val="010000"/>
        </w:rPr>
      </w:pPr>
    </w:p>
    <w:p>
      <w:pPr>
        <w:ind w:firstLine="657"/>
        <w:spacing w:after="0" w:line="273" w:lineRule="auto"/>
        <w:tabs>
          <w:tab w:leader="none" w:pos="1397"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Committee</w:t>
      </w:r>
      <w:r>
        <w:rPr>
          <w:rFonts w:ascii="Times New Roman" w:cs="Times New Roman" w:eastAsia="Times New Roman" w:hAnsi="Times New Roman"/>
          <w:sz w:val="20"/>
          <w:szCs w:val="20"/>
          <w:color w:val="auto"/>
        </w:rPr>
        <w:t>” means the Compensation Committee of the Board or any properly delegated subcommittee thereof or, if no such Compensation Committee or subcommittee thereof exists, the Board.</w:t>
      </w:r>
    </w:p>
    <w:p>
      <w:pPr>
        <w:spacing w:after="0" w:line="151"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Common Stock</w:t>
      </w:r>
      <w:r>
        <w:rPr>
          <w:rFonts w:ascii="Times New Roman" w:cs="Times New Roman" w:eastAsia="Times New Roman" w:hAnsi="Times New Roman"/>
          <w:sz w:val="20"/>
          <w:szCs w:val="20"/>
          <w:color w:val="auto"/>
        </w:rPr>
        <w:t>” means, collectively,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78" w:name="page379"/>
    <w:bookmarkEnd w:id="378"/>
    <w:p>
      <w:pPr>
        <w:ind w:left="1340" w:hanging="683"/>
        <w:spacing w:after="0"/>
        <w:tabs>
          <w:tab w:leader="none" w:pos="1340"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means Bentley Systems, Incorporated, a Delaware corporation, and any successor thereto.</w:t>
      </w:r>
    </w:p>
    <w:p>
      <w:pPr>
        <w:spacing w:after="0" w:line="215"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 Group</w:t>
      </w:r>
      <w:r>
        <w:rPr>
          <w:rFonts w:ascii="Times New Roman" w:cs="Times New Roman" w:eastAsia="Times New Roman" w:hAnsi="Times New Roman"/>
          <w:sz w:val="20"/>
          <w:szCs w:val="20"/>
          <w:color w:val="auto"/>
        </w:rPr>
        <w:t>” means, collectively, the Company and its Subsidiaries and Affiliates.</w:t>
      </w:r>
    </w:p>
    <w:p>
      <w:pPr>
        <w:spacing w:after="0" w:line="215" w:lineRule="exact"/>
        <w:rPr>
          <w:rFonts w:ascii="Times New Roman" w:cs="Times New Roman" w:eastAsia="Times New Roman" w:hAnsi="Times New Roman"/>
          <w:sz w:val="20"/>
          <w:szCs w:val="20"/>
          <w:color w:val="010000"/>
        </w:rPr>
      </w:pPr>
    </w:p>
    <w:p>
      <w:pPr>
        <w:ind w:firstLine="657"/>
        <w:spacing w:after="0" w:line="273" w:lineRule="auto"/>
        <w:tabs>
          <w:tab w:leader="none" w:pos="1432"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Date of Grant</w:t>
      </w:r>
      <w:r>
        <w:rPr>
          <w:rFonts w:ascii="Times New Roman" w:cs="Times New Roman" w:eastAsia="Times New Roman" w:hAnsi="Times New Roman"/>
          <w:sz w:val="20"/>
          <w:szCs w:val="20"/>
          <w:color w:val="auto"/>
        </w:rPr>
        <w:t>” means the date on which the granting of an Award is authorized, or such other date as may be specified in such authorization.</w:t>
      </w:r>
    </w:p>
    <w:p>
      <w:pPr>
        <w:spacing w:after="0" w:line="151" w:lineRule="exact"/>
        <w:rPr>
          <w:rFonts w:ascii="Times New Roman" w:cs="Times New Roman" w:eastAsia="Times New Roman" w:hAnsi="Times New Roman"/>
          <w:sz w:val="20"/>
          <w:szCs w:val="20"/>
          <w:color w:val="010000"/>
        </w:rPr>
      </w:pPr>
    </w:p>
    <w:p>
      <w:pPr>
        <w:jc w:val="both"/>
        <w:ind w:firstLine="657"/>
        <w:spacing w:after="0" w:line="256" w:lineRule="auto"/>
        <w:tabs>
          <w:tab w:leader="none" w:pos="1391"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Designated Foreign Subsidiaries</w:t>
      </w:r>
      <w:r>
        <w:rPr>
          <w:rFonts w:ascii="Times New Roman" w:cs="Times New Roman" w:eastAsia="Times New Roman" w:hAnsi="Times New Roman"/>
          <w:sz w:val="20"/>
          <w:szCs w:val="20"/>
          <w:color w:val="auto"/>
        </w:rPr>
        <w:t>” means all members of the Company Group that are organized under the laws of any jurisdiction or country other than the United States of America that may be designated by the Board or the Committee from time to time.</w:t>
      </w:r>
    </w:p>
    <w:p>
      <w:pPr>
        <w:spacing w:after="0" w:line="168" w:lineRule="exact"/>
        <w:rPr>
          <w:rFonts w:ascii="Times New Roman" w:cs="Times New Roman" w:eastAsia="Times New Roman" w:hAnsi="Times New Roman"/>
          <w:sz w:val="20"/>
          <w:szCs w:val="20"/>
          <w:color w:val="010000"/>
        </w:rPr>
      </w:pPr>
    </w:p>
    <w:p>
      <w:pPr>
        <w:jc w:val="both"/>
        <w:ind w:firstLine="657"/>
        <w:spacing w:after="0" w:line="246" w:lineRule="auto"/>
        <w:tabs>
          <w:tab w:leader="none" w:pos="1453"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Detrimental Activity</w:t>
      </w:r>
      <w:r>
        <w:rPr>
          <w:rFonts w:ascii="Times New Roman" w:cs="Times New Roman" w:eastAsia="Times New Roman" w:hAnsi="Times New Roman"/>
          <w:sz w:val="20"/>
          <w:szCs w:val="20"/>
          <w:color w:val="auto"/>
        </w:rPr>
        <w:t>” means any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solicit, in any agreement with any member of the Company Group; or (iv) fraud or conduct contributing to any financial restatements or irregularities, as determined by the Committee in its sole discretion.</w:t>
      </w:r>
    </w:p>
    <w:p>
      <w:pPr>
        <w:spacing w:after="0" w:line="178" w:lineRule="exact"/>
        <w:rPr>
          <w:rFonts w:ascii="Times New Roman" w:cs="Times New Roman" w:eastAsia="Times New Roman" w:hAnsi="Times New Roman"/>
          <w:sz w:val="20"/>
          <w:szCs w:val="20"/>
          <w:color w:val="010000"/>
        </w:rPr>
      </w:pPr>
    </w:p>
    <w:p>
      <w:pPr>
        <w:jc w:val="both"/>
        <w:ind w:firstLine="657"/>
        <w:spacing w:after="0" w:line="258" w:lineRule="auto"/>
        <w:tabs>
          <w:tab w:leader="none" w:pos="1477" w:val="left"/>
        </w:tabs>
        <w:numPr>
          <w:ilvl w:val="1"/>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Disability</w:t>
      </w:r>
      <w:r>
        <w:rPr>
          <w:rFonts w:ascii="Times New Roman" w:cs="Times New Roman" w:eastAsia="Times New Roman" w:hAnsi="Times New Roman"/>
          <w:sz w:val="19"/>
          <w:szCs w:val="19"/>
          <w:color w:val="auto"/>
        </w:rPr>
        <w:t>” means, as to any Participant, unless the applicable Award Agreement states otherwise, (i) “Disability,” as defined in any employment, severance or consulting agreement between the Participant and the Service Recipient in effect at the time of such Participant’s Termination; or (ii) in the absence of any such employment, severance or consulting agreement (or the absence of any definition of “Disability” contained therein), a condition entitling the Participant to receive benefits under a long-term disability plan of the Service Recipient or another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67" w:lineRule="exact"/>
        <w:rPr>
          <w:rFonts w:ascii="Times New Roman" w:cs="Times New Roman" w:eastAsia="Times New Roman" w:hAnsi="Times New Roman"/>
          <w:sz w:val="19"/>
          <w:szCs w:val="19"/>
          <w:color w:val="010000"/>
        </w:rPr>
      </w:pPr>
    </w:p>
    <w:p>
      <w:pPr>
        <w:ind w:right="20" w:firstLine="657"/>
        <w:spacing w:after="0" w:line="273" w:lineRule="auto"/>
        <w:tabs>
          <w:tab w:leader="none" w:pos="1397"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means the date on which the prospectus for the resale of the Class B Common Stock is filed with the Securities Exchange Commission pursuant to the Securities Act.</w:t>
      </w:r>
    </w:p>
    <w:p>
      <w:pPr>
        <w:spacing w:after="0" w:line="151" w:lineRule="exact"/>
        <w:rPr>
          <w:rFonts w:ascii="Times New Roman" w:cs="Times New Roman" w:eastAsia="Times New Roman" w:hAnsi="Times New Roman"/>
          <w:sz w:val="20"/>
          <w:szCs w:val="20"/>
          <w:color w:val="010000"/>
        </w:rPr>
      </w:pPr>
    </w:p>
    <w:p>
      <w:pPr>
        <w:jc w:val="both"/>
        <w:ind w:firstLine="657"/>
        <w:spacing w:after="0" w:line="248" w:lineRule="auto"/>
        <w:tabs>
          <w:tab w:leader="none" w:pos="1391" w:val="left"/>
        </w:tabs>
        <w:numPr>
          <w:ilvl w:val="1"/>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Eligible Person</w:t>
      </w:r>
      <w:r>
        <w:rPr>
          <w:rFonts w:ascii="Times New Roman" w:cs="Times New Roman" w:eastAsia="Times New Roman" w:hAnsi="Times New Roman"/>
          <w:sz w:val="20"/>
          <w:szCs w:val="20"/>
          <w:color w:val="auto"/>
        </w:rPr>
        <w:t xml:space="preserve">” means any: (i) individual employed by any member of the Company Group;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such employee covered by a collective bargaining agreement shall be an Eligible Person unless and to the extent that such eligibility is set forth in such collective bargaining agreement or in an agreement or instrument relating thereto;</w:t>
      </w:r>
    </w:p>
    <w:p>
      <w:pPr>
        <w:spacing w:after="0" w:line="1" w:lineRule="exact"/>
        <w:rPr>
          <w:rFonts w:ascii="Times New Roman" w:cs="Times New Roman" w:eastAsia="Times New Roman" w:hAnsi="Times New Roman"/>
          <w:sz w:val="20"/>
          <w:szCs w:val="20"/>
          <w:color w:val="010000"/>
        </w:rPr>
      </w:pPr>
    </w:p>
    <w:p>
      <w:pPr>
        <w:jc w:val="both"/>
        <w:ind w:firstLine="9"/>
        <w:spacing w:after="0" w:line="241" w:lineRule="auto"/>
        <w:tabs>
          <w:tab w:leader="none" w:pos="297"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or officer of any member of the Company Group; or (iii) consultant or advisor to any member of the Company Group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84" w:lineRule="exact"/>
        <w:rPr>
          <w:rFonts w:ascii="Times New Roman" w:cs="Times New Roman" w:eastAsia="Times New Roman" w:hAnsi="Times New Roman"/>
          <w:sz w:val="20"/>
          <w:szCs w:val="20"/>
          <w:color w:val="auto"/>
        </w:rPr>
      </w:pPr>
    </w:p>
    <w:p>
      <w:pPr>
        <w:jc w:val="both"/>
        <w:ind w:left="80" w:firstLine="577"/>
        <w:spacing w:after="0" w:line="253" w:lineRule="auto"/>
        <w:tabs>
          <w:tab w:leader="none" w:pos="1509" w:val="left"/>
        </w:tabs>
        <w:numPr>
          <w:ilvl w:val="1"/>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 means the Securities Exchange Act of 1934, as amended, and any successor thereto. References in the Plan to any section of (or rule promulgated under) the Exchange Act shall be deemed to include any</w:t>
      </w:r>
    </w:p>
    <w:p>
      <w:pPr>
        <w:spacing w:after="0" w:line="246" w:lineRule="auto"/>
        <w:rPr>
          <w:sz w:val="20"/>
          <w:szCs w:val="20"/>
          <w:color w:val="auto"/>
        </w:rPr>
      </w:pPr>
      <w:r>
        <w:rPr>
          <w:rFonts w:ascii="Times New Roman" w:cs="Times New Roman" w:eastAsia="Times New Roman" w:hAnsi="Times New Roman"/>
          <w:sz w:val="20"/>
          <w:szCs w:val="20"/>
          <w:color w:val="auto"/>
        </w:rPr>
        <w:t>rules, regulations, or other interpretative guidance under such section or rule, and any amendments or successor provisions to such section, rules, regulations, or guidance.</w:t>
      </w:r>
    </w:p>
    <w:p>
      <w:pPr>
        <w:spacing w:after="0" w:line="178" w:lineRule="exact"/>
        <w:rPr>
          <w:sz w:val="20"/>
          <w:szCs w:val="20"/>
          <w:color w:val="auto"/>
        </w:rPr>
      </w:pPr>
    </w:p>
    <w:p>
      <w:pPr>
        <w:ind w:left="1320" w:hanging="663"/>
        <w:spacing w:after="0"/>
        <w:tabs>
          <w:tab w:leader="none" w:pos="1320" w:val="left"/>
        </w:tabs>
        <w:numPr>
          <w:ilvl w:val="0"/>
          <w:numId w:val="2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Exercise Price</w:t>
      </w:r>
      <w:r>
        <w:rPr>
          <w:rFonts w:ascii="Times New Roman" w:cs="Times New Roman" w:eastAsia="Times New Roman" w:hAnsi="Times New Roman"/>
          <w:sz w:val="20"/>
          <w:szCs w:val="20"/>
          <w:color w:val="auto"/>
        </w:rPr>
        <w:t>” has the meaning given to such term in Section 8(b) of the Plan.</w:t>
      </w: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81" w:lineRule="exact"/>
        <w:rPr>
          <w:rFonts w:ascii="Times New Roman" w:cs="Times New Roman" w:eastAsia="Times New Roman" w:hAnsi="Times New Roman"/>
          <w:sz w:val="20"/>
          <w:szCs w:val="20"/>
          <w:color w:val="010000"/>
        </w:rPr>
      </w:pPr>
    </w:p>
    <w:p>
      <w:pPr>
        <w:ind w:left="484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79" w:name="page380"/>
    <w:bookmarkEnd w:id="379"/>
    <w:p>
      <w:pPr>
        <w:jc w:val="both"/>
        <w:ind w:firstLine="657"/>
        <w:spacing w:after="0" w:line="242" w:lineRule="auto"/>
        <w:tabs>
          <w:tab w:leader="none" w:pos="1472"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Fair Market Value</w:t>
      </w:r>
      <w:r>
        <w:rPr>
          <w:rFonts w:ascii="Times New Roman" w:cs="Times New Roman" w:eastAsia="Times New Roman" w:hAnsi="Times New Roman"/>
          <w:sz w:val="20"/>
          <w:szCs w:val="20"/>
          <w:color w:val="auto"/>
        </w:rPr>
        <w:t xml:space="preserve">” means, on a given date: (i) if the Class B Common Stock is listed on a national securities exchange, the closing sales price of the Class B Common Stock reported on the primary exchange on which the Class B Common Stock is listed and traded on such date, or, if there are no such sales on that date, then on the last preceding date on which such sales were reported; (ii) if the Class B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Class B Common Stock is not listed on a national securities exchange or quoted in an inter-dealer quotation system on a last-sale basis, the amount determined by the Committee in good faith to be the fair market value of the Class B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 respect to any Awards for which the Date of Grant is the date of the pricing of the Company’s initial public offering, “Fair Market Value” shall be equal to the per share price at which the Class B Common Stock is offered to the public in connection with such initial public offering.</w:t>
      </w:r>
    </w:p>
    <w:p>
      <w:pPr>
        <w:spacing w:after="0" w:line="189"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GAAP</w:t>
      </w:r>
      <w:r>
        <w:rPr>
          <w:rFonts w:ascii="Times New Roman" w:cs="Times New Roman" w:eastAsia="Times New Roman" w:hAnsi="Times New Roman"/>
          <w:sz w:val="20"/>
          <w:szCs w:val="20"/>
          <w:color w:val="auto"/>
        </w:rPr>
        <w:t>” has the meaning given to such term in Section 8(d) of the Plan.</w:t>
      </w:r>
    </w:p>
    <w:p>
      <w:pPr>
        <w:spacing w:after="0" w:line="215" w:lineRule="exact"/>
        <w:rPr>
          <w:rFonts w:ascii="Times New Roman" w:cs="Times New Roman" w:eastAsia="Times New Roman" w:hAnsi="Times New Roman"/>
          <w:sz w:val="20"/>
          <w:szCs w:val="20"/>
          <w:color w:val="010000"/>
        </w:rPr>
      </w:pPr>
    </w:p>
    <w:p>
      <w:pPr>
        <w:ind w:left="1320" w:hanging="663"/>
        <w:spacing w:after="0"/>
        <w:tabs>
          <w:tab w:leader="none" w:pos="1320"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Immediate Family Members</w:t>
      </w:r>
      <w:r>
        <w:rPr>
          <w:rFonts w:ascii="Times New Roman" w:cs="Times New Roman" w:eastAsia="Times New Roman" w:hAnsi="Times New Roman"/>
          <w:sz w:val="20"/>
          <w:szCs w:val="20"/>
          <w:color w:val="auto"/>
        </w:rPr>
        <w:t>” has the meaning given to such term in Section 13(b) of the Plan.</w:t>
      </w:r>
    </w:p>
    <w:p>
      <w:pPr>
        <w:spacing w:after="0" w:line="216" w:lineRule="exact"/>
        <w:rPr>
          <w:sz w:val="20"/>
          <w:szCs w:val="20"/>
          <w:color w:val="auto"/>
        </w:rPr>
      </w:pPr>
    </w:p>
    <w:p>
      <w:pPr>
        <w:ind w:firstLine="657"/>
        <w:spacing w:after="0" w:line="273" w:lineRule="auto"/>
        <w:tabs>
          <w:tab w:leader="none" w:pos="1369"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Incentive Stock Option</w:t>
      </w:r>
      <w:r>
        <w:rPr>
          <w:rFonts w:ascii="Times New Roman" w:cs="Times New Roman" w:eastAsia="Times New Roman" w:hAnsi="Times New Roman"/>
          <w:sz w:val="20"/>
          <w:szCs w:val="20"/>
          <w:color w:val="auto"/>
        </w:rPr>
        <w:t>” means an Option which is designated by the Committee as an incentive stock option as described in Section 422 of the Code and otherwise meets the requirements set forth in the Plan.</w:t>
      </w:r>
    </w:p>
    <w:p>
      <w:pPr>
        <w:spacing w:after="0" w:line="151"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Indemnifiable Person</w:t>
      </w:r>
      <w:r>
        <w:rPr>
          <w:rFonts w:ascii="Times New Roman" w:cs="Times New Roman" w:eastAsia="Times New Roman" w:hAnsi="Times New Roman"/>
          <w:sz w:val="20"/>
          <w:szCs w:val="20"/>
          <w:color w:val="auto"/>
        </w:rPr>
        <w:t>” has the meaning given to such term in Section 4(e) of the Plan.</w:t>
      </w:r>
    </w:p>
    <w:p>
      <w:pPr>
        <w:spacing w:after="0" w:line="215" w:lineRule="exact"/>
        <w:rPr>
          <w:rFonts w:ascii="Times New Roman" w:cs="Times New Roman" w:eastAsia="Times New Roman" w:hAnsi="Times New Roman"/>
          <w:sz w:val="20"/>
          <w:szCs w:val="20"/>
          <w:color w:val="010000"/>
        </w:rPr>
      </w:pPr>
    </w:p>
    <w:p>
      <w:pPr>
        <w:ind w:firstLine="657"/>
        <w:spacing w:after="0" w:line="273" w:lineRule="auto"/>
        <w:tabs>
          <w:tab w:leader="none" w:pos="1356"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Non-Employee Director</w:t>
      </w:r>
      <w:r>
        <w:rPr>
          <w:rFonts w:ascii="Times New Roman" w:cs="Times New Roman" w:eastAsia="Times New Roman" w:hAnsi="Times New Roman"/>
          <w:sz w:val="20"/>
          <w:szCs w:val="20"/>
          <w:color w:val="auto"/>
        </w:rPr>
        <w:t>” means a member of the Board who is not an employee of any member of the Company Group.</w:t>
      </w:r>
    </w:p>
    <w:p>
      <w:pPr>
        <w:spacing w:after="0" w:line="151"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Nonqualified Stock Option</w:t>
      </w:r>
      <w:r>
        <w:rPr>
          <w:rFonts w:ascii="Times New Roman" w:cs="Times New Roman" w:eastAsia="Times New Roman" w:hAnsi="Times New Roman"/>
          <w:sz w:val="19"/>
          <w:szCs w:val="19"/>
          <w:color w:val="auto"/>
        </w:rPr>
        <w:t>” means an Option which is not designated by the Committee as an Incentive</w:t>
      </w:r>
    </w:p>
    <w:p>
      <w:pPr>
        <w:spacing w:after="0" w:line="37"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Stock Option.</w:t>
      </w:r>
    </w:p>
    <w:p>
      <w:pPr>
        <w:spacing w:after="0" w:line="189" w:lineRule="exact"/>
        <w:rPr>
          <w:rFonts w:ascii="Times New Roman" w:cs="Times New Roman" w:eastAsia="Times New Roman" w:hAnsi="Times New Roman"/>
          <w:sz w:val="19"/>
          <w:szCs w:val="19"/>
          <w:color w:val="010000"/>
        </w:rPr>
      </w:pPr>
    </w:p>
    <w:p>
      <w:pPr>
        <w:ind w:left="1320" w:hanging="663"/>
        <w:spacing w:after="0"/>
        <w:tabs>
          <w:tab w:leader="none" w:pos="1320"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Option</w:t>
      </w:r>
      <w:r>
        <w:rPr>
          <w:rFonts w:ascii="Times New Roman" w:cs="Times New Roman" w:eastAsia="Times New Roman" w:hAnsi="Times New Roman"/>
          <w:sz w:val="20"/>
          <w:szCs w:val="20"/>
          <w:color w:val="auto"/>
        </w:rPr>
        <w:t>” means an Award granted under Section 8 of the Plan.</w:t>
      </w:r>
    </w:p>
    <w:p>
      <w:pPr>
        <w:spacing w:after="0" w:line="215" w:lineRule="exact"/>
        <w:rPr>
          <w:rFonts w:ascii="Times New Roman" w:cs="Times New Roman" w:eastAsia="Times New Roman" w:hAnsi="Times New Roman"/>
          <w:sz w:val="20"/>
          <w:szCs w:val="20"/>
          <w:color w:val="010000"/>
        </w:rPr>
      </w:pPr>
    </w:p>
    <w:p>
      <w:pPr>
        <w:ind w:left="1320" w:hanging="663"/>
        <w:spacing w:after="0"/>
        <w:tabs>
          <w:tab w:leader="none" w:pos="1320"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Option Period</w:t>
      </w:r>
      <w:r>
        <w:rPr>
          <w:rFonts w:ascii="Times New Roman" w:cs="Times New Roman" w:eastAsia="Times New Roman" w:hAnsi="Times New Roman"/>
          <w:sz w:val="20"/>
          <w:szCs w:val="20"/>
          <w:color w:val="auto"/>
        </w:rPr>
        <w:t>” has the meaning given to such term in Section 8(c) of the Plan.</w:t>
      </w:r>
    </w:p>
    <w:p>
      <w:pPr>
        <w:spacing w:after="0" w:line="215" w:lineRule="exact"/>
        <w:rPr>
          <w:rFonts w:ascii="Times New Roman" w:cs="Times New Roman" w:eastAsia="Times New Roman" w:hAnsi="Times New Roman"/>
          <w:sz w:val="20"/>
          <w:szCs w:val="20"/>
          <w:color w:val="010000"/>
        </w:rPr>
      </w:pPr>
    </w:p>
    <w:p>
      <w:pPr>
        <w:ind w:firstLine="657"/>
        <w:spacing w:after="0" w:line="273" w:lineRule="auto"/>
        <w:tabs>
          <w:tab w:leader="none" w:pos="1567"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Other Cash-Based Award</w:t>
      </w:r>
      <w:r>
        <w:rPr>
          <w:rFonts w:ascii="Times New Roman" w:cs="Times New Roman" w:eastAsia="Times New Roman" w:hAnsi="Times New Roman"/>
          <w:sz w:val="20"/>
          <w:szCs w:val="20"/>
          <w:color w:val="auto"/>
        </w:rPr>
        <w:t>” means an Award that is granted under Section 10 of the Plan that is denominated and/or payable in cash.</w:t>
      </w:r>
    </w:p>
    <w:p>
      <w:pPr>
        <w:spacing w:after="0" w:line="151" w:lineRule="exact"/>
        <w:rPr>
          <w:rFonts w:ascii="Times New Roman" w:cs="Times New Roman" w:eastAsia="Times New Roman" w:hAnsi="Times New Roman"/>
          <w:sz w:val="20"/>
          <w:szCs w:val="20"/>
          <w:color w:val="010000"/>
        </w:rPr>
      </w:pPr>
    </w:p>
    <w:p>
      <w:pPr>
        <w:jc w:val="both"/>
        <w:ind w:firstLine="657"/>
        <w:spacing w:after="0" w:line="256" w:lineRule="auto"/>
        <w:tabs>
          <w:tab w:leader="none" w:pos="1607"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Other Equity-Based Award</w:t>
      </w:r>
      <w:r>
        <w:rPr>
          <w:rFonts w:ascii="Times New Roman" w:cs="Times New Roman" w:eastAsia="Times New Roman" w:hAnsi="Times New Roman"/>
          <w:sz w:val="20"/>
          <w:szCs w:val="20"/>
          <w:color w:val="auto"/>
        </w:rPr>
        <w:t>” means an Award that is not an Option, Stock Appreciation Right, Restricted Stock, or Restricted Stock Unit that is granted under Section 10 of the Plan and is (i) payable by delivery of Class B Common Stock and/or (ii) measured by reference to the value of Class B Common Stock.</w:t>
      </w:r>
    </w:p>
    <w:p>
      <w:pPr>
        <w:spacing w:after="0" w:line="168" w:lineRule="exact"/>
        <w:rPr>
          <w:rFonts w:ascii="Times New Roman" w:cs="Times New Roman" w:eastAsia="Times New Roman" w:hAnsi="Times New Roman"/>
          <w:sz w:val="20"/>
          <w:szCs w:val="20"/>
          <w:color w:val="010000"/>
        </w:rPr>
      </w:pPr>
    </w:p>
    <w:p>
      <w:pPr>
        <w:ind w:firstLine="657"/>
        <w:spacing w:after="0" w:line="273" w:lineRule="auto"/>
        <w:tabs>
          <w:tab w:leader="none" w:pos="1312"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color w:val="auto"/>
        </w:rPr>
        <w:t>” means an Eligible Person who has been selected by the Committee to participate in the Plan and to receive an Award pursuant to the Plan.</w:t>
      </w:r>
    </w:p>
    <w:p>
      <w:pPr>
        <w:spacing w:after="0" w:line="151" w:lineRule="exact"/>
        <w:rPr>
          <w:rFonts w:ascii="Times New Roman" w:cs="Times New Roman" w:eastAsia="Times New Roman" w:hAnsi="Times New Roman"/>
          <w:sz w:val="20"/>
          <w:szCs w:val="20"/>
          <w:color w:val="010000"/>
        </w:rPr>
      </w:pPr>
    </w:p>
    <w:p>
      <w:pPr>
        <w:jc w:val="both"/>
        <w:ind w:firstLine="657"/>
        <w:spacing w:after="0" w:line="247" w:lineRule="auto"/>
        <w:tabs>
          <w:tab w:leader="none" w:pos="1407"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Performance Conditions</w:t>
      </w:r>
      <w:r>
        <w:rPr>
          <w:rFonts w:ascii="Times New Roman" w:cs="Times New Roman" w:eastAsia="Times New Roman" w:hAnsi="Times New Roman"/>
          <w:sz w:val="20"/>
          <w:szCs w:val="20"/>
          <w:color w:val="auto"/>
        </w:rPr>
        <w:t>” means specific levels of performance of the Company (and/or one or more members of the Company Group, divisions or operational and/or business units, product lines, brands, business segments, administrative departments, or any combination of the foregoing) or any Participant, which may be determined in accordance with GAAP or on a non-GAAP basis, including, but not limited to, one or more of the following measures: (i) net earnings, net income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80" w:name="page381"/>
    <w:bookmarkEnd w:id="380"/>
    <w:p>
      <w:pPr>
        <w:jc w:val="both"/>
        <w:spacing w:after="0" w:line="256" w:lineRule="auto"/>
        <w:rPr>
          <w:sz w:val="20"/>
          <w:szCs w:val="20"/>
          <w:color w:val="auto"/>
        </w:rPr>
      </w:pPr>
      <w:r>
        <w:rPr>
          <w:rFonts w:ascii="Times New Roman" w:cs="Times New Roman" w:eastAsia="Times New Roman" w:hAnsi="Times New Roman"/>
          <w:sz w:val="19"/>
          <w:szCs w:val="19"/>
          <w:color w:val="auto"/>
        </w:rPr>
        <w:t>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w:t>
      </w:r>
    </w:p>
    <w:p>
      <w:pPr>
        <w:spacing w:after="0" w:line="1" w:lineRule="exact"/>
        <w:rPr>
          <w:sz w:val="20"/>
          <w:szCs w:val="20"/>
          <w:color w:val="auto"/>
        </w:rPr>
      </w:pPr>
    </w:p>
    <w:p>
      <w:pPr>
        <w:jc w:val="both"/>
        <w:ind w:firstLine="9"/>
        <w:spacing w:after="0" w:line="252" w:lineRule="auto"/>
        <w:tabs>
          <w:tab w:leader="none" w:pos="34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w:t>
      </w:r>
    </w:p>
    <w:p>
      <w:pPr>
        <w:jc w:val="both"/>
        <w:ind w:firstLine="9"/>
        <w:spacing w:after="0"/>
        <w:tabs>
          <w:tab w:leader="none" w:pos="401"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Conditions may be stated as a percentage of another Performance Condition, or used on an absolute or relative basis to measure the performance of one or more members of the Company Group as a whole or any divisions or operational and/or business units, product lines, brands, business segments, or administrative departments of the Company and/or one or more members of the Company Group or any combination thereof, as the Committee may deem appropriate, or any of the above Performance Conditions may be compared to the performance of a selected group of comparison companies, or a published or special index that the Committee, in its sole discretion, deems appropriate, or as compared to various stock market indices.</w:t>
      </w:r>
    </w:p>
    <w:p>
      <w:pPr>
        <w:spacing w:after="0" w:line="183" w:lineRule="exact"/>
        <w:rPr>
          <w:rFonts w:ascii="Times New Roman" w:cs="Times New Roman" w:eastAsia="Times New Roman" w:hAnsi="Times New Roman"/>
          <w:sz w:val="20"/>
          <w:szCs w:val="20"/>
          <w:color w:val="auto"/>
        </w:rPr>
      </w:pPr>
    </w:p>
    <w:p>
      <w:pPr>
        <w:ind w:left="1340" w:hanging="683"/>
        <w:spacing w:after="0"/>
        <w:tabs>
          <w:tab w:leader="none" w:pos="1340"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Permitted Transferee</w:t>
      </w:r>
      <w:r>
        <w:rPr>
          <w:rFonts w:ascii="Times New Roman" w:cs="Times New Roman" w:eastAsia="Times New Roman" w:hAnsi="Times New Roman"/>
          <w:sz w:val="20"/>
          <w:szCs w:val="20"/>
          <w:color w:val="auto"/>
        </w:rPr>
        <w:t>” has the meaning given to such term in Section 13(b) of the Plan.</w:t>
      </w:r>
    </w:p>
    <w:p>
      <w:pPr>
        <w:spacing w:after="0" w:line="215" w:lineRule="exact"/>
        <w:rPr>
          <w:rFonts w:ascii="Times New Roman" w:cs="Times New Roman" w:eastAsia="Times New Roman" w:hAnsi="Times New Roman"/>
          <w:sz w:val="20"/>
          <w:szCs w:val="20"/>
          <w:color w:val="010000"/>
        </w:rPr>
      </w:pPr>
    </w:p>
    <w:p>
      <w:pPr>
        <w:ind w:left="1320" w:hanging="663"/>
        <w:spacing w:after="0"/>
        <w:tabs>
          <w:tab w:leader="none" w:pos="1320" w:val="left"/>
        </w:tabs>
        <w:numPr>
          <w:ilvl w:val="1"/>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Person</w:t>
      </w:r>
      <w:r>
        <w:rPr>
          <w:rFonts w:ascii="Times New Roman" w:cs="Times New Roman" w:eastAsia="Times New Roman" w:hAnsi="Times New Roman"/>
          <w:sz w:val="19"/>
          <w:szCs w:val="19"/>
          <w:color w:val="auto"/>
        </w:rPr>
        <w:t>” means any individual, entity, or group (within the meaning of Section 13(d)(3) or 14(d)(2) of the</w:t>
      </w:r>
    </w:p>
    <w:p>
      <w:pPr>
        <w:spacing w:after="0" w:line="37"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Exchange Act).</w:t>
      </w:r>
    </w:p>
    <w:p>
      <w:pPr>
        <w:spacing w:after="0" w:line="189" w:lineRule="exact"/>
        <w:rPr>
          <w:rFonts w:ascii="Times New Roman" w:cs="Times New Roman" w:eastAsia="Times New Roman" w:hAnsi="Times New Roman"/>
          <w:sz w:val="19"/>
          <w:szCs w:val="19"/>
          <w:color w:val="010000"/>
        </w:rPr>
      </w:pPr>
    </w:p>
    <w:p>
      <w:pPr>
        <w:ind w:right="20" w:firstLine="657"/>
        <w:spacing w:after="0" w:line="273" w:lineRule="auto"/>
        <w:tabs>
          <w:tab w:leader="none" w:pos="1366"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means this Bentley Systems, Incorporated 2020 Omnibus Incentive Plan, as it may be amended and/or restated from time to time.</w:t>
      </w:r>
    </w:p>
    <w:p>
      <w:pPr>
        <w:spacing w:after="0" w:line="151" w:lineRule="exact"/>
        <w:rPr>
          <w:rFonts w:ascii="Times New Roman" w:cs="Times New Roman" w:eastAsia="Times New Roman" w:hAnsi="Times New Roman"/>
          <w:sz w:val="20"/>
          <w:szCs w:val="20"/>
          <w:color w:val="010000"/>
        </w:rPr>
      </w:pPr>
    </w:p>
    <w:p>
      <w:pPr>
        <w:jc w:val="both"/>
        <w:ind w:firstLine="657"/>
        <w:spacing w:after="0" w:line="256" w:lineRule="auto"/>
        <w:tabs>
          <w:tab w:leader="none" w:pos="1432"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Qualifying Director</w:t>
      </w:r>
      <w:r>
        <w:rPr>
          <w:rFonts w:ascii="Times New Roman" w:cs="Times New Roman" w:eastAsia="Times New Roman" w:hAnsi="Times New Roman"/>
          <w:sz w:val="20"/>
          <w:szCs w:val="20"/>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68" w:lineRule="exact"/>
        <w:rPr>
          <w:rFonts w:ascii="Times New Roman" w:cs="Times New Roman" w:eastAsia="Times New Roman" w:hAnsi="Times New Roman"/>
          <w:sz w:val="20"/>
          <w:szCs w:val="20"/>
          <w:color w:val="010000"/>
        </w:rPr>
      </w:pPr>
    </w:p>
    <w:p>
      <w:pPr>
        <w:ind w:firstLine="657"/>
        <w:spacing w:after="0" w:line="273" w:lineRule="auto"/>
        <w:tabs>
          <w:tab w:leader="none" w:pos="1432"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Restricted Period</w:t>
      </w:r>
      <w:r>
        <w:rPr>
          <w:rFonts w:ascii="Times New Roman" w:cs="Times New Roman" w:eastAsia="Times New Roman" w:hAnsi="Times New Roman"/>
          <w:sz w:val="20"/>
          <w:szCs w:val="20"/>
          <w:color w:val="auto"/>
        </w:rPr>
        <w:t>” means the period of time determined by the Committee during which an Award is subject to restrictions, including vesting conditions.</w:t>
      </w:r>
    </w:p>
    <w:p>
      <w:pPr>
        <w:spacing w:after="0" w:line="151" w:lineRule="exact"/>
        <w:rPr>
          <w:rFonts w:ascii="Times New Roman" w:cs="Times New Roman" w:eastAsia="Times New Roman" w:hAnsi="Times New Roman"/>
          <w:sz w:val="20"/>
          <w:szCs w:val="20"/>
          <w:color w:val="010000"/>
        </w:rPr>
      </w:pPr>
    </w:p>
    <w:p>
      <w:pPr>
        <w:jc w:val="both"/>
        <w:ind w:firstLine="657"/>
        <w:spacing w:after="0" w:line="256" w:lineRule="auto"/>
        <w:tabs>
          <w:tab w:leader="none" w:pos="1432"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Restricted Stock</w:t>
      </w:r>
      <w:r>
        <w:rPr>
          <w:rFonts w:ascii="Times New Roman" w:cs="Times New Roman" w:eastAsia="Times New Roman" w:hAnsi="Times New Roman"/>
          <w:sz w:val="20"/>
          <w:szCs w:val="20"/>
          <w:color w:val="auto"/>
        </w:rPr>
        <w:t>” means Class B Common Stock, subject to certain specified restrictions (which may include, without limitation, a requirement that the Participant remain continuously employed or provide continuous services for a specified period of time), granted under Section 7 of the Plan.</w:t>
      </w:r>
    </w:p>
    <w:p>
      <w:pPr>
        <w:spacing w:after="0" w:line="168" w:lineRule="exact"/>
        <w:rPr>
          <w:rFonts w:ascii="Times New Roman" w:cs="Times New Roman" w:eastAsia="Times New Roman" w:hAnsi="Times New Roman"/>
          <w:sz w:val="20"/>
          <w:szCs w:val="20"/>
          <w:color w:val="010000"/>
        </w:rPr>
      </w:pPr>
    </w:p>
    <w:p>
      <w:pPr>
        <w:jc w:val="both"/>
        <w:ind w:firstLine="657"/>
        <w:spacing w:after="0" w:line="250" w:lineRule="auto"/>
        <w:tabs>
          <w:tab w:leader="none" w:pos="1337" w:val="left"/>
        </w:tabs>
        <w:numPr>
          <w:ilvl w:val="1"/>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Restricted Stock Unit</w:t>
      </w:r>
      <w:r>
        <w:rPr>
          <w:rFonts w:ascii="Times New Roman" w:cs="Times New Roman" w:eastAsia="Times New Roman" w:hAnsi="Times New Roman"/>
          <w:sz w:val="20"/>
          <w:szCs w:val="20"/>
          <w:color w:val="auto"/>
        </w:rPr>
        <w:t>” means an unfunded and unsecured promise to deliver shares of Class B Common Stock, cash, other securities, or other property, subject to certain restrictions (which may include, without limitation, a requirement that a Participant remain continuously employed or provide continuous services for a specified period of time), granted under Section 7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1" w:name="page382"/>
    <w:bookmarkEnd w:id="381"/>
    <w:p>
      <w:pPr>
        <w:ind w:left="1400" w:hanging="663"/>
        <w:spacing w:after="0"/>
        <w:tabs>
          <w:tab w:leader="none" w:pos="140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SAR Period</w:t>
      </w:r>
      <w:r>
        <w:rPr>
          <w:rFonts w:ascii="Times New Roman" w:cs="Times New Roman" w:eastAsia="Times New Roman" w:hAnsi="Times New Roman"/>
          <w:sz w:val="20"/>
          <w:szCs w:val="20"/>
          <w:color w:val="auto"/>
        </w:rPr>
        <w:t>” has the meaning given to such term in Section 9(c) of the Plan.</w:t>
      </w:r>
    </w:p>
    <w:p>
      <w:pPr>
        <w:spacing w:after="0" w:line="215" w:lineRule="exact"/>
        <w:rPr>
          <w:rFonts w:ascii="Times New Roman" w:cs="Times New Roman" w:eastAsia="Times New Roman" w:hAnsi="Times New Roman"/>
          <w:sz w:val="20"/>
          <w:szCs w:val="20"/>
          <w:color w:val="010000"/>
        </w:rPr>
      </w:pPr>
    </w:p>
    <w:p>
      <w:pPr>
        <w:jc w:val="both"/>
        <w:ind w:left="80" w:firstLine="657"/>
        <w:spacing w:after="0" w:line="250" w:lineRule="auto"/>
        <w:tabs>
          <w:tab w:leader="none" w:pos="1436"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Securities Act</w:t>
      </w:r>
      <w:r>
        <w:rPr>
          <w:rFonts w:ascii="Times New Roman" w:cs="Times New Roman" w:eastAsia="Times New Roman" w:hAnsi="Times New Roman"/>
          <w:sz w:val="20"/>
          <w:szCs w:val="20"/>
          <w:color w:val="auto"/>
        </w:rPr>
        <w:t>” means the Securities Act of 1933, as amended, and any successor thereto. References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20"/>
          <w:szCs w:val="20"/>
          <w:color w:val="010000"/>
        </w:rPr>
      </w:pPr>
    </w:p>
    <w:p>
      <w:pPr>
        <w:jc w:val="both"/>
        <w:ind w:left="80" w:firstLine="657"/>
        <w:spacing w:after="0" w:line="250" w:lineRule="auto"/>
        <w:tabs>
          <w:tab w:leader="none" w:pos="1581"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Service Recipient</w:t>
      </w:r>
      <w:r>
        <w:rPr>
          <w:rFonts w:ascii="Times New Roman" w:cs="Times New Roman" w:eastAsia="Times New Roman" w:hAnsi="Times New Roman"/>
          <w:sz w:val="20"/>
          <w:szCs w:val="20"/>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75" w:lineRule="exact"/>
        <w:rPr>
          <w:rFonts w:ascii="Times New Roman" w:cs="Times New Roman" w:eastAsia="Times New Roman" w:hAnsi="Times New Roman"/>
          <w:sz w:val="20"/>
          <w:szCs w:val="20"/>
          <w:color w:val="010000"/>
        </w:rPr>
      </w:pPr>
    </w:p>
    <w:p>
      <w:pPr>
        <w:ind w:left="1420" w:hanging="683"/>
        <w:spacing w:after="0"/>
        <w:tabs>
          <w:tab w:leader="none" w:pos="142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u w:val="single" w:color="auto"/>
          <w:color w:val="auto"/>
        </w:rPr>
        <w:t>SAR</w:t>
      </w:r>
      <w:r>
        <w:rPr>
          <w:rFonts w:ascii="Times New Roman" w:cs="Times New Roman" w:eastAsia="Times New Roman" w:hAnsi="Times New Roman"/>
          <w:sz w:val="20"/>
          <w:szCs w:val="20"/>
          <w:color w:val="auto"/>
        </w:rPr>
        <w:t>” means an Award granted under Section 9 of the Plan.</w:t>
      </w:r>
    </w:p>
    <w:p>
      <w:pPr>
        <w:spacing w:after="0" w:line="215" w:lineRule="exact"/>
        <w:rPr>
          <w:rFonts w:ascii="Times New Roman" w:cs="Times New Roman" w:eastAsia="Times New Roman" w:hAnsi="Times New Roman"/>
          <w:sz w:val="20"/>
          <w:szCs w:val="20"/>
          <w:color w:val="010000"/>
        </w:rPr>
      </w:pPr>
    </w:p>
    <w:p>
      <w:pPr>
        <w:ind w:left="1420" w:hanging="683"/>
        <w:spacing w:after="0"/>
        <w:tabs>
          <w:tab w:leader="none" w:pos="142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Strike Price</w:t>
      </w:r>
      <w:r>
        <w:rPr>
          <w:rFonts w:ascii="Times New Roman" w:cs="Times New Roman" w:eastAsia="Times New Roman" w:hAnsi="Times New Roman"/>
          <w:sz w:val="20"/>
          <w:szCs w:val="20"/>
          <w:color w:val="auto"/>
        </w:rPr>
        <w:t>” has the meaning given to such term in Section 9(b) of the Plan.</w:t>
      </w:r>
    </w:p>
    <w:p>
      <w:pPr>
        <w:spacing w:after="0" w:line="215" w:lineRule="exact"/>
        <w:rPr>
          <w:rFonts w:ascii="Times New Roman" w:cs="Times New Roman" w:eastAsia="Times New Roman" w:hAnsi="Times New Roman"/>
          <w:sz w:val="20"/>
          <w:szCs w:val="20"/>
          <w:color w:val="010000"/>
        </w:rPr>
      </w:pPr>
    </w:p>
    <w:p>
      <w:pPr>
        <w:jc w:val="both"/>
        <w:ind w:left="80" w:firstLine="657"/>
        <w:spacing w:after="0" w:line="245" w:lineRule="auto"/>
        <w:tabs>
          <w:tab w:leader="none" w:pos="1433"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Sub-Plans</w:t>
      </w:r>
      <w:r>
        <w:rPr>
          <w:rFonts w:ascii="Times New Roman" w:cs="Times New Roman" w:eastAsia="Times New Roman" w:hAnsi="Times New Roman"/>
          <w:sz w:val="20"/>
          <w:szCs w:val="20"/>
          <w:color w:val="auto"/>
        </w:rPr>
        <w:t>” means any sub-plan to the Plan (including any such sub-plan attached as an appendix to the Plan) that has been adopted by the Board or the Committee for the purpose of permitting the offering of Awards to employees of certain Designated Foreign Subsidiaries or otherwise outside the jurisdiction of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of the Plan shall apply in the aggregate to the Plan and any Sub-Plan adopted hereunder.</w:t>
      </w:r>
    </w:p>
    <w:p>
      <w:pPr>
        <w:spacing w:after="0" w:line="179" w:lineRule="exact"/>
        <w:rPr>
          <w:rFonts w:ascii="Times New Roman" w:cs="Times New Roman" w:eastAsia="Times New Roman" w:hAnsi="Times New Roman"/>
          <w:sz w:val="20"/>
          <w:szCs w:val="20"/>
          <w:color w:val="010000"/>
        </w:rPr>
      </w:pPr>
    </w:p>
    <w:p>
      <w:pPr>
        <w:ind w:left="1420" w:hanging="683"/>
        <w:spacing w:after="0"/>
        <w:tabs>
          <w:tab w:leader="none" w:pos="142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Subsidiary</w:t>
      </w:r>
      <w:r>
        <w:rPr>
          <w:rFonts w:ascii="Times New Roman" w:cs="Times New Roman" w:eastAsia="Times New Roman" w:hAnsi="Times New Roman"/>
          <w:sz w:val="20"/>
          <w:szCs w:val="20"/>
          <w:color w:val="auto"/>
        </w:rPr>
        <w:t>” means, with respect to any specified Person:</w:t>
      </w:r>
    </w:p>
    <w:p>
      <w:pPr>
        <w:spacing w:after="0" w:line="219" w:lineRule="exact"/>
        <w:rPr>
          <w:rFonts w:ascii="Times New Roman" w:cs="Times New Roman" w:eastAsia="Times New Roman" w:hAnsi="Times New Roman"/>
          <w:sz w:val="20"/>
          <w:szCs w:val="20"/>
          <w:color w:val="010000"/>
        </w:rPr>
      </w:pPr>
    </w:p>
    <w:p>
      <w:pPr>
        <w:jc w:val="both"/>
        <w:ind w:left="660" w:firstLine="644"/>
        <w:spacing w:after="0" w:line="246" w:lineRule="auto"/>
        <w:tabs>
          <w:tab w:leader="none" w:pos="2097" w:val="left"/>
        </w:tabs>
        <w:numPr>
          <w:ilvl w:val="2"/>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84" w:lineRule="exact"/>
        <w:rPr>
          <w:rFonts w:ascii="Times New Roman" w:cs="Times New Roman" w:eastAsia="Times New Roman" w:hAnsi="Times New Roman"/>
          <w:sz w:val="20"/>
          <w:szCs w:val="20"/>
          <w:color w:val="010000"/>
        </w:rPr>
      </w:pPr>
    </w:p>
    <w:p>
      <w:pPr>
        <w:jc w:val="both"/>
        <w:ind w:left="660" w:firstLine="644"/>
        <w:spacing w:after="0" w:line="249" w:lineRule="auto"/>
        <w:tabs>
          <w:tab w:leader="none" w:pos="2175" w:val="left"/>
        </w:tabs>
        <w:numPr>
          <w:ilvl w:val="2"/>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75" w:lineRule="exact"/>
        <w:rPr>
          <w:rFonts w:ascii="Times New Roman" w:cs="Times New Roman" w:eastAsia="Times New Roman" w:hAnsi="Times New Roman"/>
          <w:sz w:val="20"/>
          <w:szCs w:val="20"/>
          <w:color w:val="010000"/>
        </w:rPr>
      </w:pPr>
    </w:p>
    <w:p>
      <w:pPr>
        <w:ind w:left="1420" w:hanging="683"/>
        <w:spacing w:after="0"/>
        <w:tabs>
          <w:tab w:leader="none" w:pos="1420"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Substitute Awards</w:t>
      </w:r>
      <w:r>
        <w:rPr>
          <w:rFonts w:ascii="Times New Roman" w:cs="Times New Roman" w:eastAsia="Times New Roman" w:hAnsi="Times New Roman"/>
          <w:sz w:val="20"/>
          <w:szCs w:val="20"/>
          <w:color w:val="auto"/>
        </w:rPr>
        <w:t>” has the meaning given to such term in Section 5(e) of the Plan.</w:t>
      </w:r>
    </w:p>
    <w:p>
      <w:pPr>
        <w:spacing w:after="0" w:line="215" w:lineRule="exact"/>
        <w:rPr>
          <w:rFonts w:ascii="Times New Roman" w:cs="Times New Roman" w:eastAsia="Times New Roman" w:hAnsi="Times New Roman"/>
          <w:sz w:val="20"/>
          <w:szCs w:val="20"/>
          <w:color w:val="010000"/>
        </w:rPr>
      </w:pPr>
    </w:p>
    <w:p>
      <w:pPr>
        <w:ind w:left="80" w:right="20" w:firstLine="657"/>
        <w:spacing w:after="0" w:line="273" w:lineRule="auto"/>
        <w:tabs>
          <w:tab w:leader="none" w:pos="1503" w:val="left"/>
        </w:tabs>
        <w:numPr>
          <w:ilvl w:val="1"/>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color w:val="auto"/>
        </w:rPr>
        <w:t>” means the termination of a Participant’s employment or service, as applicable, with the Service Recipient for any reason (including death or Disability).</w:t>
      </w:r>
    </w:p>
    <w:p>
      <w:pPr>
        <w:spacing w:after="0" w:line="151" w:lineRule="exact"/>
        <w:rPr>
          <w:rFonts w:ascii="Times New Roman" w:cs="Times New Roman" w:eastAsia="Times New Roman" w:hAnsi="Times New Roman"/>
          <w:sz w:val="20"/>
          <w:szCs w:val="20"/>
          <w:color w:val="010000"/>
        </w:rPr>
      </w:pPr>
    </w:p>
    <w:p>
      <w:pPr>
        <w:jc w:val="both"/>
        <w:ind w:firstLine="656"/>
        <w:spacing w:after="0" w:line="250" w:lineRule="auto"/>
        <w:tabs>
          <w:tab w:leader="none" w:pos="1345" w:val="left"/>
        </w:tabs>
        <w:numPr>
          <w:ilvl w:val="0"/>
          <w:numId w:val="25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Effective Date; Duration</w:t>
      </w:r>
      <w:r>
        <w:rPr>
          <w:rFonts w:ascii="Times New Roman" w:cs="Times New Roman" w:eastAsia="Times New Roman" w:hAnsi="Times New Roman"/>
          <w:sz w:val="20"/>
          <w:szCs w:val="20"/>
          <w:color w:val="auto"/>
        </w:rPr>
        <w:t>. The Plan shall be effective as of the Effective Date. The expiration date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Plan, on and after which date no Awards may be granted hereunder, shall be the tenth anniversary of the Effective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expiration shall not affect Awards then outstanding, and the terms and conditions of the Plan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continue to apply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382" w:name="page383"/>
    <w:bookmarkEnd w:id="382"/>
    <w:p>
      <w:pPr>
        <w:ind w:left="1220" w:hanging="644"/>
        <w:spacing w:after="0"/>
        <w:tabs>
          <w:tab w:leader="none" w:pos="1220" w:val="left"/>
        </w:tabs>
        <w:numPr>
          <w:ilvl w:val="0"/>
          <w:numId w:val="25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657"/>
        <w:spacing w:after="0" w:line="245" w:lineRule="auto"/>
        <w:tabs>
          <w:tab w:leader="none" w:pos="1380" w:val="left"/>
        </w:tabs>
        <w:numPr>
          <w:ilvl w:val="1"/>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84" w:lineRule="exact"/>
        <w:rPr>
          <w:rFonts w:ascii="Times New Roman" w:cs="Times New Roman" w:eastAsia="Times New Roman" w:hAnsi="Times New Roman"/>
          <w:sz w:val="20"/>
          <w:szCs w:val="20"/>
          <w:color w:val="010000"/>
        </w:rPr>
      </w:pPr>
    </w:p>
    <w:p>
      <w:pPr>
        <w:jc w:val="both"/>
        <w:ind w:firstLine="657"/>
        <w:spacing w:after="0" w:line="241" w:lineRule="auto"/>
        <w:tabs>
          <w:tab w:leader="none" w:pos="1378" w:val="left"/>
        </w:tabs>
        <w:numPr>
          <w:ilvl w:val="1"/>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Committee Authority</w:t>
      </w:r>
      <w:r>
        <w:rPr>
          <w:rFonts w:ascii="Times New Roman" w:cs="Times New Roman" w:eastAsia="Times New Roman" w:hAnsi="Times New Roman"/>
          <w:sz w:val="20"/>
          <w:szCs w:val="20"/>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Class B Common Stock to be covered by, or with respect to which payments, rights, or other matters are to be calculated in connection with, Awards; (iv) determine the terms and conditions, not inconsistent with the terms of the Plan, of any Award, including, without limitation, the time or times when Awards may vest and/or be exercised (which may be based on a Performance Condition, the circumstances (if any) when vesting will be accelerated or forfeiture restrictions waived, and any restriction or limitation regarding any Award; (v) determine whether, to what extent, and under what circumstances Awards may be settled in, or exercised for, cash, shares of Class B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Class B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w:t>
      </w:r>
    </w:p>
    <w:p>
      <w:pPr>
        <w:spacing w:after="0" w:line="190" w:lineRule="exact"/>
        <w:rPr>
          <w:rFonts w:ascii="Times New Roman" w:cs="Times New Roman" w:eastAsia="Times New Roman" w:hAnsi="Times New Roman"/>
          <w:sz w:val="20"/>
          <w:szCs w:val="20"/>
          <w:color w:val="010000"/>
        </w:rPr>
      </w:pPr>
    </w:p>
    <w:p>
      <w:pPr>
        <w:jc w:val="both"/>
        <w:ind w:firstLine="657"/>
        <w:spacing w:after="0" w:line="241" w:lineRule="auto"/>
        <w:tabs>
          <w:tab w:leader="none" w:pos="1313" w:val="left"/>
        </w:tabs>
        <w:numPr>
          <w:ilvl w:val="1"/>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for grants of Awards to Non-Employee Directors. Notwithstanding the foregoing in this Section 4(c), it is intended that any action under the Plan intended to qualify for an exemption provided by Rule 16b-3 promulgated under the Exchange Act related to Persons who are subject to Section 16 of the Exchange Act will be taken only by the Board or by a committee or subcommittee of two or more Qualifying Directors. However, the fact that any member of such committee or subcommittee shall fail to qualify as a Qualifying Director shall not invalidate any action that is otherwise valid under the Plan.</w:t>
      </w:r>
    </w:p>
    <w:p>
      <w:pPr>
        <w:spacing w:after="0" w:line="197" w:lineRule="exact"/>
        <w:rPr>
          <w:rFonts w:ascii="Times New Roman" w:cs="Times New Roman" w:eastAsia="Times New Roman" w:hAnsi="Times New Roman"/>
          <w:sz w:val="20"/>
          <w:szCs w:val="20"/>
          <w:color w:val="010000"/>
        </w:rPr>
      </w:pPr>
    </w:p>
    <w:p>
      <w:pPr>
        <w:jc w:val="both"/>
        <w:ind w:firstLine="657"/>
        <w:spacing w:after="0" w:line="254" w:lineRule="auto"/>
        <w:tabs>
          <w:tab w:leader="none" w:pos="1418" w:val="left"/>
        </w:tabs>
        <w:numPr>
          <w:ilvl w:val="1"/>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Finality of Decisions</w:t>
      </w:r>
      <w:r>
        <w:rPr>
          <w:rFonts w:ascii="Times New Roman" w:cs="Times New Roman" w:eastAsia="Times New Roman" w:hAnsi="Times New Roman"/>
          <w:sz w:val="20"/>
          <w:szCs w:val="20"/>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83" w:name="page384"/>
    <w:bookmarkEnd w:id="383"/>
    <w:p>
      <w:pPr>
        <w:spacing w:after="0" w:line="269" w:lineRule="auto"/>
        <w:rPr>
          <w:sz w:val="20"/>
          <w:szCs w:val="20"/>
          <w:color w:val="auto"/>
        </w:rPr>
      </w:pPr>
      <w:r>
        <w:rPr>
          <w:rFonts w:ascii="Times New Roman" w:cs="Times New Roman" w:eastAsia="Times New Roman" w:hAnsi="Times New Roman"/>
          <w:sz w:val="20"/>
          <w:szCs w:val="20"/>
          <w:color w:val="auto"/>
        </w:rPr>
        <w:t>shall be final, conclusive, and binding upon all Persons, including, without limitation, any member of the Company Group, any Participant, any holder or beneficiary of any Award, and any stockholder of the Company.</w:t>
      </w:r>
    </w:p>
    <w:p>
      <w:pPr>
        <w:spacing w:after="0" w:line="159" w:lineRule="exact"/>
        <w:rPr>
          <w:sz w:val="20"/>
          <w:szCs w:val="20"/>
          <w:color w:val="auto"/>
        </w:rPr>
      </w:pPr>
    </w:p>
    <w:p>
      <w:pPr>
        <w:jc w:val="both"/>
        <w:ind w:firstLine="657"/>
        <w:spacing w:after="0"/>
        <w:tabs>
          <w:tab w:leader="none" w:pos="1407" w:val="left"/>
        </w:tabs>
        <w:numPr>
          <w:ilvl w:val="2"/>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No member of the Board, the Committee, or any employee or agent of any member of the Company Group (each such Person, an “</w:t>
      </w:r>
      <w:r>
        <w:rPr>
          <w:rFonts w:ascii="Times New Roman" w:cs="Times New Roman" w:eastAsia="Times New Roman" w:hAnsi="Times New Roman"/>
          <w:sz w:val="20"/>
          <w:szCs w:val="20"/>
          <w:b w:val="1"/>
          <w:bCs w:val="1"/>
          <w:u w:val="single" w:color="auto"/>
          <w:color w:val="auto"/>
        </w:rPr>
        <w:t>Indemnifiable Person</w:t>
      </w:r>
      <w:r>
        <w:rPr>
          <w:rFonts w:ascii="Times New Roman" w:cs="Times New Roman" w:eastAsia="Times New Roman" w:hAnsi="Times New Roman"/>
          <w:sz w:val="20"/>
          <w:szCs w:val="20"/>
          <w:color w:val="auto"/>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spacing w:after="0" w:line="204" w:lineRule="exact"/>
        <w:rPr>
          <w:rFonts w:ascii="Times New Roman" w:cs="Times New Roman" w:eastAsia="Times New Roman" w:hAnsi="Times New Roman"/>
          <w:sz w:val="20"/>
          <w:szCs w:val="20"/>
          <w:color w:val="010000"/>
        </w:rPr>
      </w:pPr>
    </w:p>
    <w:p>
      <w:pPr>
        <w:jc w:val="both"/>
        <w:ind w:firstLine="657"/>
        <w:spacing w:after="0" w:line="246" w:lineRule="auto"/>
        <w:tabs>
          <w:tab w:leader="none" w:pos="1291" w:val="left"/>
        </w:tabs>
        <w:numPr>
          <w:ilvl w:val="2"/>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Board Authority</w:t>
      </w:r>
      <w:r>
        <w:rPr>
          <w:rFonts w:ascii="Times New Roman" w:cs="Times New Roman" w:eastAsia="Times New Roman" w:hAnsi="Times New Roman"/>
          <w:sz w:val="20"/>
          <w:szCs w:val="20"/>
          <w:color w:val="auto"/>
        </w:rPr>
        <w:t>. Notwithstanding anything to the contrary contained in the Plan, the Board may, in its sole discretion, at any time and from time to time, grant Awards and administer the Plan with respect to such Awards. Any such actions by the Board shall be subject to the applicable rules of the securities exchange or inter-dealer quotation system on which the Class B Common Stock is listed or traded. In any such case, the Board shall have all the authority granted to the Committee under the Plan.</w:t>
      </w:r>
    </w:p>
    <w:p>
      <w:pPr>
        <w:spacing w:after="0" w:line="180" w:lineRule="exact"/>
        <w:rPr>
          <w:rFonts w:ascii="Times New Roman" w:cs="Times New Roman" w:eastAsia="Times New Roman" w:hAnsi="Times New Roman"/>
          <w:sz w:val="20"/>
          <w:szCs w:val="20"/>
          <w:color w:val="010000"/>
        </w:rPr>
      </w:pPr>
    </w:p>
    <w:p>
      <w:pPr>
        <w:ind w:left="1220" w:hanging="644"/>
        <w:spacing w:after="0"/>
        <w:tabs>
          <w:tab w:leader="none" w:pos="1220" w:val="left"/>
        </w:tabs>
        <w:numPr>
          <w:ilvl w:val="1"/>
          <w:numId w:val="25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Grant of Awards; Shares Subject to the Plan; Limitations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657"/>
        <w:spacing w:after="0" w:line="254" w:lineRule="auto"/>
        <w:tabs>
          <w:tab w:leader="none" w:pos="1313" w:val="left"/>
        </w:tabs>
        <w:numPr>
          <w:ilvl w:val="2"/>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Grants</w:t>
      </w:r>
      <w:r>
        <w:rPr>
          <w:rFonts w:ascii="Times New Roman" w:cs="Times New Roman" w:eastAsia="Times New Roman" w:hAnsi="Times New Roman"/>
          <w:sz w:val="20"/>
          <w:szCs w:val="20"/>
          <w:color w:val="auto"/>
        </w:rPr>
        <w:t>. The Committee may, from time to time, grant Awards to one or more Eligible Persons. All Awards granted under the Plan shall vest and become exercisable in such manner and on such date or dates or upon such event or events as determined by the Committee, including, without limitation, attainment of Performance Conditions.</w:t>
      </w:r>
    </w:p>
    <w:p>
      <w:pPr>
        <w:spacing w:after="0" w:line="174" w:lineRule="exact"/>
        <w:rPr>
          <w:rFonts w:ascii="Times New Roman" w:cs="Times New Roman" w:eastAsia="Times New Roman" w:hAnsi="Times New Roman"/>
          <w:sz w:val="20"/>
          <w:szCs w:val="20"/>
          <w:color w:val="010000"/>
        </w:rPr>
      </w:pPr>
    </w:p>
    <w:p>
      <w:pPr>
        <w:ind w:left="1460" w:hanging="803"/>
        <w:spacing w:after="0"/>
        <w:tabs>
          <w:tab w:leader="none" w:pos="1460" w:val="left"/>
        </w:tabs>
        <w:numPr>
          <w:ilvl w:val="2"/>
          <w:numId w:val="2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Share Reserve and Limits</w:t>
      </w:r>
      <w:r>
        <w:rPr>
          <w:rFonts w:ascii="Times New Roman" w:cs="Times New Roman" w:eastAsia="Times New Roman" w:hAnsi="Times New Roman"/>
          <w:sz w:val="20"/>
          <w:szCs w:val="20"/>
          <w:color w:val="auto"/>
        </w:rPr>
        <w:t>. Awards granted under the Plan shall be subject to the following limitations:</w:t>
      </w:r>
    </w:p>
    <w:p>
      <w:pPr>
        <w:spacing w:after="0" w:line="21" w:lineRule="exact"/>
        <w:rPr>
          <w:rFonts w:ascii="Times New Roman" w:cs="Times New Roman" w:eastAsia="Times New Roman" w:hAnsi="Times New Roman"/>
          <w:sz w:val="20"/>
          <w:szCs w:val="20"/>
          <w:color w:val="010000"/>
        </w:rPr>
      </w:pPr>
    </w:p>
    <w:p>
      <w:pPr>
        <w:jc w:val="both"/>
        <w:ind w:firstLine="9"/>
        <w:spacing w:after="0" w:line="242" w:lineRule="auto"/>
        <w:tabs>
          <w:tab w:leader="none" w:pos="2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11 of the Plan, no more than 25,000,000 shares of Class B Common Stock (the “</w:t>
      </w:r>
      <w:r>
        <w:rPr>
          <w:rFonts w:ascii="Times New Roman" w:cs="Times New Roman" w:eastAsia="Times New Roman" w:hAnsi="Times New Roman"/>
          <w:sz w:val="20"/>
          <w:szCs w:val="20"/>
          <w:b w:val="1"/>
          <w:bCs w:val="1"/>
          <w:u w:val="single" w:color="auto"/>
          <w:color w:val="auto"/>
        </w:rPr>
        <w:t>Absolute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Limit</w:t>
      </w:r>
      <w:r>
        <w:rPr>
          <w:rFonts w:ascii="Times New Roman" w:cs="Times New Roman" w:eastAsia="Times New Roman" w:hAnsi="Times New Roman"/>
          <w:sz w:val="20"/>
          <w:szCs w:val="20"/>
          <w:color w:val="auto"/>
        </w:rPr>
        <w:t>”) shall be available for Awards under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Absolute Share Limit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automatically increased on the first day of each fiscal year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4" w:name="page385"/>
    <w:bookmarkEnd w:id="384"/>
    <w:p>
      <w:pPr>
        <w:jc w:val="both"/>
        <w:spacing w:after="0" w:line="241" w:lineRule="auto"/>
        <w:rPr>
          <w:sz w:val="20"/>
          <w:szCs w:val="20"/>
          <w:color w:val="auto"/>
        </w:rPr>
      </w:pPr>
      <w:r>
        <w:rPr>
          <w:rFonts w:ascii="Times New Roman" w:cs="Times New Roman" w:eastAsia="Times New Roman" w:hAnsi="Times New Roman"/>
          <w:sz w:val="20"/>
          <w:szCs w:val="20"/>
          <w:color w:val="auto"/>
        </w:rPr>
        <w:t>fiscal year in which the Effective Date falls in an amount equal to the lower of (x) 1% of the total number of shares of Class B Common Stock outstanding on the last day of the immediately preceding fiscal year and (y) a lower number of shares of Class B Common Stock as determined by the Board; (ii) subject to Section 11 of the Plan, no more than the number of shares of Class B Common Stock equal to 25,000,000 may be issued in the aggregate pursuant to the exercise of Incentive Stock Options granted under the Plan; and (iii) during a single fiscal year, each Non-Employee Director shall be granted a number of shares of Class B Common Stock subject to Awards, taken together with any cash fees paid to such Non-Employee Director during such fiscal year, equal to (A) a total value of $1,000,000 (calculating the value of any such Awards based on the grant date fair value of such Awards for financial reporting purposes) or (B) such lower amount as determined by the Board prior to the Date of Grant, either as part of the Company’s Non-Employee Director compensation program or as otherwise determined by the Board in the event of any change to such Non-Employee Director’s compensation program or for any particular period of service. To the extent the Board makes a determination pursuant to clause (iii)(B) above with respect to any year of service, such determination shall in no event be applicable to any subsequent year of service without a further determination by the Board in respect of such subsequent year of service.</w:t>
      </w:r>
    </w:p>
    <w:p>
      <w:pPr>
        <w:spacing w:after="0" w:line="197" w:lineRule="exact"/>
        <w:rPr>
          <w:sz w:val="20"/>
          <w:szCs w:val="20"/>
          <w:color w:val="auto"/>
        </w:rPr>
      </w:pPr>
    </w:p>
    <w:p>
      <w:pPr>
        <w:jc w:val="both"/>
        <w:ind w:firstLine="657"/>
        <w:spacing w:after="0" w:line="256" w:lineRule="auto"/>
        <w:tabs>
          <w:tab w:leader="none" w:pos="1421" w:val="left"/>
        </w:tabs>
        <w:numPr>
          <w:ilvl w:val="2"/>
          <w:numId w:val="2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Share Counting</w:t>
      </w:r>
      <w:r>
        <w:rPr>
          <w:rFonts w:ascii="Times New Roman" w:cs="Times New Roman" w:eastAsia="Times New Roman" w:hAnsi="Times New Roman"/>
          <w:sz w:val="19"/>
          <w:szCs w:val="19"/>
          <w:color w:val="auto"/>
        </w:rPr>
        <w:t xml:space="preserve">. Other than with respect to Substitute Awards, to the extent that an Award expires or is canceled, forfeited, terminated, settled in cash, or otherwise is settled without issuance to the Participant of the full number of shares of Class B Common Stock to which the Award related, the unissued shares of Class B Common Stock will again be available for grant under the Plan. Shares of Class B Common Stock surrendered or withheld in payment of the Exercise Price, or taxes relating to an Award, shall be deemed to constitute shares not issued to the Participant and shall again be available for Awards under the Plan;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shares shall not become available for issuance hereunder if either:</w:t>
      </w:r>
    </w:p>
    <w:p>
      <w:pPr>
        <w:jc w:val="both"/>
        <w:ind w:firstLine="9"/>
        <w:spacing w:after="0" w:line="241" w:lineRule="auto"/>
        <w:tabs>
          <w:tab w:leader="none" w:pos="24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shares are withheld or surrendered following the termination of the Plan; or (ii) at the time the applicable shares are withheld or surrendered, it would constitute a material revision of the Plan subject to stockholder approval under any then-applicable rules of any national securities exchange or inter-dealer quotation system on which the Class B Common Stock is listed or traded.</w:t>
      </w:r>
    </w:p>
    <w:p>
      <w:pPr>
        <w:spacing w:after="0" w:line="188" w:lineRule="exact"/>
        <w:rPr>
          <w:rFonts w:ascii="Times New Roman" w:cs="Times New Roman" w:eastAsia="Times New Roman" w:hAnsi="Times New Roman"/>
          <w:sz w:val="20"/>
          <w:szCs w:val="20"/>
          <w:color w:val="auto"/>
        </w:rPr>
      </w:pPr>
    </w:p>
    <w:p>
      <w:pPr>
        <w:jc w:val="both"/>
        <w:ind w:firstLine="657"/>
        <w:spacing w:after="0" w:line="254" w:lineRule="auto"/>
        <w:tabs>
          <w:tab w:leader="none" w:pos="1351" w:val="left"/>
        </w:tabs>
        <w:numPr>
          <w:ilvl w:val="2"/>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Source of Shares</w:t>
      </w:r>
      <w:r>
        <w:rPr>
          <w:rFonts w:ascii="Times New Roman" w:cs="Times New Roman" w:eastAsia="Times New Roman" w:hAnsi="Times New Roman"/>
          <w:sz w:val="20"/>
          <w:szCs w:val="20"/>
          <w:color w:val="auto"/>
        </w:rPr>
        <w:t>. Shares of Class B Common Stock issued by the Company in settlement of Awards may be authorized and unissued shares, shares of Class B Common Stock held in the treasury of the Company, shares of Class B Common Stock purchased on the open market or by private purchase, or a combination of the foregoing.</w:t>
      </w:r>
    </w:p>
    <w:p>
      <w:pPr>
        <w:spacing w:after="0" w:line="174" w:lineRule="exact"/>
        <w:rPr>
          <w:rFonts w:ascii="Times New Roman" w:cs="Times New Roman" w:eastAsia="Times New Roman" w:hAnsi="Times New Roman"/>
          <w:sz w:val="20"/>
          <w:szCs w:val="20"/>
          <w:color w:val="010000"/>
        </w:rPr>
      </w:pPr>
    </w:p>
    <w:p>
      <w:pPr>
        <w:jc w:val="both"/>
        <w:ind w:firstLine="657"/>
        <w:spacing w:after="0" w:line="242" w:lineRule="auto"/>
        <w:tabs>
          <w:tab w:leader="none" w:pos="1461" w:val="left"/>
        </w:tabs>
        <w:numPr>
          <w:ilvl w:val="2"/>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Awards may, in the sole discretion of the Committee, be granted under the Plan in assumption of, or in substitution for, outstanding equity awards previously granted by an entity directly or indirectly acquired by the Company or with which the Company combines (“</w:t>
      </w:r>
      <w:r>
        <w:rPr>
          <w:rFonts w:ascii="Times New Roman" w:cs="Times New Roman" w:eastAsia="Times New Roman" w:hAnsi="Times New Roman"/>
          <w:sz w:val="20"/>
          <w:szCs w:val="20"/>
          <w:b w:val="1"/>
          <w:bCs w:val="1"/>
          <w:u w:val="single" w:color="auto"/>
          <w:color w:val="auto"/>
        </w:rPr>
        <w:t>Substitute Awards</w:t>
      </w:r>
      <w:r>
        <w:rPr>
          <w:rFonts w:ascii="Times New Roman" w:cs="Times New Roman" w:eastAsia="Times New Roman" w:hAnsi="Times New Roman"/>
          <w:sz w:val="20"/>
          <w:szCs w:val="20"/>
          <w:color w:val="auto"/>
        </w:rPr>
        <w:t xml:space="preserve">”). Substitute Awards shall not be counted against the Absolute Share 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Substitute Awards issued in connection with the assumption of, or in substitution for, outstanding stock options intended to qualify as “incentive stock options” within the meaning of Section 422 of the Code shall be counted against the aggregate number of shares of Class B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Class B Common Stock available for issuance under the Plan.</w:t>
      </w:r>
    </w:p>
    <w:p>
      <w:pPr>
        <w:spacing w:after="0" w:line="188" w:lineRule="exact"/>
        <w:rPr>
          <w:rFonts w:ascii="Times New Roman" w:cs="Times New Roman" w:eastAsia="Times New Roman" w:hAnsi="Times New Roman"/>
          <w:sz w:val="20"/>
          <w:szCs w:val="20"/>
          <w:color w:val="010000"/>
        </w:rPr>
      </w:pPr>
    </w:p>
    <w:p>
      <w:pPr>
        <w:ind w:left="1220" w:hanging="644"/>
        <w:spacing w:after="0"/>
        <w:tabs>
          <w:tab w:leader="none" w:pos="1220" w:val="left"/>
        </w:tabs>
        <w:numPr>
          <w:ilvl w:val="1"/>
          <w:numId w:val="25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Participation in the Plan shall be limited to Eligible Persons.</w:t>
      </w:r>
    </w:p>
    <w:p>
      <w:pPr>
        <w:spacing w:after="0" w:line="215" w:lineRule="exact"/>
        <w:rPr>
          <w:rFonts w:ascii="Times New Roman" w:cs="Times New Roman" w:eastAsia="Times New Roman" w:hAnsi="Times New Roman"/>
          <w:sz w:val="20"/>
          <w:szCs w:val="20"/>
          <w:b w:val="1"/>
          <w:bCs w:val="1"/>
          <w:color w:val="010000"/>
        </w:rPr>
      </w:pPr>
    </w:p>
    <w:p>
      <w:pPr>
        <w:ind w:left="1220" w:hanging="644"/>
        <w:spacing w:after="0"/>
        <w:tabs>
          <w:tab w:leader="none" w:pos="1220" w:val="left"/>
        </w:tabs>
        <w:numPr>
          <w:ilvl w:val="1"/>
          <w:numId w:val="258"/>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Restricted Stock and Restricted Stock Units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5" w:name="page386"/>
    <w:bookmarkEnd w:id="385"/>
    <w:p>
      <w:pPr>
        <w:jc w:val="both"/>
        <w:ind w:firstLine="657"/>
        <w:spacing w:after="0" w:line="249" w:lineRule="auto"/>
        <w:tabs>
          <w:tab w:leader="none" w:pos="1515"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grant of Restricted Stock and Restricted Stock Units shall be evidenced by an Award Agreement. Each Restricted Stock and Restricted Stock Unit so granted shall be subject to the conditions set forth in this Section 7, and to such other conditions not inconsistent with the Plan as may be reflected in the applicable Award Agreement.</w:t>
      </w:r>
    </w:p>
    <w:p>
      <w:pPr>
        <w:spacing w:after="0" w:line="179" w:lineRule="exact"/>
        <w:rPr>
          <w:rFonts w:ascii="Times New Roman" w:cs="Times New Roman" w:eastAsia="Times New Roman" w:hAnsi="Times New Roman"/>
          <w:sz w:val="20"/>
          <w:szCs w:val="20"/>
          <w:color w:val="010000"/>
        </w:rPr>
      </w:pPr>
    </w:p>
    <w:p>
      <w:pPr>
        <w:jc w:val="both"/>
        <w:ind w:firstLine="657"/>
        <w:spacing w:after="0" w:line="255" w:lineRule="auto"/>
        <w:tabs>
          <w:tab w:leader="none" w:pos="1661" w:val="left"/>
        </w:tabs>
        <w:numPr>
          <w:ilvl w:val="0"/>
          <w:numId w:val="2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Stock Certificates and Book-Entry Notation; Escrow or Similar Arrangement</w:t>
      </w:r>
      <w:r>
        <w:rPr>
          <w:rFonts w:ascii="Times New Roman" w:cs="Times New Roman" w:eastAsia="Times New Roman" w:hAnsi="Times New Roman"/>
          <w:sz w:val="19"/>
          <w:szCs w:val="19"/>
          <w:color w:val="auto"/>
        </w:rPr>
        <w:t>. Upon the grant of Restricted Stock, the Committee shall cause a stock certificate registered in the name of the Participant to be issued or shall cause share(s) of Class B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13(a)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7, Section 13(c),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with respect to Restricted Stock Units.</w:t>
      </w:r>
    </w:p>
    <w:p>
      <w:pPr>
        <w:spacing w:after="0" w:line="173" w:lineRule="exact"/>
        <w:rPr>
          <w:rFonts w:ascii="Times New Roman" w:cs="Times New Roman" w:eastAsia="Times New Roman" w:hAnsi="Times New Roman"/>
          <w:sz w:val="19"/>
          <w:szCs w:val="19"/>
          <w:color w:val="010000"/>
        </w:rPr>
      </w:pPr>
    </w:p>
    <w:p>
      <w:pPr>
        <w:ind w:left="1320" w:hanging="667"/>
        <w:spacing w:after="0"/>
        <w:tabs>
          <w:tab w:leader="none" w:pos="1320"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Vesting;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6" w:lineRule="auto"/>
        <w:tabs>
          <w:tab w:leader="none" w:pos="1981" w:val="left"/>
        </w:tabs>
        <w:numPr>
          <w:ilvl w:val="1"/>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Restricted Stock and Restricted Stock Units shall vest, and any applicable Restricted Period shall lapse,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any such dates or events, the Committee may, in its sole discretion, accelerate the vesting of any Restricted Stock or Restricted Stock Unit or the lapsing of any applicable Restricted Period at any time and for any reason.</w:t>
      </w:r>
    </w:p>
    <w:p>
      <w:pPr>
        <w:spacing w:after="0" w:line="184" w:lineRule="exact"/>
        <w:rPr>
          <w:rFonts w:ascii="Times New Roman" w:cs="Times New Roman" w:eastAsia="Times New Roman" w:hAnsi="Times New Roman"/>
          <w:sz w:val="20"/>
          <w:szCs w:val="20"/>
          <w:color w:val="010000"/>
        </w:rPr>
      </w:pPr>
    </w:p>
    <w:p>
      <w:pPr>
        <w:jc w:val="both"/>
        <w:ind w:left="580" w:firstLine="644"/>
        <w:spacing w:after="0" w:line="245" w:lineRule="auto"/>
        <w:tabs>
          <w:tab w:leader="none" w:pos="1919" w:val="left"/>
        </w:tabs>
        <w:numPr>
          <w:ilvl w:val="1"/>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provided by the Committee, whether in an Award Agreement or otherwise, in the event of a Participant’s Termination for any reason prior to the time that such Participant’s Restricted Stock or Restricted Stock Units, as applicable, have vested, (A) all vesting with respect to such Participant’s Restricted Stock or Restricted Stock Units, as applicable, shall cease and (B) unvested shares of Restricted Stock and unvested Restricted Stock Units, as applicable, shall be forfeited to the Company by the Participant for no consideration as of the date of such Termination.</w:t>
      </w:r>
    </w:p>
    <w:p>
      <w:pPr>
        <w:spacing w:after="0" w:line="184"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Issuance of Restricted Stock and Settlement of Restricted Stock Units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5" w:lineRule="auto"/>
        <w:tabs>
          <w:tab w:leader="none" w:pos="2071" w:val="left"/>
        </w:tabs>
        <w:numPr>
          <w:ilvl w:val="1"/>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6" w:name="page387"/>
    <w:bookmarkEnd w:id="386"/>
    <w:p>
      <w:pPr>
        <w:ind w:left="580"/>
        <w:spacing w:after="0"/>
        <w:rPr>
          <w:sz w:val="20"/>
          <w:szCs w:val="20"/>
          <w:color w:val="auto"/>
        </w:rPr>
      </w:pPr>
      <w:r>
        <w:rPr>
          <w:rFonts w:ascii="Times New Roman" w:cs="Times New Roman" w:eastAsia="Times New Roman" w:hAnsi="Times New Roman"/>
          <w:sz w:val="20"/>
          <w:szCs w:val="20"/>
          <w:color w:val="auto"/>
        </w:rPr>
        <w:t>been forfeited and with respect to which the Restricted Period has expired (rounded down to the nearest full share).</w:t>
      </w:r>
    </w:p>
    <w:p>
      <w:pPr>
        <w:spacing w:after="0" w:line="216" w:lineRule="exact"/>
        <w:rPr>
          <w:sz w:val="20"/>
          <w:szCs w:val="20"/>
          <w:color w:val="auto"/>
        </w:rPr>
      </w:pPr>
    </w:p>
    <w:p>
      <w:pPr>
        <w:jc w:val="both"/>
        <w:ind w:left="580" w:firstLine="644"/>
        <w:spacing w:after="0" w:line="242" w:lineRule="auto"/>
        <w:tabs>
          <w:tab w:leader="none" w:pos="2108"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share of Class B Common Stock (or other securities or other property, as applicable) for each such outstanding Restricted Stock Unit;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Committee may, in its sole discretion, elect to (A) pay cash or part cash and part shares of Class B Common Stock in lieu of issuing only shares of Class B Common Stock in respect of such Restricted Stock Units or (B) defer the issuance of shares of Class B Common Stock (or cash or part cash and part shares of Class B Common Stock, as the case may be) beyond the expiration of the Restricted Period if such extension would not cause adverse tax consequences under Section 409A of the Code. If a cash payment is made in lieu of issuing shares of Class B Common Stock in respect of such Restricted Stock Units, the amount of such payment shall be equal to the Fair Market Value per share of the Class B Common Stock as of the date on which the Restricted Period lapsed with respect to such Restricted Stock Units.</w:t>
      </w:r>
    </w:p>
    <w:p>
      <w:pPr>
        <w:spacing w:after="0" w:line="187" w:lineRule="exact"/>
        <w:rPr>
          <w:rFonts w:ascii="Times New Roman" w:cs="Times New Roman" w:eastAsia="Times New Roman" w:hAnsi="Times New Roman"/>
          <w:sz w:val="20"/>
          <w:szCs w:val="20"/>
          <w:color w:val="010000"/>
        </w:rPr>
      </w:pPr>
    </w:p>
    <w:p>
      <w:pPr>
        <w:jc w:val="both"/>
        <w:ind w:firstLine="657"/>
        <w:spacing w:after="0" w:line="249" w:lineRule="auto"/>
        <w:tabs>
          <w:tab w:leader="none" w:pos="1326" w:val="left"/>
        </w:tabs>
        <w:numPr>
          <w:ilvl w:val="0"/>
          <w:numId w:val="2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Legends on Restricted Stock</w:t>
      </w:r>
      <w:r>
        <w:rPr>
          <w:rFonts w:ascii="Times New Roman" w:cs="Times New Roman" w:eastAsia="Times New Roman" w:hAnsi="Times New Roman"/>
          <w:sz w:val="20"/>
          <w:szCs w:val="20"/>
          <w:color w:val="auto"/>
        </w:rPr>
        <w:t>. Each certificate, if any, or book entry representing Restricted Stock awarded under the Plan, if any, shall bear a legend or book-entry notation substantially in the form of the following, in addition to any other information the Company deems appropriate, until the lapse of all restrictions with respect to such shares of Class B Common Stock:</w:t>
      </w:r>
    </w:p>
    <w:p>
      <w:pPr>
        <w:spacing w:after="0" w:line="180" w:lineRule="exact"/>
        <w:rPr>
          <w:sz w:val="20"/>
          <w:szCs w:val="20"/>
          <w:color w:val="auto"/>
        </w:rPr>
      </w:pPr>
    </w:p>
    <w:p>
      <w:pPr>
        <w:jc w:val="both"/>
        <w:ind w:left="580"/>
        <w:spacing w:after="0" w:line="263" w:lineRule="auto"/>
        <w:rPr>
          <w:sz w:val="20"/>
          <w:szCs w:val="20"/>
          <w:color w:val="auto"/>
        </w:rPr>
      </w:pPr>
      <w:r>
        <w:rPr>
          <w:rFonts w:ascii="Times New Roman" w:cs="Times New Roman" w:eastAsia="Times New Roman" w:hAnsi="Times New Roman"/>
          <w:sz w:val="19"/>
          <w:szCs w:val="19"/>
          <w:color w:val="auto"/>
        </w:rPr>
        <w:t>TRANSFER OF THIS CERTIFICATE AND THE SHARES REPRESENTED HEREBY IS RESTRICTED PURSUANT TO THE TERMS OF THE BENTLEY SYSTEMS, INCORPORATED 2020 OMNIBUS INCENTIVE PLAN AND A RESTRICTED STOCK AWARD AGREEMENT BETWEEN BENTLEY SYSTEMS, INCORPORATED AND THE PARTICIPANT. A COPY OF SUCH PLAN AND AWARD AGREEMENT IS ON FILE AT THE PRINCIPAL EXECUTIVE OFFICES OF BENTLEY SYSTEMS, INCORPORATED.</w:t>
      </w:r>
    </w:p>
    <w:p>
      <w:pPr>
        <w:spacing w:after="0" w:line="162" w:lineRule="exact"/>
        <w:rPr>
          <w:sz w:val="20"/>
          <w:szCs w:val="20"/>
          <w:color w:val="auto"/>
        </w:rPr>
      </w:pPr>
    </w:p>
    <w:p>
      <w:pPr>
        <w:ind w:left="1220" w:hanging="644"/>
        <w:spacing w:after="0"/>
        <w:tabs>
          <w:tab w:leader="none" w:pos="1220" w:val="left"/>
        </w:tabs>
        <w:numPr>
          <w:ilvl w:val="0"/>
          <w:numId w:val="26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657"/>
        <w:spacing w:after="0" w:line="255" w:lineRule="auto"/>
        <w:tabs>
          <w:tab w:leader="none" w:pos="1623" w:val="left"/>
        </w:tabs>
        <w:numPr>
          <w:ilvl w:val="1"/>
          <w:numId w:val="2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Each Option granted under the Plan shall be evidenced by an Award Agreement, which agreement need not be the same for each Participant. Each Option so granted shall be subject to the conditions set forth in this Section 8,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or a Subsidiary,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7" w:name="page388"/>
    <w:bookmarkEnd w:id="387"/>
    <w:p>
      <w:pPr>
        <w:jc w:val="both"/>
        <w:ind w:firstLine="657"/>
        <w:spacing w:after="0" w:line="245" w:lineRule="auto"/>
        <w:tabs>
          <w:tab w:leader="none" w:pos="1499"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Except as otherwise provided by the Committee in the case of Substitute Awards, the exercise price (“</w:t>
      </w:r>
      <w:r>
        <w:rPr>
          <w:rFonts w:ascii="Times New Roman" w:cs="Times New Roman" w:eastAsia="Times New Roman" w:hAnsi="Times New Roman"/>
          <w:sz w:val="20"/>
          <w:szCs w:val="20"/>
          <w:b w:val="1"/>
          <w:bCs w:val="1"/>
          <w:u w:val="single" w:color="auto"/>
          <w:color w:val="auto"/>
        </w:rPr>
        <w:t>Exercise Price</w:t>
      </w:r>
      <w:r>
        <w:rPr>
          <w:rFonts w:ascii="Times New Roman" w:cs="Times New Roman" w:eastAsia="Times New Roman" w:hAnsi="Times New Roman"/>
          <w:sz w:val="20"/>
          <w:szCs w:val="20"/>
          <w:color w:val="auto"/>
        </w:rPr>
        <w:t xml:space="preserve">”) per share of Class B Common Stock for each Option shall not be less than 100% of the Fair Market Value of such share (determined as of the Date of Grant);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case of an Incentive Stock Option granted to an employee who, at the time of the grant of such Option, owns stock representing more than 10% of the voting power of all classes of stock of any member of the Company Group, the Exercise Price per share shall be no less than 110% of the Fair Market Value per share on the Date of Grant.</w:t>
      </w:r>
    </w:p>
    <w:p>
      <w:pPr>
        <w:spacing w:after="0" w:line="184" w:lineRule="exact"/>
        <w:rPr>
          <w:rFonts w:ascii="Times New Roman" w:cs="Times New Roman" w:eastAsia="Times New Roman" w:hAnsi="Times New Roman"/>
          <w:sz w:val="20"/>
          <w:szCs w:val="20"/>
          <w:color w:val="010000"/>
        </w:rPr>
      </w:pPr>
    </w:p>
    <w:p>
      <w:pPr>
        <w:ind w:left="1320" w:hanging="663"/>
        <w:spacing w:after="0"/>
        <w:tabs>
          <w:tab w:leader="none" w:pos="1320"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Vesting and Expiration;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4" w:lineRule="auto"/>
        <w:tabs>
          <w:tab w:leader="none" w:pos="1977" w:val="left"/>
        </w:tabs>
        <w:numPr>
          <w:ilvl w:val="1"/>
          <w:numId w:val="2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Options shall vest and become exercisable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notwithstanding any such vesting dates or events, the Committee may in its sole discretion accelerate the vesting of any Options at any time and for any reason. Options shall expire upon a date determined by the Committee, not to exceed ten years from the Date of Grant (the “</w:t>
      </w:r>
      <w:r>
        <w:rPr>
          <w:rFonts w:ascii="Times New Roman" w:cs="Times New Roman" w:eastAsia="Times New Roman" w:hAnsi="Times New Roman"/>
          <w:sz w:val="19"/>
          <w:szCs w:val="19"/>
          <w:b w:val="1"/>
          <w:bCs w:val="1"/>
          <w:u w:val="single" w:color="auto"/>
          <w:color w:val="auto"/>
        </w:rPr>
        <w:t>Option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the Option Period (other than in the case of an Incentive Stock Option) would expire at a time when trading in the shares of Class B Common Stock is prohibited by the Company’s insider trading policy (or Company-imposed “blackout period”), then the Option Period shall be automatically extended until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day following the expiration of such prohibition. Notwithstanding the foregoing, in no event shall the Option Period exceed five years from the Date of Grant in the case of an Incentive Stock Option granted to a Participant who on the Date of Grant owns stock representing more than 10% of the voting power of all classes of stock of any member of the Company Group.</w:t>
      </w:r>
    </w:p>
    <w:p>
      <w:pPr>
        <w:spacing w:after="0" w:line="191" w:lineRule="exact"/>
        <w:rPr>
          <w:rFonts w:ascii="Times New Roman" w:cs="Times New Roman" w:eastAsia="Times New Roman" w:hAnsi="Times New Roman"/>
          <w:sz w:val="19"/>
          <w:szCs w:val="19"/>
          <w:color w:val="010000"/>
        </w:rPr>
      </w:pPr>
    </w:p>
    <w:p>
      <w:pPr>
        <w:jc w:val="both"/>
        <w:ind w:left="580" w:firstLine="644"/>
        <w:spacing w:after="0" w:line="243" w:lineRule="auto"/>
        <w:tabs>
          <w:tab w:leader="none" w:pos="1919" w:val="left"/>
        </w:tabs>
        <w:numPr>
          <w:ilvl w:val="1"/>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90 days thereafter (but in no event beyond the expiration of the Option Period).</w:t>
      </w:r>
    </w:p>
    <w:p>
      <w:pPr>
        <w:spacing w:after="0" w:line="189"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Method of Exercise and Form of Payment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56" w:lineRule="auto"/>
        <w:tabs>
          <w:tab w:leader="none" w:pos="2031" w:val="left"/>
        </w:tabs>
        <w:numPr>
          <w:ilvl w:val="1"/>
          <w:numId w:val="2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shares of Class B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(x) in cash, check, cash equivalent, and/or shares of Class B Common Stock valued at the Fair Market Value at the time the Option is exercised (including, pursuant to procedures approved by the Committee, by means of attestation of ownership of a sufficient number of shares of Class B Common Stock in lieu of actual issuance of such shares to the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such shares of Class B Common Stock are not subject to any pledge or other security interest and have been held by the Participant for at least six months (or such other period as established from time to time by the Committee in order to avoid adverse accounting treatment applying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88" w:name="page389"/>
    <w:bookmarkEnd w:id="388"/>
    <w:p>
      <w:pPr>
        <w:jc w:val="both"/>
        <w:ind w:left="580"/>
        <w:spacing w:after="0" w:line="243" w:lineRule="auto"/>
        <w:rPr>
          <w:sz w:val="20"/>
          <w:szCs w:val="20"/>
          <w:color w:val="auto"/>
        </w:rPr>
      </w:pPr>
      <w:r>
        <w:rPr>
          <w:rFonts w:ascii="Times New Roman" w:cs="Times New Roman" w:eastAsia="Times New Roman" w:hAnsi="Times New Roman"/>
          <w:sz w:val="20"/>
          <w:szCs w:val="20"/>
          <w:color w:val="auto"/>
        </w:rPr>
        <w:t>accepted accounting principles (“</w:t>
      </w:r>
      <w:r>
        <w:rPr>
          <w:rFonts w:ascii="Times New Roman" w:cs="Times New Roman" w:eastAsia="Times New Roman" w:hAnsi="Times New Roman"/>
          <w:sz w:val="20"/>
          <w:szCs w:val="20"/>
          <w:b w:val="1"/>
          <w:bCs w:val="1"/>
          <w:u w:val="single" w:color="auto"/>
          <w:color w:val="auto"/>
        </w:rPr>
        <w:t>GAAP</w:t>
      </w:r>
      <w:r>
        <w:rPr>
          <w:rFonts w:ascii="Times New Roman" w:cs="Times New Roman" w:eastAsia="Times New Roman" w:hAnsi="Times New Roman"/>
          <w:sz w:val="20"/>
          <w:szCs w:val="20"/>
          <w:color w:val="auto"/>
        </w:rPr>
        <w:t>”)); or (y) by such other method as the Committee may permit in its sole discretion, including, without limitation (A) in other property having a fair market value on the date of exercise equal to the Exercise Price; (B) if there is a public market for the shares of Class B Common Stock at such time, by means of a broker-assisted “cashless exercise” pursuant to which the Company is delivered (including telephonically to the extent permitted by the Committee) a copy of irrevocable instructions to a stockbroker to sell the shares of Class B Common Stock otherwise issuable upon the exercise of the Option and to deliver promptly to the Company an amount equal to the Exercise Price; or (C) a “net exercise” procedure effected by withholding the minimum number of shares of Class B Common Stock otherwise issuable in respect of an Option that is needed to pay the Exercise Price. Any fractional shares of Class B Common Stock shall be settled in cash.</w:t>
      </w:r>
    </w:p>
    <w:p>
      <w:pPr>
        <w:spacing w:after="0" w:line="190" w:lineRule="exact"/>
        <w:rPr>
          <w:sz w:val="20"/>
          <w:szCs w:val="20"/>
          <w:color w:val="auto"/>
        </w:rPr>
      </w:pPr>
    </w:p>
    <w:p>
      <w:pPr>
        <w:jc w:val="both"/>
        <w:ind w:left="580" w:firstLine="644"/>
        <w:spacing w:after="0" w:line="242" w:lineRule="auto"/>
        <w:tabs>
          <w:tab w:leader="none" w:pos="1933" w:val="left"/>
        </w:tabs>
        <w:numPr>
          <w:ilvl w:val="3"/>
          <w:numId w:val="2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 an exercisable Option is scheduled to expire pursuant to the expiration of the Option Period and (B) the Exercise Price per share of Class B Common Stock of such Option is less than the then-current Fair Market Value of a share of Class B Common Stock, then on the date immediately preceding the date on which such Option Period is scheduled to expire, such Option (to the extent not previously exercised by the Participant) shall be automatically exercised on behalf of the Participant through a “net exercise” procedure effected by withholding both (x) the minimum number of shares of Class B Common Stock otherwise issuable in respect of the Option that is needed to pay the Exercise Price and (y) the aggregate amount of any income, employment, and/or other applicable taxes that are statutorily required to be withheld in respect of the Option, and the net number of shares of Class B Common Stock resulting from such “net exercise” shall be delivered to the Participant as soon as practicable thereafter.</w:t>
      </w:r>
    </w:p>
    <w:p>
      <w:pPr>
        <w:spacing w:after="0" w:line="192" w:lineRule="exact"/>
        <w:rPr>
          <w:rFonts w:ascii="Times New Roman" w:cs="Times New Roman" w:eastAsia="Times New Roman" w:hAnsi="Times New Roman"/>
          <w:sz w:val="20"/>
          <w:szCs w:val="20"/>
          <w:color w:val="010000"/>
        </w:rPr>
      </w:pPr>
    </w:p>
    <w:p>
      <w:pPr>
        <w:jc w:val="both"/>
        <w:ind w:firstLine="657"/>
        <w:spacing w:after="0" w:line="256" w:lineRule="auto"/>
        <w:tabs>
          <w:tab w:leader="none" w:pos="1421" w:val="left"/>
        </w:tabs>
        <w:numPr>
          <w:ilvl w:val="2"/>
          <w:numId w:val="2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Notification upon Disqualifying Disposition of an Incentive Stock Option</w:t>
      </w:r>
      <w:r>
        <w:rPr>
          <w:rFonts w:ascii="Times New Roman" w:cs="Times New Roman" w:eastAsia="Times New Roman" w:hAnsi="Times New Roman"/>
          <w:sz w:val="19"/>
          <w:szCs w:val="19"/>
          <w:color w:val="auto"/>
        </w:rPr>
        <w:t>. Each Participant awarded an Incentive Stock Option under the Plan shall notify the Company in writing immediately after the date the Participant makes a disqualifying disposition of any share of Class B Common Stock acquired pursuant to the exercise of such Incentive Stock Option. A disqualifying disposition is any disposition (including, without limitation, any sale) of such share of Class B Common Stock before the later of (i) the date that is two years after the Date of Grant of the Incentive Stock Option, or</w:t>
      </w:r>
    </w:p>
    <w:p>
      <w:pPr>
        <w:spacing w:after="0" w:line="4" w:lineRule="exact"/>
        <w:rPr>
          <w:rFonts w:ascii="Times New Roman" w:cs="Times New Roman" w:eastAsia="Times New Roman" w:hAnsi="Times New Roman"/>
          <w:sz w:val="19"/>
          <w:szCs w:val="19"/>
          <w:color w:val="010000"/>
        </w:rPr>
      </w:pPr>
    </w:p>
    <w:p>
      <w:pPr>
        <w:jc w:val="both"/>
        <w:ind w:firstLine="9"/>
        <w:spacing w:after="0" w:line="241" w:lineRule="auto"/>
        <w:tabs>
          <w:tab w:leader="none" w:pos="301"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one year after the date of exercise of the Incentive Stock Option. The Company may, if determined by the Committee and in accordance with procedures established by the Committee, retain possession, as agent for the applicable Participant, of any share of Class B Common Stock acquired pursuant to the exercise of an Incentive Stock Option until the end of the period described in the preceding sentence, subject to complying with any instructions from such Participant as to the sale of such share of Class B Common Stock.</w:t>
      </w:r>
    </w:p>
    <w:p>
      <w:pPr>
        <w:spacing w:after="0" w:line="186" w:lineRule="exact"/>
        <w:rPr>
          <w:rFonts w:ascii="Times New Roman" w:cs="Times New Roman" w:eastAsia="Times New Roman" w:hAnsi="Times New Roman"/>
          <w:sz w:val="20"/>
          <w:szCs w:val="20"/>
          <w:color w:val="auto"/>
        </w:rPr>
      </w:pPr>
    </w:p>
    <w:p>
      <w:pPr>
        <w:jc w:val="both"/>
        <w:ind w:firstLine="657"/>
        <w:spacing w:after="0" w:line="246" w:lineRule="auto"/>
        <w:tabs>
          <w:tab w:leader="none" w:pos="1304" w:val="left"/>
        </w:tabs>
        <w:numPr>
          <w:ilvl w:val="2"/>
          <w:numId w:val="2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Compliance With Laws, etc</w:t>
      </w:r>
      <w:r>
        <w:rPr>
          <w:rFonts w:ascii="Times New Roman" w:cs="Times New Roman" w:eastAsia="Times New Roman" w:hAnsi="Times New Roman"/>
          <w:sz w:val="20"/>
          <w:szCs w:val="20"/>
          <w:color w:val="auto"/>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spacing w:after="0" w:line="180" w:lineRule="exact"/>
        <w:rPr>
          <w:rFonts w:ascii="Times New Roman" w:cs="Times New Roman" w:eastAsia="Times New Roman" w:hAnsi="Times New Roman"/>
          <w:sz w:val="20"/>
          <w:szCs w:val="20"/>
          <w:color w:val="010000"/>
        </w:rPr>
      </w:pPr>
    </w:p>
    <w:p>
      <w:pPr>
        <w:ind w:left="1220" w:hanging="644"/>
        <w:spacing w:after="0"/>
        <w:tabs>
          <w:tab w:leader="none" w:pos="1220" w:val="left"/>
        </w:tabs>
        <w:numPr>
          <w:ilvl w:val="1"/>
          <w:numId w:val="26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Stock Appreciation Rights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657"/>
        <w:spacing w:after="0" w:line="249" w:lineRule="auto"/>
        <w:tabs>
          <w:tab w:leader="none" w:pos="1434" w:val="left"/>
        </w:tabs>
        <w:numPr>
          <w:ilvl w:val="2"/>
          <w:numId w:val="2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Each SAR granted under the Plan shall be evidenced by an Award Agreement. Each SAR so granted shall be subject to the conditions set forth in this Section 9,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89" w:name="page390"/>
    <w:bookmarkEnd w:id="389"/>
    <w:p>
      <w:pPr>
        <w:jc w:val="both"/>
        <w:ind w:left="80" w:firstLine="657"/>
        <w:spacing w:after="0" w:line="246" w:lineRule="auto"/>
        <w:tabs>
          <w:tab w:leader="none" w:pos="1471"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Strike Price</w:t>
      </w:r>
      <w:r>
        <w:rPr>
          <w:rFonts w:ascii="Times New Roman" w:cs="Times New Roman" w:eastAsia="Times New Roman" w:hAnsi="Times New Roman"/>
          <w:sz w:val="20"/>
          <w:szCs w:val="20"/>
          <w:color w:val="auto"/>
        </w:rPr>
        <w:t>. Except as otherwise provided by the Committee in the case of Substitute Awards, the strike price (“</w:t>
      </w:r>
      <w:r>
        <w:rPr>
          <w:rFonts w:ascii="Times New Roman" w:cs="Times New Roman" w:eastAsia="Times New Roman" w:hAnsi="Times New Roman"/>
          <w:sz w:val="20"/>
          <w:szCs w:val="20"/>
          <w:b w:val="1"/>
          <w:bCs w:val="1"/>
          <w:u w:val="single" w:color="auto"/>
          <w:color w:val="auto"/>
        </w:rPr>
        <w:t>Strike Price</w:t>
      </w:r>
      <w:r>
        <w:rPr>
          <w:rFonts w:ascii="Times New Roman" w:cs="Times New Roman" w:eastAsia="Times New Roman" w:hAnsi="Times New Roman"/>
          <w:sz w:val="20"/>
          <w:szCs w:val="20"/>
          <w:color w:val="auto"/>
        </w:rPr>
        <w:t>”) per share of Class B Common Stock for each SAR shall not be less than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184" w:lineRule="exact"/>
        <w:rPr>
          <w:rFonts w:ascii="Times New Roman" w:cs="Times New Roman" w:eastAsia="Times New Roman" w:hAnsi="Times New Roman"/>
          <w:sz w:val="20"/>
          <w:szCs w:val="20"/>
          <w:color w:val="010000"/>
        </w:rPr>
      </w:pPr>
    </w:p>
    <w:p>
      <w:pPr>
        <w:ind w:left="1400" w:hanging="663"/>
        <w:spacing w:after="0"/>
        <w:tabs>
          <w:tab w:leader="none" w:pos="1400"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Vesting and Expiration;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660" w:firstLine="644"/>
        <w:spacing w:after="0" w:line="232" w:lineRule="auto"/>
        <w:tabs>
          <w:tab w:leader="none" w:pos="2070" w:val="left"/>
        </w:tabs>
        <w:numPr>
          <w:ilvl w:val="2"/>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any such vesting dates or events, the Committee may, in its sole discretion, accelerate the vesting of any SAR at any time and for any reason. SARs shall expire upon a date determined by the Committee, not to exceed ten years from the Date of Grant (the “</w:t>
      </w:r>
      <w:r>
        <w:rPr>
          <w:rFonts w:ascii="Times New Roman" w:cs="Times New Roman" w:eastAsia="Times New Roman" w:hAnsi="Times New Roman"/>
          <w:sz w:val="20"/>
          <w:szCs w:val="20"/>
          <w:b w:val="1"/>
          <w:bCs w:val="1"/>
          <w:u w:val="single" w:color="auto"/>
          <w:color w:val="auto"/>
        </w:rPr>
        <w:t>SAR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 SAR Period would expire at a time when trading in the shares of Class B Common Stock is prohibited by the Company’s insider trading policy (or Company-imposed “blackout period”), then the SAR Period shall be automatically extended until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following the expiration of such prohibition.</w:t>
      </w:r>
    </w:p>
    <w:p>
      <w:pPr>
        <w:spacing w:after="0" w:line="201" w:lineRule="exact"/>
        <w:rPr>
          <w:rFonts w:ascii="Times New Roman" w:cs="Times New Roman" w:eastAsia="Times New Roman" w:hAnsi="Times New Roman"/>
          <w:sz w:val="20"/>
          <w:szCs w:val="20"/>
          <w:color w:val="010000"/>
        </w:rPr>
      </w:pPr>
    </w:p>
    <w:p>
      <w:pPr>
        <w:jc w:val="both"/>
        <w:ind w:left="660" w:firstLine="644"/>
        <w:spacing w:after="0"/>
        <w:tabs>
          <w:tab w:leader="none" w:pos="2031" w:val="left"/>
        </w:tabs>
        <w:numPr>
          <w:ilvl w:val="2"/>
          <w:numId w:val="26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Unless otherwise provided by the Committee, whether in an Award Agreement or otherwise, in the event of: (A) a Participant’s Termination by the Service Recipient for Cause, all outstanding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year thereafter (but in no event beyond the expiration of the SAR Period); and (C) a Participant’s Termination for any other reason, each outstanding unvested SAR granted to such Participant shall immediately terminate and expire, and each outstanding vested SAR shall remain exercisable for 90 days thereafter (but in no event beyond the expiration of the SAR Period).</w:t>
      </w:r>
    </w:p>
    <w:p>
      <w:pPr>
        <w:spacing w:after="0" w:line="189" w:lineRule="exact"/>
        <w:rPr>
          <w:rFonts w:ascii="Times New Roman" w:cs="Times New Roman" w:eastAsia="Times New Roman" w:hAnsi="Times New Roman"/>
          <w:sz w:val="22"/>
          <w:szCs w:val="22"/>
          <w:color w:val="010000"/>
        </w:rPr>
      </w:pPr>
    </w:p>
    <w:p>
      <w:pPr>
        <w:jc w:val="both"/>
        <w:ind w:left="80" w:firstLine="657"/>
        <w:spacing w:after="0" w:line="244" w:lineRule="auto"/>
        <w:tabs>
          <w:tab w:leader="none" w:pos="1525"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of the SAR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spacing w:after="0" w:line="185" w:lineRule="exact"/>
        <w:rPr>
          <w:rFonts w:ascii="Times New Roman" w:cs="Times New Roman" w:eastAsia="Times New Roman" w:hAnsi="Times New Roman"/>
          <w:sz w:val="20"/>
          <w:szCs w:val="20"/>
          <w:color w:val="010000"/>
        </w:rPr>
      </w:pPr>
    </w:p>
    <w:p>
      <w:pPr>
        <w:jc w:val="both"/>
        <w:ind w:left="80" w:firstLine="657"/>
        <w:spacing w:after="0" w:line="245" w:lineRule="auto"/>
        <w:tabs>
          <w:tab w:leader="none" w:pos="1501" w:val="left"/>
        </w:tabs>
        <w:numPr>
          <w:ilvl w:val="1"/>
          <w:numId w:val="2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Upon the exercise of a SAR, the Company shall pay to the Participant an amount equal to the number of shares subject to the SAR that is being exercised multiplied by the excess of the Fair Market Value of one share of Class B Common Stock on the exercise date over the Strike Price, less an amount equal to any Federal, state, local, and non-U.S. income, employment, and any other applicable taxes required to be withheld. The Company shall pay such amount in cash, in shares of Class B Common Stock valued at Fair Market Value, or any combination thereof, as determined by the Committee. Any fractional shares of Class B Common Stock shall be settled in cash.</w:t>
      </w:r>
    </w:p>
    <w:p>
      <w:pPr>
        <w:spacing w:after="0" w:line="180" w:lineRule="exact"/>
        <w:rPr>
          <w:rFonts w:ascii="Times New Roman" w:cs="Times New Roman" w:eastAsia="Times New Roman" w:hAnsi="Times New Roman"/>
          <w:sz w:val="20"/>
          <w:szCs w:val="20"/>
          <w:color w:val="010000"/>
        </w:rPr>
      </w:pPr>
    </w:p>
    <w:p>
      <w:pPr>
        <w:ind w:firstLine="656"/>
        <w:spacing w:after="0" w:line="273" w:lineRule="auto"/>
        <w:tabs>
          <w:tab w:leader="none" w:pos="1358" w:val="left"/>
        </w:tabs>
        <w:numPr>
          <w:ilvl w:val="0"/>
          <w:numId w:val="26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Other Equity-Based Awards and Other Cash-Based Awards</w:t>
      </w:r>
      <w:r>
        <w:rPr>
          <w:rFonts w:ascii="Times New Roman" w:cs="Times New Roman" w:eastAsia="Times New Roman" w:hAnsi="Times New Roman"/>
          <w:sz w:val="20"/>
          <w:szCs w:val="20"/>
          <w:color w:val="auto"/>
        </w:rPr>
        <w:t>. The Committee may grant Other Equity-Based Awards and Other Cash-Based Awards under the Plan to Eligible Persons,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90" w:name="page391"/>
    <w:bookmarkEnd w:id="390"/>
    <w:p>
      <w:pPr>
        <w:jc w:val="both"/>
        <w:spacing w:after="0" w:line="244" w:lineRule="auto"/>
        <w:rPr>
          <w:sz w:val="20"/>
          <w:szCs w:val="20"/>
          <w:color w:val="auto"/>
        </w:rPr>
      </w:pPr>
      <w:r>
        <w:rPr>
          <w:rFonts w:ascii="Times New Roman" w:cs="Times New Roman" w:eastAsia="Times New Roman" w:hAnsi="Times New Roman"/>
          <w:sz w:val="20"/>
          <w:szCs w:val="20"/>
          <w:color w:val="auto"/>
        </w:rPr>
        <w:t>or in tandem with other Awards, in such amounts and dependent on such conditions as the Committee shall from time to time in its sole discretion determine including, without limitation, those set forth in Section 5(a) of the Plan. Each Other Equity-Based Award granted under the Plan shall be evidenced by an Award Agreement and each Other Cash-Based Award granted under the Plan shall be evidenced in such form as the Committee may determine from time to time. Each Other Equity-Based Award or Other Cash-Based Award, as applicable, so granted shall be subject to such conditions not inconsistent with the Plan as may be reflected in the applicable Award Agreement or other form evidencing such Award, including, without limitation, those set forth in Section 13(c) of the Plan.</w:t>
      </w:r>
    </w:p>
    <w:p>
      <w:pPr>
        <w:spacing w:after="0" w:line="182" w:lineRule="exact"/>
        <w:rPr>
          <w:sz w:val="20"/>
          <w:szCs w:val="20"/>
          <w:color w:val="auto"/>
        </w:rPr>
      </w:pPr>
    </w:p>
    <w:p>
      <w:pPr>
        <w:ind w:firstLine="656"/>
        <w:spacing w:after="0" w:line="273" w:lineRule="auto"/>
        <w:tabs>
          <w:tab w:leader="none" w:pos="1280" w:val="left"/>
        </w:tabs>
        <w:numPr>
          <w:ilvl w:val="0"/>
          <w:numId w:val="27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Changes in Capital Structure and Similar Events</w:t>
      </w:r>
      <w:r>
        <w:rPr>
          <w:rFonts w:ascii="Times New Roman" w:cs="Times New Roman" w:eastAsia="Times New Roman" w:hAnsi="Times New Roman"/>
          <w:sz w:val="20"/>
          <w:szCs w:val="20"/>
          <w:color w:val="auto"/>
        </w:rPr>
        <w:t>. Notwithstanding any other provision in this Plan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contrary, the following provisions shall apply to all Awards granted hereunder (other than Other Cash-Based Awards):</w:t>
      </w:r>
    </w:p>
    <w:p>
      <w:pPr>
        <w:spacing w:after="0" w:line="155" w:lineRule="exact"/>
        <w:rPr>
          <w:rFonts w:ascii="Times New Roman" w:cs="Times New Roman" w:eastAsia="Times New Roman" w:hAnsi="Times New Roman"/>
          <w:sz w:val="20"/>
          <w:szCs w:val="20"/>
          <w:b w:val="1"/>
          <w:bCs w:val="1"/>
          <w:color w:val="010000"/>
        </w:rPr>
      </w:pPr>
    </w:p>
    <w:p>
      <w:pPr>
        <w:jc w:val="both"/>
        <w:ind w:left="80" w:firstLine="657"/>
        <w:spacing w:after="0"/>
        <w:tabs>
          <w:tab w:leader="none" w:pos="1420" w:val="left"/>
        </w:tabs>
        <w:numPr>
          <w:ilvl w:val="1"/>
          <w:numId w:val="2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In the event of (i) any dividend (other than regular cash dividends) or other distribution (whether in the form of cash, shares of Class B Common Stock, other securities, or other property), recapitalization, stock split, reverse stock split, reorganization, merger, consolidation, split-up, split-off, spin-off, combination, repurchase, or exchange of shares of Class B Common Stock or other securities of the Company, issuance of warrants or other rights to acquire shares of Class B Common Stock or other securities of the Company, or other similar corporate transaction or event that affects the shares of Class B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 w:cs="Times New Roman" w:eastAsia="Times New Roman" w:hAnsi="Times New Roman"/>
          <w:sz w:val="20"/>
          <w:szCs w:val="20"/>
          <w:b w:val="1"/>
          <w:bCs w:val="1"/>
          <w:u w:val="single" w:color="auto"/>
          <w:color w:val="auto"/>
        </w:rPr>
        <w:t>Adjustment Event</w:t>
      </w:r>
      <w:r>
        <w:rPr>
          <w:rFonts w:ascii="Times New Roman" w:cs="Times New Roman" w:eastAsia="Times New Roman" w:hAnsi="Times New Roman"/>
          <w:sz w:val="20"/>
          <w:szCs w:val="20"/>
          <w:color w:val="auto"/>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of Awards which may be granted hereunder; (B) the number of shares of Class B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of shares of Class B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 Any adjustment under this Section 11 shall be conclusive and binding for all purposes.</w:t>
      </w:r>
    </w:p>
    <w:p>
      <w:pPr>
        <w:spacing w:after="0" w:line="205" w:lineRule="exact"/>
        <w:rPr>
          <w:rFonts w:ascii="Times New Roman" w:cs="Times New Roman" w:eastAsia="Times New Roman" w:hAnsi="Times New Roman"/>
          <w:sz w:val="20"/>
          <w:szCs w:val="20"/>
          <w:color w:val="010000"/>
        </w:rPr>
      </w:pPr>
    </w:p>
    <w:p>
      <w:pPr>
        <w:ind w:left="80" w:right="20" w:firstLine="657"/>
        <w:spacing w:after="0" w:line="269" w:lineRule="auto"/>
        <w:tabs>
          <w:tab w:leader="none" w:pos="1660" w:val="left"/>
        </w:tabs>
        <w:numPr>
          <w:ilvl w:val="1"/>
          <w:numId w:val="2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Without limiting the foregoing, in connection with any Change in Control, the Committee may, in its sole discretion, provide for any one or more of the following:</w:t>
      </w:r>
    </w:p>
    <w:p>
      <w:pPr>
        <w:spacing w:after="0" w:line="159" w:lineRule="exact"/>
        <w:rPr>
          <w:rFonts w:ascii="Times New Roman" w:cs="Times New Roman" w:eastAsia="Times New Roman" w:hAnsi="Times New Roman"/>
          <w:sz w:val="20"/>
          <w:szCs w:val="20"/>
          <w:color w:val="010000"/>
        </w:rPr>
      </w:pPr>
    </w:p>
    <w:p>
      <w:pPr>
        <w:jc w:val="both"/>
        <w:ind w:left="660" w:firstLine="644"/>
        <w:spacing w:after="0" w:line="245" w:lineRule="auto"/>
        <w:tabs>
          <w:tab w:leader="none" w:pos="1980" w:val="left"/>
        </w:tabs>
        <w:numPr>
          <w:ilvl w:val="2"/>
          <w:numId w:val="2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substitution or assumption of Awards, or to the extent that the surviving entity (or Affiliate thereof) of such Change in Control does not substitute or assume the Awards, full acceleration of vesting of, exercisability of, or lapse of restrictions on, as applicable, any Awards immediately prior to, and contingent upon, the consummation of such Change in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 respect to any performance-vesting Awards, any such acceleration of vesting, exercisability, or lapse of restriction, shall be based on actual performance through the date of such Change in Control; and</w:t>
      </w:r>
    </w:p>
    <w:p>
      <w:pPr>
        <w:spacing w:after="0" w:line="184" w:lineRule="exact"/>
        <w:rPr>
          <w:rFonts w:ascii="Times New Roman" w:cs="Times New Roman" w:eastAsia="Times New Roman" w:hAnsi="Times New Roman"/>
          <w:sz w:val="20"/>
          <w:szCs w:val="20"/>
          <w:color w:val="010000"/>
        </w:rPr>
      </w:pPr>
    </w:p>
    <w:p>
      <w:pPr>
        <w:ind w:left="660" w:firstLine="644"/>
        <w:spacing w:after="0" w:line="269" w:lineRule="auto"/>
        <w:tabs>
          <w:tab w:leader="none" w:pos="2053" w:val="left"/>
        </w:tabs>
        <w:numPr>
          <w:ilvl w:val="2"/>
          <w:numId w:val="2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any limitations or reductions as may be necessary to comply with Section 409A of the Code, cancellation of any one or more outstanding Awards and payment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91" w:name="page392"/>
    <w:bookmarkEnd w:id="391"/>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t>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Class B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Class B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Class B Common Stock subject thereto may be canceled and terminated without any payment or consideration therefor).</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Class B Common Stock covered by the Award at such time (less any applicable Exercise Price or Strike Price).</w:t>
      </w:r>
    </w:p>
    <w:p>
      <w:pPr>
        <w:spacing w:after="0" w:line="185" w:lineRule="exact"/>
        <w:rPr>
          <w:sz w:val="20"/>
          <w:szCs w:val="20"/>
          <w:color w:val="auto"/>
        </w:rPr>
      </w:pPr>
    </w:p>
    <w:p>
      <w:pPr>
        <w:jc w:val="both"/>
        <w:ind w:left="80" w:firstLine="657"/>
        <w:spacing w:after="0" w:line="250" w:lineRule="auto"/>
        <w:tabs>
          <w:tab w:leader="none" w:pos="1703" w:val="left"/>
        </w:tabs>
        <w:numPr>
          <w:ilvl w:val="2"/>
          <w:numId w:val="2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Requirements</w:t>
      </w:r>
      <w:r>
        <w:rPr>
          <w:rFonts w:ascii="Times New Roman" w:cs="Times New Roman" w:eastAsia="Times New Roman" w:hAnsi="Times New Roman"/>
          <w:sz w:val="20"/>
          <w:szCs w:val="20"/>
          <w:color w:val="auto"/>
        </w:rPr>
        <w:t>. Prior to any payment or adjustment contemplated under this Section 11, the Committee may require a Participant to (i) represent and warrant as to the unencumbered title to the Participant’s Awards;</w:t>
      </w:r>
    </w:p>
    <w:p>
      <w:pPr>
        <w:spacing w:after="0" w:line="1" w:lineRule="exact"/>
        <w:rPr>
          <w:rFonts w:ascii="Times New Roman" w:cs="Times New Roman" w:eastAsia="Times New Roman" w:hAnsi="Times New Roman"/>
          <w:sz w:val="20"/>
          <w:szCs w:val="20"/>
          <w:color w:val="010000"/>
        </w:rPr>
      </w:pPr>
    </w:p>
    <w:p>
      <w:pPr>
        <w:jc w:val="both"/>
        <w:ind w:left="80" w:firstLine="9"/>
        <w:spacing w:after="0" w:line="252" w:lineRule="auto"/>
        <w:tabs>
          <w:tab w:leader="none" w:pos="375"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w:t>
      </w:r>
    </w:p>
    <w:p>
      <w:pPr>
        <w:ind w:left="440" w:hanging="351"/>
        <w:spacing w:after="0"/>
        <w:tabs>
          <w:tab w:leader="none" w:pos="4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customary transfer documentation as reasonably determined by the Committee.</w:t>
      </w:r>
    </w:p>
    <w:p>
      <w:pPr>
        <w:spacing w:after="0" w:line="193" w:lineRule="exact"/>
        <w:rPr>
          <w:rFonts w:ascii="Times New Roman" w:cs="Times New Roman" w:eastAsia="Times New Roman" w:hAnsi="Times New Roman"/>
          <w:sz w:val="20"/>
          <w:szCs w:val="20"/>
          <w:color w:val="auto"/>
        </w:rPr>
      </w:pPr>
    </w:p>
    <w:p>
      <w:pPr>
        <w:ind w:left="80" w:right="20" w:firstLine="657"/>
        <w:spacing w:after="0" w:line="269" w:lineRule="auto"/>
        <w:tabs>
          <w:tab w:leader="none" w:pos="1444" w:val="left"/>
        </w:tabs>
        <w:numPr>
          <w:ilvl w:val="2"/>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Any adjustment provided under this Section 11 may provide for the elimination of any fractional share that might otherwise become subject to an Award.</w:t>
      </w:r>
    </w:p>
    <w:p>
      <w:pPr>
        <w:spacing w:after="0" w:line="159" w:lineRule="exact"/>
        <w:rPr>
          <w:rFonts w:ascii="Times New Roman" w:cs="Times New Roman" w:eastAsia="Times New Roman" w:hAnsi="Times New Roman"/>
          <w:sz w:val="20"/>
          <w:szCs w:val="20"/>
          <w:color w:val="010000"/>
        </w:rPr>
      </w:pPr>
    </w:p>
    <w:p>
      <w:pPr>
        <w:ind w:left="80" w:right="20" w:firstLine="657"/>
        <w:spacing w:after="0" w:line="269" w:lineRule="auto"/>
        <w:tabs>
          <w:tab w:leader="none" w:pos="1703" w:val="left"/>
        </w:tabs>
        <w:numPr>
          <w:ilvl w:val="2"/>
          <w:numId w:val="2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Any adjustment, substitution, determination of value or other action taken by the Committee under this Section 11 shall be conclusive and binding for all purposes.</w:t>
      </w:r>
    </w:p>
    <w:p>
      <w:pPr>
        <w:spacing w:after="0" w:line="155" w:lineRule="exact"/>
        <w:rPr>
          <w:rFonts w:ascii="Times New Roman" w:cs="Times New Roman" w:eastAsia="Times New Roman" w:hAnsi="Times New Roman"/>
          <w:sz w:val="20"/>
          <w:szCs w:val="20"/>
          <w:color w:val="010000"/>
        </w:rPr>
      </w:pPr>
    </w:p>
    <w:p>
      <w:pPr>
        <w:ind w:left="1300" w:hanging="644"/>
        <w:spacing w:after="0"/>
        <w:tabs>
          <w:tab w:leader="none" w:pos="1300" w:val="left"/>
        </w:tabs>
        <w:numPr>
          <w:ilvl w:val="1"/>
          <w:numId w:val="27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Amendments and Termination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left="80" w:firstLine="657"/>
        <w:spacing w:after="0" w:line="259" w:lineRule="auto"/>
        <w:tabs>
          <w:tab w:leader="none" w:pos="1420" w:val="left"/>
        </w:tabs>
        <w:numPr>
          <w:ilvl w:val="2"/>
          <w:numId w:val="2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 and Termination of the Plan</w:t>
      </w:r>
      <w:r>
        <w:rPr>
          <w:rFonts w:ascii="Times New Roman" w:cs="Times New Roman" w:eastAsia="Times New Roman" w:hAnsi="Times New Roman"/>
          <w:sz w:val="19"/>
          <w:szCs w:val="19"/>
          <w:color w:val="auto"/>
        </w:rPr>
        <w:t xml:space="preserve">. The Board may amend, alter, suspend, discontinue, or terminate the Plan or any portion thereof at any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traded) or for changes in GAAP to new accounting standards; (ii) it would increase the number of securities which may be issued under the Plan (except for increases pursuant to Section 5 or 11 of the Plan), or (iii) it would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92" w:name="page393"/>
    <w:bookmarkEnd w:id="392"/>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modify the requirements for participation in the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this Section 12(a) or the last proviso of Section 12(b) of the Plan without stockholder approval.</w:t>
      </w:r>
    </w:p>
    <w:p>
      <w:pPr>
        <w:spacing w:after="0" w:line="184" w:lineRule="exact"/>
        <w:rPr>
          <w:sz w:val="20"/>
          <w:szCs w:val="20"/>
          <w:color w:val="auto"/>
        </w:rPr>
      </w:pPr>
    </w:p>
    <w:p>
      <w:pPr>
        <w:jc w:val="both"/>
        <w:ind w:firstLine="657"/>
        <w:spacing w:after="0" w:line="241" w:lineRule="auto"/>
        <w:tabs>
          <w:tab w:leader="none" w:pos="1459" w:val="left"/>
        </w:tabs>
        <w:numPr>
          <w:ilvl w:val="1"/>
          <w:numId w:val="2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Amendment of Award Agreements</w:t>
      </w:r>
      <w:r>
        <w:rPr>
          <w:rFonts w:ascii="Times New Roman" w:cs="Times New Roman" w:eastAsia="Times New Roman" w:hAnsi="Times New Roman"/>
          <w:sz w:val="20"/>
          <w:szCs w:val="20"/>
          <w:color w:val="auto"/>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other than pursuant to Section 11,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without stockholder approval, except as otherwise permitted under Section 11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93" w:lineRule="exact"/>
        <w:rPr>
          <w:rFonts w:ascii="Times New Roman" w:cs="Times New Roman" w:eastAsia="Times New Roman" w:hAnsi="Times New Roman"/>
          <w:sz w:val="20"/>
          <w:szCs w:val="20"/>
          <w:color w:val="010000"/>
        </w:rPr>
      </w:pPr>
    </w:p>
    <w:p>
      <w:pPr>
        <w:ind w:left="1220" w:hanging="644"/>
        <w:spacing w:after="0"/>
        <w:tabs>
          <w:tab w:leader="none" w:pos="1220" w:val="left"/>
        </w:tabs>
        <w:numPr>
          <w:ilvl w:val="0"/>
          <w:numId w:val="27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657"/>
        <w:spacing w:after="0" w:line="243" w:lineRule="auto"/>
        <w:tabs>
          <w:tab w:leader="none" w:pos="1583" w:val="left"/>
        </w:tabs>
        <w:numPr>
          <w:ilvl w:val="1"/>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Award Agreements</w:t>
      </w:r>
      <w:r>
        <w:rPr>
          <w:rFonts w:ascii="Times New Roman" w:cs="Times New Roman" w:eastAsia="Times New Roman" w:hAnsi="Times New Roman"/>
          <w:sz w:val="20"/>
          <w:szCs w:val="20"/>
          <w:color w:val="auto"/>
        </w:rPr>
        <w:t>. Each Award (other than an Other Cash-Based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or consulting agreement, a notice, a certificate, or a letter) evidencing the Award. The Committee need not require an Award Agreement to be signed by the Participant or a duly authorized representative of the Company.</w:t>
      </w:r>
    </w:p>
    <w:p>
      <w:pPr>
        <w:spacing w:after="0" w:line="189"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1"/>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Nontransferability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3" w:lineRule="auto"/>
        <w:tabs>
          <w:tab w:leader="none" w:pos="1954" w:val="left"/>
        </w:tabs>
        <w:numPr>
          <w:ilvl w:val="2"/>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Award shall be exercisable only by the Participant to whom such Award was granted during such Participant’s lifetime, or, if permissible under applicable law, by such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designation of a beneficiary shall not constitute an assignment, alienation, pledge, attachment, sale, transfer, or encumbrance.</w:t>
      </w:r>
    </w:p>
    <w:p>
      <w:pPr>
        <w:spacing w:after="0" w:line="189" w:lineRule="exact"/>
        <w:rPr>
          <w:rFonts w:ascii="Times New Roman" w:cs="Times New Roman" w:eastAsia="Times New Roman" w:hAnsi="Times New Roman"/>
          <w:sz w:val="20"/>
          <w:szCs w:val="20"/>
          <w:color w:val="010000"/>
        </w:rPr>
      </w:pPr>
    </w:p>
    <w:p>
      <w:pPr>
        <w:jc w:val="both"/>
        <w:ind w:left="580" w:firstLine="644"/>
        <w:spacing w:after="0" w:line="247" w:lineRule="auto"/>
        <w:tabs>
          <w:tab w:leader="none" w:pos="1879" w:val="left"/>
        </w:tabs>
        <w:numPr>
          <w:ilvl w:val="2"/>
          <w:numId w:val="2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ind w:left="58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any Person who is a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69" w:right="999" w:bottom="1440" w:gutter="0" w:footer="0" w:header="0"/>
        </w:sectPr>
      </w:pPr>
    </w:p>
    <w:bookmarkStart w:id="393" w:name="page394"/>
    <w:bookmarkEnd w:id="393"/>
    <w:p>
      <w:pPr>
        <w:jc w:val="both"/>
        <w:ind w:left="200"/>
        <w:spacing w:after="0" w:line="257" w:lineRule="auto"/>
        <w:rPr>
          <w:sz w:val="20"/>
          <w:szCs w:val="20"/>
          <w:color w:val="auto"/>
        </w:rPr>
      </w:pPr>
      <w:r>
        <w:rPr>
          <w:rFonts w:ascii="Times New Roman" w:cs="Times New Roman" w:eastAsia="Times New Roman" w:hAnsi="Times New Roman"/>
          <w:sz w:val="19"/>
          <w:szCs w:val="19"/>
          <w:color w:val="auto"/>
        </w:rPr>
        <w:t>member” of the Participant, as such term is used in the instructions to Form S-8 under the Securities Act or any successor form of registration statement promulgated by the Securities and Exchange Commission (collectively, the “</w:t>
      </w:r>
      <w:r>
        <w:rPr>
          <w:rFonts w:ascii="Times New Roman" w:cs="Times New Roman" w:eastAsia="Times New Roman" w:hAnsi="Times New Roman"/>
          <w:sz w:val="19"/>
          <w:szCs w:val="19"/>
          <w:b w:val="1"/>
          <w:bCs w:val="1"/>
          <w:u w:val="single" w:color="auto"/>
          <w:color w:val="auto"/>
        </w:rPr>
        <w:t>Immediate Family Members</w:t>
      </w:r>
      <w:r>
        <w:rPr>
          <w:rFonts w:ascii="Times New Roman" w:cs="Times New Roman" w:eastAsia="Times New Roman" w:hAnsi="Times New Roman"/>
          <w:sz w:val="19"/>
          <w:szCs w:val="19"/>
          <w:color w:val="auto"/>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 w:cs="Times New Roman" w:eastAsia="Times New Roman" w:hAnsi="Times New Roman"/>
          <w:sz w:val="19"/>
          <w:szCs w:val="19"/>
          <w:b w:val="1"/>
          <w:bCs w:val="1"/>
          <w:u w:val="single" w:color="auto"/>
          <w:color w:val="auto"/>
        </w:rPr>
        <w:t>Permitted Transferee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76" w:lineRule="exact"/>
        <w:rPr>
          <w:sz w:val="20"/>
          <w:szCs w:val="20"/>
          <w:color w:val="auto"/>
        </w:rPr>
      </w:pPr>
    </w:p>
    <w:p>
      <w:pPr>
        <w:jc w:val="both"/>
        <w:ind w:left="200" w:firstLine="644"/>
        <w:spacing w:after="0" w:line="241" w:lineRule="auto"/>
        <w:tabs>
          <w:tab w:leader="none" w:pos="1491" w:val="left"/>
        </w:tabs>
        <w:numPr>
          <w:ilvl w:val="1"/>
          <w:numId w:val="2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Class B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97" w:lineRule="exact"/>
        <w:rPr>
          <w:rFonts w:ascii="Times New Roman" w:cs="Times New Roman" w:eastAsia="Times New Roman" w:hAnsi="Times New Roman"/>
          <w:sz w:val="20"/>
          <w:szCs w:val="20"/>
          <w:color w:val="010000"/>
        </w:rPr>
      </w:pPr>
    </w:p>
    <w:p>
      <w:pPr>
        <w:ind w:left="940" w:hanging="663"/>
        <w:spacing w:after="0"/>
        <w:tabs>
          <w:tab w:leader="none" w:pos="940" w:val="left"/>
        </w:tabs>
        <w:numPr>
          <w:ilvl w:val="0"/>
          <w:numId w:val="2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Dividends and Dividend Equivalents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200" w:firstLine="644"/>
        <w:spacing w:after="0" w:line="243" w:lineRule="auto"/>
        <w:tabs>
          <w:tab w:leader="none" w:pos="1526" w:val="left"/>
        </w:tabs>
        <w:numPr>
          <w:ilvl w:val="1"/>
          <w:numId w:val="277"/>
        </w:numPr>
        <w:rPr>
          <w:rFonts w:ascii="Times New Roman" w:cs="Times New Roman" w:eastAsia="Times New Roman" w:hAnsi="Times New Roman"/>
          <w:sz w:val="18"/>
          <w:szCs w:val="18"/>
          <w:color w:val="010000"/>
        </w:rPr>
      </w:pPr>
      <w:r>
        <w:rPr>
          <w:rFonts w:ascii="Times New Roman" w:cs="Times New Roman" w:eastAsia="Times New Roman" w:hAnsi="Times New Roman"/>
          <w:sz w:val="20"/>
          <w:szCs w:val="20"/>
          <w:color w:val="auto"/>
        </w:rPr>
        <w:t>The Committee may, in its sole discretion, provide a Participant as part of an Award with dividends, dividend equivalents, or similar payments in respect of Awards, payable in cash, shares of Class B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Class B Common Stock, Restricted Stock or other Awards. Except as may otherwise be permitted under Section 11(a), there shall be no dividend equivalent rights granted in respect of any Option or Stock Appreciation Right.</w:t>
      </w:r>
    </w:p>
    <w:p>
      <w:pPr>
        <w:spacing w:after="0" w:line="189" w:lineRule="exact"/>
        <w:rPr>
          <w:sz w:val="20"/>
          <w:szCs w:val="20"/>
          <w:color w:val="auto"/>
        </w:rPr>
      </w:pPr>
    </w:p>
    <w:p>
      <w:pPr>
        <w:jc w:val="both"/>
        <w:ind w:left="200" w:firstLine="644"/>
        <w:spacing w:after="0" w:line="245" w:lineRule="auto"/>
        <w:tabs>
          <w:tab w:leader="none" w:pos="1580" w:val="left"/>
        </w:tabs>
        <w:numPr>
          <w:ilvl w:val="0"/>
          <w:numId w:val="2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unless otherwise provided in the Award Agreement, any dividend otherwise payable in respect of any share of Restricted Stock that remains subject to vesting conditions at the time of payment of such dividend shall be retained by the Company, remain subject to the same Restricted Period as the share of Restricted Stock to which the dividend relates and shall be delivered (without interest) to the Participant within 15 days following the date on which the Restricted Period lapses (and the right to any such accumulated dividends shall be forfeited upon the forfeiture of the Restricted Stock to which such dividends relate).</w:t>
      </w:r>
    </w:p>
    <w:p>
      <w:pPr>
        <w:spacing w:after="0" w:line="184" w:lineRule="exact"/>
        <w:rPr>
          <w:rFonts w:ascii="Times New Roman" w:cs="Times New Roman" w:eastAsia="Times New Roman" w:hAnsi="Times New Roman"/>
          <w:sz w:val="20"/>
          <w:szCs w:val="20"/>
          <w:color w:val="010000"/>
        </w:rPr>
      </w:pPr>
    </w:p>
    <w:p>
      <w:pPr>
        <w:ind w:left="200" w:firstLine="644"/>
        <w:spacing w:after="0" w:line="269" w:lineRule="auto"/>
        <w:tabs>
          <w:tab w:leader="none" w:pos="1599" w:val="left"/>
        </w:tabs>
        <w:numPr>
          <w:ilvl w:val="0"/>
          <w:numId w:val="2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provided in an Award Agreement, the holder of outstanding Restricted Stock Units shall be entitled to be credited with dividend equivalent payments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394" w:name="page395"/>
    <w:bookmarkEnd w:id="394"/>
    <w:p>
      <w:pPr>
        <w:jc w:val="both"/>
        <w:ind w:left="580"/>
        <w:spacing w:after="0" w:line="245" w:lineRule="auto"/>
        <w:rPr>
          <w:sz w:val="20"/>
          <w:szCs w:val="20"/>
          <w:color w:val="auto"/>
        </w:rPr>
      </w:pPr>
      <w:r>
        <w:rPr>
          <w:rFonts w:ascii="Times New Roman" w:cs="Times New Roman" w:eastAsia="Times New Roman" w:hAnsi="Times New Roman"/>
          <w:sz w:val="20"/>
          <w:szCs w:val="20"/>
          <w:color w:val="auto"/>
        </w:rPr>
        <w:t>payment by the Company of dividends on shares of Class B Common Stock) either in cash or, in the sole discretion of the Committee, in shares of Class B Common Stock having a Fair Market Value equal to the amount of such dividends, which accumulated dividend equivalents (without interest) shall be payable at the same time as the underlying Restricted Stock Units are settled following the date on which the Restricted Period lapses with respect to such Restricted Stock Units, and if such Restricted Stock Units are forfeited, the Participant shall have no right to such dividend equivalent payments (or interest thereon, if applicable).</w:t>
      </w:r>
    </w:p>
    <w:p>
      <w:pPr>
        <w:spacing w:after="0" w:line="184" w:lineRule="exact"/>
        <w:rPr>
          <w:sz w:val="20"/>
          <w:szCs w:val="20"/>
          <w:color w:val="auto"/>
        </w:rPr>
      </w:pPr>
    </w:p>
    <w:p>
      <w:pPr>
        <w:ind w:left="1340" w:hanging="683"/>
        <w:spacing w:after="0"/>
        <w:tabs>
          <w:tab w:leader="none" w:pos="1340" w:val="left"/>
        </w:tabs>
        <w:numPr>
          <w:ilvl w:val="1"/>
          <w:numId w:val="2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6" w:lineRule="auto"/>
        <w:tabs>
          <w:tab w:leader="none" w:pos="2166" w:val="left"/>
        </w:tabs>
        <w:numPr>
          <w:ilvl w:val="2"/>
          <w:numId w:val="2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184" w:lineRule="exact"/>
        <w:rPr>
          <w:rFonts w:ascii="Times New Roman" w:cs="Times New Roman" w:eastAsia="Times New Roman" w:hAnsi="Times New Roman"/>
          <w:sz w:val="20"/>
          <w:szCs w:val="20"/>
          <w:color w:val="010000"/>
        </w:rPr>
      </w:pPr>
    </w:p>
    <w:p>
      <w:pPr>
        <w:jc w:val="both"/>
        <w:ind w:left="580" w:firstLine="644"/>
        <w:spacing w:after="0" w:line="255" w:lineRule="auto"/>
        <w:tabs>
          <w:tab w:leader="none" w:pos="1946" w:val="left"/>
        </w:tabs>
        <w:numPr>
          <w:ilvl w:val="2"/>
          <w:numId w:val="2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Class B Common Stock (which are not subject to any pledge or other security interest) that have been both held by the Participant and vested for at least six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w:t>
      </w:r>
    </w:p>
    <w:p>
      <w:pPr>
        <w:spacing w:after="0" w:line="3" w:lineRule="exact"/>
        <w:rPr>
          <w:rFonts w:ascii="Times New Roman" w:cs="Times New Roman" w:eastAsia="Times New Roman" w:hAnsi="Times New Roman"/>
          <w:sz w:val="19"/>
          <w:szCs w:val="19"/>
          <w:color w:val="010000"/>
        </w:rPr>
      </w:pPr>
    </w:p>
    <w:p>
      <w:pPr>
        <w:jc w:val="both"/>
        <w:ind w:left="580" w:hanging="4"/>
        <w:spacing w:after="0" w:line="241" w:lineRule="auto"/>
        <w:tabs>
          <w:tab w:leader="none" w:pos="89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the Company withhold from the shares of Class B Common Stock otherwise issuable or deliverable to, or that would otherwise be retained by, the Participant upon the grant, exercise, vesting, or settlement of the Award, as applicable, a number of shares of Class B Common Stock with an aggregate Fair Market Value equal to an amount, subject to clause (iii) below, not in excess of such minimum statutorily required withholding liability (or portion thereof).</w:t>
      </w:r>
    </w:p>
    <w:p>
      <w:pPr>
        <w:spacing w:after="0" w:line="186" w:lineRule="exact"/>
        <w:rPr>
          <w:rFonts w:ascii="Times New Roman" w:cs="Times New Roman" w:eastAsia="Times New Roman" w:hAnsi="Times New Roman"/>
          <w:sz w:val="20"/>
          <w:szCs w:val="20"/>
          <w:color w:val="auto"/>
        </w:rPr>
      </w:pPr>
    </w:p>
    <w:p>
      <w:pPr>
        <w:jc w:val="both"/>
        <w:ind w:left="580" w:firstLine="644"/>
        <w:spacing w:after="0" w:line="244" w:lineRule="auto"/>
        <w:tabs>
          <w:tab w:leader="none" w:pos="1884" w:val="left"/>
        </w:tabs>
        <w:numPr>
          <w:ilvl w:val="2"/>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has full discretion to allow Participants to satisfy, in whole or in part, any additional income, employment, and/or other applicable taxes payable by them with respect to an Award by electing to have the Company withhold from the shares of Class B Common Stock otherwise issuable or deliverable to, or that would otherwise be retained by, a Participant upon the grant, exercise, vesting, or settlement of the Award, as applicable, shares of Class B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99" w:lineRule="exact"/>
        <w:rPr>
          <w:rFonts w:ascii="Times New Roman" w:cs="Times New Roman" w:eastAsia="Times New Roman" w:hAnsi="Times New Roman"/>
          <w:sz w:val="20"/>
          <w:szCs w:val="20"/>
          <w:color w:val="auto"/>
        </w:rPr>
      </w:pPr>
    </w:p>
    <w:p>
      <w:pPr>
        <w:jc w:val="both"/>
        <w:ind w:firstLine="657"/>
        <w:spacing w:after="0" w:line="245" w:lineRule="auto"/>
        <w:tabs>
          <w:tab w:leader="none" w:pos="1461" w:val="left"/>
        </w:tabs>
        <w:numPr>
          <w:ilvl w:val="1"/>
          <w:numId w:val="2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184" w:lineRule="exact"/>
        <w:rPr>
          <w:rFonts w:ascii="Times New Roman" w:cs="Times New Roman" w:eastAsia="Times New Roman" w:hAnsi="Times New Roman"/>
          <w:sz w:val="20"/>
          <w:szCs w:val="20"/>
          <w:color w:val="010000"/>
        </w:rPr>
      </w:pPr>
    </w:p>
    <w:p>
      <w:pPr>
        <w:jc w:val="both"/>
        <w:ind w:firstLine="657"/>
        <w:spacing w:after="0" w:line="254" w:lineRule="auto"/>
        <w:tabs>
          <w:tab w:leader="none" w:pos="1493" w:val="left"/>
        </w:tabs>
        <w:numPr>
          <w:ilvl w:val="1"/>
          <w:numId w:val="2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Claim to Awards; No Rights to Continued Employment or Service; Waiver</w:t>
      </w:r>
      <w:r>
        <w:rPr>
          <w:rFonts w:ascii="Times New Roman" w:cs="Times New Roman" w:eastAsia="Times New Roman" w:hAnsi="Times New Roman"/>
          <w:sz w:val="20"/>
          <w:szCs w:val="20"/>
          <w:color w:val="auto"/>
        </w:rPr>
        <w:t>. No employee of any member of the Company Group, or other Person, shall have any claim or right to be granted an Award under the Plan or, having been selected for the grant of an Award, to be selected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95" w:name="page396"/>
    <w:bookmarkEnd w:id="395"/>
    <w:p>
      <w:pPr>
        <w:jc w:val="both"/>
        <w:spacing w:after="0" w:line="241" w:lineRule="auto"/>
        <w:rPr>
          <w:sz w:val="20"/>
          <w:szCs w:val="20"/>
          <w:color w:val="auto"/>
        </w:rPr>
      </w:pPr>
      <w:r>
        <w:rPr>
          <w:rFonts w:ascii="Times New Roman" w:cs="Times New Roman" w:eastAsia="Times New Roman" w:hAnsi="Times New Roman"/>
          <w:sz w:val="20"/>
          <w:szCs w:val="20"/>
          <w:color w:val="auto"/>
        </w:rPr>
        <w:t>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or the board of directors of any Affiliate.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196" w:lineRule="exact"/>
        <w:rPr>
          <w:sz w:val="20"/>
          <w:szCs w:val="20"/>
          <w:color w:val="auto"/>
        </w:rPr>
      </w:pPr>
    </w:p>
    <w:p>
      <w:pPr>
        <w:jc w:val="both"/>
        <w:ind w:firstLine="657"/>
        <w:spacing w:after="0" w:line="249" w:lineRule="auto"/>
        <w:tabs>
          <w:tab w:leader="none" w:pos="1364" w:val="left"/>
        </w:tabs>
        <w:numPr>
          <w:ilvl w:val="0"/>
          <w:numId w:val="2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International Participants</w:t>
      </w:r>
      <w:r>
        <w:rPr>
          <w:rFonts w:ascii="Times New Roman" w:cs="Times New Roman" w:eastAsia="Times New Roman" w:hAnsi="Times New Roman"/>
          <w:sz w:val="20"/>
          <w:szCs w:val="20"/>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spacing w:after="0" w:line="179" w:lineRule="exact"/>
        <w:rPr>
          <w:rFonts w:ascii="Times New Roman" w:cs="Times New Roman" w:eastAsia="Times New Roman" w:hAnsi="Times New Roman"/>
          <w:sz w:val="20"/>
          <w:szCs w:val="20"/>
          <w:color w:val="010000"/>
        </w:rPr>
      </w:pPr>
    </w:p>
    <w:p>
      <w:pPr>
        <w:jc w:val="both"/>
        <w:ind w:firstLine="657"/>
        <w:spacing w:after="0" w:line="243" w:lineRule="auto"/>
        <w:tabs>
          <w:tab w:leader="none" w:pos="1648" w:val="left"/>
        </w:tabs>
        <w:numPr>
          <w:ilvl w:val="0"/>
          <w:numId w:val="2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Designation and Change of Beneficiary</w:t>
      </w:r>
      <w:r>
        <w:rPr>
          <w:rFonts w:ascii="Times New Roman" w:cs="Times New Roman" w:eastAsia="Times New Roman" w:hAnsi="Times New Roman"/>
          <w:sz w:val="20"/>
          <w:szCs w:val="20"/>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designation, or change or revocation thereof, shall be effective unless received by the Committee prior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185" w:lineRule="exact"/>
        <w:rPr>
          <w:rFonts w:ascii="Times New Roman" w:cs="Times New Roman" w:eastAsia="Times New Roman" w:hAnsi="Times New Roman"/>
          <w:sz w:val="20"/>
          <w:szCs w:val="20"/>
          <w:color w:val="010000"/>
        </w:rPr>
      </w:pPr>
    </w:p>
    <w:p>
      <w:pPr>
        <w:jc w:val="both"/>
        <w:ind w:firstLine="657"/>
        <w:spacing w:after="0" w:line="241" w:lineRule="auto"/>
        <w:tabs>
          <w:tab w:leader="none" w:pos="1374" w:val="left"/>
        </w:tabs>
        <w:numPr>
          <w:ilvl w:val="0"/>
          <w:numId w:val="2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For the avoidance of doubt, unless otherwise determined by the Committee or the Board in its sole discretion in accordance Section 4(b) hereof, a leave of absence shall not affect the vesting of a Participant’s outstanding Awards or such Participant’s eligibility to participate in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96" w:name="page397"/>
    <w:bookmarkEnd w:id="396"/>
    <w:p>
      <w:pPr>
        <w:jc w:val="both"/>
        <w:ind w:firstLine="657"/>
        <w:spacing w:after="0" w:line="254" w:lineRule="auto"/>
        <w:tabs>
          <w:tab w:leader="none" w:pos="1653" w:val="left"/>
        </w:tabs>
        <w:numPr>
          <w:ilvl w:val="1"/>
          <w:numId w:val="2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Except as otherwise specifically provided in the Plan or any Award Agreement, no Person shall be entitled to the privileges of ownership in respect of shares of Class B Common Stock which are subject to Awards hereunder until such shares have been issued or delivered to such Person.</w:t>
      </w:r>
    </w:p>
    <w:p>
      <w:pPr>
        <w:spacing w:after="0" w:line="174" w:lineRule="exact"/>
        <w:rPr>
          <w:rFonts w:ascii="Times New Roman" w:cs="Times New Roman" w:eastAsia="Times New Roman" w:hAnsi="Times New Roman"/>
          <w:sz w:val="20"/>
          <w:szCs w:val="20"/>
          <w:color w:val="010000"/>
        </w:rPr>
      </w:pPr>
    </w:p>
    <w:p>
      <w:pPr>
        <w:ind w:left="1340" w:hanging="683"/>
        <w:spacing w:after="0"/>
        <w:tabs>
          <w:tab w:leader="none" w:pos="1340" w:val="left"/>
        </w:tabs>
        <w:numPr>
          <w:ilvl w:val="1"/>
          <w:numId w:val="2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Government and Other Regulations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tabs>
          <w:tab w:leader="none" w:pos="2076" w:val="left"/>
        </w:tabs>
        <w:numPr>
          <w:ilvl w:val="2"/>
          <w:numId w:val="2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 of the Company to settle Awards in shares of Class B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Class B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Class B Common Stock to be offered or sold under the Plan. The Committee shall have the authority to provide that all shares of Class B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and any securities exchange or inter-dealer quotation system on which the securities of the Company are listed or quoted, and any other applicable Federal, state, local, or non-U.S. laws, rules, regulations, and other requirements, and, without limiting the generality of Section 7 of the Plan, the Committee may cause a legend or legends to be put on certificates representing shares of Class B Common Stock or other securities of any member of the Company Group issued under the Plan to make appropriate reference to such restrictions or may cause such Class B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add, at any time,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204" w:lineRule="exact"/>
        <w:rPr>
          <w:rFonts w:ascii="Times New Roman" w:cs="Times New Roman" w:eastAsia="Times New Roman" w:hAnsi="Times New Roman"/>
          <w:sz w:val="20"/>
          <w:szCs w:val="20"/>
          <w:color w:val="010000"/>
        </w:rPr>
      </w:pPr>
    </w:p>
    <w:p>
      <w:pPr>
        <w:jc w:val="both"/>
        <w:ind w:left="580" w:firstLine="644"/>
        <w:spacing w:after="0" w:line="255" w:lineRule="auto"/>
        <w:tabs>
          <w:tab w:leader="none" w:pos="1933" w:val="left"/>
        </w:tabs>
        <w:numPr>
          <w:ilvl w:val="2"/>
          <w:numId w:val="2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Committee may cancel an Award or any portion thereof if it determines, in its sole discretion, that legal or contractual restrictions and/or blockage and/or other market considerations would make the Company’s acquisition of shares of Class B Common Stock from the public markets, the Company’s issuance of Class B Common Stock to the Participant, the Participant’s acquisition of Class B Common Stock from the Company, and/or the Participant’s sale of Class B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w:t>
      </w:r>
    </w:p>
    <w:p>
      <w:pPr>
        <w:spacing w:after="0" w:line="3" w:lineRule="exact"/>
        <w:rPr>
          <w:rFonts w:ascii="Times New Roman" w:cs="Times New Roman" w:eastAsia="Times New Roman" w:hAnsi="Times New Roman"/>
          <w:sz w:val="19"/>
          <w:szCs w:val="19"/>
          <w:color w:val="010000"/>
        </w:rPr>
      </w:pPr>
    </w:p>
    <w:p>
      <w:pPr>
        <w:jc w:val="both"/>
        <w:ind w:left="580" w:firstLine="67"/>
        <w:spacing w:after="0" w:line="241" w:lineRule="auto"/>
        <w:tabs>
          <w:tab w:leader="none" w:pos="995"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Participant an amount equal to the excess of (I) the aggregate Fair Market Value of the shares of Class B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Class B Common Stock (in the case of any other Award), with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97" w:name="page398"/>
    <w:bookmarkEnd w:id="397"/>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being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pacing w:after="0" w:line="185" w:lineRule="exact"/>
        <w:rPr>
          <w:sz w:val="20"/>
          <w:szCs w:val="20"/>
          <w:color w:val="auto"/>
        </w:rPr>
      </w:pPr>
    </w:p>
    <w:p>
      <w:pPr>
        <w:jc w:val="both"/>
        <w:ind w:firstLine="657"/>
        <w:spacing w:after="0" w:line="243" w:lineRule="auto"/>
        <w:tabs>
          <w:tab w:leader="none" w:pos="1343"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Section 83(b) Elections Without Consent of Company</w:t>
      </w:r>
      <w:r>
        <w:rPr>
          <w:rFonts w:ascii="Times New Roman" w:cs="Times New Roman" w:eastAsia="Times New Roman" w:hAnsi="Times New Roman"/>
          <w:sz w:val="20"/>
          <w:szCs w:val="20"/>
          <w:color w:val="auto"/>
        </w:rPr>
        <w:t>. No election under Section 83(b) of the Code or under a similar provision of law may be made unless expressly permitted by the terms of the applicable Award Agreement or by action of the Committee (or its designee in accordance with Section 4(c) of the Plan) in writing prior to the making of such election. If a Participant, in connection with the acquisition of shares of Class B Common Stock under the Plan or otherwise, is expressly permitted to make such election and the Participant makes the election, the Participant shall notify the Company of such election within ten days of filing notice of the election with the Internal Revenue Service or other governmental authority, in addition to any filing and notification required pursuant to Section 83(b) of the Code or other applicable provision.</w:t>
      </w:r>
    </w:p>
    <w:p>
      <w:pPr>
        <w:spacing w:after="0" w:line="189" w:lineRule="exact"/>
        <w:rPr>
          <w:rFonts w:ascii="Times New Roman" w:cs="Times New Roman" w:eastAsia="Times New Roman" w:hAnsi="Times New Roman"/>
          <w:sz w:val="20"/>
          <w:szCs w:val="20"/>
          <w:color w:val="010000"/>
        </w:rPr>
      </w:pPr>
    </w:p>
    <w:p>
      <w:pPr>
        <w:jc w:val="both"/>
        <w:ind w:firstLine="657"/>
        <w:spacing w:after="0" w:line="244" w:lineRule="auto"/>
        <w:tabs>
          <w:tab w:leader="none" w:pos="1374"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 to Persons Other Than Participants</w:t>
      </w:r>
      <w:r>
        <w:rPr>
          <w:rFonts w:ascii="Times New Roman" w:cs="Times New Roman" w:eastAsia="Times New Roman" w:hAnsi="Times New Roman"/>
          <w:sz w:val="20"/>
          <w:szCs w:val="20"/>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5" w:lineRule="exact"/>
        <w:rPr>
          <w:rFonts w:ascii="Times New Roman" w:cs="Times New Roman" w:eastAsia="Times New Roman" w:hAnsi="Times New Roman"/>
          <w:sz w:val="20"/>
          <w:szCs w:val="20"/>
          <w:color w:val="010000"/>
        </w:rPr>
      </w:pPr>
    </w:p>
    <w:p>
      <w:pPr>
        <w:jc w:val="both"/>
        <w:ind w:firstLine="657"/>
        <w:spacing w:after="0" w:line="246" w:lineRule="auto"/>
        <w:tabs>
          <w:tab w:leader="none" w:pos="1378"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Nonexclusivity of the Plan</w:t>
      </w:r>
      <w:r>
        <w:rPr>
          <w:rFonts w:ascii="Times New Roman" w:cs="Times New Roman" w:eastAsia="Times New Roman" w:hAnsi="Times New Roman"/>
          <w:sz w:val="20"/>
          <w:szCs w:val="20"/>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equity-based awards otherwise than under the Plan, and such arrangements may be either applicable generally or only in specific cases.</w:t>
      </w:r>
    </w:p>
    <w:p>
      <w:pPr>
        <w:spacing w:after="0" w:line="184" w:lineRule="exact"/>
        <w:rPr>
          <w:rFonts w:ascii="Times New Roman" w:cs="Times New Roman" w:eastAsia="Times New Roman" w:hAnsi="Times New Roman"/>
          <w:sz w:val="20"/>
          <w:szCs w:val="20"/>
          <w:color w:val="010000"/>
        </w:rPr>
      </w:pPr>
    </w:p>
    <w:p>
      <w:pPr>
        <w:jc w:val="both"/>
        <w:ind w:firstLine="657"/>
        <w:spacing w:after="0" w:line="243" w:lineRule="auto"/>
        <w:tabs>
          <w:tab w:leader="none" w:pos="1351"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Trust or Fund Created</w:t>
      </w:r>
      <w:r>
        <w:rPr>
          <w:rFonts w:ascii="Times New Roman" w:cs="Times New Roman" w:eastAsia="Times New Roman" w:hAnsi="Times New Roman"/>
          <w:sz w:val="20"/>
          <w:szCs w:val="20"/>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85" w:lineRule="exact"/>
        <w:rPr>
          <w:rFonts w:ascii="Times New Roman" w:cs="Times New Roman" w:eastAsia="Times New Roman" w:hAnsi="Times New Roman"/>
          <w:sz w:val="20"/>
          <w:szCs w:val="20"/>
          <w:color w:val="010000"/>
        </w:rPr>
      </w:pPr>
    </w:p>
    <w:p>
      <w:pPr>
        <w:jc w:val="both"/>
        <w:ind w:firstLine="657"/>
        <w:spacing w:after="0" w:line="246" w:lineRule="auto"/>
        <w:tabs>
          <w:tab w:leader="none" w:pos="1540"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Reliance on Reports</w:t>
      </w:r>
      <w:r>
        <w:rPr>
          <w:rFonts w:ascii="Times New Roman" w:cs="Times New Roman" w:eastAsia="Times New Roman" w:hAnsi="Times New Roman"/>
          <w:sz w:val="20"/>
          <w:szCs w:val="20"/>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184" w:lineRule="exact"/>
        <w:rPr>
          <w:rFonts w:ascii="Times New Roman" w:cs="Times New Roman" w:eastAsia="Times New Roman" w:hAnsi="Times New Roman"/>
          <w:sz w:val="20"/>
          <w:szCs w:val="20"/>
          <w:color w:val="010000"/>
        </w:rPr>
      </w:pPr>
    </w:p>
    <w:p>
      <w:pPr>
        <w:ind w:right="20" w:firstLine="657"/>
        <w:spacing w:after="0" w:line="269" w:lineRule="auto"/>
        <w:tabs>
          <w:tab w:leader="none" w:pos="1337" w:val="left"/>
        </w:tabs>
        <w:numPr>
          <w:ilvl w:val="0"/>
          <w:numId w:val="2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shall be taken into account in determining any benefits under any pension, retirement, profit sharing, group insurance, or 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60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20"/>
          <w:szCs w:val="20"/>
          <w:color w:val="auto"/>
        </w:rPr>
        <w:t>plan of the Company except as otherwise specifically provided in such other plan or as required by applicable law.</w:t>
      </w:r>
    </w:p>
    <w:p>
      <w:pPr>
        <w:spacing w:after="0" w:line="216" w:lineRule="exact"/>
        <w:rPr>
          <w:sz w:val="20"/>
          <w:szCs w:val="20"/>
          <w:color w:val="auto"/>
        </w:rPr>
      </w:pPr>
    </w:p>
    <w:p>
      <w:pPr>
        <w:jc w:val="both"/>
        <w:ind w:firstLine="657"/>
        <w:spacing w:after="0" w:line="263" w:lineRule="auto"/>
        <w:tabs>
          <w:tab w:leader="none" w:pos="1345" w:val="left"/>
        </w:tabs>
        <w:numPr>
          <w:ilvl w:val="0"/>
          <w:numId w:val="2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66" w:lineRule="exact"/>
        <w:rPr>
          <w:rFonts w:ascii="Times New Roman" w:cs="Times New Roman" w:eastAsia="Times New Roman" w:hAnsi="Times New Roman"/>
          <w:sz w:val="19"/>
          <w:szCs w:val="19"/>
          <w:color w:val="010000"/>
        </w:rPr>
      </w:pPr>
    </w:p>
    <w:p>
      <w:pPr>
        <w:jc w:val="both"/>
        <w:ind w:firstLine="657"/>
        <w:spacing w:after="0" w:line="244" w:lineRule="auto"/>
        <w:tabs>
          <w:tab w:leader="none" w:pos="1302" w:val="left"/>
        </w:tabs>
        <w:numPr>
          <w:ilvl w:val="0"/>
          <w:numId w:val="2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85" w:lineRule="exact"/>
        <w:rPr>
          <w:rFonts w:ascii="Times New Roman" w:cs="Times New Roman" w:eastAsia="Times New Roman" w:hAnsi="Times New Roman"/>
          <w:sz w:val="20"/>
          <w:szCs w:val="20"/>
          <w:color w:val="010000"/>
        </w:rPr>
      </w:pPr>
    </w:p>
    <w:p>
      <w:pPr>
        <w:jc w:val="both"/>
        <w:ind w:firstLine="657"/>
        <w:spacing w:after="0" w:line="274" w:lineRule="auto"/>
        <w:tabs>
          <w:tab w:leader="none" w:pos="1343" w:val="left"/>
        </w:tabs>
        <w:numPr>
          <w:ilvl w:val="0"/>
          <w:numId w:val="2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Obligations Binding on Successors</w:t>
      </w:r>
      <w:r>
        <w:rPr>
          <w:rFonts w:ascii="Times New Roman" w:cs="Times New Roman" w:eastAsia="Times New Roman" w:hAnsi="Times New Roman"/>
          <w:sz w:val="19"/>
          <w:szCs w:val="19"/>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56" w:lineRule="exact"/>
        <w:rPr>
          <w:rFonts w:ascii="Times New Roman" w:cs="Times New Roman" w:eastAsia="Times New Roman" w:hAnsi="Times New Roman"/>
          <w:sz w:val="19"/>
          <w:szCs w:val="19"/>
          <w:color w:val="010000"/>
        </w:rPr>
      </w:pPr>
    </w:p>
    <w:p>
      <w:pPr>
        <w:ind w:left="1340" w:hanging="683"/>
        <w:spacing w:after="0"/>
        <w:tabs>
          <w:tab w:leader="none" w:pos="1340" w:val="left"/>
        </w:tabs>
        <w:numPr>
          <w:ilvl w:val="0"/>
          <w:numId w:val="2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010000"/>
        </w:rPr>
      </w:pPr>
    </w:p>
    <w:p>
      <w:pPr>
        <w:jc w:val="both"/>
        <w:ind w:left="580" w:firstLine="644"/>
        <w:spacing w:after="0" w:line="242" w:lineRule="auto"/>
        <w:tabs>
          <w:tab w:leader="none" w:pos="2004" w:val="left"/>
        </w:tabs>
        <w:numPr>
          <w:ilvl w:val="1"/>
          <w:numId w:val="2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87" w:lineRule="exact"/>
        <w:rPr>
          <w:rFonts w:ascii="Times New Roman" w:cs="Times New Roman" w:eastAsia="Times New Roman" w:hAnsi="Times New Roman"/>
          <w:sz w:val="20"/>
          <w:szCs w:val="20"/>
          <w:color w:val="010000"/>
        </w:rPr>
      </w:pPr>
    </w:p>
    <w:p>
      <w:pPr>
        <w:jc w:val="both"/>
        <w:ind w:left="580" w:firstLine="644"/>
        <w:spacing w:after="0" w:line="244" w:lineRule="auto"/>
        <w:tabs>
          <w:tab w:leader="none" w:pos="2041" w:val="left"/>
        </w:tabs>
        <w:numPr>
          <w:ilvl w:val="1"/>
          <w:numId w:val="2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date of the Participant’s death. Following any applicable six-month delay, all such delayed payments will be paid in a single lump sum on the earliest date permitted under Section 409A of the Code that is also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399" w:name="page400"/>
    <w:bookmarkEnd w:id="399"/>
    <w:p>
      <w:pPr>
        <w:jc w:val="both"/>
        <w:ind w:left="580" w:firstLine="644"/>
        <w:spacing w:after="0" w:line="259" w:lineRule="auto"/>
        <w:tabs>
          <w:tab w:leader="none" w:pos="1884" w:val="left"/>
        </w:tabs>
        <w:numPr>
          <w:ilvl w:val="1"/>
          <w:numId w:val="2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72" w:lineRule="exact"/>
        <w:rPr>
          <w:rFonts w:ascii="Times New Roman" w:cs="Times New Roman" w:eastAsia="Times New Roman" w:hAnsi="Times New Roman"/>
          <w:sz w:val="19"/>
          <w:szCs w:val="19"/>
          <w:color w:val="010000"/>
        </w:rPr>
      </w:pPr>
    </w:p>
    <w:p>
      <w:pPr>
        <w:jc w:val="both"/>
        <w:ind w:firstLine="657"/>
        <w:spacing w:after="0" w:line="244" w:lineRule="auto"/>
        <w:tabs>
          <w:tab w:leader="none" w:pos="1378" w:val="left"/>
        </w:tabs>
        <w:numPr>
          <w:ilvl w:val="0"/>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Clawback/Repayment</w:t>
      </w:r>
      <w:r>
        <w:rPr>
          <w:rFonts w:ascii="Times New Roman" w:cs="Times New Roman" w:eastAsia="Times New Roman" w:hAnsi="Times New Roman"/>
          <w:sz w:val="20"/>
          <w:szCs w:val="20"/>
          <w:color w:val="auto"/>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85" w:lineRule="exact"/>
        <w:rPr>
          <w:rFonts w:ascii="Times New Roman" w:cs="Times New Roman" w:eastAsia="Times New Roman" w:hAnsi="Times New Roman"/>
          <w:sz w:val="20"/>
          <w:szCs w:val="20"/>
          <w:color w:val="010000"/>
        </w:rPr>
      </w:pPr>
    </w:p>
    <w:p>
      <w:pPr>
        <w:jc w:val="both"/>
        <w:ind w:firstLine="657"/>
        <w:spacing w:after="0" w:line="254" w:lineRule="auto"/>
        <w:tabs>
          <w:tab w:leader="none" w:pos="1507" w:val="left"/>
        </w:tabs>
        <w:numPr>
          <w:ilvl w:val="0"/>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Detrimental Activity</w:t>
      </w:r>
      <w:r>
        <w:rPr>
          <w:rFonts w:ascii="Times New Roman" w:cs="Times New Roman" w:eastAsia="Times New Roman" w:hAnsi="Times New Roman"/>
          <w:sz w:val="20"/>
          <w:szCs w:val="20"/>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174" w:lineRule="exact"/>
        <w:rPr>
          <w:rFonts w:ascii="Times New Roman" w:cs="Times New Roman" w:eastAsia="Times New Roman" w:hAnsi="Times New Roman"/>
          <w:sz w:val="20"/>
          <w:szCs w:val="20"/>
          <w:color w:val="010000"/>
        </w:rPr>
      </w:pPr>
    </w:p>
    <w:p>
      <w:pPr>
        <w:ind w:left="1900" w:hanging="676"/>
        <w:spacing w:after="0"/>
        <w:tabs>
          <w:tab w:leader="none" w:pos="1900" w:val="left"/>
        </w:tabs>
        <w:numPr>
          <w:ilvl w:val="1"/>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cancellation of any or all of such Participant’s outstanding Awards; or</w:t>
      </w:r>
    </w:p>
    <w:p>
      <w:pPr>
        <w:spacing w:after="0" w:line="215" w:lineRule="exact"/>
        <w:rPr>
          <w:rFonts w:ascii="Times New Roman" w:cs="Times New Roman" w:eastAsia="Times New Roman" w:hAnsi="Times New Roman"/>
          <w:sz w:val="20"/>
          <w:szCs w:val="20"/>
          <w:color w:val="010000"/>
        </w:rPr>
      </w:pPr>
    </w:p>
    <w:p>
      <w:pPr>
        <w:ind w:left="580" w:firstLine="644"/>
        <w:spacing w:after="0" w:line="269" w:lineRule="auto"/>
        <w:tabs>
          <w:tab w:leader="none" w:pos="2212" w:val="left"/>
        </w:tabs>
        <w:numPr>
          <w:ilvl w:val="1"/>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forfeiture by the Participant of any gain realized on the vesting or exercise of Awards, and repayment of any such gain promptly to the Company.</w:t>
      </w:r>
    </w:p>
    <w:p>
      <w:pPr>
        <w:spacing w:after="0" w:line="159" w:lineRule="exact"/>
        <w:rPr>
          <w:rFonts w:ascii="Times New Roman" w:cs="Times New Roman" w:eastAsia="Times New Roman" w:hAnsi="Times New Roman"/>
          <w:sz w:val="20"/>
          <w:szCs w:val="20"/>
          <w:color w:val="010000"/>
        </w:rPr>
      </w:pPr>
    </w:p>
    <w:p>
      <w:pPr>
        <w:jc w:val="both"/>
        <w:ind w:firstLine="657"/>
        <w:spacing w:after="0" w:line="242" w:lineRule="auto"/>
        <w:tabs>
          <w:tab w:leader="none" w:pos="1351" w:val="left"/>
        </w:tabs>
        <w:numPr>
          <w:ilvl w:val="0"/>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Right of Offset</w:t>
      </w:r>
      <w:r>
        <w:rPr>
          <w:rFonts w:ascii="Times New Roman" w:cs="Times New Roman" w:eastAsia="Times New Roman" w:hAnsi="Times New Roman"/>
          <w:sz w:val="20"/>
          <w:szCs w:val="20"/>
          <w:color w:val="auto"/>
        </w:rPr>
        <w:t>. The Company will have the right to offset against its obligation to deliver shares of Class B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Class B Common Stock (or other property or cash) under the Plan or any Award Agreement if such offset could subject the Participant to the additional tax imposed under Section 409A of the Code in respect of an outstanding Award.</w:t>
      </w:r>
    </w:p>
    <w:p>
      <w:pPr>
        <w:spacing w:after="0" w:line="192" w:lineRule="exact"/>
        <w:rPr>
          <w:rFonts w:ascii="Times New Roman" w:cs="Times New Roman" w:eastAsia="Times New Roman" w:hAnsi="Times New Roman"/>
          <w:sz w:val="20"/>
          <w:szCs w:val="20"/>
          <w:color w:val="010000"/>
        </w:rPr>
      </w:pPr>
    </w:p>
    <w:p>
      <w:pPr>
        <w:jc w:val="both"/>
        <w:ind w:firstLine="657"/>
        <w:spacing w:after="0" w:line="254" w:lineRule="auto"/>
        <w:tabs>
          <w:tab w:leader="none" w:pos="1432" w:val="left"/>
        </w:tabs>
        <w:numPr>
          <w:ilvl w:val="0"/>
          <w:numId w:val="2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Expenses; Titles and Headings</w:t>
      </w:r>
      <w:r>
        <w:rPr>
          <w:rFonts w:ascii="Times New Roman" w:cs="Times New Roman" w:eastAsia="Times New Roman" w:hAnsi="Times New Roman"/>
          <w:sz w:val="20"/>
          <w:szCs w:val="20"/>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356870</wp:posOffset>
            </wp:positionV>
            <wp:extent cx="6292215" cy="254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873" w:right="99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162560</wp:posOffset>
            </wp:positionV>
            <wp:extent cx="1602740" cy="3943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6">
                      <a:extLst>
                        <a:ext uri="{28A0092B-C50C-407E-A947-70E740481C1C}"/>
                      </a:extLst>
                    </a:blip>
                    <a:srcRect/>
                    <a:stretch>
                      <a:fillRect/>
                    </a:stretch>
                  </pic:blipFill>
                  <pic:spPr bwMode="auto">
                    <a:xfrm>
                      <a:off x="0" y="0"/>
                      <a:ext cx="16027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BENTLEY SYSTEMS, INCORPORATED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EMPLOYEE STOCK PURCHASE PLAN</w:t>
      </w:r>
    </w:p>
    <w:p>
      <w:pPr>
        <w:spacing w:after="0" w:line="190" w:lineRule="exact"/>
        <w:rPr>
          <w:sz w:val="20"/>
          <w:szCs w:val="20"/>
          <w:color w:val="auto"/>
        </w:rPr>
      </w:pPr>
    </w:p>
    <w:p>
      <w:pPr>
        <w:jc w:val="both"/>
        <w:ind w:firstLine="656"/>
        <w:spacing w:after="0" w:line="244" w:lineRule="auto"/>
        <w:tabs>
          <w:tab w:leader="none" w:pos="1397"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of the Global ESPP</w:t>
      </w:r>
      <w:r>
        <w:rPr>
          <w:rFonts w:ascii="Times New Roman" w:cs="Times New Roman" w:eastAsia="Times New Roman" w:hAnsi="Times New Roman"/>
          <w:sz w:val="20"/>
          <w:szCs w:val="20"/>
          <w:color w:val="auto"/>
        </w:rPr>
        <w:t>. The purpose of the Global ESPP is to provide an opportunity for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Company and its Participating Companies to purchase Common Stock at a discount through voluntary Contributions, thereby attracting, retaining and rewarding such persons and strengthening the mutuality of interest between such persons and the Company’s stockholders. The Company intends for Offerings under the Global ESPP to qualify as an “employee stock purchase plan” under Code Section 423 (each, a “</w:t>
      </w:r>
      <w:r>
        <w:rPr>
          <w:rFonts w:ascii="Times New Roman" w:cs="Times New Roman" w:eastAsia="Times New Roman" w:hAnsi="Times New Roman"/>
          <w:sz w:val="20"/>
          <w:szCs w:val="20"/>
          <w:b w:val="1"/>
          <w:bCs w:val="1"/>
          <w:u w:val="single" w:color="auto"/>
          <w:color w:val="auto"/>
        </w:rPr>
        <w:t>Section 423 Offering</w:t>
      </w:r>
      <w:r>
        <w:rPr>
          <w:rFonts w:ascii="Times New Roman" w:cs="Times New Roman" w:eastAsia="Times New Roman" w:hAnsi="Times New Roman"/>
          <w:sz w:val="20"/>
          <w:szCs w:val="20"/>
          <w:color w:val="auto"/>
        </w:rPr>
        <w:t>”); provided, however, that the Committee may also authorize the grant of rights under Offerings of the Global ESPP that are not intended to comply with the requirements of Code Section 423 , pursuant to any rules, procedures, agreements, appendices, or sub-plans adopted by the Committee for such purpose (each, a “</w:t>
      </w:r>
      <w:r>
        <w:rPr>
          <w:rFonts w:ascii="Times New Roman" w:cs="Times New Roman" w:eastAsia="Times New Roman" w:hAnsi="Times New Roman"/>
          <w:sz w:val="20"/>
          <w:szCs w:val="20"/>
          <w:b w:val="1"/>
          <w:bCs w:val="1"/>
          <w:u w:val="single" w:color="auto"/>
          <w:color w:val="auto"/>
        </w:rPr>
        <w:t>Non-Section 423 Offering</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2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1304"/>
        <w:spacing w:after="0" w:line="250" w:lineRule="auto"/>
        <w:tabs>
          <w:tab w:leader="none" w:pos="208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Administrator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subject to the rules and interpretive determinations promulgated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any officer(s) or employee(s) of the Company to whom the Committee has delegated the authority to handle the operation and administration of the Global ESPP. The Administrator also shall include any third-party vendor or broker/administrator hired by the Committee to assist with the day-to-day operation and administration of the Global ESPP.</w:t>
      </w:r>
    </w:p>
    <w:p>
      <w:pPr>
        <w:spacing w:after="0" w:line="175" w:lineRule="exact"/>
        <w:rPr>
          <w:rFonts w:ascii="Times New Roman" w:cs="Times New Roman" w:eastAsia="Times New Roman" w:hAnsi="Times New Roman"/>
          <w:sz w:val="20"/>
          <w:szCs w:val="20"/>
          <w:color w:val="auto"/>
        </w:rPr>
      </w:pPr>
    </w:p>
    <w:p>
      <w:pPr>
        <w:jc w:val="both"/>
        <w:ind w:firstLine="1304"/>
        <w:spacing w:after="0" w:line="247" w:lineRule="auto"/>
        <w:tabs>
          <w:tab w:leader="none" w:pos="2201"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Person that directly or indirectly controls, is controlled by, or is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80" w:lineRule="exact"/>
        <w:rPr>
          <w:rFonts w:ascii="Times New Roman" w:cs="Times New Roman" w:eastAsia="Times New Roman" w:hAnsi="Times New Roman"/>
          <w:sz w:val="20"/>
          <w:szCs w:val="20"/>
          <w:color w:val="auto"/>
        </w:rPr>
      </w:pPr>
    </w:p>
    <w:p>
      <w:pPr>
        <w:jc w:val="both"/>
        <w:ind w:firstLine="1304"/>
        <w:spacing w:after="0" w:line="250" w:lineRule="auto"/>
        <w:tabs>
          <w:tab w:leader="none" w:pos="2069"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requirements relating to the administration of equity-based awards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state corporate laws, United States federal and state securities laws, the Code, the rules of any stock exchange or quotation system on which the Common Stock is listed or quoted and the applicable laws of any non-U.S. jurisdiction where rights are, or will be, granted under the Global ESPP.</w:t>
      </w:r>
    </w:p>
    <w:p>
      <w:pPr>
        <w:spacing w:after="0" w:line="175" w:lineRule="exact"/>
        <w:rPr>
          <w:rFonts w:ascii="Times New Roman" w:cs="Times New Roman" w:eastAsia="Times New Roman" w:hAnsi="Times New Roman"/>
          <w:sz w:val="20"/>
          <w:szCs w:val="20"/>
          <w:color w:val="auto"/>
        </w:rPr>
      </w:pPr>
    </w:p>
    <w:p>
      <w:pPr>
        <w:ind w:left="1980" w:hanging="676"/>
        <w:spacing w:after="0"/>
        <w:tabs>
          <w:tab w:leader="none" w:pos="198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Board of Directors of the Company.</w:t>
      </w:r>
    </w:p>
    <w:p>
      <w:pPr>
        <w:spacing w:after="0" w:line="215" w:lineRule="exact"/>
        <w:rPr>
          <w:rFonts w:ascii="Times New Roman" w:cs="Times New Roman" w:eastAsia="Times New Roman" w:hAnsi="Times New Roman"/>
          <w:sz w:val="20"/>
          <w:szCs w:val="20"/>
          <w:color w:val="auto"/>
        </w:rPr>
      </w:pPr>
    </w:p>
    <w:p>
      <w:pPr>
        <w:ind w:firstLine="1304"/>
        <w:spacing w:after="0" w:line="273" w:lineRule="auto"/>
        <w:tabs>
          <w:tab w:leader="none" w:pos="235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same meaning as reflected in the Bentley Systems,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2020 Omnibus Incentive Plan.</w:t>
      </w:r>
    </w:p>
    <w:p>
      <w:pPr>
        <w:spacing w:after="0" w:line="151" w:lineRule="exact"/>
        <w:rPr>
          <w:rFonts w:ascii="Times New Roman" w:cs="Times New Roman" w:eastAsia="Times New Roman" w:hAnsi="Times New Roman"/>
          <w:sz w:val="20"/>
          <w:szCs w:val="20"/>
          <w:color w:val="auto"/>
        </w:rPr>
      </w:pPr>
    </w:p>
    <w:p>
      <w:pPr>
        <w:jc w:val="both"/>
        <w:ind w:left="80" w:firstLine="1224"/>
        <w:spacing w:after="0" w:line="253" w:lineRule="auto"/>
        <w:tabs>
          <w:tab w:leader="none" w:pos="2089"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U.S. Internal Revenue Code of 1986, as amended, and any successor thereto.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References in the Global ESPP to any section shall be deemed to include any regulations or other interpretative guidance</w:t>
      </w:r>
    </w:p>
    <w:p>
      <w:pPr>
        <w:spacing w:after="0"/>
        <w:rPr>
          <w:sz w:val="20"/>
          <w:szCs w:val="20"/>
          <w:color w:val="auto"/>
        </w:rPr>
      </w:pPr>
      <w:r>
        <w:rPr>
          <w:rFonts w:ascii="Times New Roman" w:cs="Times New Roman" w:eastAsia="Times New Roman" w:hAnsi="Times New Roman"/>
          <w:sz w:val="20"/>
          <w:szCs w:val="20"/>
          <w:color w:val="auto"/>
        </w:rPr>
        <w:t>under such section, and any amendments or successor provisions to such section, regulations, or guidance.</w:t>
      </w:r>
    </w:p>
    <w:p>
      <w:pPr>
        <w:spacing w:after="0" w:line="190" w:lineRule="exact"/>
        <w:rPr>
          <w:sz w:val="20"/>
          <w:szCs w:val="20"/>
          <w:color w:val="auto"/>
        </w:rPr>
      </w:pPr>
    </w:p>
    <w:p>
      <w:pPr>
        <w:ind w:left="1980" w:hanging="676"/>
        <w:spacing w:after="0"/>
        <w:tabs>
          <w:tab w:leader="none" w:pos="19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Committee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Board or any properly delegated committee or subcommittee thereof.</w:t>
      </w:r>
    </w:p>
    <w:p>
      <w:pPr>
        <w:spacing w:after="0" w:line="215" w:lineRule="exact"/>
        <w:rPr>
          <w:rFonts w:ascii="Times New Roman" w:cs="Times New Roman" w:eastAsia="Times New Roman" w:hAnsi="Times New Roman"/>
          <w:sz w:val="20"/>
          <w:szCs w:val="20"/>
          <w:color w:val="auto"/>
        </w:rPr>
      </w:pPr>
    </w:p>
    <w:p>
      <w:pPr>
        <w:ind w:left="1980" w:hanging="676"/>
        <w:spacing w:after="0"/>
        <w:tabs>
          <w:tab w:leader="none" w:pos="19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Class B common stock of the Company,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1054100</wp:posOffset>
            </wp:positionV>
            <wp:extent cx="6292215" cy="2603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2" w:right="999" w:bottom="1440" w:gutter="0" w:footer="0" w:header="0"/>
        </w:sectPr>
      </w:pPr>
    </w:p>
    <w:bookmarkStart w:id="401" w:name="page402"/>
    <w:bookmarkEnd w:id="401"/>
    <w:p>
      <w:pPr>
        <w:ind w:firstLine="1304"/>
        <w:spacing w:after="0" w:line="273" w:lineRule="auto"/>
        <w:tabs>
          <w:tab w:leader="none" w:pos="200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Bentley Systems, Incorporated, a Delaware corporation, or any successor to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business that adopts the Global ESPP.</w:t>
      </w:r>
    </w:p>
    <w:p>
      <w:pPr>
        <w:spacing w:after="0" w:line="151" w:lineRule="exact"/>
        <w:rPr>
          <w:rFonts w:ascii="Times New Roman" w:cs="Times New Roman" w:eastAsia="Times New Roman" w:hAnsi="Times New Roman"/>
          <w:sz w:val="20"/>
          <w:szCs w:val="20"/>
          <w:color w:val="auto"/>
        </w:rPr>
      </w:pPr>
    </w:p>
    <w:p>
      <w:pPr>
        <w:ind w:left="1980" w:hanging="676"/>
        <w:spacing w:after="0"/>
        <w:tabs>
          <w:tab w:leader="none" w:pos="19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 Group</w:t>
      </w:r>
      <w:r>
        <w:rPr>
          <w:rFonts w:ascii="Times New Roman" w:cs="Times New Roman" w:eastAsia="Times New Roman" w:hAnsi="Times New Roman"/>
          <w:sz w:val="20"/>
          <w:szCs w:val="20"/>
          <w:color w:val="auto"/>
        </w:rPr>
        <w:t>” means, collectively, the Company and its Subsidiaries and Affiliates.</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2309"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Contributions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amount of Eligible Compensation voluntarily contributed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through payroll deductions or other payments that the Committee may permit a Participant to make to fund the exercise of rights to purchase Shares granted pursuant to the Global ESPP. Without limitation, Contributions may include direct payments from a Participant as may be accepted by the Company to adjust for the Company’s delay or mistake in processing an enrollment form or in otherwise effectuating a Participant's election under the Global ESPP or as advisable to comply with the requirements of Code Section 423 or other Applicable Law.</w:t>
      </w:r>
    </w:p>
    <w:p>
      <w:pPr>
        <w:spacing w:after="0" w:line="178" w:lineRule="exact"/>
        <w:rPr>
          <w:rFonts w:ascii="Times New Roman" w:cs="Times New Roman" w:eastAsia="Times New Roman" w:hAnsi="Times New Roman"/>
          <w:sz w:val="20"/>
          <w:szCs w:val="20"/>
          <w:color w:val="auto"/>
        </w:rPr>
      </w:pPr>
    </w:p>
    <w:p>
      <w:pPr>
        <w:ind w:firstLine="1304"/>
        <w:spacing w:after="0" w:line="273" w:lineRule="auto"/>
        <w:tabs>
          <w:tab w:leader="none" w:pos="2139"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Contribution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bookkeeping account established for each Participant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 of tracking Contributions made by such Participant during the Offering Period.</w:t>
      </w:r>
    </w:p>
    <w:p>
      <w:pPr>
        <w:spacing w:after="0" w:line="151" w:lineRule="exact"/>
        <w:rPr>
          <w:rFonts w:ascii="Times New Roman" w:cs="Times New Roman" w:eastAsia="Times New Roman" w:hAnsi="Times New Roman"/>
          <w:sz w:val="20"/>
          <w:szCs w:val="20"/>
          <w:color w:val="auto"/>
        </w:rPr>
      </w:pPr>
    </w:p>
    <w:p>
      <w:pPr>
        <w:jc w:val="both"/>
        <w:ind w:firstLine="1304"/>
        <w:spacing w:after="0" w:line="243" w:lineRule="auto"/>
        <w:tabs>
          <w:tab w:leader="none" w:pos="224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Disability</w:t>
      </w:r>
      <w:r>
        <w:rPr>
          <w:rFonts w:ascii="Times New Roman" w:cs="Times New Roman" w:eastAsia="Times New Roman" w:hAnsi="Times New Roman"/>
          <w:sz w:val="20"/>
          <w:szCs w:val="20"/>
          <w:color w:val="auto"/>
        </w:rPr>
        <w:t>” means, as to any Participant, unless the applicable enrollment agreement states otherwise, (i) “Disability,” as defined in any employment, severance or consulting agreement between the Participant and the Employer as in effect; or (ii) in the absence of any such employment, severance or consulting agreement (or the absence of any definition of “Disability” contained therein), a condition entitling the Participant to receive benefits under a long-term disability plan of the Employer or another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Committee in its sole and absolute discretion.</w:t>
      </w:r>
    </w:p>
    <w:p>
      <w:pPr>
        <w:spacing w:after="0" w:line="185" w:lineRule="exact"/>
        <w:rPr>
          <w:rFonts w:ascii="Times New Roman" w:cs="Times New Roman" w:eastAsia="Times New Roman" w:hAnsi="Times New Roman"/>
          <w:sz w:val="20"/>
          <w:szCs w:val="20"/>
          <w:color w:val="auto"/>
        </w:rPr>
      </w:pPr>
    </w:p>
    <w:p>
      <w:pPr>
        <w:jc w:val="both"/>
        <w:ind w:firstLine="1304"/>
        <w:spacing w:after="0" w:line="231" w:lineRule="auto"/>
        <w:tabs>
          <w:tab w:leader="none" w:pos="2161"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Eligible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with respect to any Participant and with respect to each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the base salary or regular hourly wages (including, for the sake of clarity, any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month/14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month payments or similar amounts as determined under local laws for Participants employed outside of the United States), excluding any incentive cash compensation and equity compensation incentive payments. The Committee may, in its sole discretion, on a uniform and nondiscriminatory basis, establish a different definition of Eligible Compensation for any subsequent Offering Period, consistent with the requirements of Code Section 423 for Section 423 Offerings. In addition, the Committee may establish a different definition of Eligible Compensation for any subsequent Offering Period for Non-Section 423 Offerings, and shall have the authority to interpret which components of remuneration constitute Eligible Compensation for Participants employed outside of the United States.</w:t>
      </w:r>
    </w:p>
    <w:p>
      <w:pPr>
        <w:spacing w:after="0" w:line="189" w:lineRule="exact"/>
        <w:rPr>
          <w:rFonts w:ascii="Times New Roman" w:cs="Times New Roman" w:eastAsia="Times New Roman" w:hAnsi="Times New Roman"/>
          <w:sz w:val="20"/>
          <w:szCs w:val="20"/>
          <w:color w:val="auto"/>
        </w:rPr>
      </w:pPr>
    </w:p>
    <w:p>
      <w:pPr>
        <w:jc w:val="both"/>
        <w:ind w:firstLine="1304"/>
        <w:spacing w:after="0" w:line="256" w:lineRule="auto"/>
        <w:tabs>
          <w:tab w:leader="none" w:pos="2309"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Eligible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individual in an employee-employer relationship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 Participating Company for income tax and employment tax withholding and reporting purposes as of the start of an Enrollment Period, excluding any person:</w:t>
      </w:r>
    </w:p>
    <w:p>
      <w:pPr>
        <w:spacing w:after="0" w:line="172" w:lineRule="exact"/>
        <w:rPr>
          <w:rFonts w:ascii="Times New Roman" w:cs="Times New Roman" w:eastAsia="Times New Roman" w:hAnsi="Times New Roman"/>
          <w:sz w:val="20"/>
          <w:szCs w:val="20"/>
          <w:color w:val="auto"/>
        </w:rPr>
      </w:pPr>
    </w:p>
    <w:p>
      <w:pPr>
        <w:jc w:val="both"/>
        <w:ind w:firstLine="1952"/>
        <w:spacing w:after="0" w:line="254" w:lineRule="auto"/>
        <w:tabs>
          <w:tab w:leader="none" w:pos="277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immediately after any rights under the Global ESPP are granted, owns (directly or through attribution) Shares possessing five percent (5%) or more of the total combined voting power or value of all classes of stock of the Company, a future parent corporation, or a Subsidiary (as determined under Code Section 423(b)(3)); or</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64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has not satisfied a service requirement of at least ninety (90) days or such other period designated by the Committee pursuant to Code Section 423(b)(4)(A) (which service requirement may not exceed two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402" w:name="page403"/>
    <w:bookmarkEnd w:id="402"/>
    <w:p>
      <w:pPr>
        <w:jc w:val="both"/>
        <w:spacing w:after="0" w:line="258" w:lineRule="auto"/>
        <w:rPr>
          <w:sz w:val="20"/>
          <w:szCs w:val="20"/>
          <w:color w:val="auto"/>
        </w:rPr>
      </w:pPr>
      <w:r>
        <w:rPr>
          <w:rFonts w:ascii="Times New Roman" w:cs="Times New Roman" w:eastAsia="Times New Roman" w:hAnsi="Times New Roman"/>
          <w:sz w:val="19"/>
          <w:szCs w:val="19"/>
          <w:color w:val="auto"/>
        </w:rPr>
        <w:t>For purposes of the foregoing, the rules of Code Section 424(d) with regard to the attribution of stock ownership shall apply in determining the stock ownership of a person, and Shares, which an employee may purchase or otherwise acquire under outstanding options or other forms of equity compensation awards granted by the Company, shall be treated as Shares owned by the Employee. For purposes of the Global ESPP, the employment relationship shall be treated as continuing intact while the person is on sick leave or other leave of absence approved by the Committee and meeting the requirements of Treasury Regulation Section 1.421-7(h)(2). In the case of a rehired employee, the Committee may, in its sole discretion, recognize prior service for purposes of such employee’s satisfaction of any service period requirement so long as the Committee’s actions are applied in a uniform and non-discriminatory basis consistent with the requirements of Code Section 423.</w:t>
      </w:r>
    </w:p>
    <w:p>
      <w:pPr>
        <w:spacing w:after="0" w:line="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Also, for purposes of clarity, the term “Eligible Employee” shall not include the following, regardless of any subsequent reclassification as an employee by the Company or a Participating Company, any governmental agency, or any court: (i) any independent contractor; (ii) any consultant; (iii) any individual performing services for the Company or a Participating Company who has entered into an independent contractor or consultant agreement with the Company or a Participating Company; (iv) any individual performing services for the Company or a Participating Company under a purchase order, a supplier agreement or any other agreement that the Company or a Participating Company enters into for services; (v) any individual classified by the Company or a Participating Company as contract labor (such as contractors, contract employees, job shoppers), regardless of length of service; (vi) any individual whose base wage or salary is not processed for payment by the payroll department(s) or payroll provider(s) of the Company or a Participating Company; and (vii) any leased employee. The Committee shall have exclusive discretion to determine whether an individual is an Eligible Employee for purposes of the Global ESPP.</w:t>
      </w:r>
    </w:p>
    <w:p>
      <w:pPr>
        <w:spacing w:after="0" w:line="186" w:lineRule="exact"/>
        <w:rPr>
          <w:sz w:val="20"/>
          <w:szCs w:val="20"/>
          <w:color w:val="auto"/>
        </w:rPr>
      </w:pPr>
    </w:p>
    <w:p>
      <w:pPr>
        <w:ind w:left="1980" w:hanging="676"/>
        <w:spacing w:after="0"/>
        <w:tabs>
          <w:tab w:leader="none" w:pos="198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Participating Company that directly employs the Participant.</w:t>
      </w:r>
    </w:p>
    <w:p>
      <w:pPr>
        <w:spacing w:after="0" w:line="215" w:lineRule="exact"/>
        <w:rPr>
          <w:rFonts w:ascii="Times New Roman" w:cs="Times New Roman" w:eastAsia="Times New Roman" w:hAnsi="Times New Roman"/>
          <w:sz w:val="20"/>
          <w:szCs w:val="20"/>
          <w:color w:val="auto"/>
        </w:rPr>
      </w:pPr>
    </w:p>
    <w:p>
      <w:pPr>
        <w:ind w:right="20" w:firstLine="1304"/>
        <w:spacing w:after="0" w:line="273" w:lineRule="auto"/>
        <w:tabs>
          <w:tab w:leader="none" w:pos="2147"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Enrollment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period established by the Committee preceding each Offering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during which an Eligible Employee may elect to participate in the Global ESPP.</w:t>
      </w:r>
    </w:p>
    <w:p>
      <w:pPr>
        <w:spacing w:after="0" w:line="15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9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U.S. Securities Exchange Act of 1934, as amended, and any successor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 References in the Global ESPP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75" w:lineRule="exact"/>
        <w:rPr>
          <w:rFonts w:ascii="Times New Roman" w:cs="Times New Roman" w:eastAsia="Times New Roman" w:hAnsi="Times New Roman"/>
          <w:sz w:val="20"/>
          <w:szCs w:val="20"/>
          <w:color w:val="auto"/>
        </w:rPr>
      </w:pPr>
    </w:p>
    <w:p>
      <w:pPr>
        <w:ind w:firstLine="1304"/>
        <w:spacing w:after="0" w:line="273" w:lineRule="auto"/>
        <w:tabs>
          <w:tab w:leader="none" w:pos="20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Fair Market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as of any date and unless the Committee determines otherwise,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Common Stock determined as follows:</w:t>
      </w:r>
    </w:p>
    <w:p>
      <w:pPr>
        <w:spacing w:after="0" w:line="15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706"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699"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673"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not listed on a national securities exchange or quoted in an inter-dealer quotation system on a last-sale basis, the amount determined by the Committee in good faith to be the fair market value of the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with respect to any right to purchase Shares for which the Offering occurs on the date of the pricing of the Company’s initial public offering, “Fair Market Value” shall be equal to the per share price at which the Common Stock is offered to the public in connection with such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03" w:name="page404"/>
    <w:bookmarkEnd w:id="403"/>
    <w:p>
      <w:pPr>
        <w:ind w:right="20" w:firstLine="1304"/>
        <w:spacing w:after="0" w:line="273" w:lineRule="auto"/>
        <w:tabs>
          <w:tab w:leader="none" w:pos="2045"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Global ESPP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Bentley Systems, Incorporated Global Employee Stock Purchase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may be amended from time to time.</w:t>
      </w:r>
    </w:p>
    <w:p>
      <w:pPr>
        <w:spacing w:after="0" w:line="151" w:lineRule="exact"/>
        <w:rPr>
          <w:rFonts w:ascii="Times New Roman" w:cs="Times New Roman" w:eastAsia="Times New Roman" w:hAnsi="Times New Roman"/>
          <w:sz w:val="20"/>
          <w:szCs w:val="20"/>
          <w:color w:val="auto"/>
        </w:rPr>
      </w:pPr>
    </w:p>
    <w:p>
      <w:pPr>
        <w:jc w:val="both"/>
        <w:ind w:firstLine="1304"/>
        <w:spacing w:after="0" w:line="256" w:lineRule="auto"/>
        <w:tabs>
          <w:tab w:leader="none" w:pos="2039"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Global ESPP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brokerage account established for the purpose of holding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purchased under the Global ESPP for the Participant with the transfer agent or any third-party broker/administrator hired by the Company to assist with the day-to-day operation and administration of the Global ESPP.</w:t>
      </w:r>
    </w:p>
    <w:p>
      <w:pPr>
        <w:spacing w:after="0" w:line="168" w:lineRule="exact"/>
        <w:rPr>
          <w:rFonts w:ascii="Times New Roman" w:cs="Times New Roman" w:eastAsia="Times New Roman" w:hAnsi="Times New Roman"/>
          <w:sz w:val="20"/>
          <w:szCs w:val="20"/>
          <w:color w:val="auto"/>
        </w:rPr>
      </w:pPr>
    </w:p>
    <w:p>
      <w:pPr>
        <w:jc w:val="both"/>
        <w:ind w:firstLine="1304"/>
        <w:spacing w:after="0" w:line="244" w:lineRule="auto"/>
        <w:tabs>
          <w:tab w:leader="none" w:pos="212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Offering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Section 423 Offering or a Non-Section 423 Offering of a right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under the Global ESPP during an Offering Period as further described in Section 6. Unless otherwise determined by the Committee, each Offering under the Global ESPP in which Eligible Employees of one or more Participating Companies may participate will be deemed a separate offering for purposes of Code Section 423, even if the dates of the applicable Offering Periods of each such Offering are identical, and the provisions of the Global ESPP will separately apply to each Offering. With respect to Section 423 Offerings, the terms of separate Offerings need not be identical provided that all Eligible Employees granted purchase rights in a particular Offering shall have the same rights and privileges, except as otherwise may be permitted by Code Section 423; a Non-Section 423 Offering need not satisfy such requirements.</w:t>
      </w:r>
    </w:p>
    <w:p>
      <w:pPr>
        <w:spacing w:after="0" w:line="181"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9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Offering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periods established in accordance with Section 6 during which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purchase Shares may be granted pursuant to the Global ESPP and Shares may be purchased on one or more Purchase Dates. The duration and timing of Offering Periods may be changed pursuant to Sections 6 and 17.</w:t>
      </w:r>
    </w:p>
    <w:p>
      <w:pPr>
        <w:spacing w:after="0" w:line="168" w:lineRule="exact"/>
        <w:rPr>
          <w:rFonts w:ascii="Times New Roman" w:cs="Times New Roman" w:eastAsia="Times New Roman" w:hAnsi="Times New Roman"/>
          <w:sz w:val="20"/>
          <w:szCs w:val="20"/>
          <w:color w:val="auto"/>
        </w:rPr>
      </w:pPr>
    </w:p>
    <w:p>
      <w:pPr>
        <w:ind w:left="2160" w:hanging="856"/>
        <w:spacing w:after="0"/>
        <w:tabs>
          <w:tab w:leader="none" w:pos="21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Parent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“parent corporation,” whether now or hereafter existing, as defined in Code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424(e).</w:t>
      </w:r>
    </w:p>
    <w:p>
      <w:pPr>
        <w:spacing w:after="0" w:line="189" w:lineRule="exact"/>
        <w:rPr>
          <w:rFonts w:ascii="Times New Roman" w:cs="Times New Roman" w:eastAsia="Times New Roman" w:hAnsi="Times New Roman"/>
          <w:sz w:val="20"/>
          <w:szCs w:val="20"/>
          <w:color w:val="auto"/>
        </w:rPr>
      </w:pPr>
    </w:p>
    <w:p>
      <w:pPr>
        <w:jc w:val="both"/>
        <w:ind w:firstLine="1304"/>
        <w:spacing w:after="0" w:line="250" w:lineRule="auto"/>
        <w:tabs>
          <w:tab w:leader="none" w:pos="2161"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Participating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Parent, Subsidiary or Affiliate, whether now existing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in the future, that has been designated by the Committee from time to time in its sole discretion as eligible to participate in the Global ESPP in either a Section 423 Offering or a Non-Section 423 Offering. For purposes of a Section 423 Offering, only the Company and any Parent or Subsidiary may be Participating Companies.</w:t>
      </w:r>
    </w:p>
    <w:p>
      <w:pPr>
        <w:spacing w:after="0" w:line="17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 Eligible Employee who elects to participate in the Global ESPP.</w:t>
      </w:r>
    </w:p>
    <w:p>
      <w:pPr>
        <w:spacing w:after="0" w:line="216" w:lineRule="exact"/>
        <w:rPr>
          <w:sz w:val="20"/>
          <w:szCs w:val="20"/>
          <w:color w:val="auto"/>
        </w:rPr>
      </w:pPr>
    </w:p>
    <w:p>
      <w:pPr>
        <w:ind w:left="1960" w:hanging="656"/>
        <w:spacing w:after="0"/>
        <w:tabs>
          <w:tab w:leader="none" w:pos="1960"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Person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means any individual, entity, or group (within the meaning of Section 13(d)(3) or 14(d)(2)</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the Exchange Act).</w:t>
      </w:r>
    </w:p>
    <w:p>
      <w:pPr>
        <w:spacing w:after="0" w:line="189" w:lineRule="exact"/>
        <w:rPr>
          <w:rFonts w:ascii="Times New Roman" w:cs="Times New Roman" w:eastAsia="Times New Roman" w:hAnsi="Times New Roman"/>
          <w:sz w:val="19"/>
          <w:szCs w:val="19"/>
          <w:color w:val="auto"/>
        </w:rPr>
      </w:pPr>
    </w:p>
    <w:p>
      <w:pPr>
        <w:ind w:firstLine="1304"/>
        <w:spacing w:after="0" w:line="273" w:lineRule="auto"/>
        <w:tabs>
          <w:tab w:leader="none" w:pos="2012"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Purchase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last Trading Day of each Purchase Period (or such other Trading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Committee may determine).</w:t>
      </w:r>
    </w:p>
    <w:p>
      <w:pPr>
        <w:spacing w:after="0" w:line="151" w:lineRule="exact"/>
        <w:rPr>
          <w:rFonts w:ascii="Times New Roman" w:cs="Times New Roman" w:eastAsia="Times New Roman" w:hAnsi="Times New Roman"/>
          <w:sz w:val="20"/>
          <w:szCs w:val="20"/>
          <w:color w:val="auto"/>
        </w:rPr>
      </w:pPr>
    </w:p>
    <w:p>
      <w:pPr>
        <w:jc w:val="both"/>
        <w:ind w:firstLine="1304"/>
        <w:spacing w:after="0" w:line="250" w:lineRule="auto"/>
        <w:tabs>
          <w:tab w:leader="none" w:pos="2017"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Purchase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period of time within an Offering Period, as may be specified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in accordance with Section 6, generally beginning on the first Trading Day of each Offering Period and ending on a Purchase Date. For the sake of clarity, the Committee may specify more than one Purchase Period within each Offering Period.</w:t>
      </w:r>
    </w:p>
    <w:p>
      <w:pPr>
        <w:spacing w:after="0" w:line="175" w:lineRule="exact"/>
        <w:rPr>
          <w:rFonts w:ascii="Times New Roman" w:cs="Times New Roman" w:eastAsia="Times New Roman" w:hAnsi="Times New Roman"/>
          <w:sz w:val="20"/>
          <w:szCs w:val="20"/>
          <w:color w:val="auto"/>
        </w:rPr>
      </w:pPr>
    </w:p>
    <w:p>
      <w:pPr>
        <w:jc w:val="both"/>
        <w:ind w:firstLine="1304"/>
        <w:spacing w:after="0" w:line="247" w:lineRule="auto"/>
        <w:tabs>
          <w:tab w:leader="none" w:pos="2026"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purchase price at which Shares may be acquired on a Purchase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which will be set by the Committee; provided, however, that the Purchase Price for a Section 423 Offering shall not be less than eighty-five percent (85%) of the lesser of (i) the Fair Market Value of the Shares on the first Trading Day of the Offering Period or (ii) the Fair Market Value of the Shares on the Purchase Date. Unless otherwise determined by the Committee prior to the commencement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404" w:name="page405"/>
    <w:bookmarkEnd w:id="404"/>
    <w:p>
      <w:pPr>
        <w:spacing w:after="0" w:line="269" w:lineRule="auto"/>
        <w:rPr>
          <w:sz w:val="20"/>
          <w:szCs w:val="20"/>
          <w:color w:val="auto"/>
        </w:rPr>
      </w:pPr>
      <w:r>
        <w:rPr>
          <w:rFonts w:ascii="Times New Roman" w:cs="Times New Roman" w:eastAsia="Times New Roman" w:hAnsi="Times New Roman"/>
          <w:sz w:val="20"/>
          <w:szCs w:val="20"/>
          <w:color w:val="auto"/>
        </w:rPr>
        <w:t>an Offering Period, the Purchase Price will be 85% of the lesser of (a) the Fair Market Value of the Shares on the first Trading Day of the Offering Period or (b) the Fair Market Value of the Shares on the Purchase Date.</w:t>
      </w:r>
    </w:p>
    <w:p>
      <w:pPr>
        <w:spacing w:after="0" w:line="155" w:lineRule="exact"/>
        <w:rPr>
          <w:sz w:val="20"/>
          <w:szCs w:val="20"/>
          <w:color w:val="auto"/>
        </w:rPr>
      </w:pPr>
    </w:p>
    <w:p>
      <w:pPr>
        <w:ind w:right="20" w:firstLine="1304"/>
        <w:spacing w:after="0" w:line="273" w:lineRule="auto"/>
        <w:tabs>
          <w:tab w:leader="none" w:pos="2044"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Required Holding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with respect to each Share acquired under the Global ESPP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unless otherwise determined by the Committee, the period provided under Code Section 423(a)(1).</w:t>
      </w:r>
    </w:p>
    <w:p>
      <w:pPr>
        <w:spacing w:after="0" w:line="15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shares of Common Stock.</w:t>
      </w:r>
    </w:p>
    <w:p>
      <w:pPr>
        <w:spacing w:after="0" w:line="215" w:lineRule="exact"/>
        <w:rPr>
          <w:rFonts w:ascii="Times New Roman" w:cs="Times New Roman" w:eastAsia="Times New Roman" w:hAnsi="Times New Roman"/>
          <w:sz w:val="20"/>
          <w:szCs w:val="20"/>
          <w:color w:val="auto"/>
        </w:rPr>
      </w:pPr>
    </w:p>
    <w:p>
      <w:pPr>
        <w:ind w:left="1980" w:hanging="676"/>
        <w:spacing w:after="0"/>
        <w:tabs>
          <w:tab w:leader="none" w:pos="198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Subsidiary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with respect to any specified Person:</w:t>
      </w:r>
    </w:p>
    <w:p>
      <w:pPr>
        <w:spacing w:after="0" w:line="219" w:lineRule="exact"/>
        <w:rPr>
          <w:rFonts w:ascii="Times New Roman" w:cs="Times New Roman" w:eastAsia="Times New Roman" w:hAnsi="Times New Roman"/>
          <w:sz w:val="20"/>
          <w:szCs w:val="20"/>
          <w:color w:val="auto"/>
        </w:rPr>
      </w:pPr>
    </w:p>
    <w:p>
      <w:pPr>
        <w:ind w:right="240" w:firstLine="2276"/>
        <w:spacing w:after="0" w:line="246" w:lineRule="auto"/>
        <w:tabs>
          <w:tab w:leader="none" w:pos="2603"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130" w:lineRule="exact"/>
        <w:rPr>
          <w:rFonts w:ascii="Times New Roman" w:cs="Times New Roman" w:eastAsia="Times New Roman" w:hAnsi="Times New Roman"/>
          <w:sz w:val="20"/>
          <w:szCs w:val="20"/>
          <w:color w:val="auto"/>
        </w:rPr>
      </w:pPr>
    </w:p>
    <w:p>
      <w:pPr>
        <w:ind w:right="200" w:firstLine="2276"/>
        <w:spacing w:after="0" w:line="249" w:lineRule="auto"/>
        <w:tabs>
          <w:tab w:leader="none" w:pos="2609" w:val="left"/>
        </w:tabs>
        <w:numPr>
          <w:ilvl w:val="2"/>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21" w:lineRule="exact"/>
        <w:rPr>
          <w:rFonts w:ascii="Times New Roman" w:cs="Times New Roman" w:eastAsia="Times New Roman" w:hAnsi="Times New Roman"/>
          <w:sz w:val="20"/>
          <w:szCs w:val="20"/>
          <w:color w:val="auto"/>
        </w:rPr>
      </w:pPr>
    </w:p>
    <w:p>
      <w:pPr>
        <w:ind w:right="20" w:firstLine="1304"/>
        <w:spacing w:after="0" w:line="273" w:lineRule="auto"/>
        <w:tabs>
          <w:tab w:leader="none" w:pos="2174"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Tax-Related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income tax, social insurance, payroll tax, fringe benefit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on account or other tax-related items arising in relation to the Participant’s participation in the Global ESPP.</w:t>
      </w:r>
    </w:p>
    <w:p>
      <w:pPr>
        <w:spacing w:after="0" w:line="151" w:lineRule="exact"/>
        <w:rPr>
          <w:rFonts w:ascii="Times New Roman" w:cs="Times New Roman" w:eastAsia="Times New Roman" w:hAnsi="Times New Roman"/>
          <w:sz w:val="20"/>
          <w:szCs w:val="20"/>
          <w:color w:val="auto"/>
        </w:rPr>
      </w:pPr>
    </w:p>
    <w:p>
      <w:pPr>
        <w:ind w:right="20" w:firstLine="1304"/>
        <w:spacing w:after="0" w:line="273" w:lineRule="auto"/>
        <w:tabs>
          <w:tab w:leader="none" w:pos="2037"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the termination of Participant’s employment or service, as applicable,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Employer for any reason (including death or Disability).</w:t>
      </w:r>
    </w:p>
    <w:p>
      <w:pPr>
        <w:spacing w:after="0" w:line="151" w:lineRule="exact"/>
        <w:rPr>
          <w:rFonts w:ascii="Times New Roman" w:cs="Times New Roman" w:eastAsia="Times New Roman" w:hAnsi="Times New Roman"/>
          <w:sz w:val="20"/>
          <w:szCs w:val="20"/>
          <w:color w:val="auto"/>
        </w:rPr>
      </w:pPr>
    </w:p>
    <w:p>
      <w:pPr>
        <w:ind w:left="2040" w:hanging="736"/>
        <w:spacing w:after="0"/>
        <w:tabs>
          <w:tab w:leader="none" w:pos="204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Trading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day on which the principal exchange that Shares are listed on is open for</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w:t>
      </w:r>
    </w:p>
    <w:p>
      <w:pPr>
        <w:spacing w:after="0" w:line="189" w:lineRule="exact"/>
        <w:rPr>
          <w:rFonts w:ascii="Times New Roman" w:cs="Times New Roman" w:eastAsia="Times New Roman" w:hAnsi="Times New Roman"/>
          <w:sz w:val="20"/>
          <w:szCs w:val="20"/>
          <w:color w:val="auto"/>
        </w:rPr>
      </w:pPr>
    </w:p>
    <w:p>
      <w:pPr>
        <w:jc w:val="both"/>
        <w:ind w:firstLine="656"/>
        <w:spacing w:after="0" w:line="246" w:lineRule="auto"/>
        <w:tabs>
          <w:tab w:leader="none" w:pos="1416"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Number of Reserved Shares</w:t>
      </w:r>
      <w:r>
        <w:rPr>
          <w:rFonts w:ascii="Times New Roman" w:cs="Times New Roman" w:eastAsia="Times New Roman" w:hAnsi="Times New Roman"/>
          <w:sz w:val="20"/>
          <w:szCs w:val="20"/>
          <w:color w:val="auto"/>
        </w:rPr>
        <w:t>. Subject to adjustment pursuant to Section 16 hereof, 25,000,000 (twenty-five million) Shares may be sold to Participants pursuant to the Global ESPP. Such Shares may be authorized but unissued Shares, treasury Shares or Shares purchased in the open market. For avoidance of doubt, up to the maximum number of Shares reserved under this Section 3 may be used to satisfy purchases of Shares under Section 423 Offerings and any remaining portion of such maximum number of Shares may be used to satisfy purchases of Shares under Non-Section 423 Offerings.</w:t>
      </w:r>
    </w:p>
    <w:p>
      <w:pPr>
        <w:spacing w:after="0" w:line="178" w:lineRule="exact"/>
        <w:rPr>
          <w:rFonts w:ascii="Times New Roman" w:cs="Times New Roman" w:eastAsia="Times New Roman" w:hAnsi="Times New Roman"/>
          <w:sz w:val="20"/>
          <w:szCs w:val="20"/>
          <w:b w:val="1"/>
          <w:bCs w:val="1"/>
          <w:color w:val="auto"/>
        </w:rPr>
      </w:pPr>
    </w:p>
    <w:p>
      <w:pPr>
        <w:ind w:left="1280" w:hanging="624"/>
        <w:spacing w:after="0"/>
        <w:tabs>
          <w:tab w:leader="none" w:pos="1280" w:val="left"/>
        </w:tabs>
        <w:numPr>
          <w:ilvl w:val="0"/>
          <w:numId w:val="2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the Global ESPP</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58" w:lineRule="auto"/>
        <w:tabs>
          <w:tab w:leader="none" w:pos="2042" w:val="left"/>
        </w:tabs>
        <w:numPr>
          <w:ilvl w:val="1"/>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Global ESPP will be administered by the Committee. Notwithstanding anything in the Global ESPP to the contrary, subject to Applicable Law, any authority or responsibility that, under the terms of the Global ESPP, may be exercised by the Committee may alternatively be exercised by the Board. Subject to Applicable Law, no member of the Board or Committee (or its delegates) will be liable for any good faith action or determination made in connection with the operation, administration or interpretation of the Global ESPP. In the performance of its responsibilities with respect to the Global ESPP, the Committee will be entitled to rely upon, and no member of the Committee will be liable for any action taken or not taken in reliance upon, information and/or advice furnished by the Company’s officers or employees, the Company’s accountants, the Company’s counsel and any other party that the Committee deems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05" w:name="page406"/>
    <w:bookmarkEnd w:id="405"/>
    <w:p>
      <w:pPr>
        <w:jc w:val="both"/>
        <w:ind w:firstLine="1304"/>
        <w:spacing w:after="0" w:line="241" w:lineRule="auto"/>
        <w:tabs>
          <w:tab w:leader="none" w:pos="2174"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Powers of the Committee</w:t>
      </w:r>
      <w:r>
        <w:rPr>
          <w:rFonts w:ascii="Times New Roman" w:cs="Times New Roman" w:eastAsia="Times New Roman" w:hAnsi="Times New Roman"/>
          <w:sz w:val="20"/>
          <w:szCs w:val="20"/>
          <w:color w:val="auto"/>
        </w:rPr>
        <w:t>. The Committee shall have full power and authority to operate and administer the Global ESPP, including, without limitation, the authority to (i) construe, interpret, reconcile any inconsistency in, correct any default in and supply any omission in, and apply the terms of the Global ESPP and any enrollment form or other instrument or agreement relating to the Global ESPP, (ii) determine eligibility and adjudicate all disputed claims filed under the Global ESPP, including whether Eligible Employees will participate in a Section 423 Offering or a Non-Section 423 Offering and which Subsidiaries and Affiliates of the Company (or Parent, if applicable) will be Participating Companies participating in either a Section 423 Offering or a Non-Section 423 Offering, (iii) determine the terms and conditions of any right to purchase Shares under the Global ESPP, (iv) establish, amend, suspend or waive such rules and regulations and appoint such agents as it deems appropriate for the proper administration of the Global ESPP, (v) amend an outstanding right to purchase Shares, including any amendments to a right that may be necessary for purposes of effecting a transaction contemplated under Section 16 hereof (including, but not limited to, an amendment to the class or type of stock that may be issued pursuant to the exercise of a right or the Purchase Price applicable to a right), provided that the amended right otherwise conforms to the terms of the Global ESPP, and (vi) make any other determination and take any other action that the Committee deems necessary or desirable for the administration of the Global ESPP including, without limitation, the adoption of such any rules, procedures, agreements, appendices, or sub-plans (collectively, “</w:t>
      </w:r>
      <w:r>
        <w:rPr>
          <w:rFonts w:ascii="Times New Roman" w:cs="Times New Roman" w:eastAsia="Times New Roman" w:hAnsi="Times New Roman"/>
          <w:sz w:val="20"/>
          <w:szCs w:val="20"/>
          <w:b w:val="1"/>
          <w:bCs w:val="1"/>
          <w:u w:val="single" w:color="auto"/>
          <w:color w:val="auto"/>
        </w:rPr>
        <w:t>Sub-Plans</w:t>
      </w:r>
      <w:r>
        <w:rPr>
          <w:rFonts w:ascii="Times New Roman" w:cs="Times New Roman" w:eastAsia="Times New Roman" w:hAnsi="Times New Roman"/>
          <w:sz w:val="20"/>
          <w:szCs w:val="20"/>
          <w:color w:val="auto"/>
        </w:rPr>
        <w:t>”) as are necessary or appropriate to permit the participation in the Global ESPP by employees who are foreign nationals or employed outside the United States, as further set forth in Section 4(c) below.</w:t>
      </w:r>
    </w:p>
    <w:p>
      <w:pPr>
        <w:spacing w:after="0" w:line="191" w:lineRule="exact"/>
        <w:rPr>
          <w:rFonts w:ascii="Times New Roman" w:cs="Times New Roman" w:eastAsia="Times New Roman" w:hAnsi="Times New Roman"/>
          <w:sz w:val="20"/>
          <w:szCs w:val="20"/>
          <w:color w:val="auto"/>
        </w:rPr>
      </w:pPr>
    </w:p>
    <w:p>
      <w:pPr>
        <w:jc w:val="both"/>
        <w:ind w:firstLine="1304"/>
        <w:spacing w:after="0" w:line="254" w:lineRule="auto"/>
        <w:tabs>
          <w:tab w:leader="none" w:pos="2217" w:val="left"/>
        </w:tabs>
        <w:numPr>
          <w:ilvl w:val="1"/>
          <w:numId w:val="2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Non-U.S. Sub-Plans</w:t>
      </w:r>
      <w:r>
        <w:rPr>
          <w:rFonts w:ascii="Times New Roman" w:cs="Times New Roman" w:eastAsia="Times New Roman" w:hAnsi="Times New Roman"/>
          <w:sz w:val="19"/>
          <w:szCs w:val="19"/>
          <w:color w:val="auto"/>
        </w:rPr>
        <w:t>. Notwithstanding any provision to the contrary in the Global ESPP, the Committee may adopt such Sub-Plans relating to the operation and administration of the Global ESPP to accommodate local laws, customs and procedures for jurisdictions outside of the United States, the terms of which Sub-Plans may take precedence over other provisions of the Global ESPP, with the exception of Section 3 hereof, but unless otherwise superseded by the terms of such Sub-Plan, the provisions of the Global ESPP will govern the operation of such Sub-Plan. To the extent inconsistent with the requirements of Code Section 423, any such Sub-Plan will be considered part of a Non-Section 423 Offering, and purchase rights granted thereunder shall not be required by the terms of the Global ESPP to comply with Code Section 423. Without limiting the generality of the foregoing, the Committee is authorized to adopt Sub-Plans for particular non-U.S. jurisdictions that modify the terms of the Global ESPP to meet applicable local requirements, customs or procedures regarding, without limitation, (i) eligibility to participate, (ii) the definition of Eligible Compensation,</w:t>
      </w:r>
    </w:p>
    <w:p>
      <w:pPr>
        <w:spacing w:after="0" w:line="4" w:lineRule="exact"/>
        <w:rPr>
          <w:rFonts w:ascii="Times New Roman" w:cs="Times New Roman" w:eastAsia="Times New Roman" w:hAnsi="Times New Roman"/>
          <w:sz w:val="19"/>
          <w:szCs w:val="19"/>
          <w:color w:val="auto"/>
        </w:rPr>
      </w:pPr>
    </w:p>
    <w:p>
      <w:pPr>
        <w:jc w:val="both"/>
        <w:ind w:firstLine="8"/>
        <w:spacing w:after="0" w:line="254" w:lineRule="auto"/>
        <w:tabs>
          <w:tab w:leader="none" w:pos="356" w:val="left"/>
        </w:tabs>
        <w:numPr>
          <w:ilvl w:val="0"/>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dates and duration of Offering Periods or other periods during which Participants may make Contributions towards the purchase of Shares, (iv) the method of determining the Purchase Price and the discount from Fair Market Value at which Shares may be purchased, (v) any minimum or maximum amount of Contributions a Participant may make in an Offering Period or other specified period under the applicable Sub-Plan, (vi) the treatment of purchase rights upon a Change in Control (as defined in the Bentley Systems Incorporated 2020 Omnibus Incentive Plan) or a change in capitalization of the Company, (vii) the handling of payroll deductions, (viii) establishment of bank, building society or trust accounts to hold Contributions, (ix) payment of interest, (x) conversion of local currency, (xi) obligations to pay payroll tax, (xii) determination of beneficiary designation requirements, (xiii) withholding procedures and (xiv) handling of Share issuances.</w:t>
      </w:r>
    </w:p>
    <w:p>
      <w:pPr>
        <w:spacing w:after="0" w:line="180" w:lineRule="exact"/>
        <w:rPr>
          <w:rFonts w:ascii="Times New Roman" w:cs="Times New Roman" w:eastAsia="Times New Roman" w:hAnsi="Times New Roman"/>
          <w:sz w:val="19"/>
          <w:szCs w:val="19"/>
          <w:color w:val="auto"/>
        </w:rPr>
      </w:pPr>
    </w:p>
    <w:p>
      <w:pPr>
        <w:jc w:val="both"/>
        <w:ind w:firstLine="1304"/>
        <w:spacing w:after="0" w:line="249" w:lineRule="auto"/>
        <w:tabs>
          <w:tab w:leader="none" w:pos="213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Authority</w:t>
      </w:r>
      <w:r>
        <w:rPr>
          <w:rFonts w:ascii="Times New Roman" w:cs="Times New Roman" w:eastAsia="Times New Roman" w:hAnsi="Times New Roman"/>
          <w:sz w:val="20"/>
          <w:szCs w:val="20"/>
          <w:color w:val="auto"/>
        </w:rPr>
        <w:t>. All determinations by the Committee in carrying out and administering the Global ESPP and in construing and interpreting the Global ESPP and any enrollment form or other instrument or agreement relating to the Global ESPP will be made in the Committee’s sole discretion and will be final, binding and conclusive for all purposes and upon all interested persons.</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2001"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to Administrator</w:t>
      </w:r>
      <w:r>
        <w:rPr>
          <w:rFonts w:ascii="Times New Roman" w:cs="Times New Roman" w:eastAsia="Times New Roman" w:hAnsi="Times New Roman"/>
          <w:sz w:val="20"/>
          <w:szCs w:val="20"/>
          <w:color w:val="auto"/>
        </w:rPr>
        <w:t>. To the extent not prohibited by Applicable Law, the Committee may, from time to time, delegate some or all of its authority under the Global ESPP to the Administrator as it deems necessary, appropriate or advisable under conditions or limitations that it may set at or after the time of the delegation. For purposes of the Global ESPP, all references to the Committee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20"/>
          <w:szCs w:val="20"/>
          <w:color w:val="auto"/>
        </w:rPr>
        <w:t>be deemed to refer to the Administrator to whom the Committee delegates authority pursuant to this Section 4(e).</w:t>
      </w:r>
    </w:p>
    <w:p>
      <w:pPr>
        <w:spacing w:after="0" w:line="212" w:lineRule="exact"/>
        <w:rPr>
          <w:sz w:val="20"/>
          <w:szCs w:val="20"/>
          <w:color w:val="auto"/>
        </w:rPr>
      </w:pPr>
    </w:p>
    <w:p>
      <w:pPr>
        <w:ind w:left="1300" w:hanging="644"/>
        <w:spacing w:after="0"/>
        <w:tabs>
          <w:tab w:leader="none" w:pos="1300" w:val="left"/>
        </w:tabs>
        <w:numPr>
          <w:ilvl w:val="1"/>
          <w:numId w:val="2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Eligible Employees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2042"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Any individual who is an Eligible Employee as of the commencement of an Enrollment Period will be eligible to participate in the Global ESPP, subject to the requirements of Section 7.</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2147"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Non-U.S. Employees</w:t>
      </w:r>
      <w:r>
        <w:rPr>
          <w:rFonts w:ascii="Times New Roman" w:cs="Times New Roman" w:eastAsia="Times New Roman" w:hAnsi="Times New Roman"/>
          <w:sz w:val="20"/>
          <w:szCs w:val="20"/>
          <w:color w:val="auto"/>
        </w:rPr>
        <w:t>. An Eligible Employee who works for a Participating Company and is a citizen or resident of a jurisdiction other than the United States (without regard to whether such individual also is a citizen or resident of the United States or is a resident alien (within the meaning of Code Section 7701(b)(1)(A) )) may be excluded from participation in the Global ESPP or an Offering if the participation of such Eligible Employee is prohibited under the laws of the applicable jurisdiction or if complying with the laws of the applicable jurisdiction would cause the Global ESPP or a Section 423 Offering to violate Code Section 423. In the case of a Non-Section 423 Offering, an Eligible Employee (or group of Eligible Employees) may be excluded from participation in the Global ESPP or an Offering if the Committee has determined, in its sole discretion, that participation of such Eligible Employee(s) is not advisable or practicable for any reason.</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88"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423 Limitations</w:t>
      </w:r>
      <w:r>
        <w:rPr>
          <w:rFonts w:ascii="Times New Roman" w:cs="Times New Roman" w:eastAsia="Times New Roman" w:hAnsi="Times New Roman"/>
          <w:sz w:val="20"/>
          <w:szCs w:val="20"/>
          <w:color w:val="auto"/>
        </w:rPr>
        <w:t>. Notwithstanding any provisions of the Global ESPP to the contrary, no Eligible Employee will be granted a right to purchase Shares (i) to the extent that, immediately after the grant, such Eligible Employee (or any other person whose stock would be attributed to such Eligible Employee pursuant to Code Section 424(d) ) would own capital stock of the Company and/or hold outstanding options to purchase capital stock possessing five percent (5%) or more of the total combined voting power or value of all classes of the capital stock of the Company or of any Parent or Subsidiary of the Company, or (ii) under a Section 423 Offering, to the extent that his or her rights to purchase capital stock under all employee stock purchase plans of the Company and any Parent and Subsidiaries accrues at a rate that exceeds Twenty-Five Thousand Dollars (US$25,000) worth of such stock (determined at the fair market value of the shares of such stock at the time such right is granted) for each calendar year in which such purchase right is outstanding.</w:t>
      </w:r>
    </w:p>
    <w:p>
      <w:pPr>
        <w:spacing w:after="0" w:line="192" w:lineRule="exact"/>
        <w:rPr>
          <w:rFonts w:ascii="Times New Roman" w:cs="Times New Roman" w:eastAsia="Times New Roman" w:hAnsi="Times New Roman"/>
          <w:sz w:val="20"/>
          <w:szCs w:val="20"/>
          <w:color w:val="auto"/>
        </w:rPr>
      </w:pPr>
    </w:p>
    <w:p>
      <w:pPr>
        <w:jc w:val="both"/>
        <w:ind w:firstLine="1304"/>
        <w:spacing w:after="0" w:line="247" w:lineRule="auto"/>
        <w:tabs>
          <w:tab w:leader="none" w:pos="2026" w:val="left"/>
        </w:tabs>
        <w:numPr>
          <w:ilvl w:val="2"/>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Limitations on Eligibility</w:t>
      </w:r>
      <w:r>
        <w:rPr>
          <w:rFonts w:ascii="Times New Roman" w:cs="Times New Roman" w:eastAsia="Times New Roman" w:hAnsi="Times New Roman"/>
          <w:sz w:val="20"/>
          <w:szCs w:val="20"/>
          <w:color w:val="auto"/>
        </w:rPr>
        <w:t>. The Committee, in its discretion, from time to time may, prior to an Enrollment Period for all purchase rights to be granted in an Offering, determine (on a uniform and nondiscriminatory basis for Section 423 Offerings) that the definition of Eligible Employee will or shall not include an individual if he or she:</w:t>
      </w:r>
    </w:p>
    <w:p>
      <w:pPr>
        <w:jc w:val="both"/>
        <w:ind w:firstLine="8"/>
        <w:spacing w:after="0"/>
        <w:tabs>
          <w:tab w:leader="none" w:pos="2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 completed at least two (2) years of service since his or her last hire date (or such lesser period of time as may be determined by the Committee in its discretion), (ii) customarily works not more than twenty (20) hours per week (or such lesser period of time as may be determined by the Committee in its discretion), (iii) customarily works not more than five (5) months per calendar year (or such lesser period of time as may be determined by the Committee in its discretion), (iv) is a highly compensated employee within the meaning of Section 414(q) , or (v) is a highly compensated employee within the meaning of Section 414(q) with compensation above a certain level or who is an officer or subject to the disclosure requirements of Section 16(a) of the Exchange Act, provided the exclusion is applied with respect to each Section 423 Offering in an identical manner to all highly compensated individuals of the Participating Company whose employees are participating in that Offering.</w:t>
      </w:r>
    </w:p>
    <w:p>
      <w:pPr>
        <w:spacing w:after="0" w:line="185" w:lineRule="exact"/>
        <w:rPr>
          <w:rFonts w:ascii="Times New Roman" w:cs="Times New Roman" w:eastAsia="Times New Roman" w:hAnsi="Times New Roman"/>
          <w:sz w:val="20"/>
          <w:szCs w:val="20"/>
          <w:color w:val="auto"/>
        </w:rPr>
      </w:pPr>
    </w:p>
    <w:p>
      <w:pPr>
        <w:jc w:val="both"/>
        <w:ind w:firstLine="656"/>
        <w:spacing w:after="0" w:line="246" w:lineRule="auto"/>
        <w:tabs>
          <w:tab w:leader="none" w:pos="1352" w:val="left"/>
        </w:tabs>
        <w:numPr>
          <w:ilvl w:val="1"/>
          <w:numId w:val="2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Offering Periods</w:t>
      </w:r>
      <w:r>
        <w:rPr>
          <w:rFonts w:ascii="Times New Roman" w:cs="Times New Roman" w:eastAsia="Times New Roman" w:hAnsi="Times New Roman"/>
          <w:sz w:val="20"/>
          <w:szCs w:val="20"/>
          <w:color w:val="auto"/>
        </w:rPr>
        <w:t>. The Global ESPP will be implemented by means of consecutive Offering Periods,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first Offering Period commencing on the first Trading Day on or after January 1, 2021 and ending on the last Trading Day on or before June 30, 2021. Unless otherwise provided by the Committee, Offering Periods will run from January 1st (or the first Trading Day thereafter) through June 30th (or the first Trading Day prior to such date), and from July 1st (or the first Trading Day thereafter) through December 31st (or the first Trading Day prior to such date). The Committee shall have the authority to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07" w:name="page408"/>
    <w:bookmarkEnd w:id="407"/>
    <w:p>
      <w:pPr>
        <w:jc w:val="both"/>
        <w:spacing w:after="0" w:line="242" w:lineRule="auto"/>
        <w:rPr>
          <w:sz w:val="20"/>
          <w:szCs w:val="20"/>
          <w:color w:val="auto"/>
        </w:rPr>
      </w:pPr>
      <w:r>
        <w:rPr>
          <w:rFonts w:ascii="Times New Roman" w:cs="Times New Roman" w:eastAsia="Times New Roman" w:hAnsi="Times New Roman"/>
          <w:sz w:val="20"/>
          <w:szCs w:val="20"/>
          <w:color w:val="auto"/>
        </w:rPr>
        <w:t>additional or alternative sequential or overlapping Offering Periods, a different number of Purchase Periods within an Offering Period, a different duration for one or more Offering Periods or Purchase Periods or different commencement or ending dates for such Offering Periods with respect to future Offerings without stockholder approval if such change is announced prior to the scheduled beginning of the first Offering Period to be affected thereafter, provided, however, that no Offering Period may have a duration exceeding twenty-seven (27) months. To the extent that the Committee establishes additional or overlapping Offering Periods, the Committee shall have discretion to structure an Offering Period so that if the Fair Market Value of a share of Common Stock on the first Trading Day of the Offering Period in which a Participant is currently enrolled is higher than the Fair Market Value of a share of Common Stock on the first Trading Day of any subsequent Offering Period, the Company automatically will enroll such Participant in the subsequent Offering Period and will terminate his or her participation in such original Offering Period.</w:t>
      </w:r>
    </w:p>
    <w:p>
      <w:pPr>
        <w:spacing w:after="0" w:line="188" w:lineRule="exact"/>
        <w:rPr>
          <w:sz w:val="20"/>
          <w:szCs w:val="20"/>
          <w:color w:val="auto"/>
        </w:rPr>
      </w:pPr>
    </w:p>
    <w:p>
      <w:pPr>
        <w:ind w:left="1300" w:hanging="644"/>
        <w:spacing w:after="0"/>
        <w:tabs>
          <w:tab w:leader="none" w:pos="1300"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Participation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42" w:lineRule="auto"/>
        <w:tabs>
          <w:tab w:leader="none" w:pos="2042"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Enrollment and Payroll Deductions.</w:t>
      </w:r>
      <w:r>
        <w:rPr>
          <w:rFonts w:ascii="Times New Roman" w:cs="Times New Roman" w:eastAsia="Times New Roman" w:hAnsi="Times New Roman"/>
          <w:sz w:val="20"/>
          <w:szCs w:val="20"/>
          <w:color w:val="auto"/>
        </w:rPr>
        <w:t xml:space="preserve"> An Eligible Employee may elect to participate in an Offering Period under the Global ESPP during any Enrollment Period. Any such election will be made by completing the online enrollment process through the Administrator or, if permitted by the Company, by completing and submitting an enrollment form to the Company during such Enrollment Period, authorizing Contributions in whole percentages from one percent (1%) to fifteen percent (15%) of Eligible Compensation for the Purchase Period within the Offering Period to which the deduction applies. A Participant may elect to increase or decrease the rate of such Contributions during any subsequent Enrollment Period by submitting the appropriate form online through the Administrator or, if permitted by the Company, to the Company, provided that no change in Contributions will be permitted to the extent that such change would result in total Contributions exceeding fifteen percent (15%) of the Eligible Employee’s Eligible Compensation, or such other maximum amount as may be determined by the Committee.</w:t>
      </w:r>
    </w:p>
    <w:p>
      <w:pPr>
        <w:spacing w:after="0" w:line="192" w:lineRule="exact"/>
        <w:rPr>
          <w:rFonts w:ascii="Times New Roman" w:cs="Times New Roman" w:eastAsia="Times New Roman" w:hAnsi="Times New Roman"/>
          <w:sz w:val="20"/>
          <w:szCs w:val="20"/>
          <w:color w:val="auto"/>
        </w:rPr>
      </w:pPr>
    </w:p>
    <w:p>
      <w:pPr>
        <w:ind w:firstLine="1304"/>
        <w:spacing w:after="0" w:line="269" w:lineRule="auto"/>
        <w:tabs>
          <w:tab w:leader="none" w:pos="2120"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 Changes</w:t>
      </w:r>
      <w:r>
        <w:rPr>
          <w:rFonts w:ascii="Times New Roman" w:cs="Times New Roman" w:eastAsia="Times New Roman" w:hAnsi="Times New Roman"/>
          <w:sz w:val="20"/>
          <w:szCs w:val="20"/>
          <w:color w:val="auto"/>
        </w:rPr>
        <w:t>. A Participant may not change his or her rate of Contributions during an Offering Period. A Participant may change his or her rate of Contributions only during an Enrollment Period.</w:t>
      </w:r>
    </w:p>
    <w:p>
      <w:pPr>
        <w:spacing w:after="0" w:line="15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88"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 in Subsequent Offering Periods</w:t>
      </w:r>
      <w:r>
        <w:rPr>
          <w:rFonts w:ascii="Times New Roman" w:cs="Times New Roman" w:eastAsia="Times New Roman" w:hAnsi="Times New Roman"/>
          <w:sz w:val="20"/>
          <w:szCs w:val="20"/>
          <w:color w:val="auto"/>
        </w:rPr>
        <w:t>. Once an Eligible Employee elects to participate in an Offering Period, then such Participant automatically will participate in the Offering Period commencing immediately following the last day of such prior Offering Period at the same level of Contributions as was in effect in the prior Offering Period unless the Participant elects to increase or decrease the rate of Contributions or withdraws or is deemed to withdraw from the Global ESPP as described above in this Section 7. A Participant that is automatically enrolled in a subsequent Offering Period pursuant to this Section 7 is not required to file any additional documentation in order to continue participation in the Global ESPP.</w:t>
      </w:r>
    </w:p>
    <w:p>
      <w:pPr>
        <w:spacing w:after="0" w:line="185" w:lineRule="exact"/>
        <w:rPr>
          <w:rFonts w:ascii="Times New Roman" w:cs="Times New Roman" w:eastAsia="Times New Roman" w:hAnsi="Times New Roman"/>
          <w:sz w:val="20"/>
          <w:szCs w:val="20"/>
          <w:color w:val="auto"/>
        </w:rPr>
      </w:pPr>
    </w:p>
    <w:p>
      <w:pPr>
        <w:ind w:right="20" w:firstLine="1304"/>
        <w:spacing w:after="0" w:line="269" w:lineRule="auto"/>
        <w:tabs>
          <w:tab w:leader="none" w:pos="2053" w:val="left"/>
        </w:tabs>
        <w:numPr>
          <w:ilvl w:val="1"/>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Authority</w:t>
      </w:r>
      <w:r>
        <w:rPr>
          <w:rFonts w:ascii="Times New Roman" w:cs="Times New Roman" w:eastAsia="Times New Roman" w:hAnsi="Times New Roman"/>
          <w:sz w:val="20"/>
          <w:szCs w:val="20"/>
          <w:color w:val="auto"/>
        </w:rPr>
        <w:t>. The Committee has the authority to change the foregoing rules set forth in this Section 7 regarding participation in the Global ESPP.</w:t>
      </w:r>
    </w:p>
    <w:p>
      <w:pPr>
        <w:spacing w:after="0" w:line="155" w:lineRule="exact"/>
        <w:rPr>
          <w:rFonts w:ascii="Times New Roman" w:cs="Times New Roman" w:eastAsia="Times New Roman" w:hAnsi="Times New Roman"/>
          <w:sz w:val="20"/>
          <w:szCs w:val="20"/>
          <w:color w:val="auto"/>
        </w:rPr>
      </w:pPr>
    </w:p>
    <w:p>
      <w:pPr>
        <w:jc w:val="both"/>
        <w:ind w:firstLine="656"/>
        <w:spacing w:after="0" w:line="247" w:lineRule="auto"/>
        <w:tabs>
          <w:tab w:leader="none" w:pos="1372"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Contributions</w:t>
      </w:r>
      <w:r>
        <w:rPr>
          <w:rFonts w:ascii="Times New Roman" w:cs="Times New Roman" w:eastAsia="Times New Roman" w:hAnsi="Times New Roman"/>
          <w:sz w:val="20"/>
          <w:szCs w:val="20"/>
          <w:color w:val="auto"/>
        </w:rPr>
        <w:t>. All Contributions made by a Participant shall be credited to the Participant's Contribution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The Company shall not be obligated to segregate the Contributions from the general funds of the Company or any Participating Company nor will any interest be paid on such Contributions, unless otherwise determined by the Committee or required by Applicable Law. All Contributions received by the Company for Shares sold by the Company on any Purchase Date pursuant to the Global ESPP may be used for any corporate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08" w:name="page409"/>
    <w:bookmarkEnd w:id="408"/>
    <w:p>
      <w:pPr>
        <w:ind w:left="1300" w:hanging="644"/>
        <w:spacing w:after="0"/>
        <w:tabs>
          <w:tab w:leader="none" w:pos="1300" w:val="left"/>
        </w:tabs>
        <w:numPr>
          <w:ilvl w:val="1"/>
          <w:numId w:val="3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Purchase Right; Purchase of Shares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firstLine="1304"/>
        <w:spacing w:after="0" w:line="295" w:lineRule="auto"/>
        <w:tabs>
          <w:tab w:leader="none" w:pos="1974" w:val="left"/>
        </w:tabs>
        <w:numPr>
          <w:ilvl w:val="2"/>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On each Offering Date, the Company shall grant to each Participant a purchase right under the Global ESPP to purchase Shares. Each purchase right shall be treated as an option for purposes of Code Section 423.</w:t>
      </w:r>
    </w:p>
    <w:p>
      <w:pPr>
        <w:spacing w:after="0" w:line="29" w:lineRule="exact"/>
        <w:rPr>
          <w:rFonts w:ascii="Times New Roman" w:cs="Times New Roman" w:eastAsia="Times New Roman" w:hAnsi="Times New Roman"/>
          <w:sz w:val="19"/>
          <w:szCs w:val="19"/>
          <w:color w:val="auto"/>
        </w:rPr>
      </w:pPr>
    </w:p>
    <w:p>
      <w:pPr>
        <w:ind w:firstLine="1304"/>
        <w:spacing w:after="0" w:line="269" w:lineRule="auto"/>
        <w:tabs>
          <w:tab w:leader="none" w:pos="2053" w:val="left"/>
        </w:tabs>
        <w:numPr>
          <w:ilvl w:val="2"/>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Purchase Right</w:t>
      </w:r>
      <w:r>
        <w:rPr>
          <w:rFonts w:ascii="Times New Roman" w:cs="Times New Roman" w:eastAsia="Times New Roman" w:hAnsi="Times New Roman"/>
          <w:sz w:val="20"/>
          <w:szCs w:val="20"/>
          <w:color w:val="auto"/>
        </w:rPr>
        <w:t>. Each purchase right shall have a term equal to the length of the Offering Period to which the purchase right relates.</w:t>
      </w:r>
    </w:p>
    <w:p>
      <w:pPr>
        <w:spacing w:after="0" w:line="51"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74" w:val="left"/>
        </w:tabs>
        <w:numPr>
          <w:ilvl w:val="2"/>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 Subject to a Purchase Right</w:t>
      </w:r>
      <w:r>
        <w:rPr>
          <w:rFonts w:ascii="Times New Roman" w:cs="Times New Roman" w:eastAsia="Times New Roman" w:hAnsi="Times New Roman"/>
          <w:sz w:val="20"/>
          <w:szCs w:val="20"/>
          <w:color w:val="auto"/>
        </w:rPr>
        <w:t xml:space="preserve">. On the Offering Date of each Offering Period, each Participant shall be granted a purchase right to purchase for such Offering Period (at the applicable Purchase Price) up to a maximum number of Shares determined by dividing such Participant’s Contributions for such Offering Period by the Fair Market Value of a Share on the Offering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will a Participant be permitted to purchase more than Twenty-Five Thousand U.S. Dollars ($25,000) worth of Shares, subject to adjustment pursuant to Section 16(a), for each calendar year during which such Purchase Right is outstanding.</w:t>
      </w:r>
    </w:p>
    <w:p>
      <w:pPr>
        <w:spacing w:after="0" w:line="76" w:lineRule="exact"/>
        <w:rPr>
          <w:rFonts w:ascii="Times New Roman" w:cs="Times New Roman" w:eastAsia="Times New Roman" w:hAnsi="Times New Roman"/>
          <w:sz w:val="20"/>
          <w:szCs w:val="20"/>
          <w:color w:val="auto"/>
        </w:rPr>
      </w:pPr>
    </w:p>
    <w:p>
      <w:pPr>
        <w:jc w:val="both"/>
        <w:ind w:firstLine="1304"/>
        <w:spacing w:after="0" w:line="264" w:lineRule="auto"/>
        <w:tabs>
          <w:tab w:leader="none" w:pos="1972" w:val="left"/>
        </w:tabs>
        <w:numPr>
          <w:ilvl w:val="2"/>
          <w:numId w:val="3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Purchase Right</w:t>
      </w:r>
      <w:r>
        <w:rPr>
          <w:rFonts w:ascii="Times New Roman" w:cs="Times New Roman" w:eastAsia="Times New Roman" w:hAnsi="Times New Roman"/>
          <w:sz w:val="19"/>
          <w:szCs w:val="19"/>
          <w:color w:val="auto"/>
        </w:rPr>
        <w:t>. The purchase right for each Participant automatically shall be exercised on each Purchase Date and such Participant automatically shall acquire the number of whole Shares determined by dividing</w:t>
      </w:r>
    </w:p>
    <w:p>
      <w:pPr>
        <w:jc w:val="both"/>
        <w:ind w:firstLine="8"/>
        <w:spacing w:after="0"/>
        <w:tabs>
          <w:tab w:leader="none" w:pos="238"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amount of the Participant’s Contributions during the Purchase Period, by (ii) the Purchase Price, to the extent the issuance of Shares to such Participant upon such exercise is lawful. Unless otherwise determined by the Committee, any unused Contributions of a Participant that was not applied to the purchase of Shares on a Purchase Date because such amount was insufficient to purchase a whole Share shall be carried forward for the purchase of Shares on the next following Purchase Date. However, any unused Contributions during an Offering Period for any reason other than as described in the foregoing sentence shall be promptly refunded following such Purchase Date and shall not be carried forward to any subsequent Purchase Date.</w:t>
      </w:r>
    </w:p>
    <w:p>
      <w:pPr>
        <w:spacing w:after="0" w:line="190" w:lineRule="exact"/>
        <w:rPr>
          <w:rFonts w:ascii="Times New Roman" w:cs="Times New Roman" w:eastAsia="Times New Roman" w:hAnsi="Times New Roman"/>
          <w:sz w:val="20"/>
          <w:szCs w:val="20"/>
          <w:color w:val="auto"/>
        </w:rPr>
      </w:pPr>
    </w:p>
    <w:p>
      <w:pPr>
        <w:jc w:val="both"/>
        <w:ind w:firstLine="1304"/>
        <w:spacing w:after="0" w:line="246" w:lineRule="auto"/>
        <w:tabs>
          <w:tab w:leader="none" w:pos="2069"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Oversubscription</w:t>
      </w:r>
      <w:r>
        <w:rPr>
          <w:rFonts w:ascii="Times New Roman" w:cs="Times New Roman" w:eastAsia="Times New Roman" w:hAnsi="Times New Roman"/>
          <w:sz w:val="20"/>
          <w:szCs w:val="20"/>
          <w:color w:val="auto"/>
        </w:rPr>
        <w:t>. In the event, with respect to any Offering hereunder, that the number of whole Shares that might be purchased by all Participants in the Global ESPP on a Purchase Date exceeds the number of Shares available for purchase during a particular Offering Period or the number of Shares available for issuance under the Global ESPP, the Company shall make a pro rata allocation of the remaining Shares in as uniform a manner as shall be reasonably practicable and as the Company shall determine to be equitable.</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79"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As soon as reasonably practicable after each Purchase Date, the Company shall arrange for the delivery of the Shares acquired by the Participant on such Purchase Date to the Participant’s Global ESPP Account.</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2039"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Any dividends paid on the Shares acquired under the Global ESPP shall be credited to the Participant’s Global ESPP Account.</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2026"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 to Participants</w:t>
      </w:r>
      <w:r>
        <w:rPr>
          <w:rFonts w:ascii="Times New Roman" w:cs="Times New Roman" w:eastAsia="Times New Roman" w:hAnsi="Times New Roman"/>
          <w:sz w:val="20"/>
          <w:szCs w:val="20"/>
          <w:color w:val="auto"/>
        </w:rPr>
        <w:t>. Each Participant who has exercised all or part of his or her purchase rights shall receive, as soon as reasonably practicable after the Purchase Date, a report of such Participant’s Global ESPP Account setting forth the total Contributions accumulated prior to such exercise, the number of Shares purchased, the Purchase Price for such Shares and the date of purchase. The report may be delivered in such form and by such means, including by electronic transmission, as the Company may determine.</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2139"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Holding Period</w:t>
      </w:r>
      <w:r>
        <w:rPr>
          <w:rFonts w:ascii="Times New Roman" w:cs="Times New Roman" w:eastAsia="Times New Roman" w:hAnsi="Times New Roman"/>
          <w:sz w:val="20"/>
          <w:szCs w:val="20"/>
          <w:color w:val="auto"/>
        </w:rPr>
        <w:t>. If required by the Committee, a Participant may not sell or otherwise dispose of any Shares acquired under the Global ESPP unless and until the Required Holding Period for such Shares has been satisfied. Further, except as may be otherwise determined by the Committee, a Participant in a Section 423 Offering may not transfer any Shares acquired under the Global ESPP from the Participant’s Global ESPP Account unless and until the Required Holding Period for such Shares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409" w:name="page410"/>
    <w:bookmarkEnd w:id="409"/>
    <w:p>
      <w:pPr>
        <w:jc w:val="both"/>
        <w:ind w:firstLine="1304"/>
        <w:spacing w:after="0" w:line="246" w:lineRule="auto"/>
        <w:tabs>
          <w:tab w:leader="none" w:pos="2247"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Clawback/Recoupment Policy</w:t>
      </w:r>
      <w:r>
        <w:rPr>
          <w:rFonts w:ascii="Times New Roman" w:cs="Times New Roman" w:eastAsia="Times New Roman" w:hAnsi="Times New Roman"/>
          <w:sz w:val="20"/>
          <w:szCs w:val="20"/>
          <w:color w:val="auto"/>
        </w:rPr>
        <w:t>. Notwithstanding anything contained herein to the contrary, all Shares acquired pursuant to the Global ESPP shall be and remain subject to any incentive compensation clawback or recoupment policy of the Company currently in effect or as may be adopted by the Company and, in each case, as may be amended from time to time. No such policy adoption or amendment shall in any event require the prior consent of any Participant.</w:t>
      </w:r>
    </w:p>
    <w:p>
      <w:pPr>
        <w:spacing w:after="0" w:line="180" w:lineRule="exact"/>
        <w:rPr>
          <w:rFonts w:ascii="Times New Roman" w:cs="Times New Roman" w:eastAsia="Times New Roman" w:hAnsi="Times New Roman"/>
          <w:sz w:val="20"/>
          <w:szCs w:val="20"/>
          <w:color w:val="auto"/>
        </w:rPr>
      </w:pPr>
    </w:p>
    <w:p>
      <w:pPr>
        <w:jc w:val="both"/>
        <w:ind w:firstLine="656"/>
        <w:spacing w:after="0" w:line="242" w:lineRule="auto"/>
        <w:tabs>
          <w:tab w:leader="none" w:pos="1342"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on Number of Shares That a Participant May Purchase</w:t>
      </w:r>
      <w:r>
        <w:rPr>
          <w:rFonts w:ascii="Times New Roman" w:cs="Times New Roman" w:eastAsia="Times New Roman" w:hAnsi="Times New Roman"/>
          <w:sz w:val="20"/>
          <w:szCs w:val="20"/>
          <w:color w:val="auto"/>
        </w:rPr>
        <w:t>. Subject to the limitations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Section 5(c), each Participant shall have the right to purchase as many whole Shares as may be purchased with the Contributions credited to his or her account as of the last day of the Purchase Period (or such other date as the Committee may determine), rounded down to the nearest whole Share, at the Purchase Price applicable to such Offering Period; provided, however, that a Participant may not purchase in excess of 4,000 Shares under the Global ESPP per Offering Period or such other maximum number of Shares as may be established for an Offering Period by the Committee (in each case subject to adjustment pursuant to Section 16 hereof). Unless otherwise determined by the Committee, any amount remaining in a Participant’s account that was not applied to the purchase of Shares on a Purchase Date because it was insufficient to purchase a whole Share shall be carried forward for the purchase of Shares on the next following Purchase Date. However, any amounts not applied to the purchase of Shares during an Offering Period for any reason other than as described in the foregoing sentence shall be promptly refunded following such Purchase Date and shall not be carried forward to any subsequent Purchase Date.</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44" w:lineRule="auto"/>
        <w:tabs>
          <w:tab w:leader="none" w:pos="1290"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At the time a Participant’s purchase right is exercised, in whole or in part, or at the time a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disposes of some or all of the Shares acquired under the Global ESPP, the Participant shall make adequate provision for any Tax-Related Items. In their sole discretion, and except as otherwise determined by the Committee, the Company or the Participating Company that employs the Participant may satisfy their obligations to withhold Tax-Related Items by (a) withholding from the Participant’s wages or other compensation, (b) withholding a sufficient whole number of Shares otherwise issuable following purchase having an aggregate Fair Market Value sufficient to pay the Tax-Related Items required to be withheld with respect to the Shares, or (c) withholding from proceeds from the sale of Shares issued upon purchase, either through a voluntary sale or a mandatory sale arranged by the Company.</w:t>
      </w:r>
    </w:p>
    <w:p>
      <w:pPr>
        <w:spacing w:after="0" w:line="181" w:lineRule="exact"/>
        <w:rPr>
          <w:rFonts w:ascii="Times New Roman" w:cs="Times New Roman" w:eastAsia="Times New Roman" w:hAnsi="Times New Roman"/>
          <w:sz w:val="20"/>
          <w:szCs w:val="20"/>
          <w:b w:val="1"/>
          <w:bCs w:val="1"/>
          <w:color w:val="auto"/>
        </w:rPr>
      </w:pPr>
    </w:p>
    <w:p>
      <w:pPr>
        <w:jc w:val="both"/>
        <w:ind w:firstLine="656"/>
        <w:spacing w:after="0" w:line="256" w:lineRule="auto"/>
        <w:tabs>
          <w:tab w:leader="none" w:pos="1321"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A Participant shall have no rights as a stockholder with respect to Shares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any rights granted under the Global ESPP or any Shares deliverable under the Global ESPP unless and until such Shares have been deposited into the Participant's Global ESPP Account.</w:t>
      </w:r>
    </w:p>
    <w:p>
      <w:pPr>
        <w:spacing w:after="0" w:line="168" w:lineRule="exact"/>
        <w:rPr>
          <w:rFonts w:ascii="Times New Roman" w:cs="Times New Roman" w:eastAsia="Times New Roman" w:hAnsi="Times New Roman"/>
          <w:sz w:val="20"/>
          <w:szCs w:val="20"/>
          <w:b w:val="1"/>
          <w:bCs w:val="1"/>
          <w:color w:val="auto"/>
        </w:rPr>
      </w:pPr>
    </w:p>
    <w:p>
      <w:pPr>
        <w:jc w:val="both"/>
        <w:ind w:firstLine="656"/>
        <w:spacing w:after="0" w:line="256" w:lineRule="auto"/>
        <w:tabs>
          <w:tab w:leader="none" w:pos="1313"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Not Transferable</w:t>
      </w:r>
      <w:r>
        <w:rPr>
          <w:rFonts w:ascii="Times New Roman" w:cs="Times New Roman" w:eastAsia="Times New Roman" w:hAnsi="Times New Roman"/>
          <w:sz w:val="20"/>
          <w:szCs w:val="20"/>
          <w:color w:val="auto"/>
        </w:rPr>
        <w:t>. Rights granted under the Global ESPP are not transferable by a Participant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by will or the laws of descent and distribution, and are exercisable during a Participant’s lifetime only by the Participant.</w:t>
      </w:r>
    </w:p>
    <w:p>
      <w:pPr>
        <w:spacing w:after="0" w:line="168" w:lineRule="exact"/>
        <w:rPr>
          <w:rFonts w:ascii="Times New Roman" w:cs="Times New Roman" w:eastAsia="Times New Roman" w:hAnsi="Times New Roman"/>
          <w:sz w:val="20"/>
          <w:szCs w:val="20"/>
          <w:b w:val="1"/>
          <w:bCs w:val="1"/>
          <w:color w:val="auto"/>
        </w:rPr>
      </w:pPr>
    </w:p>
    <w:p>
      <w:pPr>
        <w:jc w:val="both"/>
        <w:ind w:firstLine="656"/>
        <w:spacing w:after="0" w:line="244" w:lineRule="auto"/>
        <w:tabs>
          <w:tab w:leader="none" w:pos="1423"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Withdrawals</w:t>
      </w:r>
      <w:r>
        <w:rPr>
          <w:rFonts w:ascii="Times New Roman" w:cs="Times New Roman" w:eastAsia="Times New Roman" w:hAnsi="Times New Roman"/>
          <w:sz w:val="20"/>
          <w:szCs w:val="20"/>
          <w:color w:val="auto"/>
        </w:rPr>
        <w:t>. A Participant may withdraw from an Offering Period by submitting the appropriate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online through the Administrator or, if permitted by the Company, to the Company. A notice of withdrawal must be received by the relevant deadline as prescribed by the Committee. Upon receipt of such notice, automatic deductions of Contributions on behalf of the Participant shall be discontinued commencing with the payroll period immediately following the effective date of the notice of withdrawal, and such Participant shall be ineligible to participate in the Global ESPP until the next Enrollment Period. Unless otherwise determined by the Committee, amounts credited to the Contribution Account of any Participant who withdraws prior to the date set forth in this Section 15 shall be refunded to the Participant, without interest, as soon as reasonably practicable.</w:t>
      </w:r>
    </w:p>
    <w:p>
      <w:pPr>
        <w:spacing w:after="0" w:line="181"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Employment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firstLine="1304"/>
        <w:spacing w:after="0" w:line="269" w:lineRule="auto"/>
        <w:tabs>
          <w:tab w:leader="none" w:pos="2042"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Upon a Participant's Termination for any reason prior to a Purchase Date, Contributions for such Participant will be discontinued and any amounts then credited to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10" w:name="page411"/>
    <w:bookmarkEnd w:id="410"/>
    <w:p>
      <w:pPr>
        <w:ind w:right="20"/>
        <w:spacing w:after="0" w:line="269" w:lineRule="auto"/>
        <w:rPr>
          <w:sz w:val="20"/>
          <w:szCs w:val="20"/>
          <w:color w:val="auto"/>
        </w:rPr>
      </w:pPr>
      <w:r>
        <w:rPr>
          <w:rFonts w:ascii="Times New Roman" w:cs="Times New Roman" w:eastAsia="Times New Roman" w:hAnsi="Times New Roman"/>
          <w:sz w:val="20"/>
          <w:szCs w:val="20"/>
          <w:color w:val="auto"/>
        </w:rPr>
        <w:t>Contribution Account shall be refunded to the Participant, without interest, as soon as practicable, except as otherwise determined by the Committee.</w:t>
      </w:r>
    </w:p>
    <w:p>
      <w:pPr>
        <w:spacing w:after="0" w:line="159" w:lineRule="exact"/>
        <w:rPr>
          <w:sz w:val="20"/>
          <w:szCs w:val="20"/>
          <w:color w:val="auto"/>
        </w:rPr>
      </w:pPr>
    </w:p>
    <w:p>
      <w:pPr>
        <w:jc w:val="both"/>
        <w:ind w:firstLine="1304"/>
        <w:spacing w:after="0" w:line="243" w:lineRule="auto"/>
        <w:tabs>
          <w:tab w:leader="none" w:pos="2107"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Leave of Absence</w:t>
      </w:r>
      <w:r>
        <w:rPr>
          <w:rFonts w:ascii="Times New Roman" w:cs="Times New Roman" w:eastAsia="Times New Roman" w:hAnsi="Times New Roman"/>
          <w:sz w:val="20"/>
          <w:szCs w:val="20"/>
          <w:color w:val="auto"/>
        </w:rPr>
        <w:t>. Subject to the discretion of the Committee, if a Participant is granted a paid leave of absence, payroll deductions on behalf of the Participant will continue and any amounts credited to the Participant’s Contribution Account may be used to purchase Shares as provided under the Global ESPP. If a Participant is granted an unpaid leave of absence, payroll deductions on behalf of the Participant will be discontinued and no other Contributions will be permitted (unless otherwise determined by the Committee or required by Applicable Law), but any amounts then credited to the Participant’s Contribution Account may be used to purchase Shares on the next applicable Purchase Date. Where the period of leave exceeds three (3) months and the Participant’s right to reemployment is not guaranteed by statute or by contract, the employment relationship will be deemed to have terminated three (3) months and one (1) day following the commencement of such leave.</w:t>
      </w:r>
    </w:p>
    <w:p>
      <w:pPr>
        <w:spacing w:after="0" w:line="185" w:lineRule="exact"/>
        <w:rPr>
          <w:rFonts w:ascii="Times New Roman" w:cs="Times New Roman" w:eastAsia="Times New Roman" w:hAnsi="Times New Roman"/>
          <w:sz w:val="20"/>
          <w:szCs w:val="20"/>
          <w:color w:val="auto"/>
        </w:rPr>
      </w:pPr>
    </w:p>
    <w:p>
      <w:pPr>
        <w:jc w:val="both"/>
        <w:ind w:firstLine="1304"/>
        <w:spacing w:after="0" w:line="259" w:lineRule="auto"/>
        <w:tabs>
          <w:tab w:leader="none" w:pos="2150"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Employment</w:t>
      </w:r>
      <w:r>
        <w:rPr>
          <w:rFonts w:ascii="Times New Roman" w:cs="Times New Roman" w:eastAsia="Times New Roman" w:hAnsi="Times New Roman"/>
          <w:sz w:val="19"/>
          <w:szCs w:val="19"/>
          <w:color w:val="auto"/>
        </w:rPr>
        <w:t>. Unless otherwise determined by the Committee, a Participant whose employment transfers or whose employment terminates with an immediate rehire (with no break in service) by or between the Company or a Participating Company shall not be treated as having terminated employment for purposes of participating in the Global ESPP or an Offering; however, if a Participant transfers from a Section 423 Offering to a Non-Section 423 Offering, the exercise of the Participant’s purchase right will be qualified under the Section 423 Offering only to the extent that such exercise complies with Code Section 423. If a Participant transfers from a Non-Section 423 Offering to a Section 423 Offering, the exercise of the Participant’s purchase right will remain non-qualified under the Non-Section 423 Offering.</w:t>
      </w:r>
    </w:p>
    <w:p>
      <w:pPr>
        <w:spacing w:after="0" w:line="168" w:lineRule="exact"/>
        <w:rPr>
          <w:rFonts w:ascii="Times New Roman" w:cs="Times New Roman" w:eastAsia="Times New Roman" w:hAnsi="Times New Roman"/>
          <w:sz w:val="19"/>
          <w:szCs w:val="19"/>
          <w:color w:val="auto"/>
        </w:rPr>
      </w:pPr>
    </w:p>
    <w:p>
      <w:pPr>
        <w:ind w:left="1980" w:hanging="1324"/>
        <w:spacing w:after="0"/>
        <w:tabs>
          <w:tab w:leader="none" w:pos="1980" w:val="left"/>
        </w:tabs>
        <w:numPr>
          <w:ilvl w:val="0"/>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 Provisions; Change in Control.</w:t>
      </w:r>
    </w:p>
    <w:p>
      <w:pPr>
        <w:spacing w:after="0" w:line="219" w:lineRule="exact"/>
        <w:rPr>
          <w:rFonts w:ascii="Times New Roman" w:cs="Times New Roman" w:eastAsia="Times New Roman" w:hAnsi="Times New Roman"/>
          <w:sz w:val="20"/>
          <w:szCs w:val="20"/>
          <w:b w:val="1"/>
          <w:bCs w:val="1"/>
          <w:color w:val="auto"/>
        </w:rPr>
      </w:pPr>
    </w:p>
    <w:p>
      <w:pPr>
        <w:jc w:val="both"/>
        <w:ind w:firstLine="1304"/>
        <w:spacing w:after="0" w:line="242" w:lineRule="auto"/>
        <w:tabs>
          <w:tab w:leader="none" w:pos="1961"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change affecting the number, class, value, or terms of the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Committee, in order to prevent dilution or enlargement of the benefits or potential benefits intended to be made available under the Global ESPP, will, in such manner as it may deem equitable, adjust the number and class of Common Stock that may be delivered under the Global ESPP (including the numerical limits of Sections 3 and 9), the Purchase Price per Share and the number of Shares covered by each right under the Global ESPP that has not yet been exercised. For the avoidance of doubt, the Committee may not delegate its authority to make adjustments pursuant to this Section. Except as expressly provided herein, no issuance by the Company of shares of stock of any class, or securities convertible into shares of stock of any class, will affect, and no adjustment by reason thereof will be made with respect to, the number or price of Shares subject to a purchase right.</w:t>
      </w:r>
    </w:p>
    <w:p>
      <w:pPr>
        <w:spacing w:after="0" w:line="187" w:lineRule="exact"/>
        <w:rPr>
          <w:rFonts w:ascii="Times New Roman" w:cs="Times New Roman" w:eastAsia="Times New Roman" w:hAnsi="Times New Roman"/>
          <w:sz w:val="20"/>
          <w:szCs w:val="20"/>
          <w:color w:val="auto"/>
        </w:rPr>
      </w:pPr>
    </w:p>
    <w:p>
      <w:pPr>
        <w:jc w:val="both"/>
        <w:ind w:firstLine="1304"/>
        <w:spacing w:after="0" w:line="249" w:lineRule="auto"/>
        <w:tabs>
          <w:tab w:leader="none" w:pos="2120"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the event of a Change in Control, the Committee may take any action it deems necessary with respect to the outstanding rights to purchase Shares, including but not limited to, accelerating the Purchase Date or discontinuing Contributions and refunding any previously made Contributions, without interest, as soon as practicable.</w:t>
      </w:r>
    </w:p>
    <w:p>
      <w:pPr>
        <w:spacing w:after="0" w:line="175" w:lineRule="exact"/>
        <w:rPr>
          <w:rFonts w:ascii="Times New Roman" w:cs="Times New Roman" w:eastAsia="Times New Roman" w:hAnsi="Times New Roman"/>
          <w:sz w:val="20"/>
          <w:szCs w:val="20"/>
          <w:color w:val="auto"/>
        </w:rPr>
      </w:pPr>
    </w:p>
    <w:p>
      <w:pPr>
        <w:jc w:val="both"/>
        <w:ind w:firstLine="656"/>
        <w:spacing w:after="0" w:line="246" w:lineRule="auto"/>
        <w:tabs>
          <w:tab w:leader="none" w:pos="1288" w:val="left"/>
        </w:tabs>
        <w:numPr>
          <w:ilvl w:val="0"/>
          <w:numId w:val="3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Termination of the Global ESPP</w:t>
      </w:r>
      <w:r>
        <w:rPr>
          <w:rFonts w:ascii="Times New Roman" w:cs="Times New Roman" w:eastAsia="Times New Roman" w:hAnsi="Times New Roman"/>
          <w:sz w:val="20"/>
          <w:szCs w:val="20"/>
          <w:color w:val="auto"/>
        </w:rPr>
        <w:t>. The Board or the Committee may amend, suspend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discontinue the Global ESPP at any time, provided that, if stockholder approval is required pursuant to Applicable Law, then no such amendment, suspension or discontinuance will be effective unless approved by the Company’s stockholders within such time period as may be required. The Global ESPP shall terminate on the earliest to occur of (i) termination by the Board, (ii) issuance of all Shares available for issuance under the Global ESPP or (iii) the tenth (10th) anniversary of the approval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11" w:name="page412"/>
    <w:bookmarkEnd w:id="411"/>
    <w:p>
      <w:pPr>
        <w:jc w:val="both"/>
        <w:spacing w:after="0" w:line="246" w:lineRule="auto"/>
        <w:rPr>
          <w:sz w:val="20"/>
          <w:szCs w:val="20"/>
          <w:color w:val="auto"/>
        </w:rPr>
      </w:pPr>
      <w:r>
        <w:rPr>
          <w:rFonts w:ascii="Times New Roman" w:cs="Times New Roman" w:eastAsia="Times New Roman" w:hAnsi="Times New Roman"/>
          <w:sz w:val="20"/>
          <w:szCs w:val="20"/>
          <w:color w:val="auto"/>
        </w:rPr>
        <w:t>the Global ESPP by the Board. Upon termination of the Global ESPP, all Contributions will cease and all amounts then credited to a Participant’s account will be equitably applied to the purchase of whole Shares then available for sale, and any remaining amounts will be promptly refunded, without interest, to Participants. For the avoidance of doubt, the Board or Committee, as applicable herein, may not delegate its authority to make amendments to or suspend the operations of the Global ESPP pursuant to this Section.</w:t>
      </w:r>
    </w:p>
    <w:p>
      <w:pPr>
        <w:spacing w:after="0" w:line="181" w:lineRule="exact"/>
        <w:rPr>
          <w:sz w:val="20"/>
          <w:szCs w:val="20"/>
          <w:color w:val="auto"/>
        </w:rPr>
      </w:pPr>
    </w:p>
    <w:p>
      <w:pPr>
        <w:jc w:val="both"/>
        <w:ind w:firstLine="656"/>
        <w:spacing w:after="0" w:line="247" w:lineRule="auto"/>
        <w:tabs>
          <w:tab w:leader="none" w:pos="1350" w:val="left"/>
        </w:tabs>
        <w:numPr>
          <w:ilvl w:val="0"/>
          <w:numId w:val="3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 Approval; Effective Date</w:t>
      </w:r>
      <w:r>
        <w:rPr>
          <w:rFonts w:ascii="Times New Roman" w:cs="Times New Roman" w:eastAsia="Times New Roman" w:hAnsi="Times New Roman"/>
          <w:sz w:val="20"/>
          <w:szCs w:val="20"/>
          <w:color w:val="auto"/>
        </w:rPr>
        <w:t>. The Global ESPP shall take effect on the date of adoption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subject to approval by the stockholders of the Company within twelve (12) months before or after the date the Global ESPP is adopted by the Board. Such stockholder approval will be obtained in the manner and to the degree required under Applicable Laws. For the avoidance of doubt, the Board may not delegate its authority to approve the Global ESPP pursuant to this Section.</w:t>
      </w:r>
    </w:p>
    <w:p>
      <w:pPr>
        <w:spacing w:after="0" w:line="180" w:lineRule="exact"/>
        <w:rPr>
          <w:rFonts w:ascii="Times New Roman" w:cs="Times New Roman" w:eastAsia="Times New Roman" w:hAnsi="Times New Roman"/>
          <w:sz w:val="20"/>
          <w:szCs w:val="20"/>
          <w:b w:val="1"/>
          <w:bCs w:val="1"/>
          <w:color w:val="auto"/>
        </w:rPr>
      </w:pPr>
    </w:p>
    <w:p>
      <w:pPr>
        <w:jc w:val="both"/>
        <w:ind w:firstLine="656"/>
        <w:spacing w:after="0" w:line="242" w:lineRule="auto"/>
        <w:tabs>
          <w:tab w:leader="none" w:pos="1417" w:val="left"/>
        </w:tabs>
        <w:numPr>
          <w:ilvl w:val="0"/>
          <w:numId w:val="3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 Upon Issuance of Shares</w:t>
      </w:r>
      <w:r>
        <w:rPr>
          <w:rFonts w:ascii="Times New Roman" w:cs="Times New Roman" w:eastAsia="Times New Roman" w:hAnsi="Times New Roman"/>
          <w:sz w:val="20"/>
          <w:szCs w:val="20"/>
          <w:color w:val="auto"/>
        </w:rPr>
        <w:t>. Notwithstanding any other provision of the Global ESPP,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an available exemption from any registration, qualification or other legal requirement applicable to the Shares, the Company shall not be required to deliver any Shares issuable upon exercise of a right under the Global ESPP prior to the completion of any registration or qualification of the Shares under any local, state, federal or foreign securities or exchange control law or under rulings or regulations of any governmental regulatory body, or prior to obtaining any approval or other clearance from any local, state, federal or foreign governmental agency, which registration, qualification or approval the Committee will, in its absolute discretion, deem necessary or advisable. The Company is under no obligation to register or qualify the Shares with any state or foreign securities commission, or to seek approval or clearance from any governmental authority for the issuance or sale of the Shares. If, pursuant to this Section 19, the Committee determines that the Shares shall not be issued to any Participant, any Contributions credited to such Participant’s account will be promptly refunded, without interest, to the Participant, without any liability to the Company or any of its Subsidiaries or Affiliates (or any Parent, if applicable).</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3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Code Section 409A; Tax Qualification</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b w:val="1"/>
          <w:bCs w:val="1"/>
          <w:color w:val="auto"/>
        </w:rPr>
      </w:pPr>
    </w:p>
    <w:p>
      <w:pPr>
        <w:ind w:firstLine="1304"/>
        <w:spacing w:after="0" w:line="239" w:lineRule="auto"/>
        <w:tabs>
          <w:tab w:leader="none" w:pos="2062"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Rights to purchase Shares granted under a Section 423 Offering are exempt from the application of Code Section 409A and rights to purchase Shares granted under a Non-Section 423 Offering are intended to be exempt from Code Section 409A pursuant to the “short-term deferral” exemption contained therein. In furtherance of the foregoing and notwithstanding any provision in the Global ESPP to the contrary, if the Committee determines that a right granted under the Global ESPP may be subject to Code Section 409A or that any provision in the Global ESPP would cause a right under the Global ESPP to be subject to Code Section 409A, the Committee may amend the terms of the Global ESPP and/or of an outstanding right granted under the Global ESPP, or take such other action the Committee determines is necessary or appropriate, in each case, without the Participant’s consent, to exempt any outstanding right or future right that may be granted under the Global ESPP from or to allow any such rights to comply with Code Section 409, but only to the extent any such amendments or action by the Committee would not violate Code Section 409A. Notwithstanding the foregoing, the Company shall have no liability to a Participant or any other party if the right to purchase Shares under the Global ESPP that is intended to be exempt from or compliant with Code Section 409A is not so exempt or compliant or for any action taken by the Committee with respect thereto. The Company makes no representation that the right to purchase Shares under the Global ESPP is compliant with Code Section 409A.</w:t>
      </w:r>
    </w:p>
    <w:p>
      <w:pPr>
        <w:spacing w:after="0" w:line="105" w:lineRule="exact"/>
        <w:rPr>
          <w:rFonts w:ascii="Times New Roman" w:cs="Times New Roman" w:eastAsia="Times New Roman" w:hAnsi="Times New Roman"/>
          <w:sz w:val="22"/>
          <w:szCs w:val="22"/>
          <w:color w:val="auto"/>
        </w:rPr>
      </w:pPr>
    </w:p>
    <w:p>
      <w:pPr>
        <w:jc w:val="both"/>
        <w:ind w:firstLine="1304"/>
        <w:spacing w:after="0"/>
        <w:tabs>
          <w:tab w:leader="none" w:pos="2061"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Tax Qualification</w:t>
      </w:r>
      <w:r>
        <w:rPr>
          <w:rFonts w:ascii="Times New Roman" w:cs="Times New Roman" w:eastAsia="Times New Roman" w:hAnsi="Times New Roman"/>
          <w:sz w:val="20"/>
          <w:szCs w:val="20"/>
          <w:color w:val="auto"/>
        </w:rPr>
        <w:t>. Although the Company may endeavor to (i) qualify a right to purchase Shares for favorable tax treatment under the laws of the United States or jurisdictions outside of the United States or (ii) avoid adverse tax treatment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under Code Section 409A ), the Company makes no representation to that effect and expressly disavows any covenant to maintain favorable or avoid unfavorable tax treatment, notwithstanding anything to the contrary in the Global ESPP, including Section 20(a) hereof. The Company will be unconstrained in its corporate activities without regard to the potential negative tax impact on Participants under the Global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6" w:right="999" w:bottom="1440" w:gutter="0" w:footer="0" w:header="0"/>
        </w:sectPr>
      </w:pPr>
    </w:p>
    <w:bookmarkStart w:id="412" w:name="page413"/>
    <w:bookmarkEnd w:id="412"/>
    <w:p>
      <w:pPr>
        <w:ind w:firstLine="656"/>
        <w:spacing w:after="0" w:line="250" w:lineRule="auto"/>
        <w:tabs>
          <w:tab w:leader="none" w:pos="1323"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Employment Rights</w:t>
      </w:r>
      <w:r>
        <w:rPr>
          <w:rFonts w:ascii="Times New Roman" w:cs="Times New Roman" w:eastAsia="Times New Roman" w:hAnsi="Times New Roman"/>
          <w:sz w:val="20"/>
          <w:szCs w:val="20"/>
          <w:color w:val="auto"/>
        </w:rPr>
        <w:t>. Participation in the Global ESPP shall not be construed as giving any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 to be retained as an employee of the Company, its Subsidiary, or one of its Affiliates or Parent, as applicable. Furthermore, the Company, a Subsidiary, or an Affiliate (or Parent, if applicable) may dismiss any Participant from employment at any time, free from any liability or any claim under the Global ESPP.</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303"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The Global ESPP shall be governed by and construed in accordance with the internal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State of Delaware applicable to contracts made and performed wholly within the State of Delaware, without giving effect to the conflict of laws’ provisions thereof. EACH PARTICIPANT WHO VOLUNTARILY ELECTS TO PARTICIPATE IN THE GLOBAL ESPP IRREVOCABLY WAIVES ALL RIGHT TO A TRIAL BY JURY IN ANY SUIT, ACTION, OR OTHER PROCEEDING INSTITUTED BY OR AGAINST SUCH PARTICIPANT IN RESPECT OF THE PARTICIPANT’S RIGHTS OR OBLIGATIONS HEREUNDER.</w:t>
      </w:r>
    </w:p>
    <w:p>
      <w:pPr>
        <w:spacing w:after="0" w:line="178"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335"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Titles and Headings, References to Sections or Exchange Act</w:t>
      </w:r>
      <w:r>
        <w:rPr>
          <w:rFonts w:ascii="Times New Roman" w:cs="Times New Roman" w:eastAsia="Times New Roman" w:hAnsi="Times New Roman"/>
          <w:sz w:val="20"/>
          <w:szCs w:val="20"/>
          <w:color w:val="auto"/>
        </w:rPr>
        <w:t>. The titles and headings of the Sections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Global ESPP are for convenience of reference only and, in the event of any conflict, the text of the Global ESPP, rather than such titles or headings, shall control. References to sections or the Exchange Act shall include any amendment or successor thereto.</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6" w:lineRule="auto"/>
        <w:tabs>
          <w:tab w:leader="none" w:pos="1332"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Unless otherwise set forth in the Global ESPP or determined by the Committee, all expenses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administering the Global ESPP, including expenses incurred in connection with the purchase of Shares for sale to Participants, will be borne by the Company and its Subsidiaries or Affiliates (or any Parent, if applicable).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2" w:right="99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CREDIT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FIRST AMENDMENT TO AMENDED AND RESTATED CREDIT AGREEMENT </w:t>
      </w:r>
      <w:r>
        <w:rPr>
          <w:rFonts w:ascii="Times New Roman" w:cs="Times New Roman" w:eastAsia="Times New Roman" w:hAnsi="Times New Roman"/>
          <w:sz w:val="22"/>
          <w:szCs w:val="22"/>
          <w:color w:val="auto"/>
        </w:rPr>
        <w:t>(this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September 2, 2020, by and among (i) BENTLEY SYSTEMS, INCORPORATED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(ii) BENTLEY SOFTWARE, INC., BENTLEY SYSTEMS INTERNATIONAL HOLDINGS, INC.,</w:t>
      </w:r>
    </w:p>
    <w:p>
      <w:pPr>
        <w:spacing w:after="0" w:line="231" w:lineRule="auto"/>
        <w:rPr>
          <w:sz w:val="20"/>
          <w:szCs w:val="20"/>
          <w:color w:val="auto"/>
        </w:rPr>
      </w:pPr>
      <w:r>
        <w:rPr>
          <w:rFonts w:ascii="Times New Roman" w:cs="Times New Roman" w:eastAsia="Times New Roman" w:hAnsi="Times New Roman"/>
          <w:sz w:val="22"/>
          <w:szCs w:val="22"/>
          <w:color w:val="auto"/>
        </w:rPr>
        <w:t>DIGITAL WATER WORKS, INC., CITILABS, INC., and COHESIVE SOLUTIONS, LLC (collectively,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Loan Parties</w:t>
      </w:r>
      <w:r>
        <w:rPr>
          <w:rFonts w:ascii="Times New Roman" w:cs="Times New Roman" w:eastAsia="Times New Roman" w:hAnsi="Times New Roman"/>
          <w:sz w:val="22"/>
          <w:szCs w:val="22"/>
          <w:color w:val="auto"/>
        </w:rPr>
        <w:t>”; together with the Borrower, collectively, the “</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(iii) the Lenders party</w:t>
      </w:r>
    </w:p>
    <w:p>
      <w:pPr>
        <w:spacing w:after="0" w:line="231" w:lineRule="auto"/>
        <w:rPr>
          <w:sz w:val="20"/>
          <w:szCs w:val="20"/>
          <w:color w:val="auto"/>
        </w:rPr>
      </w:pPr>
      <w:r>
        <w:rPr>
          <w:rFonts w:ascii="Times New Roman" w:cs="Times New Roman" w:eastAsia="Times New Roman" w:hAnsi="Times New Roman"/>
          <w:sz w:val="22"/>
          <w:szCs w:val="22"/>
          <w:color w:val="auto"/>
        </w:rPr>
        <w:t>hereto and (iv) PNC BANK, NATIONAL ASSOCIATION, as administrative agent for the Lenders (in such</w:t>
      </w:r>
    </w:p>
    <w:p>
      <w:pPr>
        <w:spacing w:after="0" w:line="230" w:lineRule="auto"/>
        <w:rPr>
          <w:sz w:val="20"/>
          <w:szCs w:val="20"/>
          <w:color w:val="auto"/>
        </w:rPr>
      </w:pPr>
      <w:r>
        <w:rPr>
          <w:rFonts w:ascii="Times New Roman" w:cs="Times New Roman" w:eastAsia="Times New Roman" w:hAnsi="Times New Roman"/>
          <w:sz w:val="22"/>
          <w:szCs w:val="22"/>
          <w:color w:val="auto"/>
        </w:rPr>
        <w:t>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but not defined herein shall have the meanings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assigned thereto in the Credit Agreement referred to below.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the Lenders party thereto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are parties to an Amended and Restated Credit Agreement, dated as of December 19, 2017 (as amended, supplemented or otherwise modified from time to time, including by this Amendment,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Loan Parties have requested (a) new commitments (the “</w:t>
      </w:r>
      <w:r>
        <w:rPr>
          <w:rFonts w:ascii="Times New Roman" w:cs="Times New Roman" w:eastAsia="Times New Roman" w:hAnsi="Times New Roman"/>
          <w:sz w:val="21"/>
          <w:szCs w:val="21"/>
          <w:u w:val="single" w:color="auto"/>
          <w:color w:val="auto"/>
        </w:rPr>
        <w:t>Term Commitments</w:t>
      </w:r>
      <w:r>
        <w:rPr>
          <w:rFonts w:ascii="Times New Roman" w:cs="Times New Roman" w:eastAsia="Times New Roman" w:hAnsi="Times New Roman"/>
          <w:sz w:val="21"/>
          <w:szCs w:val="21"/>
          <w:color w:val="auto"/>
        </w:rPr>
        <w:t>”) under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Agreement for term loans in the aggregate amount of up to One Hundred Twenty-Five Million Dollars</w:t>
      </w:r>
    </w:p>
    <w:p>
      <w:pPr>
        <w:spacing w:after="0"/>
        <w:rPr>
          <w:sz w:val="20"/>
          <w:szCs w:val="20"/>
          <w:color w:val="auto"/>
        </w:rPr>
      </w:pPr>
      <w:r>
        <w:rPr>
          <w:rFonts w:ascii="Times New Roman" w:cs="Times New Roman" w:eastAsia="Times New Roman" w:hAnsi="Times New Roman"/>
          <w:sz w:val="21"/>
          <w:szCs w:val="21"/>
          <w:color w:val="auto"/>
        </w:rPr>
        <w:t>($125,000,000) (the “</w:t>
      </w: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 and (b) certain other amendments to the Credit Agreement as set forth 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78"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Administrative Agent, the Term Lenders (as defined below) and the Required Lenders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agreed to the above requests on and subject to the terms and conditions hereof.</w:t>
      </w:r>
    </w:p>
    <w:p>
      <w:pPr>
        <w:spacing w:after="0" w:line="150"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for other good and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receipt and sufficiency of which is hereby acknowledged, the parties hereto, intending to be legally bound, hereby agree as follows:</w:t>
      </w:r>
    </w:p>
    <w:p>
      <w:pPr>
        <w:spacing w:after="0" w:line="167" w:lineRule="exact"/>
        <w:rPr>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Loans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right="60" w:firstLine="1304"/>
        <w:spacing w:after="0" w:line="236" w:lineRule="auto"/>
        <w:tabs>
          <w:tab w:leader="none" w:pos="1968"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Commitments</w:t>
      </w:r>
      <w:r>
        <w:rPr>
          <w:rFonts w:ascii="Times New Roman" w:cs="Times New Roman" w:eastAsia="Times New Roman" w:hAnsi="Times New Roman"/>
          <w:sz w:val="22"/>
          <w:szCs w:val="22"/>
          <w:color w:val="auto"/>
        </w:rPr>
        <w:t xml:space="preserve">. Each Lender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as having a Commitment for Term Loans (each a “</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hereby commits to make a Term Loan on the First Amendment Effective Date (as defined below) in the amount set forth opposite such Term Lender’s name on Schedule A in the column labeled “Term Commitment”. The failure of any Term Lender to make a Term Loan shall not relieve any other Term Lender of its obligations to make a Term Loan on the First Amendment Effective Date, nor shall it impose any additional liability on any other Lender.</w:t>
      </w:r>
    </w:p>
    <w:p>
      <w:pPr>
        <w:spacing w:after="0" w:line="181" w:lineRule="exact"/>
        <w:rPr>
          <w:rFonts w:ascii="Times New Roman" w:cs="Times New Roman" w:eastAsia="Times New Roman" w:hAnsi="Times New Roman"/>
          <w:sz w:val="22"/>
          <w:szCs w:val="22"/>
          <w:color w:val="auto"/>
        </w:rPr>
      </w:pPr>
    </w:p>
    <w:p>
      <w:pPr>
        <w:ind w:right="320" w:firstLine="1304"/>
        <w:spacing w:after="0" w:line="239" w:lineRule="auto"/>
        <w:tabs>
          <w:tab w:leader="none" w:pos="1980"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 Each Term Lender acknowledges that it has, independently and without reliance on the Administrative Agent or any other Lender or any of their Related Parties and based on such documents and information as it has deemed appropriate, made its own credit analysis and decision to make its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14" w:name="page415"/>
    <w:bookmarkEnd w:id="414"/>
    <w:p>
      <w:pPr>
        <w:ind w:left="-8" w:right="140" w:firstLine="1304"/>
        <w:spacing w:after="0" w:line="258" w:lineRule="auto"/>
        <w:tabs>
          <w:tab w:leader="none" w:pos="1959" w:val="left"/>
        </w:tabs>
        <w:numPr>
          <w:ilvl w:val="2"/>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Term Commitments</w:t>
      </w:r>
      <w:r>
        <w:rPr>
          <w:rFonts w:ascii="Times New Roman" w:cs="Times New Roman" w:eastAsia="Times New Roman" w:hAnsi="Times New Roman"/>
          <w:sz w:val="22"/>
          <w:szCs w:val="22"/>
          <w:color w:val="auto"/>
        </w:rPr>
        <w:t>. The terms of the Term Loans and Term Commitments shall be as set forth in the Credit Agreement (including all pricing, payment and maturity terms).</w:t>
      </w:r>
    </w:p>
    <w:p>
      <w:pPr>
        <w:spacing w:after="0" w:line="158" w:lineRule="exact"/>
        <w:rPr>
          <w:rFonts w:ascii="Times New Roman" w:cs="Times New Roman" w:eastAsia="Times New Roman" w:hAnsi="Times New Roman"/>
          <w:sz w:val="22"/>
          <w:szCs w:val="22"/>
          <w:color w:val="auto"/>
        </w:rPr>
      </w:pPr>
    </w:p>
    <w:p>
      <w:pPr>
        <w:jc w:val="both"/>
        <w:ind w:left="-8" w:right="60" w:firstLine="1304"/>
        <w:spacing w:after="0" w:line="239" w:lineRule="auto"/>
        <w:tabs>
          <w:tab w:leader="none" w:pos="1972" w:val="left"/>
        </w:tabs>
        <w:numPr>
          <w:ilvl w:val="2"/>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Term Loans; Termination of Term Commitments</w:t>
      </w:r>
      <w:r>
        <w:rPr>
          <w:rFonts w:ascii="Times New Roman" w:cs="Times New Roman" w:eastAsia="Times New Roman" w:hAnsi="Times New Roman"/>
          <w:sz w:val="22"/>
          <w:szCs w:val="22"/>
          <w:color w:val="auto"/>
        </w:rPr>
        <w:t>. The Borrower shall repay the Term Loans in accordance with the terms of the Credit Agreement. To the extent not previously paid, all Term Loans shall be due and payable in full on the Maturity Date, December 18, 2022. The Term Commitments shall terminate on the First Amendment Effective Date, upon the making of the Term Loans.</w:t>
      </w:r>
    </w:p>
    <w:p>
      <w:pPr>
        <w:spacing w:after="0" w:line="180" w:lineRule="exact"/>
        <w:rPr>
          <w:rFonts w:ascii="Times New Roman" w:cs="Times New Roman" w:eastAsia="Times New Roman" w:hAnsi="Times New Roman"/>
          <w:sz w:val="22"/>
          <w:szCs w:val="22"/>
          <w:color w:val="auto"/>
        </w:rPr>
      </w:pPr>
    </w:p>
    <w:p>
      <w:pPr>
        <w:ind w:left="-8" w:right="40" w:firstLine="1304"/>
        <w:spacing w:after="0" w:line="249" w:lineRule="auto"/>
        <w:tabs>
          <w:tab w:leader="none" w:pos="1959" w:val="left"/>
        </w:tabs>
        <w:numPr>
          <w:ilvl w:val="2"/>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w:t>
      </w:r>
      <w:r>
        <w:rPr>
          <w:rFonts w:ascii="Times New Roman" w:cs="Times New Roman" w:eastAsia="Times New Roman" w:hAnsi="Times New Roman"/>
          <w:sz w:val="21"/>
          <w:szCs w:val="21"/>
          <w:color w:val="auto"/>
        </w:rPr>
        <w:t>. Without limiting anything else in this Amendment or the Credit Agreement, the parties hereto acknowledge and agree that (a) the Term Commitments shall be deemed to be “Commitments,” and the Term Loans shall be deemed to be “Loans” for all purposes of the Loan Documents, and</w:t>
      </w:r>
    </w:p>
    <w:p>
      <w:pPr>
        <w:spacing w:after="0" w:line="1" w:lineRule="exact"/>
        <w:rPr>
          <w:rFonts w:ascii="Times New Roman" w:cs="Times New Roman" w:eastAsia="Times New Roman" w:hAnsi="Times New Roman"/>
          <w:sz w:val="21"/>
          <w:szCs w:val="21"/>
          <w:color w:val="auto"/>
        </w:rPr>
      </w:pPr>
    </w:p>
    <w:p>
      <w:pPr>
        <w:ind w:left="-8" w:right="920" w:firstLine="8"/>
        <w:spacing w:after="0" w:line="237" w:lineRule="auto"/>
        <w:tabs>
          <w:tab w:leader="none" w:pos="298"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Loans shall be deemed to be part of the “Secured Obligations,” as defined in the Collateral Agreement, for all purposes of the Loan Documents.</w:t>
      </w:r>
    </w:p>
    <w:p>
      <w:pPr>
        <w:spacing w:after="0" w:line="178" w:lineRule="exact"/>
        <w:rPr>
          <w:rFonts w:ascii="Times New Roman" w:cs="Times New Roman" w:eastAsia="Times New Roman" w:hAnsi="Times New Roman"/>
          <w:sz w:val="22"/>
          <w:szCs w:val="22"/>
          <w:color w:val="auto"/>
        </w:rPr>
      </w:pPr>
    </w:p>
    <w:p>
      <w:pPr>
        <w:ind w:left="-8" w:right="300" w:firstLine="1304"/>
        <w:spacing w:after="0" w:line="282" w:lineRule="auto"/>
        <w:tabs>
          <w:tab w:leader="none" w:pos="1936" w:val="left"/>
        </w:tabs>
        <w:numPr>
          <w:ilvl w:val="2"/>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Recordation of the Term Loans</w:t>
      </w:r>
      <w:r>
        <w:rPr>
          <w:rFonts w:ascii="Times New Roman" w:cs="Times New Roman" w:eastAsia="Times New Roman" w:hAnsi="Times New Roman"/>
          <w:sz w:val="21"/>
          <w:szCs w:val="21"/>
          <w:color w:val="auto"/>
        </w:rPr>
        <w:t>. Upon (i) the execution and delivery of this Amendment and (ii) the making of the Term Loans, the Administration Agent will record such changes in the Register.</w:t>
      </w:r>
    </w:p>
    <w:p>
      <w:pPr>
        <w:spacing w:after="0" w:line="130" w:lineRule="exact"/>
        <w:rPr>
          <w:rFonts w:ascii="Times New Roman" w:cs="Times New Roman" w:eastAsia="Times New Roman" w:hAnsi="Times New Roman"/>
          <w:sz w:val="21"/>
          <w:szCs w:val="21"/>
          <w:color w:val="auto"/>
        </w:rPr>
      </w:pPr>
    </w:p>
    <w:p>
      <w:pPr>
        <w:ind w:left="-8" w:right="20" w:firstLine="656"/>
        <w:spacing w:after="0" w:line="235" w:lineRule="auto"/>
        <w:tabs>
          <w:tab w:leader="none" w:pos="1288" w:val="left"/>
        </w:tabs>
        <w:numPr>
          <w:ilvl w:val="1"/>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Credit Agreement 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First Amendment Effective Date, the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000000"/>
        </w:rPr>
        <w:t>) and to add the underlined text (indicated textually in the same manner as the following example: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5B9BD5"/>
        </w:rPr>
        <w:t>underlined text</w:t>
      </w:r>
      <w:r>
        <w:rPr>
          <w:rFonts w:ascii="Times New Roman" w:cs="Times New Roman" w:eastAsia="Times New Roman" w:hAnsi="Times New Roman"/>
          <w:sz w:val="22"/>
          <w:szCs w:val="22"/>
          <w:color w:val="000000"/>
        </w:rPr>
        <w:t>) as set forth in the Credit Agreement attached hereto as</w:t>
      </w:r>
      <w:r>
        <w:rPr>
          <w:rFonts w:ascii="Times New Roman" w:cs="Times New Roman" w:eastAsia="Times New Roman" w:hAnsi="Times New Roman"/>
          <w:sz w:val="22"/>
          <w:szCs w:val="22"/>
          <w:color w:val="5B9BD5"/>
        </w:rPr>
        <w:t xml:space="preserve">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 except that any Schedule,</w:t>
      </w:r>
      <w:r>
        <w:rPr>
          <w:rFonts w:ascii="Times New Roman" w:cs="Times New Roman" w:eastAsia="Times New Roman" w:hAnsi="Times New Roman"/>
          <w:sz w:val="22"/>
          <w:szCs w:val="22"/>
          <w:color w:val="5B9BD5"/>
        </w:rPr>
        <w:t xml:space="preserve"> </w:t>
      </w:r>
      <w:r>
        <w:rPr>
          <w:rFonts w:ascii="Times New Roman" w:cs="Times New Roman" w:eastAsia="Times New Roman" w:hAnsi="Times New Roman"/>
          <w:sz w:val="22"/>
          <w:szCs w:val="22"/>
          <w:color w:val="000000"/>
        </w:rPr>
        <w:t xml:space="preserve">Exhibit or other attachment to the Credit Agreement not amended pursuant to the terms of this Amendment or otherwise included as part of said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 xml:space="preserve"> shall remain in effect without any amendment or other modification thereto. On the First Amendment Effective Date, Exhibit A (Form of Assignment and Assumption) and Exhibit E (Form of Interest Election Request) to the Credit Agreement shall each be amended and restated to read as set forth on </w:t>
      </w:r>
      <w:r>
        <w:rPr>
          <w:rFonts w:ascii="Times New Roman" w:cs="Times New Roman" w:eastAsia="Times New Roman" w:hAnsi="Times New Roman"/>
          <w:sz w:val="22"/>
          <w:szCs w:val="22"/>
          <w:u w:val="single" w:color="auto"/>
          <w:color w:val="000000"/>
        </w:rPr>
        <w:t>Exhibit B</w:t>
      </w:r>
      <w:r>
        <w:rPr>
          <w:rFonts w:ascii="Times New Roman" w:cs="Times New Roman" w:eastAsia="Times New Roman" w:hAnsi="Times New Roman"/>
          <w:sz w:val="22"/>
          <w:szCs w:val="22"/>
          <w:color w:val="000000"/>
        </w:rPr>
        <w:t xml:space="preserve"> attached hereto to take into account the Term Loans.</w:t>
      </w:r>
    </w:p>
    <w:p>
      <w:pPr>
        <w:spacing w:after="0" w:line="173" w:lineRule="exact"/>
        <w:rPr>
          <w:rFonts w:ascii="Times New Roman" w:cs="Times New Roman" w:eastAsia="Times New Roman" w:hAnsi="Times New Roman"/>
          <w:sz w:val="22"/>
          <w:szCs w:val="22"/>
          <w:b w:val="1"/>
          <w:bCs w:val="1"/>
          <w:color w:val="auto"/>
        </w:rPr>
      </w:pPr>
    </w:p>
    <w:p>
      <w:pPr>
        <w:ind w:left="-8" w:firstLine="656"/>
        <w:spacing w:after="0" w:line="241" w:lineRule="auto"/>
        <w:tabs>
          <w:tab w:leader="none" w:pos="1288" w:val="left"/>
        </w:tabs>
        <w:numPr>
          <w:ilvl w:val="1"/>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induce the Lenders and the Administrative Agent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this Amendment and to amend the Credit Agreement in the manner provided herein, each Loan Party hereby represents and warrants to each Lender and the Administrative Agent that the following statements are true and correct:</w:t>
      </w:r>
    </w:p>
    <w:p>
      <w:pPr>
        <w:spacing w:after="0" w:line="175" w:lineRule="exact"/>
        <w:rPr>
          <w:rFonts w:ascii="Times New Roman" w:cs="Times New Roman" w:eastAsia="Times New Roman" w:hAnsi="Times New Roman"/>
          <w:sz w:val="22"/>
          <w:szCs w:val="22"/>
          <w:b w:val="1"/>
          <w:bCs w:val="1"/>
          <w:color w:val="auto"/>
        </w:rPr>
      </w:pPr>
    </w:p>
    <w:p>
      <w:pPr>
        <w:ind w:left="-8" w:right="300" w:firstLine="1304"/>
        <w:spacing w:after="0" w:line="258" w:lineRule="auto"/>
        <w:tabs>
          <w:tab w:leader="none" w:pos="1956"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exists no Default or Event of Default under the Credit Agreement both before and after giving effect to this Amendment;</w:t>
      </w:r>
    </w:p>
    <w:p>
      <w:pPr>
        <w:spacing w:after="0" w:line="158" w:lineRule="exact"/>
        <w:rPr>
          <w:rFonts w:ascii="Times New Roman" w:cs="Times New Roman" w:eastAsia="Times New Roman" w:hAnsi="Times New Roman"/>
          <w:sz w:val="22"/>
          <w:szCs w:val="22"/>
          <w:color w:val="auto"/>
        </w:rPr>
      </w:pPr>
    </w:p>
    <w:p>
      <w:pPr>
        <w:ind w:left="-8" w:firstLine="1304"/>
        <w:spacing w:after="0" w:line="238" w:lineRule="auto"/>
        <w:tabs>
          <w:tab w:leader="none" w:pos="1972"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after giving effect to this Amendment, the representations and warranties of each Loan Party set forth in the Loan Documents are true and correct (i) in the case of representations and warranties qualified as to materiality, in all respects and (ii) otherwise, in all material respects, in each case on and as of the date hereof, except in the case of any such representation and warranty that expressly relates to a prior date, in which case such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6292215" cy="254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111" w:right="1019" w:bottom="1440" w:gutter="0" w:footer="0" w:header="0"/>
        </w:sectPr>
      </w:pPr>
    </w:p>
    <w:bookmarkStart w:id="415" w:name="page416"/>
    <w:bookmarkEnd w:id="415"/>
    <w:p>
      <w:pPr>
        <w:ind w:right="160"/>
        <w:spacing w:after="0" w:line="258" w:lineRule="auto"/>
        <w:rPr>
          <w:sz w:val="20"/>
          <w:szCs w:val="20"/>
          <w:color w:val="auto"/>
        </w:rPr>
      </w:pPr>
      <w:r>
        <w:rPr>
          <w:rFonts w:ascii="Times New Roman" w:cs="Times New Roman" w:eastAsia="Times New Roman" w:hAnsi="Times New Roman"/>
          <w:sz w:val="22"/>
          <w:szCs w:val="22"/>
          <w:color w:val="auto"/>
        </w:rPr>
        <w:t>and warranty shall be so true and correct in the case of such representation and warranty qualified by materiality, in all respects, and otherwise in all material respects on and as of such prior date.</w:t>
      </w:r>
    </w:p>
    <w:p>
      <w:pPr>
        <w:spacing w:after="0" w:line="159" w:lineRule="exact"/>
        <w:rPr>
          <w:sz w:val="20"/>
          <w:szCs w:val="20"/>
          <w:color w:val="auto"/>
        </w:rPr>
      </w:pPr>
    </w:p>
    <w:p>
      <w:pPr>
        <w:ind w:right="80" w:firstLine="1304"/>
        <w:spacing w:after="0" w:line="236" w:lineRule="auto"/>
        <w:tabs>
          <w:tab w:leader="none" w:pos="1964"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Amendment and the Term Notes (as defined below) by each Loan Party party hereto or thereto and the performance by the Loan Parties of this Amendment, the Term Notes and the other Loan Documents (as amended by this Amendment) (i) has been duly authorized by all necessary corporate or other organizational action on behalf the Loan Parties and (ii) will not, except as permitted under the Credit Agreement (as amended by this Amendment), result in or require the creation or imposition of any Lien upon the properties or assets of any Loan Party;</w:t>
      </w:r>
    </w:p>
    <w:p>
      <w:pPr>
        <w:spacing w:after="0" w:line="181" w:lineRule="exact"/>
        <w:rPr>
          <w:rFonts w:ascii="Times New Roman" w:cs="Times New Roman" w:eastAsia="Times New Roman" w:hAnsi="Times New Roman"/>
          <w:sz w:val="22"/>
          <w:szCs w:val="22"/>
          <w:color w:val="auto"/>
        </w:rPr>
      </w:pPr>
    </w:p>
    <w:p>
      <w:pPr>
        <w:ind w:right="180" w:firstLine="1304"/>
        <w:spacing w:after="0" w:line="238" w:lineRule="auto"/>
        <w:tabs>
          <w:tab w:leader="none" w:pos="197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the Term Notes and the other Loan Documents (as amended by this Amendment) constitute the legal, valid and binding obligation of each Loan Party party thereto, enforceable against such Loan Party in accordance with their terms, subject to applicable bankruptcy, insolvency, reorganization, moratorium or other similar laws affecting creditors’ rights generally and to general principles of equity, regardless whether considered in a proceeding in equity or at law;</w:t>
      </w:r>
    </w:p>
    <w:p>
      <w:pPr>
        <w:spacing w:after="0" w:line="176" w:lineRule="exact"/>
        <w:rPr>
          <w:rFonts w:ascii="Times New Roman" w:cs="Times New Roman" w:eastAsia="Times New Roman" w:hAnsi="Times New Roman"/>
          <w:sz w:val="22"/>
          <w:szCs w:val="22"/>
          <w:color w:val="auto"/>
        </w:rPr>
      </w:pPr>
    </w:p>
    <w:p>
      <w:pPr>
        <w:ind w:right="100" w:firstLine="1304"/>
        <w:spacing w:after="0" w:line="239" w:lineRule="auto"/>
        <w:tabs>
          <w:tab w:leader="none" w:pos="1968"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authorization or order of, or filing, registration or qualification with, any court or Governmental Authority or third party is required in connection with the execution, delivery or performance by such Loan Party of this Amendment and the Term Notes (except for those which have been obtained on or prior to the date hereof); and</w:t>
      </w:r>
    </w:p>
    <w:p>
      <w:pPr>
        <w:spacing w:after="0" w:line="180" w:lineRule="exact"/>
        <w:rPr>
          <w:rFonts w:ascii="Times New Roman" w:cs="Times New Roman" w:eastAsia="Times New Roman" w:hAnsi="Times New Roman"/>
          <w:sz w:val="22"/>
          <w:szCs w:val="22"/>
          <w:color w:val="auto"/>
        </w:rPr>
      </w:pPr>
    </w:p>
    <w:p>
      <w:pPr>
        <w:ind w:right="460" w:firstLine="1304"/>
        <w:spacing w:after="0" w:line="258" w:lineRule="auto"/>
        <w:tabs>
          <w:tab w:leader="none" w:pos="1944"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receive direct and indirect benefits as a result of this Amendment becoming effective and the consummation of the transactions contemplated hereby.</w:t>
      </w:r>
    </w:p>
    <w:p>
      <w:pPr>
        <w:spacing w:after="0" w:line="154" w:lineRule="exact"/>
        <w:rPr>
          <w:rFonts w:ascii="Times New Roman" w:cs="Times New Roman" w:eastAsia="Times New Roman" w:hAnsi="Times New Roman"/>
          <w:sz w:val="22"/>
          <w:szCs w:val="22"/>
          <w:color w:val="auto"/>
        </w:rPr>
      </w:pPr>
    </w:p>
    <w:p>
      <w:pPr>
        <w:ind w:right="180" w:firstLine="656"/>
        <w:spacing w:after="0" w:line="262" w:lineRule="auto"/>
        <w:tabs>
          <w:tab w:leader="none" w:pos="1296"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Conditions Precedent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shall become effective on the date (such date,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when each of the following conditions precedent is satisfied:</w:t>
      </w:r>
    </w:p>
    <w:p>
      <w:pPr>
        <w:spacing w:after="0" w:line="153" w:lineRule="exact"/>
        <w:rPr>
          <w:rFonts w:ascii="Times New Roman" w:cs="Times New Roman" w:eastAsia="Times New Roman" w:hAnsi="Times New Roman"/>
          <w:sz w:val="22"/>
          <w:szCs w:val="22"/>
          <w:b w:val="1"/>
          <w:bCs w:val="1"/>
          <w:color w:val="auto"/>
        </w:rPr>
      </w:pPr>
    </w:p>
    <w:p>
      <w:pPr>
        <w:ind w:right="360" w:firstLine="1304"/>
        <w:spacing w:after="0" w:line="244" w:lineRule="auto"/>
        <w:tabs>
          <w:tab w:leader="none" w:pos="1964"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counterparts of this Amendment duly executed by (i) the Borrower, (ii) the Subsidiary Loan Parties, (iii) the Administrative Agent, (iv) the Required Lenders and (v) each of the Term Lenders;</w:t>
      </w:r>
    </w:p>
    <w:p>
      <w:pPr>
        <w:spacing w:after="0" w:line="173" w:lineRule="exact"/>
        <w:rPr>
          <w:rFonts w:ascii="Times New Roman" w:cs="Times New Roman" w:eastAsia="Times New Roman" w:hAnsi="Times New Roman"/>
          <w:sz w:val="22"/>
          <w:szCs w:val="22"/>
          <w:color w:val="auto"/>
        </w:rPr>
      </w:pPr>
    </w:p>
    <w:p>
      <w:pPr>
        <w:ind w:right="140" w:firstLine="1304"/>
        <w:spacing w:after="0" w:line="258" w:lineRule="auto"/>
        <w:tabs>
          <w:tab w:leader="none" w:pos="1976"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executed and delivered a term note (each a “</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to each Term Lender in the principal amount of such Lender’s Term Commitment;</w:t>
      </w:r>
    </w:p>
    <w:p>
      <w:pPr>
        <w:spacing w:after="0" w:line="158"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w:t>
      </w:r>
    </w:p>
    <w:p>
      <w:pPr>
        <w:spacing w:after="0" w:line="206" w:lineRule="exact"/>
        <w:rPr>
          <w:rFonts w:ascii="Times New Roman" w:cs="Times New Roman" w:eastAsia="Times New Roman" w:hAnsi="Times New Roman"/>
          <w:sz w:val="22"/>
          <w:szCs w:val="22"/>
          <w:color w:val="auto"/>
        </w:rPr>
      </w:pPr>
    </w:p>
    <w:p>
      <w:pPr>
        <w:ind w:left="660" w:firstLine="1292"/>
        <w:spacing w:after="0" w:line="235" w:lineRule="auto"/>
        <w:tabs>
          <w:tab w:leader="none" w:pos="2646" w:val="left"/>
        </w:tabs>
        <w:numPr>
          <w:ilvl w:val="2"/>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one or more duly executed certificates of the Secretary or an Assistant Secretary of the Borrower and each Loan Party, as the case may be, dated the First Amendment Effective Date substantially in the form of the certificate(s) delivered pursuant to Section 4.01(b), (c), (n) and (o) of the Credit Agreement attaching (to the extent applicable) the documents referred to therein and containing an incumbency certificate containing the name and signature of any Person executing this Amendment or a Term Note on behalf of a Loan Party, (B) a certification of another officer as to the incumbency and specimen signature of the secretary executing the certificate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16" w:name="page417"/>
    <w:bookmarkEnd w:id="416"/>
    <w:p>
      <w:pPr>
        <w:ind w:left="580" w:right="140"/>
        <w:spacing w:after="0" w:line="258" w:lineRule="auto"/>
        <w:rPr>
          <w:sz w:val="20"/>
          <w:szCs w:val="20"/>
          <w:color w:val="auto"/>
        </w:rPr>
      </w:pPr>
      <w:r>
        <w:rPr>
          <w:rFonts w:ascii="Times New Roman" w:cs="Times New Roman" w:eastAsia="Times New Roman" w:hAnsi="Times New Roman"/>
          <w:sz w:val="22"/>
          <w:szCs w:val="22"/>
          <w:color w:val="auto"/>
        </w:rPr>
        <w:t>clause (A) above and (C) a certificate as of a recent date as to the good standing of each Loan Party from the Secretary of State of its jurisdiction of organization;</w:t>
      </w:r>
    </w:p>
    <w:p>
      <w:pPr>
        <w:spacing w:after="0" w:line="159" w:lineRule="exact"/>
        <w:rPr>
          <w:sz w:val="20"/>
          <w:szCs w:val="20"/>
          <w:color w:val="auto"/>
        </w:rPr>
      </w:pPr>
    </w:p>
    <w:p>
      <w:pPr>
        <w:ind w:left="580" w:right="300" w:firstLine="1292"/>
        <w:spacing w:after="0" w:line="258" w:lineRule="auto"/>
        <w:tabs>
          <w:tab w:leader="none" w:pos="2506"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certificate of a Financial Officer of the Borrower dated the First Amendment Effective Date certifying that:</w:t>
      </w:r>
    </w:p>
    <w:p>
      <w:pPr>
        <w:spacing w:after="0" w:line="158" w:lineRule="exact"/>
        <w:rPr>
          <w:rFonts w:ascii="Times New Roman" w:cs="Times New Roman" w:eastAsia="Times New Roman" w:hAnsi="Times New Roman"/>
          <w:sz w:val="22"/>
          <w:szCs w:val="22"/>
          <w:color w:val="auto"/>
        </w:rPr>
      </w:pPr>
    </w:p>
    <w:p>
      <w:pPr>
        <w:ind w:left="3160" w:right="360" w:hanging="640"/>
        <w:spacing w:after="0" w:line="258" w:lineRule="auto"/>
        <w:tabs>
          <w:tab w:leader="none" w:pos="3196"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conditions in Section 4.02 of the Credit Agreement has been satisfied as of the First Amendment Effective Date;</w:t>
      </w:r>
    </w:p>
    <w:p>
      <w:pPr>
        <w:spacing w:after="0" w:line="158" w:lineRule="exact"/>
        <w:rPr>
          <w:rFonts w:ascii="Times New Roman" w:cs="Times New Roman" w:eastAsia="Times New Roman" w:hAnsi="Times New Roman"/>
          <w:sz w:val="22"/>
          <w:szCs w:val="22"/>
          <w:color w:val="auto"/>
        </w:rPr>
      </w:pPr>
    </w:p>
    <w:p>
      <w:pPr>
        <w:ind w:left="3160" w:hanging="640"/>
        <w:spacing w:after="0" w:line="244" w:lineRule="auto"/>
        <w:tabs>
          <w:tab w:leader="none" w:pos="3196"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exist on the First Amendment Effective Date both before and after giving effect to the Term Commitments and the making of the Term Loans pursuant thereto; and</w:t>
      </w:r>
    </w:p>
    <w:p>
      <w:pPr>
        <w:spacing w:after="0" w:line="173" w:lineRule="exact"/>
        <w:rPr>
          <w:rFonts w:ascii="Times New Roman" w:cs="Times New Roman" w:eastAsia="Times New Roman" w:hAnsi="Times New Roman"/>
          <w:sz w:val="22"/>
          <w:szCs w:val="22"/>
          <w:color w:val="auto"/>
        </w:rPr>
      </w:pPr>
    </w:p>
    <w:p>
      <w:pPr>
        <w:ind w:left="3160" w:right="220" w:hanging="640"/>
        <w:spacing w:after="0" w:line="239" w:lineRule="auto"/>
        <w:tabs>
          <w:tab w:leader="none" w:pos="3196" w:val="left"/>
        </w:tabs>
        <w:numPr>
          <w:ilvl w:val="2"/>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the Term Loans as if made on June 30, 2020, the Borrower shall be in compliance with the covenants set forth in Sections 6.12 and 6.13 of the Credit Agreement (as amended hereby)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together with the supporting calculations;</w:t>
      </w:r>
    </w:p>
    <w:p>
      <w:pPr>
        <w:spacing w:after="0" w:line="180" w:lineRule="exact"/>
        <w:rPr>
          <w:rFonts w:ascii="Times New Roman" w:cs="Times New Roman" w:eastAsia="Times New Roman" w:hAnsi="Times New Roman"/>
          <w:sz w:val="22"/>
          <w:szCs w:val="22"/>
          <w:color w:val="auto"/>
        </w:rPr>
      </w:pPr>
    </w:p>
    <w:p>
      <w:pPr>
        <w:ind w:left="580" w:right="960" w:firstLine="1292"/>
        <w:spacing w:after="0" w:line="258" w:lineRule="auto"/>
        <w:tabs>
          <w:tab w:leader="none" w:pos="2512"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opinion of Faegre Drinker Biddle &amp; Reath LLP, dated the First Amendment Effective Date, reasonably acceptable to the Administrative Agent;</w:t>
      </w:r>
    </w:p>
    <w:p>
      <w:pPr>
        <w:spacing w:after="0" w:line="158" w:lineRule="exact"/>
        <w:rPr>
          <w:rFonts w:ascii="Times New Roman" w:cs="Times New Roman" w:eastAsia="Times New Roman" w:hAnsi="Times New Roman"/>
          <w:sz w:val="22"/>
          <w:szCs w:val="22"/>
          <w:color w:val="auto"/>
        </w:rPr>
      </w:pPr>
    </w:p>
    <w:p>
      <w:pPr>
        <w:ind w:left="-80" w:right="80" w:firstLine="1304"/>
        <w:spacing w:after="0" w:line="244" w:lineRule="auto"/>
        <w:tabs>
          <w:tab w:leader="none" w:pos="189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Lien searches with respect to the Loan Parties requested by the Administrative Agent, the results of which are in form and substance satisfactory to the Administrative Agent;</w:t>
      </w:r>
    </w:p>
    <w:p>
      <w:pPr>
        <w:spacing w:after="0" w:line="173" w:lineRule="exact"/>
        <w:rPr>
          <w:rFonts w:ascii="Times New Roman" w:cs="Times New Roman" w:eastAsia="Times New Roman" w:hAnsi="Times New Roman"/>
          <w:sz w:val="22"/>
          <w:szCs w:val="22"/>
          <w:color w:val="auto"/>
        </w:rPr>
      </w:pPr>
    </w:p>
    <w:p>
      <w:pPr>
        <w:ind w:left="1900" w:hanging="676"/>
        <w:spacing w:after="0"/>
        <w:tabs>
          <w:tab w:leader="none" w:pos="190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such fees as shall have been agreed;</w:t>
      </w:r>
    </w:p>
    <w:p>
      <w:pPr>
        <w:spacing w:after="0" w:line="206" w:lineRule="exact"/>
        <w:rPr>
          <w:rFonts w:ascii="Times New Roman" w:cs="Times New Roman" w:eastAsia="Times New Roman" w:hAnsi="Times New Roman"/>
          <w:sz w:val="22"/>
          <w:szCs w:val="22"/>
          <w:color w:val="auto"/>
        </w:rPr>
      </w:pPr>
    </w:p>
    <w:p>
      <w:pPr>
        <w:ind w:left="-80" w:right="40" w:firstLine="1304"/>
        <w:spacing w:after="0" w:line="261" w:lineRule="auto"/>
        <w:tabs>
          <w:tab w:leader="none" w:pos="1860"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the Administrative Agent, the Administrative Agent shall have received evidence of insurance, in form and substance reasonably satisfactory to the Administrative Agent and its counsel naming the Administrative Agent, in its capacity as such, as additional insured and lender loss payee;</w:t>
      </w:r>
    </w:p>
    <w:p>
      <w:pPr>
        <w:spacing w:after="0" w:line="157" w:lineRule="exact"/>
        <w:rPr>
          <w:rFonts w:ascii="Times New Roman" w:cs="Times New Roman" w:eastAsia="Times New Roman" w:hAnsi="Times New Roman"/>
          <w:sz w:val="21"/>
          <w:szCs w:val="21"/>
          <w:color w:val="auto"/>
        </w:rPr>
      </w:pPr>
    </w:p>
    <w:p>
      <w:pPr>
        <w:ind w:left="-80" w:right="320" w:firstLine="1304"/>
        <w:spacing w:after="0" w:line="238" w:lineRule="auto"/>
        <w:tabs>
          <w:tab w:leader="none" w:pos="189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executed Certificate of Beneficial Ownership for the Borrower and such other documentation, in form and substance acceptable to the Administrative Agent and each Lender, and other information requested by the Administrative Agent or any Lender in connection with applicable “know your customer” and anti-money laundering rules and regulations, including the USA Patriot Act;</w:t>
      </w:r>
    </w:p>
    <w:p>
      <w:pPr>
        <w:spacing w:after="0" w:line="176" w:lineRule="exact"/>
        <w:rPr>
          <w:rFonts w:ascii="Times New Roman" w:cs="Times New Roman" w:eastAsia="Times New Roman" w:hAnsi="Times New Roman"/>
          <w:sz w:val="22"/>
          <w:szCs w:val="22"/>
          <w:color w:val="auto"/>
        </w:rPr>
      </w:pPr>
    </w:p>
    <w:p>
      <w:pPr>
        <w:ind w:left="-80" w:right="20" w:firstLine="1304"/>
        <w:spacing w:after="0" w:line="244" w:lineRule="auto"/>
        <w:tabs>
          <w:tab w:leader="none" w:pos="1896"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to the extent invoiced, reimbursement of all fees and expenses of counsel to the Administrative Agent required to be paid or reimbursed by the Borrower hereunder; and</w:t>
      </w:r>
    </w:p>
    <w:p>
      <w:pPr>
        <w:spacing w:after="0" w:line="173" w:lineRule="exact"/>
        <w:rPr>
          <w:rFonts w:ascii="Times New Roman" w:cs="Times New Roman" w:eastAsia="Times New Roman" w:hAnsi="Times New Roman"/>
          <w:sz w:val="22"/>
          <w:szCs w:val="22"/>
          <w:color w:val="auto"/>
        </w:rPr>
      </w:pPr>
    </w:p>
    <w:p>
      <w:pPr>
        <w:ind w:left="-80" w:right="840" w:firstLine="1304"/>
        <w:spacing w:after="0" w:line="258" w:lineRule="auto"/>
        <w:tabs>
          <w:tab w:leader="none" w:pos="1902"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other documents, resolutions, certificates and opinions as the Administrative Agent or its counsel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353695</wp:posOffset>
            </wp:positionV>
            <wp:extent cx="6292215" cy="260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060" w:top="111" w:right="10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22"/>
          <w:szCs w:val="22"/>
          <w:color w:val="auto"/>
        </w:rPr>
        <w:t>requested, all in form and substance reasonably satisfactory to the Administrative Agent and its counsel.</w:t>
      </w:r>
    </w:p>
    <w:p>
      <w:pPr>
        <w:spacing w:after="0" w:line="202" w:lineRule="exact"/>
        <w:rPr>
          <w:sz w:val="20"/>
          <w:szCs w:val="20"/>
          <w:color w:val="auto"/>
        </w:rPr>
      </w:pPr>
    </w:p>
    <w:p>
      <w:pPr>
        <w:ind w:right="100" w:firstLine="656"/>
        <w:spacing w:after="0" w:line="235" w:lineRule="auto"/>
        <w:tabs>
          <w:tab w:leader="none" w:pos="1296" w:val="left"/>
        </w:tabs>
        <w:numPr>
          <w:ilvl w:val="0"/>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Affirmations and Reaffirmations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Each of the Loan Parties hereby (i) ratifies and affirms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the Credit Agreement and the other Loan Documents as amended hereby, (ii) agrees that the terms and conditions of the Credit Agreement and the other Loan Documents shall continue in full force and effect as amended hereby and that all of its obligations thereunder are valid and enforceable and shall not be impaired or limited by the execution or effectiveness of this Amendment or any other documents or instruments executed in connection herewith and (iii) acknowledges and agrees that it has no defense, set-off, counterclaim or challenge against the payment of any sums currently owing under the Credit Agreement and the other Loan Documents or the enforcement of any of the terms or conditions thereof and agrees to be bound thereby and perform thereunder.</w:t>
      </w:r>
    </w:p>
    <w:p>
      <w:pPr>
        <w:spacing w:after="0" w:line="177" w:lineRule="exact"/>
        <w:rPr>
          <w:rFonts w:ascii="Times New Roman" w:cs="Times New Roman" w:eastAsia="Times New Roman" w:hAnsi="Times New Roman"/>
          <w:sz w:val="22"/>
          <w:szCs w:val="22"/>
          <w:b w:val="1"/>
          <w:bCs w:val="1"/>
          <w:color w:val="auto"/>
        </w:rPr>
      </w:pPr>
    </w:p>
    <w:p>
      <w:pPr>
        <w:ind w:firstLine="1304"/>
        <w:spacing w:after="0" w:line="246" w:lineRule="auto"/>
        <w:tabs>
          <w:tab w:leader="none" w:pos="1980" w:val="left"/>
        </w:tabs>
        <w:numPr>
          <w:ilvl w:val="1"/>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hereby (i) acknowledges and agrees that the Liens and security interests granted to the Administrative Agent for the benefit of the Secured Parties under the Security Documents are in full force and effect, constitute valid and perfected Liens and security interests on the Collateral having priority over all other Liens and security interests on the Collateral, except to the extent permitted under the Credit Agreement and the other Loan Documents, and are enforceable in accordance with the terms of the applicable Security Documents (including, without limitation, the Collateral Agreement and the IP Security Agreements), and will continue to secure the Secured Obligations, including the obligations under the Credit Agreement and the other Loan Documents, (ii) reaffirms all of its obligations owing to the Administrative Agent and the Lenders under the Security Documents and (iii) acknowledges and agrees that the Security Documents shall continue to constitute a legal, valid and binding obligation of such Loan Party, enforceable in accordance with their terms.</w:t>
      </w:r>
    </w:p>
    <w:p>
      <w:pPr>
        <w:spacing w:after="0" w:line="170" w:lineRule="exact"/>
        <w:rPr>
          <w:rFonts w:ascii="Times New Roman" w:cs="Times New Roman" w:eastAsia="Times New Roman" w:hAnsi="Times New Roman"/>
          <w:sz w:val="21"/>
          <w:szCs w:val="21"/>
          <w:color w:val="auto"/>
        </w:rPr>
      </w:pPr>
    </w:p>
    <w:p>
      <w:pPr>
        <w:ind w:right="20" w:firstLine="1304"/>
        <w:spacing w:after="0" w:line="236" w:lineRule="auto"/>
        <w:tabs>
          <w:tab w:leader="none" w:pos="1968"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(other than the Borrower) hereby (i) confirms and ratifies that all of its obligations as a Guarantor shall continue in full force and effect for the benefit of the Administrative Agent and the Secured Parties with respect to the Secured Obligations, including the obligations under the Credit Agreement, as amended hereby, and the other Loan Documents and (ii) hereby irrevocably and unconditionally guarantees, jointly with the other Guarantors and severally, as a primary obligor and not merely as a surety, the due and punctual payment and performance of the Secured Obligations.</w:t>
      </w:r>
    </w:p>
    <w:p>
      <w:pPr>
        <w:spacing w:after="0" w:line="177" w:lineRule="exact"/>
        <w:rPr>
          <w:rFonts w:ascii="Times New Roman" w:cs="Times New Roman" w:eastAsia="Times New Roman" w:hAnsi="Times New Roman"/>
          <w:sz w:val="22"/>
          <w:szCs w:val="22"/>
          <w:color w:val="auto"/>
        </w:rPr>
      </w:pPr>
    </w:p>
    <w:p>
      <w:pPr>
        <w:ind w:right="260" w:firstLine="656"/>
        <w:spacing w:after="0" w:line="246" w:lineRule="auto"/>
        <w:tabs>
          <w:tab w:leader="none" w:pos="1296" w:val="left"/>
        </w:tabs>
        <w:numPr>
          <w:ilvl w:val="0"/>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Limited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expressly modified hereby, the Credit Agreement and the other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shall continue to be, and shall remain, unaltered and in full force and effect in accordance with their terms.</w:t>
      </w:r>
    </w:p>
    <w:p>
      <w:pPr>
        <w:spacing w:after="0" w:line="167" w:lineRule="exact"/>
        <w:rPr>
          <w:rFonts w:ascii="Times New Roman" w:cs="Times New Roman" w:eastAsia="Times New Roman" w:hAnsi="Times New Roman"/>
          <w:sz w:val="22"/>
          <w:szCs w:val="22"/>
          <w:b w:val="1"/>
          <w:bCs w:val="1"/>
          <w:color w:val="auto"/>
        </w:rPr>
      </w:pPr>
    </w:p>
    <w:p>
      <w:pPr>
        <w:ind w:right="280" w:firstLine="656"/>
        <w:spacing w:after="0" w:line="237" w:lineRule="auto"/>
        <w:tabs>
          <w:tab w:leader="none" w:pos="1296" w:val="left"/>
        </w:tabs>
        <w:numPr>
          <w:ilvl w:val="0"/>
          <w:numId w:val="3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constitutes the sole agreement of the parties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contemplated hereby and shall supersede all oral negotiations and the terms of prior writings with respect thereto. From and after the First Amendment Effective Date, all references in the Credit Agreement and each of the other Loan Documents to the Credit Agreement shall be deemed to be references to the Credit Agreement, as modified hereby. This Amendment shall constitute a Loan Document for all purposes under the Credit Agreement and each of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418" w:name="page419"/>
    <w:bookmarkEnd w:id="418"/>
    <w:p>
      <w:pPr>
        <w:jc w:val="both"/>
        <w:ind w:left="-20" w:right="620" w:firstLine="656"/>
        <w:spacing w:after="0" w:line="256" w:lineRule="auto"/>
        <w:tabs>
          <w:tab w:leader="none" w:pos="1276" w:val="left"/>
        </w:tabs>
        <w:numPr>
          <w:ilvl w:val="0"/>
          <w:numId w:val="3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provision of this Amendment which is prohibited or unenforceable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Times New Roman" w:cs="Times New Roman" w:eastAsia="Times New Roman" w:hAnsi="Times New Roman"/>
          <w:sz w:val="21"/>
          <w:szCs w:val="21"/>
          <w:b w:val="1"/>
          <w:bCs w:val="1"/>
          <w:color w:val="auto"/>
        </w:rPr>
      </w:pPr>
    </w:p>
    <w:p>
      <w:pPr>
        <w:ind w:left="-20" w:right="60" w:firstLine="656"/>
        <w:spacing w:after="0" w:line="233" w:lineRule="auto"/>
        <w:tabs>
          <w:tab w:leader="none" w:pos="1276"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Novation</w:t>
      </w:r>
      <w:r>
        <w:rPr>
          <w:rFonts w:ascii="Times New Roman" w:cs="Times New Roman" w:eastAsia="Times New Roman" w:hAnsi="Times New Roman"/>
          <w:sz w:val="22"/>
          <w:szCs w:val="22"/>
          <w:color w:val="auto"/>
        </w:rPr>
        <w:t>. It is the intention of the parties hereto that this Amendment (including 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shall not constitute a termination of the Existing Credit Agreement (as defined below), nor shall it extinguish the obligations for the payment of any Secured Obligations and/or any amounts due under the Existing Credit Agreement, or discharge or release (a) the performance of any party or (b) the attachment, creation or priority of any security interest or other Lien granted under the Collateral Agreement or any other Security Document (including the IP Security Agreements). It is the intention of the parties hereto that nothing herein contained or in the Credit Agreement shall be construed as a substitution, novation, release or discharge of (a) any of the Loans or other obligations outstanding under the Existing Credit Agreement or (b) any of the Secured Obligations outstanding under the Collateral Agreement, each of which shall remain in full force and effect, except to any extent modified hereby or by the Credit Agreement attached hereto. It is the intention of the parties hereto that all such security interests and Liens granted under the Collateral Agreement and the other Loan Documents (including the security interests and Liens granted under the Collateral Agreement and the IP Security Agreements) shall continue in full force and effect as amended, supplemented or otherwise modified herein. As used in this Section, the term “Existing Credit Agreement” shall mean the Credit Agreement as in effect immediately prior to this Amendment becoming effective on the First Amendment Effective Date.</w:t>
      </w:r>
    </w:p>
    <w:p>
      <w:pPr>
        <w:spacing w:after="0" w:line="177" w:lineRule="exact"/>
        <w:rPr>
          <w:rFonts w:ascii="Times New Roman" w:cs="Times New Roman" w:eastAsia="Times New Roman" w:hAnsi="Times New Roman"/>
          <w:sz w:val="22"/>
          <w:szCs w:val="22"/>
          <w:b w:val="1"/>
          <w:bCs w:val="1"/>
          <w:color w:val="auto"/>
        </w:rPr>
      </w:pPr>
    </w:p>
    <w:p>
      <w:pPr>
        <w:ind w:left="1280" w:hanging="644"/>
        <w:spacing w:after="0"/>
        <w:tabs>
          <w:tab w:leader="none" w:pos="1280" w:val="left"/>
        </w:tabs>
        <w:numPr>
          <w:ilvl w:val="0"/>
          <w:numId w:val="3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20" w:firstLine="1304"/>
        <w:spacing w:after="0" w:line="239" w:lineRule="auto"/>
        <w:tabs>
          <w:tab w:leader="none" w:pos="1948"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Loan Parties, jointly and severally agree to pay all of the Administrative Agent’s reasonable out-of-pocket fees and expenses incurred in connection with this Amendment and the transactions contemplated hereby, including, without limitation, the reasonable fees and expenses of counsel to the Administrative Agent.</w:t>
      </w:r>
    </w:p>
    <w:p>
      <w:pPr>
        <w:spacing w:after="0" w:line="180" w:lineRule="exact"/>
        <w:rPr>
          <w:rFonts w:ascii="Times New Roman" w:cs="Times New Roman" w:eastAsia="Times New Roman" w:hAnsi="Times New Roman"/>
          <w:sz w:val="22"/>
          <w:szCs w:val="22"/>
          <w:color w:val="auto"/>
        </w:rPr>
      </w:pPr>
    </w:p>
    <w:p>
      <w:pPr>
        <w:ind w:left="-20" w:right="220" w:firstLine="1304"/>
        <w:spacing w:after="0" w:line="261" w:lineRule="auto"/>
        <w:tabs>
          <w:tab w:leader="none" w:pos="1960" w:val="left"/>
        </w:tabs>
        <w:numPr>
          <w:ilvl w:val="1"/>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AMENDMENT SHALL BE GOVERNED BY, AND INTERPRETED AND CONSTRUED IN ACCORDANCE WITH, THE LAWS OF THE COMMONWEALTH OF PENNSYLVANIA WITHOUT GIVING EFFECT TO THE CHOICE OF LAW PROVISIONS THEREOF.</w:t>
      </w:r>
    </w:p>
    <w:p>
      <w:pPr>
        <w:spacing w:after="0" w:line="157" w:lineRule="exact"/>
        <w:rPr>
          <w:rFonts w:ascii="Times New Roman" w:cs="Times New Roman" w:eastAsia="Times New Roman" w:hAnsi="Times New Roman"/>
          <w:sz w:val="21"/>
          <w:szCs w:val="21"/>
          <w:color w:val="auto"/>
        </w:rPr>
      </w:pPr>
    </w:p>
    <w:p>
      <w:pPr>
        <w:ind w:left="-20" w:right="40" w:firstLine="1304"/>
        <w:spacing w:after="0" w:line="258" w:lineRule="auto"/>
        <w:tabs>
          <w:tab w:leader="none" w:pos="1948"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and Assigns</w:t>
      </w:r>
      <w:r>
        <w:rPr>
          <w:rFonts w:ascii="Times New Roman" w:cs="Times New Roman" w:eastAsia="Times New Roman" w:hAnsi="Times New Roman"/>
          <w:sz w:val="22"/>
          <w:szCs w:val="22"/>
          <w:color w:val="auto"/>
        </w:rPr>
        <w:t>. This Amendment shall inure to the benefit of, and be binding upon, the parties hereto and their respective successors and assigns.</w:t>
      </w:r>
    </w:p>
    <w:p>
      <w:pPr>
        <w:spacing w:after="0" w:line="158" w:lineRule="exact"/>
        <w:rPr>
          <w:rFonts w:ascii="Times New Roman" w:cs="Times New Roman" w:eastAsia="Times New Roman" w:hAnsi="Times New Roman"/>
          <w:sz w:val="22"/>
          <w:szCs w:val="22"/>
          <w:color w:val="auto"/>
        </w:rPr>
      </w:pPr>
    </w:p>
    <w:p>
      <w:pPr>
        <w:ind w:left="-20" w:right="40" w:firstLine="1304"/>
        <w:spacing w:after="0" w:line="238" w:lineRule="auto"/>
        <w:tabs>
          <w:tab w:leader="none" w:pos="1960"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counterparts when executed and delivered shall be deemed to be an original, and all of which shall constitute one and the same instrument. Delivery of an executed counterpart of a signature page to this Amendment by facsimile, pdf or other electronic transmission will be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08" w:right="999" w:bottom="1440" w:gutter="0" w:footer="0" w:header="0"/>
        </w:sectPr>
      </w:pPr>
    </w:p>
    <w:bookmarkStart w:id="419" w:name="page420"/>
    <w:bookmarkEnd w:id="419"/>
    <w:p>
      <w:pPr>
        <w:ind w:left="-80" w:firstLine="1304"/>
        <w:spacing w:after="0" w:line="258" w:lineRule="auto"/>
        <w:tabs>
          <w:tab w:leader="none" w:pos="1888"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any paragraph of this Amendment are for convenience only and shall not be used to interpret any provision hereof.</w:t>
      </w:r>
    </w:p>
    <w:p>
      <w:pPr>
        <w:spacing w:after="0" w:line="158" w:lineRule="exact"/>
        <w:rPr>
          <w:rFonts w:ascii="Times New Roman" w:cs="Times New Roman" w:eastAsia="Times New Roman" w:hAnsi="Times New Roman"/>
          <w:sz w:val="22"/>
          <w:szCs w:val="22"/>
          <w:color w:val="auto"/>
        </w:rPr>
      </w:pPr>
    </w:p>
    <w:p>
      <w:pPr>
        <w:ind w:left="-80" w:right="20" w:firstLine="1304"/>
        <w:spacing w:after="0" w:line="258" w:lineRule="auto"/>
        <w:tabs>
          <w:tab w:leader="none" w:pos="1864"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C0C0C"/>
        </w:rPr>
        <w:t>Modifications</w:t>
      </w:r>
      <w:r>
        <w:rPr>
          <w:rFonts w:ascii="Times New Roman" w:cs="Times New Roman" w:eastAsia="Times New Roman" w:hAnsi="Times New Roman"/>
          <w:sz w:val="22"/>
          <w:szCs w:val="22"/>
          <w:color w:val="0C0C0C"/>
        </w:rPr>
        <w:t xml:space="preserve">. No modification hereof or any agreement referred to herein shall be binding or </w:t>
      </w:r>
      <w:r>
        <w:rPr>
          <w:rFonts w:ascii="Times New Roman" w:cs="Times New Roman" w:eastAsia="Times New Roman" w:hAnsi="Times New Roman"/>
          <w:sz w:val="22"/>
          <w:szCs w:val="22"/>
          <w:color w:val="000000"/>
        </w:rPr>
        <w:t>enforceable unless in writing and signed on behalf of the party against whom enforcement is sought.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353695</wp:posOffset>
            </wp:positionV>
            <wp:extent cx="6292215" cy="260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060" w:top="111" w:right="1059" w:bottom="1440" w:gutter="0" w:footer="0" w:header="0"/>
        </w:sectPr>
      </w:pPr>
    </w:p>
    <w:bookmarkStart w:id="420" w:name="page421"/>
    <w:bookmarkEnd w:id="420"/>
    <w:p>
      <w:pPr>
        <w:ind w:right="5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duly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by their proper and duly authorized officers as of the day and year first above written.</w:t>
      </w:r>
    </w:p>
    <w:p>
      <w:pPr>
        <w:spacing w:after="0" w:line="154"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22"/>
          <w:szCs w:val="22"/>
          <w:color w:val="auto"/>
        </w:rPr>
        <w:t>BORROWER:</w:t>
      </w:r>
      <w:r>
        <w:rPr>
          <w:sz w:val="20"/>
          <w:szCs w:val="20"/>
          <w:color w:val="auto"/>
        </w:rPr>
        <w:tab/>
      </w:r>
      <w:r>
        <w:rPr>
          <w:rFonts w:ascii="Times New Roman" w:cs="Times New Roman" w:eastAsia="Times New Roman" w:hAnsi="Times New Roman"/>
          <w:sz w:val="22"/>
          <w:szCs w:val="22"/>
          <w:color w:val="auto"/>
        </w:rPr>
        <w:t>BENTLEY SYSTEMS, INCORPORATED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tcPr>
          <w:p>
            <w:pPr>
              <w:spacing w:after="0"/>
              <w:rPr>
                <w:sz w:val="23"/>
                <w:szCs w:val="23"/>
                <w:color w:val="auto"/>
              </w:rPr>
            </w:pP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By:/s/ David Hollister</w:t>
            </w:r>
          </w:p>
        </w:tc>
      </w:tr>
      <w:tr>
        <w:trPr>
          <w:trHeight w:val="209"/>
        </w:trPr>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David Hollister</w:t>
            </w:r>
          </w:p>
        </w:tc>
      </w:tr>
      <w:tr>
        <w:trPr>
          <w:trHeight w:val="282"/>
        </w:trPr>
        <w:tc>
          <w:tcPr>
            <w:tcW w:w="3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690"/>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SUBSIDIARY LOAN PARTIES:</w:t>
            </w: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BENTLEY SOFTWARE, INC.</w:t>
            </w:r>
          </w:p>
        </w:tc>
      </w:tr>
      <w:tr>
        <w:trPr>
          <w:trHeight w:val="243"/>
        </w:trPr>
        <w:tc>
          <w:tcPr>
            <w:tcW w:w="3940" w:type="dxa"/>
            <w:vAlign w:val="bottom"/>
          </w:tcPr>
          <w:p>
            <w:pPr>
              <w:spacing w:after="0"/>
              <w:rPr>
                <w:sz w:val="21"/>
                <w:szCs w:val="21"/>
                <w:color w:val="auto"/>
              </w:rPr>
            </w:pPr>
          </w:p>
        </w:tc>
        <w:tc>
          <w:tcPr>
            <w:tcW w:w="598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BENTLEY SYSTEMS INTERNATIONAL</w:t>
            </w:r>
          </w:p>
        </w:tc>
      </w:tr>
      <w:tr>
        <w:trPr>
          <w:trHeight w:val="243"/>
        </w:trPr>
        <w:tc>
          <w:tcPr>
            <w:tcW w:w="3940" w:type="dxa"/>
            <w:vAlign w:val="bottom"/>
          </w:tcPr>
          <w:p>
            <w:pPr>
              <w:spacing w:after="0"/>
              <w:rPr>
                <w:sz w:val="21"/>
                <w:szCs w:val="21"/>
                <w:color w:val="auto"/>
              </w:rPr>
            </w:pPr>
          </w:p>
        </w:tc>
        <w:tc>
          <w:tcPr>
            <w:tcW w:w="598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HOLDINGS, INC.</w:t>
            </w:r>
          </w:p>
        </w:tc>
      </w:tr>
      <w:tr>
        <w:trPr>
          <w:trHeight w:val="243"/>
        </w:trPr>
        <w:tc>
          <w:tcPr>
            <w:tcW w:w="3940" w:type="dxa"/>
            <w:vAlign w:val="bottom"/>
          </w:tcPr>
          <w:p>
            <w:pPr>
              <w:spacing w:after="0"/>
              <w:rPr>
                <w:sz w:val="21"/>
                <w:szCs w:val="21"/>
                <w:color w:val="auto"/>
              </w:rPr>
            </w:pPr>
          </w:p>
        </w:tc>
        <w:tc>
          <w:tcPr>
            <w:tcW w:w="598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DIGITAL WATER WORKS, INC.</w:t>
            </w:r>
          </w:p>
        </w:tc>
      </w:tr>
      <w:tr>
        <w:trPr>
          <w:trHeight w:val="243"/>
        </w:trPr>
        <w:tc>
          <w:tcPr>
            <w:tcW w:w="3940" w:type="dxa"/>
            <w:vAlign w:val="bottom"/>
          </w:tcPr>
          <w:p>
            <w:pPr>
              <w:spacing w:after="0"/>
              <w:rPr>
                <w:sz w:val="21"/>
                <w:szCs w:val="21"/>
                <w:color w:val="auto"/>
              </w:rPr>
            </w:pPr>
          </w:p>
        </w:tc>
        <w:tc>
          <w:tcPr>
            <w:tcW w:w="5980" w:type="dxa"/>
            <w:vAlign w:val="bottom"/>
            <w:gridSpan w:val="3"/>
          </w:tcPr>
          <w:p>
            <w:pPr>
              <w:ind w:left="1040"/>
              <w:spacing w:after="0" w:line="243" w:lineRule="exact"/>
              <w:rPr>
                <w:sz w:val="20"/>
                <w:szCs w:val="20"/>
                <w:color w:val="auto"/>
              </w:rPr>
            </w:pPr>
            <w:r>
              <w:rPr>
                <w:rFonts w:ascii="Times New Roman" w:cs="Times New Roman" w:eastAsia="Times New Roman" w:hAnsi="Times New Roman"/>
                <w:sz w:val="22"/>
                <w:szCs w:val="22"/>
                <w:color w:val="auto"/>
              </w:rPr>
              <w:t>CITILABS, INC.</w:t>
            </w:r>
          </w:p>
        </w:tc>
      </w:tr>
      <w:tr>
        <w:trPr>
          <w:trHeight w:val="282"/>
        </w:trPr>
        <w:tc>
          <w:tcPr>
            <w:tcW w:w="3940" w:type="dxa"/>
            <w:vAlign w:val="bottom"/>
          </w:tcPr>
          <w:p>
            <w:pPr>
              <w:spacing w:after="0"/>
              <w:rPr>
                <w:sz w:val="24"/>
                <w:szCs w:val="24"/>
                <w:color w:val="auto"/>
              </w:rPr>
            </w:pP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COHESIVE SOLUTIONS, LLC</w:t>
            </w:r>
          </w:p>
        </w:tc>
      </w:tr>
      <w:tr>
        <w:trPr>
          <w:trHeight w:val="717"/>
        </w:trPr>
        <w:tc>
          <w:tcPr>
            <w:tcW w:w="3940" w:type="dxa"/>
            <w:vAlign w:val="bottom"/>
          </w:tcPr>
          <w:p>
            <w:pPr>
              <w:spacing w:after="0"/>
              <w:rPr>
                <w:sz w:val="24"/>
                <w:szCs w:val="24"/>
                <w:color w:val="auto"/>
              </w:rPr>
            </w:pP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By:/s/ David Hollister</w:t>
            </w:r>
          </w:p>
        </w:tc>
      </w:tr>
      <w:tr>
        <w:trPr>
          <w:trHeight w:val="209"/>
        </w:trPr>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David Hollister</w:t>
            </w:r>
          </w:p>
        </w:tc>
      </w:tr>
      <w:tr>
        <w:trPr>
          <w:trHeight w:val="282"/>
        </w:trPr>
        <w:tc>
          <w:tcPr>
            <w:tcW w:w="3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Authorized Officer</w:t>
            </w:r>
          </w:p>
        </w:tc>
      </w:tr>
      <w:tr>
        <w:trPr>
          <w:trHeight w:val="690"/>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ADMINISTRATIVE AGENT:</w:t>
            </w: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PNC BANK, NATIONAL ASSOCIATION, as</w:t>
            </w:r>
          </w:p>
        </w:tc>
      </w:tr>
      <w:tr>
        <w:trPr>
          <w:trHeight w:val="282"/>
        </w:trPr>
        <w:tc>
          <w:tcPr>
            <w:tcW w:w="3940" w:type="dxa"/>
            <w:vAlign w:val="bottom"/>
          </w:tcPr>
          <w:p>
            <w:pPr>
              <w:spacing w:after="0"/>
              <w:rPr>
                <w:sz w:val="24"/>
                <w:szCs w:val="24"/>
                <w:color w:val="auto"/>
              </w:rPr>
            </w:pP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Administrative Agent</w:t>
            </w:r>
          </w:p>
        </w:tc>
      </w:tr>
      <w:tr>
        <w:trPr>
          <w:trHeight w:val="717"/>
        </w:trPr>
        <w:tc>
          <w:tcPr>
            <w:tcW w:w="3940" w:type="dxa"/>
            <w:vAlign w:val="bottom"/>
          </w:tcPr>
          <w:p>
            <w:pPr>
              <w:spacing w:after="0"/>
              <w:rPr>
                <w:sz w:val="24"/>
                <w:szCs w:val="24"/>
                <w:color w:val="auto"/>
              </w:rPr>
            </w:pPr>
          </w:p>
        </w:tc>
        <w:tc>
          <w:tcPr>
            <w:tcW w:w="5980" w:type="dxa"/>
            <w:vAlign w:val="bottom"/>
            <w:gridSpan w:val="3"/>
          </w:tcPr>
          <w:p>
            <w:pPr>
              <w:ind w:left="1040"/>
              <w:spacing w:after="0"/>
              <w:rPr>
                <w:sz w:val="20"/>
                <w:szCs w:val="20"/>
                <w:color w:val="auto"/>
              </w:rPr>
            </w:pPr>
            <w:r>
              <w:rPr>
                <w:rFonts w:ascii="Times New Roman" w:cs="Times New Roman" w:eastAsia="Times New Roman" w:hAnsi="Times New Roman"/>
                <w:sz w:val="22"/>
                <w:szCs w:val="22"/>
                <w:color w:val="auto"/>
              </w:rPr>
              <w:t>By:/ s/ Michael P. Dungan</w:t>
            </w:r>
          </w:p>
        </w:tc>
      </w:tr>
      <w:tr>
        <w:trPr>
          <w:trHeight w:val="209"/>
        </w:trPr>
        <w:tc>
          <w:tcPr>
            <w:tcW w:w="3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rPr>
              <w:t>Name: Michael P. Dungan</w:t>
            </w:r>
          </w:p>
        </w:tc>
      </w:tr>
      <w:tr>
        <w:trPr>
          <w:trHeight w:val="282"/>
        </w:trPr>
        <w:tc>
          <w:tcPr>
            <w:tcW w:w="3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53"/>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LENDERS:</w:t>
            </w: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22"/>
                <w:szCs w:val="22"/>
                <w:color w:val="auto"/>
              </w:rPr>
              <w:t>PNC BANK, NATIONAL ASSOCIATION, as</w:t>
            </w:r>
          </w:p>
        </w:tc>
      </w:tr>
      <w:tr>
        <w:trPr>
          <w:trHeight w:val="282"/>
        </w:trPr>
        <w:tc>
          <w:tcPr>
            <w:tcW w:w="3000" w:type="dxa"/>
            <w:vAlign w:val="bottom"/>
          </w:tcPr>
          <w:p>
            <w:pPr>
              <w:spacing w:after="0"/>
              <w:rPr>
                <w:sz w:val="24"/>
                <w:szCs w:val="24"/>
                <w:color w:val="auto"/>
              </w:rPr>
            </w:pP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22"/>
                <w:szCs w:val="22"/>
                <w:color w:val="auto"/>
              </w:rPr>
              <w:t>Swingline Lender and a Lender</w:t>
            </w:r>
          </w:p>
        </w:tc>
      </w:tr>
      <w:tr>
        <w:trPr>
          <w:trHeight w:val="717"/>
        </w:trPr>
        <w:tc>
          <w:tcPr>
            <w:tcW w:w="3000" w:type="dxa"/>
            <w:vAlign w:val="bottom"/>
          </w:tcPr>
          <w:p>
            <w:pPr>
              <w:spacing w:after="0"/>
              <w:rPr>
                <w:sz w:val="24"/>
                <w:szCs w:val="24"/>
                <w:color w:val="auto"/>
              </w:rPr>
            </w:pP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22"/>
                <w:szCs w:val="22"/>
                <w:color w:val="auto"/>
              </w:rPr>
              <w:t>By: /s/ Michael P. Dungan</w:t>
            </w:r>
          </w:p>
        </w:tc>
      </w:tr>
      <w:tr>
        <w:trPr>
          <w:trHeight w:val="209"/>
        </w:trPr>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 Michael P. Dungan</w:t>
            </w:r>
          </w:p>
        </w:tc>
      </w:tr>
      <w:tr>
        <w:trPr>
          <w:trHeight w:val="282"/>
        </w:trPr>
        <w:tc>
          <w:tcPr>
            <w:tcW w:w="3000" w:type="dxa"/>
            <w:vAlign w:val="bottom"/>
          </w:tcPr>
          <w:p>
            <w:pPr>
              <w:spacing w:after="0"/>
              <w:rPr>
                <w:sz w:val="24"/>
                <w:szCs w:val="24"/>
                <w:color w:val="auto"/>
              </w:rPr>
            </w:pPr>
          </w:p>
        </w:tc>
        <w:tc>
          <w:tcPr>
            <w:tcW w:w="6920" w:type="dxa"/>
            <w:vAlign w:val="bottom"/>
            <w:gridSpan w:val="2"/>
          </w:tcPr>
          <w:p>
            <w:pPr>
              <w:ind w:left="230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2" w:right="999" w:bottom="1440" w:gutter="0" w:footer="0" w:header="0"/>
        </w:sectPr>
      </w:pPr>
    </w:p>
    <w:bookmarkStart w:id="422" w:name="page423"/>
    <w:bookmarkEnd w:id="422"/>
    <w:p>
      <w:pPr>
        <w:jc w:val="right"/>
        <w:ind w:right="2339"/>
        <w:spacing w:after="0"/>
        <w:rPr>
          <w:sz w:val="20"/>
          <w:szCs w:val="20"/>
          <w:color w:val="auto"/>
        </w:rPr>
      </w:pPr>
      <w:r>
        <w:rPr>
          <w:rFonts w:ascii="Times New Roman" w:cs="Times New Roman" w:eastAsia="Times New Roman" w:hAnsi="Times New Roman"/>
          <w:sz w:val="22"/>
          <w:szCs w:val="22"/>
          <w:color w:val="auto"/>
        </w:rPr>
        <w:t>CITIZENS BANK, N.A.</w:t>
      </w:r>
    </w:p>
    <w:p>
      <w:pPr>
        <w:spacing w:after="0" w:line="200" w:lineRule="exact"/>
        <w:rPr>
          <w:sz w:val="20"/>
          <w:szCs w:val="20"/>
          <w:color w:val="auto"/>
        </w:rPr>
      </w:pPr>
    </w:p>
    <w:p>
      <w:pPr>
        <w:spacing w:after="0" w:line="2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293179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auto"/>
        </w:rPr>
        <w:t>Name:</w:t>
      </w:r>
    </w:p>
    <w:p>
      <w:pPr>
        <w:ind w:left="48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3" w:name="page424"/>
    <w:bookmarkEnd w:id="423"/>
    <w:p>
      <w:pPr>
        <w:jc w:val="right"/>
        <w:ind w:right="579"/>
        <w:spacing w:after="0"/>
        <w:rPr>
          <w:sz w:val="20"/>
          <w:szCs w:val="20"/>
          <w:color w:val="auto"/>
        </w:rPr>
      </w:pPr>
      <w:r>
        <w:rPr>
          <w:rFonts w:ascii="Times New Roman" w:cs="Times New Roman" w:eastAsia="Times New Roman" w:hAnsi="Times New Roman"/>
          <w:sz w:val="22"/>
          <w:szCs w:val="22"/>
          <w:color w:val="auto"/>
        </w:rPr>
        <w:t>WELLS FARGO CAPITAL FINANCE, LLC</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Tiffany 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10795</wp:posOffset>
            </wp:positionV>
            <wp:extent cx="294005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Tiffany Omon</w:t>
      </w:r>
    </w:p>
    <w:p>
      <w:pPr>
        <w:ind w:left="4820"/>
        <w:spacing w:after="0"/>
        <w:tabs>
          <w:tab w:leader="none" w:pos="5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4" w:name="page425"/>
    <w:bookmarkEnd w:id="424"/>
    <w:p>
      <w:pPr>
        <w:ind w:left="450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Richard 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10795</wp:posOffset>
            </wp:positionV>
            <wp:extent cx="294005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Richard R. Powell</w:t>
      </w:r>
    </w:p>
    <w:p>
      <w:pPr>
        <w:jc w:val="right"/>
        <w:ind w:right="1639"/>
        <w:spacing w:after="0"/>
        <w:tabs>
          <w:tab w:leader="none" w:pos="1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5" w:name="page426"/>
    <w:bookmarkEnd w:id="425"/>
    <w:p>
      <w:pPr>
        <w:ind w:left="4500"/>
        <w:spacing w:after="0"/>
        <w:rPr>
          <w:sz w:val="20"/>
          <w:szCs w:val="20"/>
          <w:color w:val="auto"/>
        </w:rPr>
      </w:pPr>
      <w:r>
        <w:rPr>
          <w:rFonts w:ascii="Times New Roman" w:cs="Times New Roman" w:eastAsia="Times New Roman" w:hAnsi="Times New Roman"/>
          <w:sz w:val="22"/>
          <w:szCs w:val="22"/>
          <w:color w:val="auto"/>
        </w:rPr>
        <w:t>TD BANK, N.A.</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10795</wp:posOffset>
            </wp:positionV>
            <wp:extent cx="294005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Craig Welch</w:t>
      </w:r>
    </w:p>
    <w:p>
      <w:pPr>
        <w:jc w:val="right"/>
        <w:ind w:right="1639"/>
        <w:spacing w:after="0"/>
        <w:tabs>
          <w:tab w:leader="none" w:pos="1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6" w:name="page427"/>
    <w:bookmarkEnd w:id="426"/>
    <w:p>
      <w:pPr>
        <w:ind w:left="4500"/>
        <w:spacing w:after="0"/>
        <w:rPr>
          <w:sz w:val="20"/>
          <w:szCs w:val="20"/>
          <w:color w:val="auto"/>
        </w:rPr>
      </w:pPr>
      <w:r>
        <w:rPr>
          <w:rFonts w:ascii="Times New Roman" w:cs="Times New Roman" w:eastAsia="Times New Roman" w:hAnsi="Times New Roman"/>
          <w:sz w:val="22"/>
          <w:szCs w:val="22"/>
          <w:color w:val="auto"/>
        </w:rPr>
        <w:t>HSBC BANK USA, N.A.</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10795</wp:posOffset>
            </wp:positionV>
            <wp:extent cx="294005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Chris Burns</w:t>
      </w:r>
    </w:p>
    <w:p>
      <w:pPr>
        <w:jc w:val="right"/>
        <w:ind w:right="1639"/>
        <w:spacing w:after="0"/>
        <w:tabs>
          <w:tab w:leader="none" w:pos="1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7" w:name="page428"/>
    <w:bookmarkEnd w:id="427"/>
    <w:p>
      <w:pPr>
        <w:jc w:val="right"/>
        <w:ind w:right="1399"/>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00" w:lineRule="exact"/>
        <w:rPr>
          <w:sz w:val="20"/>
          <w:szCs w:val="20"/>
          <w:color w:val="auto"/>
        </w:rPr>
      </w:pPr>
    </w:p>
    <w:p>
      <w:pPr>
        <w:spacing w:after="0" w:line="2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Maria Riaz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10795</wp:posOffset>
            </wp:positionV>
            <wp:extent cx="2940050"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Maria Riaz</w:t>
      </w:r>
    </w:p>
    <w:p>
      <w:pPr>
        <w:ind w:left="4820"/>
        <w:spacing w:after="0"/>
        <w:tabs>
          <w:tab w:leader="none" w:pos="54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8" w:name="page429"/>
    <w:bookmarkEnd w:id="428"/>
    <w:p>
      <w:pPr>
        <w:ind w:left="4600"/>
        <w:spacing w:after="0"/>
        <w:rPr>
          <w:sz w:val="20"/>
          <w:szCs w:val="20"/>
          <w:color w:val="auto"/>
        </w:rPr>
      </w:pPr>
      <w:r>
        <w:rPr>
          <w:rFonts w:ascii="Times New Roman" w:cs="Times New Roman" w:eastAsia="Times New Roman" w:hAnsi="Times New Roman"/>
          <w:sz w:val="21"/>
          <w:szCs w:val="21"/>
          <w:color w:val="auto"/>
        </w:rPr>
        <w:t>MANUFACTURERS AND TRADERS TRUST</w:t>
      </w:r>
    </w:p>
    <w:p>
      <w:pPr>
        <w:spacing w:after="0" w:line="2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 /s/ William Musselman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10795</wp:posOffset>
            </wp:positionV>
            <wp:extent cx="288036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22"/>
          <w:szCs w:val="22"/>
          <w:color w:val="auto"/>
        </w:rPr>
        <w:t>Name: William Musselman</w:t>
      </w:r>
    </w:p>
    <w:p>
      <w:pPr>
        <w:ind w:left="4920"/>
        <w:spacing w:after="0"/>
        <w:tabs>
          <w:tab w:leader="none" w:pos="55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54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29" w:name="page430"/>
    <w:bookmarkEnd w:id="429"/>
    <w:p>
      <w:pPr>
        <w:jc w:val="right"/>
        <w:ind w:right="39"/>
        <w:spacing w:after="0"/>
        <w:rPr>
          <w:sz w:val="20"/>
          <w:szCs w:val="20"/>
          <w:color w:val="auto"/>
        </w:rPr>
      </w:pPr>
      <w:r>
        <w:rPr>
          <w:rFonts w:ascii="Times New Roman" w:cs="Times New Roman" w:eastAsia="Times New Roman" w:hAnsi="Times New Roman"/>
          <w:sz w:val="22"/>
          <w:szCs w:val="22"/>
          <w:color w:val="auto"/>
        </w:rPr>
        <w:t>WILMINGTON SAVINGS FUND SOCIETY, FSB</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/s/ James A. Gise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293179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22"/>
          <w:szCs w:val="22"/>
          <w:color w:val="auto"/>
        </w:rPr>
        <w:t>Name: James A. Gise</w:t>
      </w:r>
    </w:p>
    <w:p>
      <w:pPr>
        <w:ind w:left="4840"/>
        <w:spacing w:after="0"/>
        <w:tabs>
          <w:tab w:leader="none" w:pos="5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30" w:name="page431"/>
    <w:bookmarkEnd w:id="430"/>
    <w:tbl>
      <w:tblPr>
        <w:tblLayout w:type="fixed"/>
        <w:tblInd w:w="1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80" w:type="dxa"/>
            <w:vAlign w:val="bottom"/>
            <w:gridSpan w:val="4"/>
          </w:tcPr>
          <w:p>
            <w:pPr>
              <w:jc w:val="center"/>
              <w:ind w:right="4172"/>
              <w:spacing w:after="0"/>
              <w:rPr>
                <w:sz w:val="20"/>
                <w:szCs w:val="20"/>
                <w:color w:val="auto"/>
              </w:rPr>
            </w:pPr>
            <w:r>
              <w:rPr>
                <w:rFonts w:ascii="Times New Roman" w:cs="Times New Roman" w:eastAsia="Times New Roman" w:hAnsi="Times New Roman"/>
                <w:sz w:val="22"/>
                <w:szCs w:val="22"/>
                <w:b w:val="1"/>
                <w:bCs w:val="1"/>
                <w:color w:val="auto"/>
                <w:w w:val="98"/>
              </w:rPr>
              <w:t>SCHEDULE A</w:t>
            </w:r>
          </w:p>
        </w:tc>
      </w:tr>
      <w:tr>
        <w:trPr>
          <w:trHeight w:val="20"/>
        </w:trPr>
        <w:tc>
          <w:tcPr>
            <w:tcW w:w="3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39"/>
        </w:trPr>
        <w:tc>
          <w:tcPr>
            <w:tcW w:w="3560" w:type="dxa"/>
            <w:vAlign w:val="bottom"/>
          </w:tcPr>
          <w:p>
            <w:pPr>
              <w:spacing w:after="0"/>
              <w:rPr>
                <w:sz w:val="24"/>
                <w:szCs w:val="24"/>
                <w:color w:val="auto"/>
              </w:rPr>
            </w:pPr>
          </w:p>
        </w:tc>
        <w:tc>
          <w:tcPr>
            <w:tcW w:w="6380" w:type="dxa"/>
            <w:vAlign w:val="bottom"/>
            <w:gridSpan w:val="6"/>
          </w:tcPr>
          <w:p>
            <w:pPr>
              <w:jc w:val="center"/>
              <w:ind w:right="3452"/>
              <w:spacing w:after="0"/>
              <w:rPr>
                <w:sz w:val="20"/>
                <w:szCs w:val="20"/>
                <w:color w:val="auto"/>
              </w:rPr>
            </w:pPr>
            <w:r>
              <w:rPr>
                <w:rFonts w:ascii="Times New Roman" w:cs="Times New Roman" w:eastAsia="Times New Roman" w:hAnsi="Times New Roman"/>
                <w:sz w:val="22"/>
                <w:szCs w:val="22"/>
                <w:b w:val="1"/>
                <w:bCs w:val="1"/>
                <w:color w:val="auto"/>
                <w:w w:val="97"/>
              </w:rPr>
              <w:t>Term Commitments</w:t>
            </w:r>
          </w:p>
        </w:tc>
      </w:tr>
      <w:tr>
        <w:trPr>
          <w:trHeight w:val="250"/>
        </w:trPr>
        <w:tc>
          <w:tcPr>
            <w:tcW w:w="35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r>
      <w:tr>
        <w:trPr>
          <w:trHeight w:val="350"/>
        </w:trPr>
        <w:tc>
          <w:tcPr>
            <w:tcW w:w="3560" w:type="dxa"/>
            <w:vAlign w:val="bottom"/>
            <w:tcBorders>
              <w:left w:val="single" w:sz="8" w:color="auto"/>
              <w:bottom w:val="single" w:sz="8" w:color="D9D9D9"/>
            </w:tcBorders>
            <w:shd w:val="clear" w:color="auto" w:fill="D9D9D9"/>
          </w:tcPr>
          <w:p>
            <w:pPr>
              <w:ind w:left="1880"/>
              <w:spacing w:after="0"/>
              <w:rPr>
                <w:sz w:val="20"/>
                <w:szCs w:val="20"/>
                <w:color w:val="auto"/>
              </w:rPr>
            </w:pPr>
            <w:r>
              <w:rPr>
                <w:rFonts w:ascii="Times New Roman" w:cs="Times New Roman" w:eastAsia="Times New Roman" w:hAnsi="Times New Roman"/>
                <w:sz w:val="22"/>
                <w:szCs w:val="22"/>
                <w:b w:val="1"/>
                <w:bCs w:val="1"/>
                <w:color w:val="auto"/>
              </w:rPr>
              <w:t>Term Lender</w:t>
            </w:r>
          </w:p>
        </w:tc>
        <w:tc>
          <w:tcPr>
            <w:tcW w:w="4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D9D9D9"/>
            </w:tcBorders>
            <w:shd w:val="clear" w:color="auto" w:fill="D9D9D9"/>
          </w:tcPr>
          <w:p>
            <w:pPr>
              <w:spacing w:after="0"/>
              <w:rPr>
                <w:sz w:val="24"/>
                <w:szCs w:val="24"/>
                <w:color w:val="auto"/>
              </w:rPr>
            </w:pPr>
          </w:p>
        </w:tc>
        <w:tc>
          <w:tcPr>
            <w:tcW w:w="720" w:type="dxa"/>
            <w:vAlign w:val="bottom"/>
            <w:tcBorders>
              <w:bottom w:val="single" w:sz="8" w:color="D9D9D9"/>
              <w:right w:val="single" w:sz="8" w:color="auto"/>
            </w:tcBorders>
            <w:shd w:val="clear" w:color="auto" w:fill="D9D9D9"/>
          </w:tcPr>
          <w:p>
            <w:pPr>
              <w:spacing w:after="0"/>
              <w:rPr>
                <w:sz w:val="24"/>
                <w:szCs w:val="24"/>
                <w:color w:val="auto"/>
              </w:rPr>
            </w:pPr>
          </w:p>
        </w:tc>
        <w:tc>
          <w:tcPr>
            <w:tcW w:w="680" w:type="dxa"/>
            <w:vAlign w:val="bottom"/>
            <w:tcBorders>
              <w:bottom w:val="single" w:sz="8" w:color="D9D9D9"/>
            </w:tcBorders>
            <w:shd w:val="clear" w:color="auto" w:fill="D9D9D9"/>
          </w:tcPr>
          <w:p>
            <w:pPr>
              <w:spacing w:after="0"/>
              <w:rPr>
                <w:sz w:val="24"/>
                <w:szCs w:val="24"/>
                <w:color w:val="auto"/>
              </w:rPr>
            </w:pPr>
          </w:p>
        </w:tc>
        <w:tc>
          <w:tcPr>
            <w:tcW w:w="240" w:type="dxa"/>
            <w:vAlign w:val="bottom"/>
            <w:tcBorders>
              <w:bottom w:val="single" w:sz="8" w:color="D9D9D9"/>
            </w:tcBorders>
            <w:shd w:val="clear" w:color="auto" w:fill="D9D9D9"/>
          </w:tcPr>
          <w:p>
            <w:pPr>
              <w:spacing w:after="0"/>
              <w:rPr>
                <w:sz w:val="24"/>
                <w:szCs w:val="24"/>
                <w:color w:val="auto"/>
              </w:rPr>
            </w:pPr>
          </w:p>
        </w:tc>
        <w:tc>
          <w:tcPr>
            <w:tcW w:w="4040" w:type="dxa"/>
            <w:vAlign w:val="bottom"/>
            <w:tcBorders>
              <w:bottom w:val="single" w:sz="8" w:color="D9D9D9"/>
              <w:right w:val="single" w:sz="8" w:color="auto"/>
            </w:tcBorders>
            <w:shd w:val="clear" w:color="auto" w:fill="D9D9D9"/>
          </w:tcPr>
          <w:p>
            <w:pPr>
              <w:jc w:val="center"/>
              <w:ind w:right="832"/>
              <w:spacing w:after="0"/>
              <w:rPr>
                <w:sz w:val="20"/>
                <w:szCs w:val="20"/>
                <w:color w:val="auto"/>
              </w:rPr>
            </w:pPr>
            <w:r>
              <w:rPr>
                <w:rFonts w:ascii="Times New Roman" w:cs="Times New Roman" w:eastAsia="Times New Roman" w:hAnsi="Times New Roman"/>
                <w:sz w:val="22"/>
                <w:szCs w:val="22"/>
                <w:b w:val="1"/>
                <w:bCs w:val="1"/>
                <w:color w:val="auto"/>
                <w:w w:val="97"/>
              </w:rPr>
              <w:t>Term Commitment</w:t>
            </w:r>
          </w:p>
        </w:tc>
      </w:tr>
      <w:tr>
        <w:trPr>
          <w:trHeight w:val="302"/>
        </w:trPr>
        <w:tc>
          <w:tcPr>
            <w:tcW w:w="35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PNC Bank, National Association</w:t>
            </w: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49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$125,000,000</w:t>
            </w:r>
          </w:p>
        </w:tc>
      </w:tr>
      <w:tr>
        <w:trPr>
          <w:trHeight w:val="42"/>
        </w:trPr>
        <w:tc>
          <w:tcPr>
            <w:tcW w:w="356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303"/>
        </w:trPr>
        <w:tc>
          <w:tcPr>
            <w:tcW w:w="356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$125,000,000</w:t>
            </w:r>
          </w:p>
        </w:tc>
      </w:tr>
      <w:tr>
        <w:trPr>
          <w:trHeight w:val="42"/>
        </w:trPr>
        <w:tc>
          <w:tcPr>
            <w:tcW w:w="356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986"/>
        </w:trPr>
        <w:tc>
          <w:tcPr>
            <w:tcW w:w="3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89" w:right="979" w:bottom="1440" w:gutter="0" w:footer="0" w:header="0"/>
        </w:sectPr>
      </w:pPr>
    </w:p>
    <w:bookmarkStart w:id="431" w:name="page432"/>
    <w:bookmarkEnd w:id="43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Conformed Credit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645160</wp:posOffset>
            </wp:positionV>
            <wp:extent cx="6292215" cy="2540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32" w:name="page433"/>
    <w:bookmarkEnd w:id="432"/>
    <w:p>
      <w:pPr>
        <w:jc w:val="right"/>
        <w:ind w:left="3020"/>
        <w:spacing w:after="0" w:line="244" w:lineRule="auto"/>
        <w:rPr>
          <w:sz w:val="20"/>
          <w:szCs w:val="20"/>
          <w:color w:val="auto"/>
        </w:rPr>
      </w:pPr>
      <w:r>
        <w:rPr>
          <w:rFonts w:ascii="Times New Roman" w:cs="Times New Roman" w:eastAsia="Times New Roman" w:hAnsi="Times New Roman"/>
          <w:sz w:val="22"/>
          <w:szCs w:val="22"/>
          <w:u w:val="single" w:color="auto"/>
          <w:color w:val="0000FF"/>
        </w:rPr>
        <w:t>CONFORMED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EXECUTION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VERSION</w:t>
      </w:r>
      <w:r>
        <w:rPr>
          <w:rFonts w:ascii="Times New Roman" w:cs="Times New Roman" w:eastAsia="Times New Roman" w:hAnsi="Times New Roman"/>
          <w:sz w:val="22"/>
          <w:szCs w:val="22"/>
          <w:u w:val="single" w:color="auto"/>
          <w:color w:val="0000FF"/>
        </w:rPr>
        <w:t>COPY THROUGH THE FIRST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 xml:space="preserve">AMENDMENT DATED AS OF SEPTEMBER 2, 2020 </w:t>
      </w:r>
      <w:r>
        <w:rPr>
          <w:rFonts w:ascii="Times New Roman" w:cs="Times New Roman" w:eastAsia="Times New Roman" w:hAnsi="Times New Roman"/>
          <w:sz w:val="22"/>
          <w:szCs w:val="22"/>
          <w:color w:val="000000"/>
        </w:rPr>
        <w:t>CUSIP No. 08265UAC0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144780</wp:posOffset>
            </wp:positionV>
            <wp:extent cx="6292215" cy="171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179070</wp:posOffset>
            </wp:positionV>
            <wp:extent cx="6292215" cy="171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32"/>
          <w:szCs w:val="32"/>
          <w:color w:val="auto"/>
        </w:rPr>
        <w:t>PNC BANK, NATIONAL ASSOCIATION</w:t>
      </w:r>
    </w:p>
    <w:p>
      <w:pPr>
        <w:spacing w:after="0" w:line="33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CREDIT AGREEMENT</w:t>
      </w:r>
    </w:p>
    <w:p>
      <w:pPr>
        <w:spacing w:after="0" w:line="1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dated as of</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December 19, 2017,</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among</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and</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287020</wp:posOffset>
            </wp:positionV>
            <wp:extent cx="157734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CITIZENS BANK, N.A., and</w:t>
      </w:r>
    </w:p>
    <w:p>
      <w:pPr>
        <w:jc w:val="center"/>
        <w:ind w:right="520"/>
        <w:spacing w:after="0" w:line="230" w:lineRule="auto"/>
        <w:rPr>
          <w:sz w:val="20"/>
          <w:szCs w:val="20"/>
          <w:color w:val="auto"/>
        </w:rPr>
      </w:pPr>
      <w:r>
        <w:rPr>
          <w:rFonts w:ascii="Times New Roman" w:cs="Times New Roman" w:eastAsia="Times New Roman" w:hAnsi="Times New Roman"/>
          <w:sz w:val="22"/>
          <w:szCs w:val="22"/>
          <w:color w:val="auto"/>
        </w:rPr>
        <w:t>WELLS FARGO CAPITAL FINANCE, LLC,</w:t>
      </w:r>
    </w:p>
    <w:p>
      <w:pPr>
        <w:spacing w:after="0" w:line="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39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WELLS FARGO CAPITAL FINANCE, LLC and</w:t>
      </w:r>
    </w:p>
    <w:p>
      <w:pPr>
        <w:spacing w:after="0" w:line="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CITIZENS BANK, N.A.</w:t>
      </w:r>
    </w:p>
    <w:p>
      <w:pPr>
        <w:ind w:left="3540"/>
        <w:spacing w:after="0"/>
        <w:rPr>
          <w:sz w:val="20"/>
          <w:szCs w:val="20"/>
          <w:color w:val="auto"/>
        </w:rPr>
      </w:pPr>
      <w:r>
        <w:rPr>
          <w:rFonts w:ascii="Times New Roman" w:cs="Times New Roman" w:eastAsia="Times New Roman" w:hAnsi="Times New Roman"/>
          <w:sz w:val="22"/>
          <w:szCs w:val="22"/>
          <w:color w:val="auto"/>
        </w:rPr>
        <w:t>as Syndication Agents</w:t>
      </w:r>
    </w:p>
    <w:p>
      <w:pPr>
        <w:spacing w:after="0" w:line="39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BANK OF AMERICA, N.A. and</w:t>
      </w:r>
    </w:p>
    <w:p>
      <w:pPr>
        <w:spacing w:after="0" w:line="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TD BANK, N.A.,</w:t>
      </w:r>
    </w:p>
    <w:p>
      <w:pPr>
        <w:jc w:val="center"/>
        <w:ind w:right="46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1247140</wp:posOffset>
            </wp:positionV>
            <wp:extent cx="6292215" cy="2540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269875</wp:posOffset>
            </wp:positionV>
            <wp:extent cx="6292215" cy="171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304165</wp:posOffset>
            </wp:positionV>
            <wp:extent cx="6292215" cy="171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868" w:right="999" w:bottom="1440" w:gutter="0" w:footer="0" w:header="0"/>
        </w:sectPr>
      </w:pPr>
    </w:p>
    <w:bookmarkStart w:id="433" w:name="page434"/>
    <w:bookmarkEnd w:id="433"/>
    <w:p>
      <w:pPr>
        <w:jc w:val="center"/>
        <w:spacing w:after="0"/>
        <w:rPr>
          <w:sz w:val="20"/>
          <w:szCs w:val="20"/>
          <w:color w:val="auto"/>
        </w:rPr>
      </w:pPr>
      <w:r>
        <w:rPr>
          <w:rFonts w:ascii="Times New Roman" w:cs="Times New Roman" w:eastAsia="Times New Roman" w:hAnsi="Times New Roman"/>
          <w:sz w:val="22"/>
          <w:szCs w:val="22"/>
          <w:color w:val="FF0000"/>
          <w:strike w:val="1"/>
        </w:rPr>
        <w:t>TABLE OF CONTENTS</w:t>
      </w:r>
      <w:r>
        <w:rPr>
          <w:rFonts w:ascii="Times New Roman" w:cs="Times New Roman" w:eastAsia="Times New Roman" w:hAnsi="Times New Roman"/>
          <w:sz w:val="22"/>
          <w:szCs w:val="22"/>
          <w:b w:val="1"/>
          <w:bCs w:val="1"/>
          <w:color w:val="0000FF"/>
        </w:rPr>
        <w:t>Table of Contents</w:t>
      </w:r>
    </w:p>
    <w:tbl>
      <w:tblPr>
        <w:tblLayout w:type="fixed"/>
        <w:tblInd w:w="0" w:type="dxa"/>
        <w:tblCellMar>
          <w:top w:w="0" w:type="dxa"/>
          <w:left w:w="0" w:type="dxa"/>
          <w:bottom w:w="0" w:type="dxa"/>
          <w:right w:w="0" w:type="dxa"/>
        </w:tblCellMar>
      </w:tblPr>
      <w:tr>
        <w:trPr>
          <w:trHeight w:val="306"/>
        </w:trPr>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gridSpan w:val="4"/>
          </w:tcPr>
          <w:p>
            <w:pPr>
              <w:ind w:left="64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396"/>
        </w:trPr>
        <w:tc>
          <w:tcPr>
            <w:tcW w:w="8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0000FF"/>
              </w:rPr>
              <w:t>1</w:t>
            </w:r>
          </w:p>
        </w:tc>
      </w:tr>
      <w:tr>
        <w:trPr>
          <w:trHeight w:val="229"/>
        </w:trPr>
        <w:tc>
          <w:tcPr>
            <w:tcW w:w="260" w:type="dxa"/>
            <w:vAlign w:val="bottom"/>
          </w:tcPr>
          <w:p>
            <w:pPr>
              <w:spacing w:after="0"/>
              <w:rPr>
                <w:sz w:val="19"/>
                <w:szCs w:val="19"/>
                <w:color w:val="auto"/>
              </w:rPr>
            </w:pPr>
          </w:p>
        </w:tc>
        <w:tc>
          <w:tcPr>
            <w:tcW w:w="8580" w:type="dxa"/>
            <w:vAlign w:val="bottom"/>
            <w:gridSpan w:val="8"/>
          </w:tcPr>
          <w:p>
            <w:pPr>
              <w:spacing w:after="0" w:line="229" w:lineRule="exact"/>
              <w:rPr>
                <w:sz w:val="20"/>
                <w:szCs w:val="20"/>
                <w:color w:val="auto"/>
              </w:rPr>
            </w:pPr>
            <w:r>
              <w:rPr>
                <w:rFonts w:ascii="Times New Roman" w:cs="Times New Roman" w:eastAsia="Times New Roman" w:hAnsi="Times New Roman"/>
                <w:sz w:val="22"/>
                <w:szCs w:val="22"/>
                <w:color w:val="auto"/>
              </w:rPr>
              <w:t>SECTION 1.01. Defined Terms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w w:val="90"/>
              </w:rPr>
              <w:t>1</w:t>
            </w:r>
          </w:p>
        </w:tc>
      </w:tr>
      <w:tr>
        <w:trPr>
          <w:trHeight w:val="237"/>
        </w:trPr>
        <w:tc>
          <w:tcPr>
            <w:tcW w:w="260" w:type="dxa"/>
            <w:vAlign w:val="bottom"/>
          </w:tcPr>
          <w:p>
            <w:pPr>
              <w:spacing w:after="0"/>
              <w:rPr>
                <w:sz w:val="20"/>
                <w:szCs w:val="20"/>
                <w:color w:val="auto"/>
              </w:rPr>
            </w:pPr>
          </w:p>
        </w:tc>
        <w:tc>
          <w:tcPr>
            <w:tcW w:w="858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auto"/>
              </w:rPr>
              <w:t>SECTION 1.02. Classification of Loans and Borrowings</w:t>
            </w:r>
          </w:p>
        </w:tc>
        <w:tc>
          <w:tcPr>
            <w:tcW w:w="860" w:type="dxa"/>
            <w:vAlign w:val="bottom"/>
          </w:tcPr>
          <w:p>
            <w:pPr>
              <w:ind w:left="640"/>
              <w:spacing w:after="0" w:line="230" w:lineRule="exact"/>
              <w:rPr>
                <w:sz w:val="20"/>
                <w:szCs w:val="20"/>
                <w:color w:val="auto"/>
              </w:rPr>
            </w:pPr>
            <w:r>
              <w:rPr>
                <w:rFonts w:ascii="Times New Roman" w:cs="Times New Roman" w:eastAsia="Times New Roman" w:hAnsi="Times New Roman"/>
                <w:sz w:val="22"/>
                <w:szCs w:val="22"/>
                <w:color w:val="FF0000"/>
                <w:strike w:val="1"/>
                <w:w w:val="90"/>
              </w:rPr>
              <w:t>40</w:t>
            </w:r>
          </w:p>
        </w:tc>
        <w:tc>
          <w:tcPr>
            <w:tcW w:w="20" w:type="dxa"/>
            <w:vAlign w:val="bottom"/>
          </w:tcPr>
          <w:p>
            <w:pPr>
              <w:spacing w:after="0"/>
              <w:rPr>
                <w:sz w:val="20"/>
                <w:szCs w:val="20"/>
                <w:color w:val="auto"/>
              </w:rPr>
            </w:pPr>
          </w:p>
        </w:tc>
        <w:tc>
          <w:tcPr>
            <w:tcW w:w="20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42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1.03. Terms Generally</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40</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1.04. Accounting Terms; GAAP; Pro Forma Calculations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41</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1.05. Currency Calculations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42</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1.06. Amendment and Restatement of Existing Credit Agreement</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42</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44</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0000FF"/>
              </w:rPr>
              <w:t>SECTION 1.07. Divisions</w:t>
            </w:r>
          </w:p>
        </w:tc>
        <w:tc>
          <w:tcPr>
            <w:tcW w:w="880" w:type="dxa"/>
            <w:vAlign w:val="bottom"/>
            <w:gridSpan w:val="2"/>
          </w:tcPr>
          <w:p>
            <w:pPr>
              <w:spacing w:after="0"/>
              <w:rPr>
                <w:sz w:val="19"/>
                <w:szCs w:val="19"/>
                <w:color w:val="auto"/>
              </w:rPr>
            </w:pPr>
          </w:p>
        </w:tc>
        <w:tc>
          <w:tcPr>
            <w:tcW w:w="2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45</w:t>
            </w:r>
          </w:p>
        </w:tc>
      </w:tr>
      <w:tr>
        <w:trPr>
          <w:trHeight w:val="216"/>
        </w:trPr>
        <w:tc>
          <w:tcPr>
            <w:tcW w:w="260" w:type="dxa"/>
            <w:vAlign w:val="bottom"/>
          </w:tcPr>
          <w:p>
            <w:pPr>
              <w:spacing w:after="0"/>
              <w:rPr>
                <w:sz w:val="18"/>
                <w:szCs w:val="18"/>
                <w:color w:val="auto"/>
              </w:rPr>
            </w:pPr>
          </w:p>
        </w:tc>
        <w:tc>
          <w:tcPr>
            <w:tcW w:w="2280" w:type="dxa"/>
            <w:vAlign w:val="bottom"/>
            <w:tcBorders>
              <w:top w:val="single" w:sz="8" w:color="0000FF"/>
            </w:tcBorders>
            <w:gridSpan w:val="2"/>
          </w:tcPr>
          <w:p>
            <w:pPr>
              <w:spacing w:after="0" w:line="216" w:lineRule="exact"/>
              <w:rPr>
                <w:sz w:val="20"/>
                <w:szCs w:val="20"/>
                <w:color w:val="auto"/>
              </w:rPr>
            </w:pPr>
            <w:r>
              <w:rPr>
                <w:rFonts w:ascii="Times New Roman" w:cs="Times New Roman" w:eastAsia="Times New Roman" w:hAnsi="Times New Roman"/>
                <w:sz w:val="22"/>
                <w:szCs w:val="22"/>
                <w:color w:val="0000FF"/>
                <w:w w:val="94"/>
              </w:rPr>
              <w:t>SECTION 1.08. Euro-Rate</w:t>
            </w:r>
          </w:p>
        </w:tc>
        <w:tc>
          <w:tcPr>
            <w:tcW w:w="6300" w:type="dxa"/>
            <w:vAlign w:val="bottom"/>
            <w:gridSpan w:val="6"/>
          </w:tcPr>
          <w:p>
            <w:pPr>
              <w:ind w:left="120"/>
              <w:spacing w:after="0" w:line="216" w:lineRule="exact"/>
              <w:rPr>
                <w:sz w:val="20"/>
                <w:szCs w:val="20"/>
                <w:color w:val="auto"/>
              </w:rPr>
            </w:pPr>
            <w:r>
              <w:rPr>
                <w:rFonts w:ascii="Times New Roman" w:cs="Times New Roman" w:eastAsia="Times New Roman" w:hAnsi="Times New Roman"/>
                <w:sz w:val="22"/>
                <w:szCs w:val="22"/>
                <w:color w:val="0000FF"/>
              </w:rPr>
              <w:t>Notification</w:t>
            </w:r>
          </w:p>
        </w:tc>
        <w:tc>
          <w:tcPr>
            <w:tcW w:w="880" w:type="dxa"/>
            <w:vAlign w:val="bottom"/>
            <w:gridSpan w:val="2"/>
          </w:tcPr>
          <w:p>
            <w:pPr>
              <w:spacing w:after="0"/>
              <w:rPr>
                <w:sz w:val="18"/>
                <w:szCs w:val="18"/>
                <w:color w:val="auto"/>
              </w:rPr>
            </w:pPr>
          </w:p>
        </w:tc>
        <w:tc>
          <w:tcPr>
            <w:tcW w:w="200" w:type="dxa"/>
            <w:vAlign w:val="bottom"/>
            <w:tcBorders>
              <w:top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45</w:t>
            </w:r>
          </w:p>
        </w:tc>
      </w:tr>
      <w:tr>
        <w:trPr>
          <w:trHeight w:val="27"/>
        </w:trPr>
        <w:tc>
          <w:tcPr>
            <w:tcW w:w="260" w:type="dxa"/>
            <w:vAlign w:val="bottom"/>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19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264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r>
      <w:tr>
        <w:trPr>
          <w:trHeight w:val="466"/>
        </w:trPr>
        <w:tc>
          <w:tcPr>
            <w:tcW w:w="88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II The Credits</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0000FF"/>
              </w:rPr>
              <w:t>45</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2.01. Commitments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44</w:t>
            </w:r>
          </w:p>
        </w:tc>
        <w:tc>
          <w:tcPr>
            <w:tcW w:w="20" w:type="dxa"/>
            <w:vAlign w:val="bottom"/>
            <w:tcBorders>
              <w:top w:val="single" w:sz="8" w:color="0000FF"/>
            </w:tcBorders>
          </w:tcPr>
          <w:p>
            <w:pPr>
              <w:spacing w:after="0"/>
              <w:rPr>
                <w:sz w:val="19"/>
                <w:szCs w:val="19"/>
                <w:color w:val="auto"/>
              </w:rPr>
            </w:pPr>
          </w:p>
        </w:tc>
        <w:tc>
          <w:tcPr>
            <w:tcW w:w="200" w:type="dxa"/>
            <w:vAlign w:val="bottom"/>
            <w:tcBorders>
              <w:top w:val="single" w:sz="8" w:color="0000FF"/>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45</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2.02. Loans and Borrowings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44</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46</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2.03. Requests for Borrowings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45</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46</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2.04. Swingline Loans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45</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47</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2.05. Letters of Credit</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50</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52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2.06. Funding of Borrowings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55</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57</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2.07. Interest Elections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56</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58</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2.08. Termination and Reduction of Commitments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57</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59</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2.09. Repayment of Loans; Evidence of Debt</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58</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60</w:t>
            </w:r>
          </w:p>
        </w:tc>
      </w:tr>
      <w:tr>
        <w:trPr>
          <w:trHeight w:val="223"/>
        </w:trPr>
        <w:tc>
          <w:tcPr>
            <w:tcW w:w="260" w:type="dxa"/>
            <w:vAlign w:val="bottom"/>
          </w:tcPr>
          <w:p>
            <w:pPr>
              <w:spacing w:after="0"/>
              <w:rPr>
                <w:sz w:val="19"/>
                <w:szCs w:val="19"/>
                <w:color w:val="auto"/>
              </w:rPr>
            </w:pPr>
          </w:p>
        </w:tc>
        <w:tc>
          <w:tcPr>
            <w:tcW w:w="14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SECTION 2.10.</w:t>
            </w:r>
          </w:p>
        </w:tc>
        <w:tc>
          <w:tcPr>
            <w:tcW w:w="200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FF0000"/>
                <w:strike w:val="1"/>
                <w:w w:val="96"/>
              </w:rPr>
              <w:t>[Intentionally Omitted]</w:t>
            </w:r>
          </w:p>
        </w:tc>
        <w:tc>
          <w:tcPr>
            <w:tcW w:w="512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0000FF"/>
              </w:rPr>
              <w:t>Amortization of Term Loans</w:t>
            </w:r>
          </w:p>
        </w:tc>
        <w:tc>
          <w:tcPr>
            <w:tcW w:w="880" w:type="dxa"/>
            <w:vAlign w:val="bottom"/>
            <w:gridSpan w:val="2"/>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9"/>
              </w:rPr>
              <w:t>58</w:t>
            </w:r>
          </w:p>
        </w:tc>
        <w:tc>
          <w:tcPr>
            <w:tcW w:w="2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60</w:t>
            </w:r>
          </w:p>
        </w:tc>
      </w:tr>
      <w:tr>
        <w:trPr>
          <w:trHeight w:val="223"/>
        </w:trPr>
        <w:tc>
          <w:tcPr>
            <w:tcW w:w="260" w:type="dxa"/>
            <w:vAlign w:val="bottom"/>
          </w:tcPr>
          <w:p>
            <w:pPr>
              <w:spacing w:after="0"/>
              <w:rPr>
                <w:sz w:val="19"/>
                <w:szCs w:val="19"/>
                <w:color w:val="auto"/>
              </w:rPr>
            </w:pPr>
          </w:p>
        </w:tc>
        <w:tc>
          <w:tcPr>
            <w:tcW w:w="3460" w:type="dxa"/>
            <w:vAlign w:val="bottom"/>
            <w:gridSpan w:val="4"/>
          </w:tcPr>
          <w:p>
            <w:pPr>
              <w:spacing w:after="0" w:line="216" w:lineRule="exact"/>
              <w:rPr>
                <w:sz w:val="20"/>
                <w:szCs w:val="20"/>
                <w:color w:val="auto"/>
              </w:rPr>
            </w:pPr>
            <w:r>
              <w:rPr>
                <w:rFonts w:ascii="Times New Roman" w:cs="Times New Roman" w:eastAsia="Times New Roman" w:hAnsi="Times New Roman"/>
                <w:sz w:val="22"/>
                <w:szCs w:val="22"/>
                <w:color w:val="auto"/>
              </w:rPr>
              <w:t>SECTION 2.11. Prepayment of Loans</w:t>
            </w:r>
          </w:p>
        </w:tc>
        <w:tc>
          <w:tcPr>
            <w:tcW w:w="1520" w:type="dxa"/>
            <w:vAlign w:val="bottom"/>
            <w:tcBorders>
              <w:top w:val="single" w:sz="8" w:color="0000FF"/>
            </w:tcBorders>
          </w:tcPr>
          <w:p>
            <w:pPr>
              <w:spacing w:after="0"/>
              <w:rPr>
                <w:sz w:val="19"/>
                <w:szCs w:val="19"/>
                <w:color w:val="auto"/>
              </w:rPr>
            </w:pPr>
          </w:p>
        </w:tc>
        <w:tc>
          <w:tcPr>
            <w:tcW w:w="96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58</w:t>
            </w:r>
          </w:p>
        </w:tc>
        <w:tc>
          <w:tcPr>
            <w:tcW w:w="20" w:type="dxa"/>
            <w:vAlign w:val="bottom"/>
          </w:tcPr>
          <w:p>
            <w:pPr>
              <w:spacing w:after="0"/>
              <w:rPr>
                <w:sz w:val="19"/>
                <w:szCs w:val="19"/>
                <w:color w:val="auto"/>
              </w:rPr>
            </w:pPr>
          </w:p>
        </w:tc>
        <w:tc>
          <w:tcPr>
            <w:tcW w:w="200" w:type="dxa"/>
            <w:vAlign w:val="bottom"/>
            <w:tcBorders>
              <w:top w:val="single" w:sz="8" w:color="0000FF"/>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61</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2.12. Fees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59</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2.13. Interest</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60</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2.14. Alternate Rate of Interest</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62</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64</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2.15. Increased Costs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64</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66</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2.16. Break Funding Payments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65</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68</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2.17. Taxes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66</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68</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2.18. Payments Generally; Pro Rata Treatment; Sharing of Setoffs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69</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2.19. Mitigation Obligations; Replacement of Lenders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71</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2.20. Defaulting Lenders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72</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75</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2.21. Incremental Revolving Commitments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74</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76</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2.22. Loan Modification Offers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76</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78</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2.23. Additional Reserve Requirements for Optional Currency Swingline Loans;</w:t>
            </w:r>
          </w:p>
        </w:tc>
        <w:tc>
          <w:tcPr>
            <w:tcW w:w="880" w:type="dxa"/>
            <w:vAlign w:val="bottom"/>
            <w:gridSpan w:val="2"/>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9"/>
              </w:rPr>
              <w:t>77</w:t>
            </w: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79</w:t>
            </w:r>
          </w:p>
        </w:tc>
      </w:tr>
      <w:tr>
        <w:trPr>
          <w:trHeight w:val="229"/>
        </w:trPr>
        <w:tc>
          <w:tcPr>
            <w:tcW w:w="260" w:type="dxa"/>
            <w:vAlign w:val="bottom"/>
          </w:tcPr>
          <w:p>
            <w:pPr>
              <w:spacing w:after="0"/>
              <w:rPr>
                <w:sz w:val="19"/>
                <w:szCs w:val="19"/>
                <w:color w:val="auto"/>
              </w:rPr>
            </w:pPr>
          </w:p>
        </w:tc>
        <w:tc>
          <w:tcPr>
            <w:tcW w:w="8580" w:type="dxa"/>
            <w:vAlign w:val="bottom"/>
            <w:gridSpan w:val="8"/>
          </w:tcPr>
          <w:p>
            <w:pPr>
              <w:spacing w:after="0" w:line="229" w:lineRule="exact"/>
              <w:rPr>
                <w:sz w:val="20"/>
                <w:szCs w:val="20"/>
                <w:color w:val="auto"/>
              </w:rPr>
            </w:pPr>
            <w:r>
              <w:rPr>
                <w:rFonts w:ascii="Times New Roman" w:cs="Times New Roman" w:eastAsia="Times New Roman" w:hAnsi="Times New Roman"/>
                <w:sz w:val="22"/>
                <w:szCs w:val="22"/>
                <w:color w:val="auto"/>
              </w:rPr>
              <w:t>Computation Dates; Misc</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260" w:type="dxa"/>
            <w:vAlign w:val="bottom"/>
          </w:tcPr>
          <w:p>
            <w:pPr>
              <w:spacing w:after="0"/>
              <w:rPr>
                <w:sz w:val="20"/>
                <w:szCs w:val="20"/>
                <w:color w:val="auto"/>
              </w:rPr>
            </w:pPr>
          </w:p>
        </w:tc>
        <w:tc>
          <w:tcPr>
            <w:tcW w:w="8580" w:type="dxa"/>
            <w:vAlign w:val="bottom"/>
            <w:gridSpan w:val="8"/>
          </w:tcPr>
          <w:p>
            <w:pPr>
              <w:spacing w:after="0" w:line="230" w:lineRule="exact"/>
              <w:rPr>
                <w:sz w:val="20"/>
                <w:szCs w:val="20"/>
                <w:color w:val="auto"/>
              </w:rPr>
            </w:pPr>
            <w:r>
              <w:rPr>
                <w:rFonts w:ascii="Times New Roman" w:cs="Times New Roman" w:eastAsia="Times New Roman" w:hAnsi="Times New Roman"/>
                <w:sz w:val="22"/>
                <w:szCs w:val="22"/>
                <w:color w:val="auto"/>
              </w:rPr>
              <w:t>SECTION 2.24. Optional Currency Not Available</w:t>
            </w:r>
          </w:p>
        </w:tc>
        <w:tc>
          <w:tcPr>
            <w:tcW w:w="860" w:type="dxa"/>
            <w:vAlign w:val="bottom"/>
          </w:tcPr>
          <w:p>
            <w:pPr>
              <w:ind w:left="640"/>
              <w:spacing w:after="0" w:line="230" w:lineRule="exact"/>
              <w:rPr>
                <w:sz w:val="20"/>
                <w:szCs w:val="20"/>
                <w:color w:val="auto"/>
              </w:rPr>
            </w:pPr>
            <w:r>
              <w:rPr>
                <w:rFonts w:ascii="Times New Roman" w:cs="Times New Roman" w:eastAsia="Times New Roman" w:hAnsi="Times New Roman"/>
                <w:sz w:val="22"/>
                <w:szCs w:val="22"/>
                <w:color w:val="FF0000"/>
                <w:strike w:val="1"/>
                <w:w w:val="90"/>
              </w:rPr>
              <w:t>78</w:t>
            </w:r>
          </w:p>
        </w:tc>
        <w:tc>
          <w:tcPr>
            <w:tcW w:w="20" w:type="dxa"/>
            <w:vAlign w:val="bottom"/>
          </w:tcPr>
          <w:p>
            <w:pPr>
              <w:spacing w:after="0"/>
              <w:rPr>
                <w:sz w:val="20"/>
                <w:szCs w:val="20"/>
                <w:color w:val="auto"/>
              </w:rPr>
            </w:pPr>
          </w:p>
        </w:tc>
        <w:tc>
          <w:tcPr>
            <w:tcW w:w="20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81</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2.25. Currency Repayments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80</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82</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2.26. Optional Currency Amounts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80</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83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2.27. Additional Mandatory Prepayments and Commitment Reductions</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81</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83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2.28. Interbank Market Presumption</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81</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83</w:t>
            </w:r>
          </w:p>
        </w:tc>
      </w:tr>
      <w:tr>
        <w:trPr>
          <w:trHeight w:val="223"/>
        </w:trPr>
        <w:tc>
          <w:tcPr>
            <w:tcW w:w="260" w:type="dxa"/>
            <w:vAlign w:val="bottom"/>
          </w:tcPr>
          <w:p>
            <w:pPr>
              <w:spacing w:after="0"/>
              <w:rPr>
                <w:sz w:val="19"/>
                <w:szCs w:val="19"/>
                <w:color w:val="auto"/>
              </w:rPr>
            </w:pPr>
          </w:p>
        </w:tc>
        <w:tc>
          <w:tcPr>
            <w:tcW w:w="858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SECTION 2.29. Judgment Currency</w:t>
            </w:r>
          </w:p>
        </w:tc>
        <w:tc>
          <w:tcPr>
            <w:tcW w:w="860" w:type="dxa"/>
            <w:vAlign w:val="bottom"/>
          </w:tcPr>
          <w:p>
            <w:pPr>
              <w:ind w:left="640"/>
              <w:spacing w:after="0" w:line="216" w:lineRule="exact"/>
              <w:rPr>
                <w:sz w:val="20"/>
                <w:szCs w:val="20"/>
                <w:color w:val="auto"/>
              </w:rPr>
            </w:pPr>
            <w:r>
              <w:rPr>
                <w:rFonts w:ascii="Times New Roman" w:cs="Times New Roman" w:eastAsia="Times New Roman" w:hAnsi="Times New Roman"/>
                <w:sz w:val="22"/>
                <w:szCs w:val="22"/>
                <w:color w:val="FF0000"/>
                <w:strike w:val="1"/>
                <w:w w:val="90"/>
              </w:rPr>
              <w:t>81</w:t>
            </w:r>
          </w:p>
        </w:tc>
        <w:tc>
          <w:tcPr>
            <w:tcW w:w="2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0000FF"/>
                <w:w w:val="81"/>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36" w:right="999" w:bottom="1440" w:gutter="0" w:footer="0" w:header="0"/>
        </w:sectPr>
      </w:pPr>
    </w:p>
    <w:bookmarkStart w:id="434" w:name="page435"/>
    <w:bookmarkEnd w:id="434"/>
    <w:tbl>
      <w:tblPr>
        <w:tblLayout w:type="fixed"/>
        <w:tblInd w:w="0" w:type="dxa"/>
        <w:tblCellMar>
          <w:top w:w="0" w:type="dxa"/>
          <w:left w:w="0" w:type="dxa"/>
          <w:bottom w:w="0" w:type="dxa"/>
          <w:right w:w="0" w:type="dxa"/>
        </w:tblCellMar>
      </w:tblPr>
      <w:tr>
        <w:trPr>
          <w:trHeight w:val="253"/>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0000FF"/>
              </w:rPr>
              <w:t>84</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3.01. Organization; Powers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84</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3.02. Authorization; Enforceability</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82</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84</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3.03. Governmental Approvals; Absence of Conflicts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82</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85</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3.04. Financial Condition; No Material Adverse Change</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83</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85</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3.05. Properties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83</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3.06. Intellectual Property</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83</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3.07. Litigation and Environmental Matters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3.08. Compliance with Laws and Agreements; No Default</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86</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3.09. Investment Company Status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3.10. Taxes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3.11. ERISA</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3.12. Subsidiaries and Joint Ventures; Equity Interests in the Borrower</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3.13. Insurance</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3.14. Solvency</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88</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3.15. Disclosure</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88</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3.16. Collateral Matters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88</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3.17. Federal Reserve Regulations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3.18. [Intentionally Omitted]</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3.19. Anti-Money Laundering/International Trade Law Compliance</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3.20. Anti-Corruption</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3.21. EEA Financial Institution</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rPr>
              <w:t>SECTION 3.22. Certificate of Beneficial Ownership</w:t>
            </w:r>
          </w:p>
        </w:tc>
        <w:tc>
          <w:tcPr>
            <w:tcW w:w="18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gridSpan w:val="3"/>
            <w:vMerge w:val="continue"/>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40" w:type="dxa"/>
            <w:vAlign w:val="bottom"/>
            <w:tcBorders>
              <w:top w:val="single" w:sz="8" w:color="0000FF"/>
              <w:bottom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IV Conditions</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0000FF"/>
              </w:rPr>
              <w:t>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4.01. Conditions to Effectiveness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4.02. Each Credit Event</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91</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Affirmative Covenants</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0000FF"/>
              </w:rPr>
              <w:t>94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5.01. Financial Statements and Other Information</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85"/>
              </w:rPr>
              <w:t>94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5.02. Notices of Material Events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94</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5.03. Additional Subsidiaries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5.04. Information Regarding Collateral; Deposit and Securities Accounts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5.05. Existence; Conduct of Business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5.06. Payment of Obligations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5.07. Maintenance of Properties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5.08. Insurance</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5.09. Books and Records; Inspection and Audit Rights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5.10. Compliance with Laws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5.11. Use of Proceeds and Letters of Credit</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5.12. Further Assurances</w:t>
            </w:r>
          </w:p>
        </w:tc>
        <w:tc>
          <w:tcPr>
            <w:tcW w:w="19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99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97"/>
              </w:rPr>
              <w:t>SECTION 5.13. Certificate of Beneficial Ownership and Other Additional Information</w:t>
            </w: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2140" w:type="dxa"/>
            <w:vAlign w:val="bottom"/>
            <w:gridSpan w:val="6"/>
          </w:tcPr>
          <w:p>
            <w:pPr>
              <w:jc w:val="right"/>
              <w:spacing w:after="0" w:line="183" w:lineRule="exact"/>
              <w:rPr>
                <w:sz w:val="20"/>
                <w:szCs w:val="20"/>
                <w:color w:val="auto"/>
              </w:rPr>
            </w:pPr>
            <w:r>
              <w:rPr>
                <w:rFonts w:ascii="Times New Roman" w:cs="Times New Roman" w:eastAsia="Times New Roman" w:hAnsi="Times New Roman"/>
                <w:sz w:val="21"/>
                <w:szCs w:val="21"/>
                <w:color w:val="0000FF"/>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40" w:type="dxa"/>
            <w:vAlign w:val="bottom"/>
            <w:tcBorders>
              <w:top w:val="single" w:sz="8" w:color="0000FF"/>
              <w:bottom w:val="single" w:sz="8" w:color="0000FF"/>
            </w:tcBorders>
          </w:tcPr>
          <w:p>
            <w:pPr>
              <w:spacing w:after="0" w:line="20" w:lineRule="exact"/>
              <w:rPr>
                <w:sz w:val="1"/>
                <w:szCs w:val="1"/>
                <w:color w:val="auto"/>
              </w:rPr>
            </w:pPr>
          </w:p>
        </w:tc>
        <w:tc>
          <w:tcPr>
            <w:tcW w:w="2980" w:type="dxa"/>
            <w:vAlign w:val="bottom"/>
            <w:tcBorders>
              <w:top w:val="single" w:sz="8" w:color="0000FF"/>
              <w:bottom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 Negative Covenants</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0000FF"/>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6.01. Indebtedness; Certain Equity Securities</w:t>
            </w:r>
          </w:p>
        </w:tc>
        <w:tc>
          <w:tcPr>
            <w:tcW w:w="18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98</w:t>
            </w: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8"/>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6.02. Liens</w:t>
            </w:r>
          </w:p>
        </w:tc>
        <w:tc>
          <w:tcPr>
            <w:tcW w:w="18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99</w:t>
            </w: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8"/>
              </w:rPr>
              <w:t>102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5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6.03. Fundamental Changes; Business Activities</w:t>
            </w:r>
          </w:p>
        </w:tc>
        <w:tc>
          <w:tcPr>
            <w:tcW w:w="18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101</w:t>
            </w: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8"/>
              </w:rPr>
              <w:t>103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58" w:right="99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47"/>
        </w:trPr>
        <w:tc>
          <w:tcPr>
            <w:tcW w:w="260" w:type="dxa"/>
            <w:vAlign w:val="bottom"/>
            <w:vMerge w:val="restart"/>
          </w:tcPr>
          <w:p>
            <w:pPr>
              <w:spacing w:after="0"/>
              <w:rPr>
                <w:sz w:val="4"/>
                <w:szCs w:val="4"/>
                <w:color w:val="auto"/>
              </w:rPr>
            </w:pPr>
          </w:p>
        </w:tc>
        <w:tc>
          <w:tcPr>
            <w:tcW w:w="900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color w:val="auto"/>
              </w:rPr>
              <w:t>SECTION 6.04. Investments, Loans, Advances, Guarantees and Acquisitions</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102</w:t>
            </w:r>
          </w:p>
        </w:tc>
        <w:tc>
          <w:tcPr>
            <w:tcW w:w="20" w:type="dxa"/>
            <w:vAlign w:val="bottom"/>
            <w:vMerge w:val="restart"/>
          </w:tcPr>
          <w:p>
            <w:pPr>
              <w:spacing w:after="0"/>
              <w:rPr>
                <w:sz w:val="4"/>
                <w:szCs w:val="4"/>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0000FF"/>
                <w:w w:val="84"/>
              </w:rPr>
              <w:t>104</w:t>
            </w:r>
          </w:p>
        </w:tc>
        <w:tc>
          <w:tcPr>
            <w:tcW w:w="0" w:type="dxa"/>
            <w:vAlign w:val="bottom"/>
          </w:tcPr>
          <w:p>
            <w:pPr>
              <w:spacing w:after="0"/>
              <w:rPr>
                <w:sz w:val="1"/>
                <w:szCs w:val="1"/>
                <w:color w:val="auto"/>
              </w:rPr>
            </w:pPr>
          </w:p>
        </w:tc>
      </w:tr>
      <w:tr>
        <w:trPr>
          <w:trHeight w:val="211"/>
        </w:trPr>
        <w:tc>
          <w:tcPr>
            <w:tcW w:w="260" w:type="dxa"/>
            <w:vAlign w:val="bottom"/>
            <w:vMerge w:val="continue"/>
          </w:tcPr>
          <w:p>
            <w:pPr>
              <w:spacing w:after="0"/>
              <w:rPr>
                <w:sz w:val="17"/>
                <w:szCs w:val="17"/>
                <w:color w:val="auto"/>
              </w:rPr>
            </w:pPr>
          </w:p>
        </w:tc>
        <w:tc>
          <w:tcPr>
            <w:tcW w:w="9000" w:type="dxa"/>
            <w:vAlign w:val="bottom"/>
            <w:gridSpan w:val="6"/>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Borders>
              <w:bottom w:val="single" w:sz="8" w:color="0000FF"/>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6.05. Asset Sales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105</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107</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6.06. Sale/Leaseback Transactions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108</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6.07. Hedging Agreements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108</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6.08. Restricted Payments; Certain Payments of Indebtedness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109</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6.09. Transactions with Affiliates</w:t>
            </w:r>
          </w:p>
        </w:tc>
        <w:tc>
          <w:tcPr>
            <w:tcW w:w="360" w:type="dxa"/>
            <w:vAlign w:val="bottom"/>
            <w:gridSpan w:val="2"/>
            <w:vMerge w:val="restart"/>
          </w:tcPr>
          <w:p>
            <w:pPr>
              <w:jc w:val="right"/>
              <w:ind w:right="20"/>
              <w:spacing w:after="0" w:line="223" w:lineRule="exact"/>
              <w:rPr>
                <w:sz w:val="20"/>
                <w:szCs w:val="20"/>
                <w:color w:val="auto"/>
              </w:rPr>
            </w:pPr>
            <w:r>
              <w:rPr>
                <w:rFonts w:ascii="Times New Roman" w:cs="Times New Roman" w:eastAsia="Times New Roman" w:hAnsi="Times New Roman"/>
                <w:sz w:val="22"/>
                <w:szCs w:val="22"/>
                <w:color w:val="FF0000"/>
                <w:strike w:val="1"/>
                <w:w w:val="96"/>
              </w:rPr>
              <w:t>108</w:t>
            </w: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19"/>
                <w:szCs w:val="19"/>
                <w:color w:val="0000FF"/>
                <w:w w:val="77"/>
              </w:rPr>
              <w:t>110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6.10. Restrictive Agreements</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110</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6.11. Amendment of Material Documents; Technology License Agreements; Etc.</w:t>
            </w:r>
          </w:p>
        </w:tc>
        <w:tc>
          <w:tcPr>
            <w:tcW w:w="420" w:type="dxa"/>
            <w:vAlign w:val="bottom"/>
            <w:gridSpan w:val="5"/>
            <w:vMerge w:val="restart"/>
          </w:tcPr>
          <w:p>
            <w:pPr>
              <w:jc w:val="right"/>
              <w:ind w:right="80"/>
              <w:spacing w:after="0" w:line="223" w:lineRule="exact"/>
              <w:rPr>
                <w:sz w:val="20"/>
                <w:szCs w:val="20"/>
                <w:color w:val="auto"/>
              </w:rPr>
            </w:pPr>
            <w:r>
              <w:rPr>
                <w:rFonts w:ascii="Times New Roman" w:cs="Times New Roman" w:eastAsia="Times New Roman" w:hAnsi="Times New Roman"/>
                <w:sz w:val="22"/>
                <w:szCs w:val="22"/>
                <w:color w:val="FF0000"/>
                <w:strike w:val="1"/>
                <w:w w:val="96"/>
              </w:rPr>
              <w:t>109</w:t>
            </w: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111</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6.12. Net Leverage Ratio</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109</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6.13. Minimum Interest Coverage Ratio</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6.14. [Intentionally Omitted]</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6.15. Fiscal Year</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6.16. Anti-Money Laundering/International Trade Law Compliance</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6.17. Anti-Corruption</w:t>
            </w:r>
          </w:p>
        </w:tc>
        <w:tc>
          <w:tcPr>
            <w:tcW w:w="40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0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0000FF"/>
              </w:rPr>
              <w:t>SECTION 6.18. Division/Series Transaction</w:t>
            </w:r>
          </w:p>
        </w:tc>
        <w:tc>
          <w:tcPr>
            <w:tcW w:w="440" w:type="dxa"/>
            <w:vAlign w:val="bottom"/>
            <w:gridSpan w:val="6"/>
            <w:vMerge w:val="restart"/>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440" w:type="dxa"/>
            <w:vAlign w:val="bottom"/>
            <w:gridSpan w:val="6"/>
            <w:vMerge w:val="continue"/>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Times New Roman" w:cs="Times New Roman" w:eastAsia="Times New Roman" w:hAnsi="Times New Roman"/>
                <w:sz w:val="19"/>
                <w:szCs w:val="19"/>
                <w:color w:val="0000FF"/>
                <w:w w:val="70"/>
              </w:rPr>
              <w:t>112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60" w:type="dxa"/>
            <w:vAlign w:val="bottom"/>
            <w:tcBorders>
              <w:top w:val="single" w:sz="8" w:color="0000FF"/>
              <w:bottom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VII Events of Default</w:t>
            </w:r>
          </w:p>
        </w:tc>
        <w:tc>
          <w:tcPr>
            <w:tcW w:w="6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0000FF"/>
              </w:rPr>
              <w:t>113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VIII The Administrative Agent</w:t>
            </w:r>
          </w:p>
        </w:tc>
        <w:tc>
          <w:tcPr>
            <w:tcW w:w="6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0000FF"/>
              </w:rPr>
              <w:t>115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6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0000FF"/>
              </w:rPr>
              <w:t>120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9.01. Notices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FF"/>
            </w:tcBorders>
            <w:gridSpan w:val="5"/>
          </w:tcPr>
          <w:p>
            <w:pPr>
              <w:jc w:val="right"/>
              <w:spacing w:after="0" w:line="183" w:lineRule="exact"/>
              <w:rPr>
                <w:sz w:val="20"/>
                <w:szCs w:val="20"/>
                <w:color w:val="auto"/>
              </w:rPr>
            </w:pPr>
            <w:r>
              <w:rPr>
                <w:rFonts w:ascii="Times New Roman" w:cs="Times New Roman" w:eastAsia="Times New Roman" w:hAnsi="Times New Roman"/>
                <w:sz w:val="21"/>
                <w:szCs w:val="21"/>
                <w:color w:val="0000FF"/>
                <w:w w:val="88"/>
              </w:rPr>
              <w:t>120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9.02. Waivers; Amendments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119</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9.03. Expenses; Indemnity; Damage Waiver</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121</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9.04. Successors and Assigns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123</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9.05. Survival</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9.06. Counterparts; Integration; Effectiveness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126</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9.07. Severability</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9.08. Right of Setoff</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9.09. Governing Law; Jurisdiction; Consent to Service of Process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9.10. WAIVER OF JURY TRIAL</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128</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9.11. Headings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129</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9.12. Confidentiality</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129</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9.13. Interest Rate Limitation</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129</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9.14. Release of Liens and Guarantees</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130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9.15. USA PATRIOT Act Notice</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130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color w:val="auto"/>
              </w:rPr>
              <w:t>SECTION 9.16. No Fiduciary Relationship</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6"/>
              </w:rPr>
              <w:t>130</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9000" w:type="dxa"/>
            <w:vAlign w:val="bottom"/>
            <w:gridSpan w:val="6"/>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4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auto"/>
                <w:w w:val="99"/>
              </w:rPr>
              <w:t>SECTION 9.17. Acknowledgement and Consent to Bail-In of</w:t>
            </w:r>
          </w:p>
        </w:tc>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strike w:val="1"/>
                <w:w w:val="93"/>
              </w:rPr>
              <w:t>EEA</w:t>
            </w:r>
          </w:p>
        </w:tc>
        <w:tc>
          <w:tcPr>
            <w:tcW w:w="318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rPr>
              <w:t xml:space="preserve">Affected </w:t>
            </w:r>
            <w:r>
              <w:rPr>
                <w:rFonts w:ascii="Times New Roman" w:cs="Times New Roman" w:eastAsia="Times New Roman" w:hAnsi="Times New Roman"/>
                <w:sz w:val="22"/>
                <w:szCs w:val="22"/>
                <w:color w:val="000000"/>
              </w:rPr>
              <w:t>Financial Institutions</w:t>
            </w:r>
          </w:p>
        </w:tc>
        <w:tc>
          <w:tcPr>
            <w:tcW w:w="360" w:type="dxa"/>
            <w:vAlign w:val="bottom"/>
            <w:gridSpan w:val="2"/>
            <w:vMerge w:val="restart"/>
          </w:tcPr>
          <w:p>
            <w:pPr>
              <w:jc w:val="right"/>
              <w:ind w:right="20"/>
              <w:spacing w:after="0" w:line="223" w:lineRule="exact"/>
              <w:rPr>
                <w:sz w:val="20"/>
                <w:szCs w:val="20"/>
                <w:color w:val="auto"/>
              </w:rPr>
            </w:pPr>
            <w:r>
              <w:rPr>
                <w:rFonts w:ascii="Times New Roman" w:cs="Times New Roman" w:eastAsia="Times New Roman" w:hAnsi="Times New Roman"/>
                <w:sz w:val="22"/>
                <w:szCs w:val="22"/>
                <w:color w:val="FF0000"/>
                <w:strike w:val="1"/>
                <w:w w:val="96"/>
              </w:rPr>
              <w:t>130</w:t>
            </w: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540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180" w:type="dxa"/>
            <w:vAlign w:val="bottom"/>
            <w:gridSpan w:val="3"/>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Borders>
              <w:top w:val="single" w:sz="8" w:color="0000FF"/>
              <w:bottom w:val="single" w:sz="8" w:color="0000FF"/>
            </w:tcBorders>
          </w:tcPr>
          <w:p>
            <w:pPr>
              <w:spacing w:after="0" w:line="20" w:lineRule="exact"/>
              <w:rPr>
                <w:sz w:val="1"/>
                <w:szCs w:val="1"/>
                <w:color w:val="auto"/>
              </w:rPr>
            </w:pPr>
          </w:p>
        </w:tc>
        <w:tc>
          <w:tcPr>
            <w:tcW w:w="2440" w:type="dxa"/>
            <w:vAlign w:val="bottom"/>
            <w:vMerge w:val="restart"/>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6560" w:type="dxa"/>
            <w:vAlign w:val="bottom"/>
            <w:gridSpan w:val="5"/>
          </w:tcPr>
          <w:p>
            <w:pPr>
              <w:spacing w:after="0" w:line="183" w:lineRule="exact"/>
              <w:rPr>
                <w:sz w:val="20"/>
                <w:szCs w:val="20"/>
                <w:color w:val="auto"/>
              </w:rPr>
            </w:pPr>
            <w:r>
              <w:rPr>
                <w:rFonts w:ascii="Times New Roman" w:cs="Times New Roman" w:eastAsia="Times New Roman" w:hAnsi="Times New Roman"/>
                <w:sz w:val="21"/>
                <w:szCs w:val="21"/>
                <w:color w:val="0000FF"/>
              </w:rPr>
              <w:t>SECTION 9.18. Acknowledgement Regarding Any Supported QFCs</w:t>
            </w:r>
          </w:p>
        </w:tc>
        <w:tc>
          <w:tcPr>
            <w:tcW w:w="24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0000FF"/>
                <w:w w:val="82"/>
              </w:rPr>
              <w:t>133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60" w:type="dxa"/>
            <w:vAlign w:val="bottom"/>
            <w:tcBorders>
              <w:top w:val="single" w:sz="8" w:color="0000FF"/>
              <w:bottom w:val="single" w:sz="8" w:color="0000FF"/>
            </w:tcBorders>
          </w:tcPr>
          <w:p>
            <w:pPr>
              <w:spacing w:after="0" w:line="20" w:lineRule="exact"/>
              <w:rPr>
                <w:sz w:val="1"/>
                <w:szCs w:val="1"/>
                <w:color w:val="auto"/>
              </w:rPr>
            </w:pPr>
          </w:p>
        </w:tc>
        <w:tc>
          <w:tcPr>
            <w:tcW w:w="154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58" w:right="99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53"/>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SCHEDULES:</w:t>
            </w:r>
          </w:p>
        </w:tc>
        <w:tc>
          <w:tcPr>
            <w:tcW w:w="460" w:type="dxa"/>
            <w:vAlign w:val="bottom"/>
          </w:tcPr>
          <w:p>
            <w:pPr>
              <w:spacing w:after="0"/>
              <w:rPr>
                <w:sz w:val="22"/>
                <w:szCs w:val="22"/>
                <w:color w:val="auto"/>
              </w:rPr>
            </w:pPr>
          </w:p>
        </w:tc>
        <w:tc>
          <w:tcPr>
            <w:tcW w:w="7140" w:type="dxa"/>
            <w:vAlign w:val="bottom"/>
          </w:tcPr>
          <w:p>
            <w:pPr>
              <w:spacing w:after="0"/>
              <w:rPr>
                <w:sz w:val="22"/>
                <w:szCs w:val="22"/>
                <w:color w:val="auto"/>
              </w:rPr>
            </w:pP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1.01</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Existing Letters of Credit</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2.01</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3.06</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Source Code Licenses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3.12</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Permitted Holders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3.12A</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Subsidiaries and Joint Ventures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3.13</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Insurance</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6.01</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Existing Indebtedness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6.02</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Existing Liens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Schedule 6.04</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Existing Investments</w:t>
            </w:r>
          </w:p>
        </w:tc>
      </w:tr>
      <w:tr>
        <w:trPr>
          <w:trHeight w:val="282"/>
        </w:trPr>
        <w:tc>
          <w:tcPr>
            <w:tcW w:w="2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Schedule 6.10</w:t>
            </w:r>
          </w:p>
        </w:tc>
        <w:tc>
          <w:tcPr>
            <w:tcW w:w="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71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Existing Restrictions</w:t>
            </w:r>
          </w:p>
        </w:tc>
      </w:tr>
      <w:tr>
        <w:trPr>
          <w:trHeight w:val="433"/>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EXHIBITS:</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79"/>
        </w:trPr>
        <w:tc>
          <w:tcPr>
            <w:tcW w:w="2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Exhibit A</w:t>
            </w: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Form of Assignment and Assumption</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B-1</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Borrowing Request (Revolving Loans)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B-2</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Borrowing Request (Swingline Loans)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Guarantee and Collateral Agreement</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Compliance Certificate</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Interest Election Request</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Perfection Certificate</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G-1</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U.S. Tax Certificate for Non-U.S. Lenders that are not Partnerships for</w:t>
            </w:r>
          </w:p>
        </w:tc>
      </w:tr>
      <w:tr>
        <w:trPr>
          <w:trHeight w:val="243"/>
        </w:trPr>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U.S. Federal Income Tax Purposes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G-2</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   Form of U.S. Tax Certificate for Non-U.S. Lenders that are Partnerships for U.S.</w:t>
            </w:r>
          </w:p>
        </w:tc>
      </w:tr>
      <w:tr>
        <w:trPr>
          <w:trHeight w:val="243"/>
        </w:trPr>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Federal Income Tax Purposes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G-3</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Non-U.S. Participants that are not Partnerships for U.S. Federal Income</w:t>
            </w:r>
          </w:p>
        </w:tc>
      </w:tr>
      <w:tr>
        <w:trPr>
          <w:trHeight w:val="243"/>
        </w:trPr>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Tax Purposes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G-4</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   Form of Non-U.S. Participants that are Partnerships for U.S. Federal Income Tax</w:t>
            </w:r>
          </w:p>
        </w:tc>
      </w:tr>
      <w:tr>
        <w:trPr>
          <w:trHeight w:val="243"/>
        </w:trPr>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1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Purposes</w:t>
            </w:r>
          </w:p>
        </w:tc>
      </w:tr>
      <w:tr>
        <w:trPr>
          <w:trHeight w:val="243"/>
        </w:trPr>
        <w:tc>
          <w:tcPr>
            <w:tcW w:w="214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rPr>
              <w:t>Exhibit H-1</w:t>
            </w:r>
          </w:p>
        </w:tc>
        <w:tc>
          <w:tcPr>
            <w:tcW w:w="760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   Form of Dollar Swingline Note</w:t>
            </w:r>
          </w:p>
        </w:tc>
      </w:tr>
      <w:tr>
        <w:trPr>
          <w:trHeight w:val="282"/>
        </w:trPr>
        <w:tc>
          <w:tcPr>
            <w:tcW w:w="2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Exhibit H-2</w:t>
            </w: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Form of Optional Currency Swingline Note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114" w:right="1179" w:bottom="1440" w:gutter="0" w:footer="0" w:header="0"/>
        </w:sectPr>
      </w:pPr>
    </w:p>
    <w:bookmarkStart w:id="437" w:name="page438"/>
    <w:bookmarkEnd w:id="437"/>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AMENDED AND RESTATED CREDIT AGREEMENT is dated as of December 19, 2017, among BENTLEY SYSTEMS, INCORPORATED, the LENDERS party hereto and PNC BANK, NATIONAL ASSOCIATION, as Administrative Agent.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06" w:lineRule="exact"/>
        <w:rPr>
          <w:sz w:val="20"/>
          <w:szCs w:val="20"/>
          <w:color w:val="auto"/>
        </w:rPr>
      </w:pPr>
    </w:p>
    <w:p>
      <w:pPr>
        <w:jc w:val="both"/>
        <w:ind w:left="1300" w:hanging="644"/>
        <w:spacing w:after="0" w:line="239" w:lineRule="auto"/>
        <w:tabs>
          <w:tab w:leader="none" w:pos="141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(as defined below), the lenders party thereto (including the Departing Lenders, as defined below) and PNC Bank, National Association, as Administrative Agent, are currently party to a certain Credit Agreement dated as of February 2, 2012 (as heretofore amended, modified or otherwise supplemented,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5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Lenders and the Administrative Agent have agreed to enter into this Agreement in order to (i) amend and restate the Existing Credit Agreement in its entirety, (ii) re-evidence the Obligations under, and as defined in, the Existing Credit Agreement, which shall be repayable in accordance with the terms of this Agreement and (iii) set forth the terms and conditions under which the Lenders will, from time to time, make loans to or for the benefit of the Borrower and issue letters of credit for the account of the Borrower.</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549"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 outstanding thereunder, which shall be payable in accordance with the terms hereof.</w:t>
      </w:r>
    </w:p>
    <w:p>
      <w:pPr>
        <w:spacing w:after="0" w:line="181"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36"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confirms that all obligations under the applicable “Loan Documents” (as referred to and defined in the Existing Credit Agreement) shall continue in full force and effect as modified or restated by the Loan Documents (as referred to and defined herein), and that, from and after the Restatement Effective Date (as defined herein), all references to the “Credit Agreement” contained in any such existing “Loan Documents” shall be deemed to refer to this Agreement.</w:t>
      </w:r>
    </w:p>
    <w:p>
      <w:pPr>
        <w:spacing w:after="0" w:line="1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the parties hereto, in consideration of their mutual covenants and agreements hereinafter set forth and intending to be legally bound hereby,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3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have the meanings specified below:</w:t>
      </w:r>
    </w:p>
    <w:p>
      <w:pPr>
        <w:spacing w:after="0" w:line="15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ABR</w:t>
      </w:r>
      <w:r>
        <w:rPr>
          <w:rFonts w:ascii="Times New Roman" w:cs="Times New Roman" w:eastAsia="Times New Roman" w:hAnsi="Times New Roman"/>
          <w:sz w:val="21"/>
          <w:szCs w:val="21"/>
          <w:color w:val="auto"/>
        </w:rPr>
        <w:t>”, when used in reference to any Loan or Borrowing, refers to whether such Loan, or the Loans comprising such Borrowing, shall bear interest at a rate determined by reference to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600075</wp:posOffset>
            </wp:positionV>
            <wp:extent cx="6292215" cy="171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3" w:right="999" w:bottom="1440" w:gutter="0" w:footer="0" w:header="0"/>
        </w:sectPr>
      </w:pPr>
    </w:p>
    <w:bookmarkStart w:id="438" w:name="page439"/>
    <w:bookmarkEnd w:id="43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Accepting Lender</w:t>
      </w:r>
      <w:r>
        <w:rPr>
          <w:rFonts w:ascii="Times New Roman" w:cs="Times New Roman" w:eastAsia="Times New Roman" w:hAnsi="Times New Roman"/>
          <w:sz w:val="22"/>
          <w:szCs w:val="22"/>
          <w:color w:val="auto"/>
        </w:rPr>
        <w:t>” has the meaning set forth in Section 2.22(a).</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Consolidated Net Income</w:t>
      </w:r>
      <w:r>
        <w:rPr>
          <w:rFonts w:ascii="Times New Roman" w:cs="Times New Roman" w:eastAsia="Times New Roman" w:hAnsi="Times New Roman"/>
          <w:sz w:val="22"/>
          <w:szCs w:val="22"/>
          <w:color w:val="auto"/>
        </w:rPr>
        <w:t xml:space="preserve">” means, for any period, the net income or loss of the Borrower and its consolidated Subsidiaries for such period, determined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excluded (a) the income of any Person that is not a consolidated Subsidiary, except to the extent of the amount of cash dividends or similar cash distributions actually paid by such Person to the Borrower or, subject to clauses (b) and (c) below, any consolidated Subsidiary during such period, (b) the income of, and any amounts referred to in clause (a) above paid to, any consolidated Subsidiary (other than any Subsidiary Loan Party) to the extent that, on the date of determination, the declaration or payment of cash dividends or similar cash distributions by such Subsidiary is not permitted without any prior approval of any Governmental Authority that has not been obtained or is not permitted by the operation of the terms of the organizational documents of such Subsidiary, any agreement or other instrument binding upon the Borrower or such Subsidiary or any Law applicable to such Subsidiary, unless such restrictions with respect to the payment of cash dividends and other similar cash distributions have been legally and effectively waived, and (c) the income or loss of, and any amounts referred to in clause (a) above paid to, any consolidated Subsidiary that is not wholly owned by the Borrower to the extent such income or loss or such amounts are attributable to the noncontrolling interest in such consolidated Subsidiary.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PNC Bank, National Association, in its capacity as administrative agent and collateral agent hereunder and under the other Loan Documents, and its successors in such capacity as provided in Article VIII.</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Class</w:t>
      </w:r>
      <w:r>
        <w:rPr>
          <w:rFonts w:ascii="Times New Roman" w:cs="Times New Roman" w:eastAsia="Times New Roman" w:hAnsi="Times New Roman"/>
          <w:sz w:val="22"/>
          <w:szCs w:val="22"/>
          <w:color w:val="auto"/>
        </w:rPr>
        <w:t>” has the meaning set forth in Section 2.22(a).</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Affected Financial Institution” means (a) any EEA Financial Institution or (b) any UK Financial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Institution.</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Affiliate</w:t>
      </w:r>
      <w:r>
        <w:rPr>
          <w:rFonts w:ascii="Times New Roman" w:cs="Times New Roman" w:eastAsia="Times New Roman" w:hAnsi="Times New Roman"/>
          <w:sz w:val="22"/>
          <w:szCs w:val="22"/>
          <w:color w:val="000000"/>
        </w:rPr>
        <w:t>” means, with respect to a specified Person, another Person that directly or indirectly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Controls or is Controlled by or is under common Control with the Person specified;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for purposes of Section 6.09, the term “Affiliate” also means any Person that is a director or an executive officer of the Person specified, any Person that directly or indirectly beneficially owns Equity Interests in the Person specified representing 5% or more of the aggregate ordinary voting power or the aggregate equity value represented by the issued and outstanding Equity Interests in the Person specified and any Person that would be an Affiliate of any such beneficial owner pursuant to this definition (but without giving effect to this proviso).</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Revolving Commitment</w:t>
      </w:r>
      <w:r>
        <w:rPr>
          <w:rFonts w:ascii="Times New Roman" w:cs="Times New Roman" w:eastAsia="Times New Roman" w:hAnsi="Times New Roman"/>
          <w:sz w:val="22"/>
          <w:szCs w:val="22"/>
          <w:color w:val="auto"/>
        </w:rPr>
        <w:t xml:space="preserve">” means the sum of the Revolving Commitments of all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Revolving Exposure</w:t>
      </w:r>
      <w:r>
        <w:rPr>
          <w:rFonts w:ascii="Times New Roman" w:cs="Times New Roman" w:eastAsia="Times New Roman" w:hAnsi="Times New Roman"/>
          <w:sz w:val="21"/>
          <w:szCs w:val="21"/>
          <w:color w:val="auto"/>
        </w:rPr>
        <w:t xml:space="preserve">” means the sum of the Revolving Exposures of all the </w:t>
      </w:r>
      <w:r>
        <w:rPr>
          <w:rFonts w:ascii="Times New Roman" w:cs="Times New Roman" w:eastAsia="Times New Roman" w:hAnsi="Times New Roman"/>
          <w:sz w:val="21"/>
          <w:szCs w:val="21"/>
          <w:u w:val="single" w:color="auto"/>
          <w:color w:val="0000FF"/>
        </w:rPr>
        <w:t>Revolving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39" w:name="page440"/>
    <w:bookmarkEnd w:id="439"/>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means, for any day, a fluctuating per annum rate of interest equal to the highest of (a) the Prime Rate in effect on such day, (b) the Overnight Bank Funding Rate in effect on such day plus ½ of 1% and (c) the Daily LIBOR Rate in effect on such day plus one hundred basis points (1.00%). If for any reason the Administrative Agent shall have determined (which determination shall be conclusive absent manifest error) that it is unable to ascertain the Overnight Bank Funding Rate or the Daily LIBOR Rate for any reason, the Alternate Base Rate shall be determined without regard to clause (b) or (c), as the case may be, of the first sentence of this definition until the circumstances giving rise to such inability no longer exist. Any change in the Alternate Base Rate due to a change in the Prime Rate, the Overnight Bank Funding Rate or the Daily LIBOR Rate shall be effective on the effective date of such change in the Prime Rate, the Overnight Bank Funding Rate or the Daily LIBOR Rate, respectively. Notwithstanding the foregoing, if the Alternate Base Rate as determined above would be less than zero (0.00), such rate shall be deemed to be zero (0.00) for purposes of this Agreement.</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any Laws relating to terrorism, trade sanctions programs and embargoes, import/export licensing, money laundering or bribery (including the FCPA), and any regulation, order, or directive promulgated, issued or enforced pursuant to such Laws (including Executive Order No. 13224, the USA Patriot Act, the Laws comprising or implementing the Bank Secrecy Act, and the Laws administered or enforced by the United States Treasury Department’s Office of Foreign Asset Control, the United States Department of State, the United Nations Security Council, the European Union, Her Majesty’s Treasury or other relevant applicable sanctions authority), all as amended, renewed, extended, supplemented or replaced from time to time.</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at any time, with respect to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the percentage of the Aggregate Revolving Commitment represented by such Lender’s Revolving Commitment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Defaulting Lender exists at such time, the Applicable Percentages shall be calculated disregarding such Defaulting Lender’s Revolving Commitment. If the Revolving Commitments have terminated or expired, the Applicable Percentages shall be determined based upon the Revolving Commitments most recently in effect, giving effect to any assignments and to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status as a Defaulting Lender at the time of determination.</w:t>
      </w:r>
    </w:p>
    <w:p>
      <w:pPr>
        <w:spacing w:after="0" w:line="18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for any day, with respect to any ABR Loan or Eurocurrency Loan, or with respect to the commitment fees payable hereunder, the applicable rate per annum set forth below under the caption “ABR Spread”, “Eurocurrency Spread” or “Commitment Fee Rate”, as the case may be, based upon the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the day on which the consolidated financial statements for the fiscal year ending December 31, </w:t>
      </w:r>
      <w:r>
        <w:rPr>
          <w:rFonts w:ascii="Times New Roman" w:cs="Times New Roman" w:eastAsia="Times New Roman" w:hAnsi="Times New Roman"/>
          <w:sz w:val="22"/>
          <w:szCs w:val="22"/>
          <w:color w:val="FF0000"/>
          <w:strike w:val="1"/>
        </w:rPr>
        <w:t>2017</w:t>
      </w:r>
      <w:r>
        <w:rPr>
          <w:rFonts w:ascii="Times New Roman" w:cs="Times New Roman" w:eastAsia="Times New Roman" w:hAnsi="Times New Roman"/>
          <w:sz w:val="22"/>
          <w:szCs w:val="22"/>
          <w:u w:val="single" w:color="auto"/>
          <w:color w:val="0000FF"/>
        </w:rPr>
        <w:t>2020</w:t>
      </w:r>
      <w:r>
        <w:rPr>
          <w:rFonts w:ascii="Times New Roman" w:cs="Times New Roman" w:eastAsia="Times New Roman" w:hAnsi="Times New Roman"/>
          <w:sz w:val="22"/>
          <w:szCs w:val="22"/>
          <w:color w:val="auto"/>
        </w:rPr>
        <w:t xml:space="preserve"> are due to be delivered to the Administrative Agent pursuant to Section 5.01(a), the Applicable Rate shall, subject to the last sentence of this definition, be in Category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0" w:name="page441"/>
    <w:bookmarkEnd w:id="440"/>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60" w:type="dxa"/>
            <w:vAlign w:val="bottom"/>
            <w:tcBorders>
              <w:top w:val="single" w:sz="8" w:color="auto"/>
              <w:left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480" w:type="dxa"/>
            <w:vAlign w:val="bottom"/>
            <w:tcBorders>
              <w:top w:val="single" w:sz="8" w:color="auto"/>
              <w:right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auto"/>
            </w:tcBorders>
            <w:gridSpan w:val="3"/>
          </w:tcPr>
          <w:p>
            <w:pPr>
              <w:jc w:val="center"/>
              <w:ind w:right="640"/>
              <w:spacing w:after="0" w:line="189" w:lineRule="exact"/>
              <w:rPr>
                <w:sz w:val="20"/>
                <w:szCs w:val="20"/>
                <w:color w:val="auto"/>
              </w:rPr>
            </w:pPr>
            <w:r>
              <w:rPr>
                <w:rFonts w:ascii="Times New Roman" w:cs="Times New Roman" w:eastAsia="Times New Roman" w:hAnsi="Times New Roman"/>
                <w:sz w:val="18"/>
                <w:szCs w:val="18"/>
                <w:color w:val="auto"/>
                <w:w w:val="97"/>
              </w:rPr>
              <w:t>ABR</w:t>
            </w: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right w:val="single" w:sz="8" w:color="auto"/>
            </w:tcBorders>
            <w:gridSpan w:val="4"/>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9"/>
              </w:rPr>
              <w:t>Eurocurrency</w:t>
            </w:r>
          </w:p>
        </w:tc>
        <w:tc>
          <w:tcPr>
            <w:tcW w:w="1880" w:type="dxa"/>
            <w:vAlign w:val="bottom"/>
            <w:tcBorders>
              <w:top w:val="single" w:sz="8" w:color="auto"/>
              <w:right w:val="single" w:sz="8" w:color="auto"/>
            </w:tcBorders>
            <w:gridSpan w:val="5"/>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w w:val="98"/>
              </w:rPr>
              <w:t>Commitment</w:t>
            </w: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380" w:type="dxa"/>
            <w:vAlign w:val="bottom"/>
            <w:tcBorders>
              <w:right w:val="single" w:sz="8" w:color="auto"/>
            </w:tcBorders>
            <w:gridSpan w:val="2"/>
          </w:tcPr>
          <w:p>
            <w:pPr>
              <w:spacing w:after="0" w:line="20" w:lineRule="exact"/>
              <w:rPr>
                <w:sz w:val="1"/>
                <w:szCs w:val="1"/>
                <w:color w:val="auto"/>
              </w:rPr>
            </w:pPr>
          </w:p>
        </w:tc>
        <w:tc>
          <w:tcPr>
            <w:tcW w:w="2280" w:type="dxa"/>
            <w:vAlign w:val="bottom"/>
            <w:tcBorders>
              <w:right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1380" w:type="dxa"/>
            <w:vAlign w:val="bottom"/>
            <w:tcBorders>
              <w:right w:val="single" w:sz="8" w:color="auto"/>
            </w:tcBorders>
            <w:gridSpan w:val="2"/>
          </w:tcPr>
          <w:p>
            <w:pPr>
              <w:jc w:val="center"/>
              <w:ind w:right="660"/>
              <w:spacing w:after="0" w:line="196" w:lineRule="exact"/>
              <w:rPr>
                <w:sz w:val="20"/>
                <w:szCs w:val="20"/>
                <w:color w:val="auto"/>
              </w:rPr>
            </w:pPr>
            <w:r>
              <w:rPr>
                <w:rFonts w:ascii="Times New Roman" w:cs="Times New Roman" w:eastAsia="Times New Roman" w:hAnsi="Times New Roman"/>
                <w:sz w:val="18"/>
                <w:szCs w:val="18"/>
                <w:color w:val="auto"/>
              </w:rPr>
              <w:t>Category:</w:t>
            </w:r>
          </w:p>
        </w:tc>
        <w:tc>
          <w:tcPr>
            <w:tcW w:w="2280" w:type="dxa"/>
            <w:vAlign w:val="bottom"/>
            <w:tcBorders>
              <w:right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Net Leverage Ratio:</w:t>
            </w:r>
          </w:p>
        </w:tc>
        <w:tc>
          <w:tcPr>
            <w:tcW w:w="1620" w:type="dxa"/>
            <w:vAlign w:val="bottom"/>
            <w:tcBorders>
              <w:right w:val="single" w:sz="8" w:color="auto"/>
            </w:tcBorders>
            <w:gridSpan w:val="5"/>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560" w:type="dxa"/>
            <w:vAlign w:val="bottom"/>
          </w:tcPr>
          <w:p>
            <w:pPr>
              <w:spacing w:after="0"/>
              <w:rPr>
                <w:sz w:val="17"/>
                <w:szCs w:val="17"/>
                <w:color w:val="auto"/>
              </w:rPr>
            </w:pPr>
          </w:p>
        </w:tc>
        <w:tc>
          <w:tcPr>
            <w:tcW w:w="1540" w:type="dxa"/>
            <w:vAlign w:val="bottom"/>
            <w:tcBorders>
              <w:right w:val="single" w:sz="8" w:color="auto"/>
            </w:tcBorders>
            <w:gridSpan w:val="4"/>
          </w:tcPr>
          <w:p>
            <w:pPr>
              <w:jc w:val="center"/>
              <w:ind w:right="56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Fee Rate</w:t>
            </w:r>
          </w:p>
        </w:tc>
      </w:tr>
      <w:tr>
        <w:trPr>
          <w:trHeight w:val="115"/>
        </w:trPr>
        <w:tc>
          <w:tcPr>
            <w:tcW w:w="660" w:type="dxa"/>
            <w:vAlign w:val="bottom"/>
            <w:tcBorders>
              <w:left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tcBorders>
              <w:top w:val="single" w:sz="8" w:color="auto"/>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1</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 &lt; 1.00</w:t>
            </w:r>
          </w:p>
        </w:tc>
        <w:tc>
          <w:tcPr>
            <w:tcW w:w="104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0.00%</w:t>
            </w:r>
          </w:p>
        </w:tc>
        <w:tc>
          <w:tcPr>
            <w:tcW w:w="5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0.150%</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2</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1.00 ≤ x &lt; 1.50</w:t>
            </w:r>
          </w:p>
        </w:tc>
        <w:tc>
          <w:tcPr>
            <w:tcW w:w="162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0.250%</w:t>
            </w: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1.250%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0.175%</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3</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1.50 ≤ x &lt; 2.00</w:t>
            </w:r>
          </w:p>
        </w:tc>
        <w:tc>
          <w:tcPr>
            <w:tcW w:w="162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0. 500%</w:t>
            </w: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1.500%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0.200%</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4</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2.00 ≤ x &lt; 2.50</w:t>
            </w:r>
          </w:p>
        </w:tc>
        <w:tc>
          <w:tcPr>
            <w:tcW w:w="162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0.750%</w:t>
            </w: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1.750%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0.225%</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5</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2.50 ≤ x &lt; 3.00</w:t>
            </w:r>
          </w:p>
        </w:tc>
        <w:tc>
          <w:tcPr>
            <w:tcW w:w="162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0.250%</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r>
        <w:trPr>
          <w:trHeight w:val="223"/>
        </w:trPr>
        <w:tc>
          <w:tcPr>
            <w:tcW w:w="20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Category 6</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x ≥ 3.00</w:t>
            </w:r>
          </w:p>
        </w:tc>
        <w:tc>
          <w:tcPr>
            <w:tcW w:w="162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1.250%</w:t>
            </w:r>
          </w:p>
        </w:tc>
        <w:tc>
          <w:tcPr>
            <w:tcW w:w="15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2.250%</w:t>
            </w:r>
          </w:p>
        </w:tc>
        <w:tc>
          <w:tcPr>
            <w:tcW w:w="5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7"/>
              </w:rPr>
              <w:t>0.300%</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r>
    </w:tbl>
    <w:p>
      <w:pPr>
        <w:spacing w:after="0" w:line="18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For purposes of the foregoing, each change in the Applicable Rate resulting from a change in the Net Leverage Ratio shall be effective on the day on which the consolidated financial statements indicating such change are due to be delivered to the Administrative Agent pursuant to Section 5.01(a) or 5.01(b), as the case may be. Notwithstanding the foregoing, the Applicable Rate shall be based on the rates per annum set forth in Category 6 (i) at any time that an Event of Default has occurred and is continuing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Person (other than a natural person) that is engaged in making, purchasing, holding or investing in commercial loans and similar extensions of credit in the ordinary course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PNC Capital Markets LLC, Wells Fargo Capital Finance, LLC and Citizens Bank, N.A., in their capacity as joint lead arrangers and joint bookrunners for the credit facilities provided for herein.</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means an assignment and assumption entered into by a Lender and an Eligible Assignee, with the consent of any Person whose consent is required by Section 9.04, and accepted by the Administrative Agent, in the form of Exhibit A or any other form approved by the Administrative Agent.</w:t>
      </w:r>
    </w:p>
    <w:p>
      <w:pPr>
        <w:spacing w:after="0" w:line="15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xml:space="preserve">” means the exercise of any Write-Down and Conversion Powers by the applicable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Resolution Authority in respect of any liability of 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Financial Institution.</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(a)</w:t>
      </w:r>
      <w:r>
        <w:rPr>
          <w:rFonts w:ascii="Times New Roman" w:cs="Times New Roman" w:eastAsia="Times New Roman" w:hAnsi="Times New Roman"/>
          <w:sz w:val="21"/>
          <w:szCs w:val="21"/>
          <w:color w:val="auto"/>
        </w:rPr>
        <w:t xml:space="preserve"> with respect to any EEA Member Country implementing Article 55 of Directive 2014/59/EU of the European Parliament and of the Council of the European Union, the implementing law</w:t>
      </w:r>
      <w:r>
        <w:rPr>
          <w:rFonts w:ascii="Times New Roman" w:cs="Times New Roman" w:eastAsia="Times New Roman" w:hAnsi="Times New Roman"/>
          <w:sz w:val="21"/>
          <w:szCs w:val="21"/>
          <w:u w:val="single" w:color="auto"/>
          <w:color w:val="0000FF"/>
        </w:rPr>
        <w:t>, regulation, rule or requirement</w:t>
      </w:r>
      <w:r>
        <w:rPr>
          <w:rFonts w:ascii="Times New Roman" w:cs="Times New Roman" w:eastAsia="Times New Roman" w:hAnsi="Times New Roman"/>
          <w:sz w:val="21"/>
          <w:szCs w:val="21"/>
          <w:color w:val="auto"/>
        </w:rPr>
        <w:t xml:space="preserve"> for such EEA Member Country from time to time which is described in the EU Bail-In Legislation Schedule </w:t>
      </w:r>
      <w:r>
        <w:rPr>
          <w:rFonts w:ascii="Times New Roman" w:cs="Times New Roman" w:eastAsia="Times New Roman" w:hAnsi="Times New Roman"/>
          <w:sz w:val="21"/>
          <w:szCs w:val="21"/>
          <w:color w:val="0000FF"/>
        </w:rPr>
        <w:t>and (b) with respect to the United Kingdom, Part I of the United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-945515</wp:posOffset>
            </wp:positionV>
            <wp:extent cx="197485"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-962660</wp:posOffset>
            </wp:positionV>
            <wp:extent cx="19494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0">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-482600</wp:posOffset>
            </wp:positionV>
            <wp:extent cx="359156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1">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-499745</wp:posOffset>
            </wp:positionV>
            <wp:extent cx="358330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441" w:name="page442"/>
    <w:bookmarkEnd w:id="441"/>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Guarantee</w:t>
      </w:r>
      <w:r>
        <w:rPr>
          <w:rFonts w:ascii="Times New Roman" w:cs="Times New Roman" w:eastAsia="Times New Roman" w:hAnsi="Times New Roman"/>
          <w:sz w:val="21"/>
          <w:szCs w:val="21"/>
          <w:color w:val="auto"/>
        </w:rPr>
        <w:t>” means a guarantee issued or to be issued by a bank or other financial institution at the request of, and to guarantee or otherwise provide credit support for the obligations of, a Foreign Subsidiary.</w:t>
      </w:r>
    </w:p>
    <w:p>
      <w:pPr>
        <w:spacing w:after="0" w:line="13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Guarantee Facility</w:t>
      </w:r>
      <w:r>
        <w:rPr>
          <w:rFonts w:ascii="Times New Roman" w:cs="Times New Roman" w:eastAsia="Times New Roman" w:hAnsi="Times New Roman"/>
          <w:sz w:val="22"/>
          <w:szCs w:val="22"/>
          <w:color w:val="auto"/>
        </w:rPr>
        <w:t>” means a facility entered into by a bank or other financial institution for the issuance of one or more Bank Guarantees.</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xml:space="preserve">” means, with respect to any Person, that such Person has become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Option</w:t>
      </w:r>
      <w:r>
        <w:rPr>
          <w:rFonts w:ascii="Times New Roman" w:cs="Times New Roman" w:eastAsia="Times New Roman" w:hAnsi="Times New Roman"/>
          <w:sz w:val="22"/>
          <w:szCs w:val="22"/>
          <w:color w:val="auto"/>
        </w:rPr>
        <w:t xml:space="preserve">” means the option of the Borrower to have Revolving Loans </w:t>
      </w:r>
      <w:r>
        <w:rPr>
          <w:rFonts w:ascii="Times New Roman" w:cs="Times New Roman" w:eastAsia="Times New Roman" w:hAnsi="Times New Roman"/>
          <w:sz w:val="22"/>
          <w:szCs w:val="22"/>
          <w:u w:val="single" w:color="auto"/>
          <w:color w:val="0000FF"/>
        </w:rPr>
        <w:t>and Term Loans</w:t>
      </w:r>
      <w:r>
        <w:rPr>
          <w:rFonts w:ascii="Times New Roman" w:cs="Times New Roman" w:eastAsia="Times New Roman" w:hAnsi="Times New Roman"/>
          <w:sz w:val="22"/>
          <w:szCs w:val="22"/>
          <w:color w:val="auto"/>
        </w:rPr>
        <w:t xml:space="preserve"> bear interest at the Alternate Base Rate pursuant to the provisions hereof.</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“Beneficial Owner” means each of the following: (a) each individual, if any, who, directly or indirectly, owns 25% or more of the Borrower’s Equity Interests; and (b) a single individual with significant responsibility to control, manage, or direct the Borrower.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Bentley Brothers</w:t>
      </w:r>
      <w:r>
        <w:rPr>
          <w:rFonts w:ascii="Times New Roman" w:cs="Times New Roman" w:eastAsia="Times New Roman" w:hAnsi="Times New Roman"/>
          <w:sz w:val="22"/>
          <w:szCs w:val="22"/>
          <w:color w:val="auto"/>
        </w:rPr>
        <w:t>” means Keith A. Bentley, Raymond B. Bentley, Gregory S. Bentley, Barry J.</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Bentley and Richard P. Bentley.</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means Bentley Systems, Incorporated, a Delaware corporation.</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Calculated Dollar Equivalent</w:t>
      </w:r>
      <w:r>
        <w:rPr>
          <w:rFonts w:ascii="Times New Roman" w:cs="Times New Roman" w:eastAsia="Times New Roman" w:hAnsi="Times New Roman"/>
          <w:sz w:val="22"/>
          <w:szCs w:val="22"/>
          <w:color w:val="auto"/>
        </w:rPr>
        <w:t>” means, with respect to any amount of any currency, the equivalent amount of such currency expressed in Dollars as reasonably determined by the Borrower based on the market rates then prevailing.</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Parent Company</w:t>
      </w:r>
      <w:r>
        <w:rPr>
          <w:rFonts w:ascii="Times New Roman" w:cs="Times New Roman" w:eastAsia="Times New Roman" w:hAnsi="Times New Roman"/>
          <w:sz w:val="22"/>
          <w:szCs w:val="22"/>
          <w:color w:val="auto"/>
        </w:rPr>
        <w:t>” means any Person of which the Borrower is a direct or indirect wholly owned Subsidiary.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Loans of the same Class and Type made, converted or continued on the same date and, in the case of Eurocurrency Loans, as to which a single Interest Period is in effect, or (b) a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2" w:name="page443"/>
    <w:bookmarkEnd w:id="442"/>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means, with respect to any Eurocurrency Loan, the date for the making thereof or the renewal thereof, which shall be a Business Day.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the Borrower for a Borrowing in accordance with Section 2.03 or 2.04, as applicable, which shall be, in the case of any such written request, in the form of Exhibit B-1 or B-2, as applicable, or any other form approved by the Administrative Agent.</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Tranche</w:t>
      </w:r>
      <w:r>
        <w:rPr>
          <w:rFonts w:ascii="Times New Roman" w:cs="Times New Roman" w:eastAsia="Times New Roman" w:hAnsi="Times New Roman"/>
          <w:sz w:val="22"/>
          <w:szCs w:val="22"/>
          <w:color w:val="auto"/>
        </w:rPr>
        <w:t xml:space="preserve">” means specified Borrowings outstanding as follows: (a) any Loans </w:t>
      </w:r>
      <w:r>
        <w:rPr>
          <w:rFonts w:ascii="Times New Roman" w:cs="Times New Roman" w:eastAsia="Times New Roman" w:hAnsi="Times New Roman"/>
          <w:sz w:val="22"/>
          <w:szCs w:val="22"/>
          <w:color w:val="0000FF"/>
        </w:rPr>
        <w:t>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same Class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(other than Swingline Loans) to which a LIBO Rate Option applies which become subject to the same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Interest Rate Option under the same Borrowing Request by the Borrower and which have the same Interest Period shall constitute one Borrowing Tranche, (b) all Loans </w:t>
      </w:r>
      <w:r>
        <w:rPr>
          <w:rFonts w:ascii="Times New Roman" w:cs="Times New Roman" w:eastAsia="Times New Roman" w:hAnsi="Times New Roman"/>
          <w:sz w:val="22"/>
          <w:szCs w:val="22"/>
          <w:u w:val="single" w:color="auto"/>
          <w:color w:val="0000FF"/>
        </w:rPr>
        <w:t>of the same Class</w:t>
      </w:r>
      <w:r>
        <w:rPr>
          <w:rFonts w:ascii="Times New Roman" w:cs="Times New Roman" w:eastAsia="Times New Roman" w:hAnsi="Times New Roman"/>
          <w:sz w:val="22"/>
          <w:szCs w:val="22"/>
          <w:color w:val="000000"/>
        </w:rPr>
        <w:t xml:space="preserve"> (other than Swingline Loans) to which a Base Rate Option applies shall constitute one Borrowing Tranche, (c) all Swingline Loans in an Optional Currency under the same Borrowing Request by the Borrower and which have the same Interest Period and which are denominated in the same Optional Currency shall constitute one Borrowing Tranche; and (d) all Swingline Loans in Dollars shall be one Borrowing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-1111885</wp:posOffset>
            </wp:positionV>
            <wp:extent cx="387350" cy="171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5">
                      <a:extLst>
                        <a:ext uri="{28A0092B-C50C-407E-A947-70E740481C1C}"/>
                      </a:extLst>
                    </a:blip>
                    <a:srcRect/>
                    <a:stretch>
                      <a:fillRect/>
                    </a:stretch>
                  </pic:blipFill>
                  <pic:spPr bwMode="auto">
                    <a:xfrm>
                      <a:off x="0" y="0"/>
                      <a:ext cx="387350" cy="17145"/>
                    </a:xfrm>
                    <a:prstGeom prst="rect">
                      <a:avLst/>
                    </a:prstGeom>
                    <a:noFill/>
                  </pic:spPr>
                </pic:pic>
              </a:graphicData>
            </a:graphic>
          </wp:anchor>
        </w:drawing>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is not a Saturday, Sunday or a legal holiday on which commercial banks are authorized or required by Law to be closed for business in Pittsburgh, Pennsylvania and if the applicable Business Day relates to any Loan to which the LIBO Rate Option applies, such day must also be a day on which dealings are carried on in the Relevant Interbank Market.</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the amount of such obligations shall be the capitalized amount thereof determined in accordance with GAAP, and the final maturity of such obligations shall be the date of the last payment of such or any other amounts due under such lease (or other arrangement) prior to the first date on which such lease (or other arrangement) may be terminated by the lessee without payment of a premium or a penalty. For purposes of Section 6.02, a Capital Lease Obligation shall be deemed to be secured by a Lien on the property being leased and such property shall be deemed to be owned by the lessee.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Agreements</w:t>
      </w:r>
      <w:r>
        <w:rPr>
          <w:rFonts w:ascii="Times New Roman" w:cs="Times New Roman" w:eastAsia="Times New Roman" w:hAnsi="Times New Roman"/>
          <w:sz w:val="22"/>
          <w:szCs w:val="22"/>
          <w:color w:val="auto"/>
        </w:rPr>
        <w:t>” has the meaning assigned thereto in Section 2.04(h).</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CEA</w:t>
      </w:r>
      <w:r>
        <w:rPr>
          <w:rFonts w:ascii="Times New Roman" w:cs="Times New Roman" w:eastAsia="Times New Roman" w:hAnsi="Times New Roman"/>
          <w:sz w:val="22"/>
          <w:szCs w:val="22"/>
          <w:color w:val="auto"/>
        </w:rPr>
        <w:t>” means the Commodity Exchange Act (7 U.S.C. §1 et seq.), as amended from time to time, and any successor statute.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“Certificate of Beneficial Ownership” means a certificate in form and substance acceptable to the Administrative Agent (as amended or modified by the Administrative Agent from time to time in its sole discretion), certifying, among other things, the Beneficial Owner of the Borrower.</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each Person that is a “controlled foreign corporation” for purposes of the Code and (b) each subsidiary of any such controlled foreign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3" w:name="page444"/>
    <w:bookmarkEnd w:id="44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CFTC</w:t>
      </w:r>
      <w:r>
        <w:rPr>
          <w:rFonts w:ascii="Times New Roman" w:cs="Times New Roman" w:eastAsia="Times New Roman" w:hAnsi="Times New Roman"/>
          <w:sz w:val="22"/>
          <w:szCs w:val="22"/>
          <w:color w:val="auto"/>
        </w:rPr>
        <w:t>” means the Commodity Futures Trading Commission.</w:t>
      </w:r>
    </w:p>
    <w:p>
      <w:pPr>
        <w:spacing w:after="0" w:line="206"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means (a) prior to an </w:t>
      </w:r>
      <w:r>
        <w:rPr>
          <w:rFonts w:ascii="Times New Roman" w:cs="Times New Roman" w:eastAsia="Times New Roman" w:hAnsi="Times New Roman"/>
          <w:sz w:val="21"/>
          <w:szCs w:val="21"/>
          <w:color w:val="FF0000"/>
          <w:strike w:val="1"/>
        </w:rPr>
        <w:t>IPO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initial Public Offering</w:t>
      </w:r>
      <w:r>
        <w:rPr>
          <w:rFonts w:ascii="Times New Roman" w:cs="Times New Roman" w:eastAsia="Times New Roman" w:hAnsi="Times New Roman"/>
          <w:sz w:val="21"/>
          <w:szCs w:val="21"/>
          <w:color w:val="auto"/>
        </w:rPr>
        <w:t xml:space="preserve">, the failure by the Permitted Holders to own, beneficially and of record, Equity Interests in the Borrower representing at least a majority of the aggregate ordinary voting power represented by the issued and outstanding Equity Interests in the Borrower; (b) after an </w:t>
      </w:r>
      <w:r>
        <w:rPr>
          <w:rFonts w:ascii="Times New Roman" w:cs="Times New Roman" w:eastAsia="Times New Roman" w:hAnsi="Times New Roman"/>
          <w:sz w:val="21"/>
          <w:szCs w:val="21"/>
          <w:color w:val="FF0000"/>
          <w:strike w:val="1"/>
        </w:rPr>
        <w:t>IPO</w:t>
      </w:r>
      <w:r>
        <w:rPr>
          <w:rFonts w:ascii="Times New Roman" w:cs="Times New Roman" w:eastAsia="Times New Roman" w:hAnsi="Times New Roman"/>
          <w:sz w:val="21"/>
          <w:szCs w:val="21"/>
          <w:u w:val="single" w:color="auto"/>
          <w:color w:val="0000FF"/>
        </w:rPr>
        <w:t>initial Public Offering</w:t>
      </w:r>
      <w:r>
        <w:rPr>
          <w:rFonts w:ascii="Times New Roman" w:cs="Times New Roman" w:eastAsia="Times New Roman" w:hAnsi="Times New Roman"/>
          <w:sz w:val="21"/>
          <w:szCs w:val="21"/>
          <w:color w:val="auto"/>
        </w:rPr>
        <w:t xml:space="preserve">, (i) the failure by the Permitted Holders to own, beneficially and of record, Equity Interests in the Borrower representing at least 20% of the aggregate ordinary voting power represented by the issued and outstanding Equity Interests in the Borrower or (ii) the acquisition of ownership, directly or indirectly, beneficially or of record, by any Person or group (within the meaning of the Exchange Act and the rules of the SEC thereunder), other than the Permitted Holders, of Equity Interests in the Borrower representing more than 35% of the aggregate ordinary voting power represented by the issued and outstanding Equity Interests in the Borrower, unless the Permitted Holders collectively own, beneficially and of record, Equity Interests in the Borrower representing a greater percentage of the aggregate ordinary voting power represented by the issued and outstanding Equity Interests in the Borrower than such Person or group; (c) individuals who were (i) directors of the Borrower on the date hereof (or on the date of an </w:t>
      </w:r>
      <w:r>
        <w:rPr>
          <w:rFonts w:ascii="Times New Roman" w:cs="Times New Roman" w:eastAsia="Times New Roman" w:hAnsi="Times New Roman"/>
          <w:sz w:val="21"/>
          <w:szCs w:val="21"/>
          <w:color w:val="FF0000"/>
          <w:strike w:val="1"/>
        </w:rPr>
        <w:t>IPO</w:t>
      </w:r>
      <w:r>
        <w:rPr>
          <w:rFonts w:ascii="Times New Roman" w:cs="Times New Roman" w:eastAsia="Times New Roman" w:hAnsi="Times New Roman"/>
          <w:sz w:val="21"/>
          <w:szCs w:val="21"/>
          <w:u w:val="single" w:color="auto"/>
          <w:color w:val="0000FF"/>
        </w:rPr>
        <w:t>initial Public Offering</w:t>
      </w:r>
      <w:r>
        <w:rPr>
          <w:rFonts w:ascii="Times New Roman" w:cs="Times New Roman" w:eastAsia="Times New Roman" w:hAnsi="Times New Roman"/>
          <w:sz w:val="21"/>
          <w:szCs w:val="21"/>
          <w:color w:val="auto"/>
        </w:rPr>
        <w:t xml:space="preserve"> were directors of any Borrower Parent Company), (ii) nominated by the board of directors of the Borrower (or, in the case of any Borrower Parent Company, nominated after the date of an </w:t>
      </w:r>
      <w:r>
        <w:rPr>
          <w:rFonts w:ascii="Times New Roman" w:cs="Times New Roman" w:eastAsia="Times New Roman" w:hAnsi="Times New Roman"/>
          <w:sz w:val="21"/>
          <w:szCs w:val="21"/>
          <w:color w:val="FF0000"/>
          <w:strike w:val="1"/>
        </w:rPr>
        <w:t>IPO</w:t>
      </w:r>
      <w:r>
        <w:rPr>
          <w:rFonts w:ascii="Times New Roman" w:cs="Times New Roman" w:eastAsia="Times New Roman" w:hAnsi="Times New Roman"/>
          <w:sz w:val="21"/>
          <w:szCs w:val="21"/>
          <w:u w:val="single" w:color="auto"/>
          <w:color w:val="0000FF"/>
        </w:rPr>
        <w:t>Initial Public Offering</w:t>
      </w:r>
      <w:r>
        <w:rPr>
          <w:rFonts w:ascii="Times New Roman" w:cs="Times New Roman" w:eastAsia="Times New Roman" w:hAnsi="Times New Roman"/>
          <w:sz w:val="21"/>
          <w:szCs w:val="21"/>
          <w:color w:val="auto"/>
        </w:rPr>
        <w:t xml:space="preserve"> by the board of directors of such Borrower Parent Company) or (iii) appointed by directors who were directors of the Borrower on the date hereof (or, in the case of any Borrower Parent Company, were directors of such Borrower Parent Company on the date of an </w:t>
      </w:r>
      <w:r>
        <w:rPr>
          <w:rFonts w:ascii="Times New Roman" w:cs="Times New Roman" w:eastAsia="Times New Roman" w:hAnsi="Times New Roman"/>
          <w:sz w:val="21"/>
          <w:szCs w:val="21"/>
          <w:color w:val="FF0000"/>
          <w:strike w:val="1"/>
        </w:rPr>
        <w:t>IPO</w:t>
      </w:r>
      <w:r>
        <w:rPr>
          <w:rFonts w:ascii="Times New Roman" w:cs="Times New Roman" w:eastAsia="Times New Roman" w:hAnsi="Times New Roman"/>
          <w:sz w:val="21"/>
          <w:szCs w:val="21"/>
          <w:u w:val="single" w:color="auto"/>
          <w:color w:val="0000FF"/>
        </w:rPr>
        <w:t>initial Public Offering</w:t>
      </w:r>
      <w:r>
        <w:rPr>
          <w:rFonts w:ascii="Times New Roman" w:cs="Times New Roman" w:eastAsia="Times New Roman" w:hAnsi="Times New Roman"/>
          <w:sz w:val="21"/>
          <w:szCs w:val="21"/>
          <w:color w:val="000000"/>
        </w:rPr>
        <w:t>) or were nominated as provided in clause (ii) above, ceasing to occupy a majority of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seats (excluding vacant seats) on the board of directors of the Borrower (or such Borrower Parent Company); (d) the acquisition of direct or indirect Control of the Borrower by any Person or group (within the foregoing meaning) other than the Permitted Holders; or (e) the occurrence of any “change in control” (or similar event, however denominated) with respect to the Borrower (or any Borrower Parent Company) under and as defined in any indenture or other agreement or instrument evidencing or governing the rights of the holders of any Material Indebtedness of the Borrower or any Subsidiary, in each case that results in such Material Indebtedness becoming due prior to its scheduled maturity or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For purposes of clause (b) above, any Equity Interests in the Borrower owned beneficially (but not of record) by any Permitted Holder as a result of such Permitted Holder owning, beneficially and of record, Equity Interests in any Borrower Parent Company shall be deemed to be owned of record by such Permitted Holder.</w:t>
      </w:r>
    </w:p>
    <w:p>
      <w:pPr>
        <w:spacing w:after="0" w:line="200" w:lineRule="exact"/>
        <w:rPr>
          <w:sz w:val="20"/>
          <w:szCs w:val="20"/>
          <w:color w:val="auto"/>
        </w:rPr>
      </w:pPr>
    </w:p>
    <w:p>
      <w:pPr>
        <w:spacing w:after="0" w:line="24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Restatement Effective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regulations, guidelines, interpretations or directives thereunder or issued in connection therewith (whether or not having the force of Law) and (ii) all requests,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4" w:name="page445"/>
    <w:bookmarkEnd w:id="444"/>
    <w:p>
      <w:pPr>
        <w:jc w:val="both"/>
        <w:spacing w:after="0" w:line="238" w:lineRule="auto"/>
        <w:rPr>
          <w:sz w:val="20"/>
          <w:szCs w:val="20"/>
          <w:color w:val="auto"/>
        </w:rPr>
      </w:pPr>
      <w:r>
        <w:rPr>
          <w:rFonts w:ascii="Times New Roman" w:cs="Times New Roman" w:eastAsia="Times New Roman" w:hAnsi="Times New Roman"/>
          <w:sz w:val="22"/>
          <w:szCs w:val="22"/>
          <w:color w:val="auto"/>
        </w:rPr>
        <w:t>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has the meaning specified in the last paragraph of Article VIII.</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xml:space="preserve">”, when used in reference to (a) any Loan or Borrowing, refers to whether such Loan, or the Loans comprising such Borrowing, are </w:t>
      </w:r>
      <w:r>
        <w:rPr>
          <w:rFonts w:ascii="Times New Roman" w:cs="Times New Roman" w:eastAsia="Times New Roman" w:hAnsi="Times New Roman"/>
          <w:sz w:val="22"/>
          <w:szCs w:val="22"/>
          <w:u w:val="single" w:color="auto"/>
          <w:color w:val="0000FF"/>
        </w:rPr>
        <w:t>Term Loans,</w:t>
      </w:r>
      <w:r>
        <w:rPr>
          <w:rFonts w:ascii="Times New Roman" w:cs="Times New Roman" w:eastAsia="Times New Roman" w:hAnsi="Times New Roman"/>
          <w:sz w:val="22"/>
          <w:szCs w:val="22"/>
          <w:color w:val="auto"/>
        </w:rPr>
        <w:t xml:space="preserve"> Revolving Loans or Swingline Loans, </w:t>
      </w:r>
      <w:r>
        <w:rPr>
          <w:rFonts w:ascii="Times New Roman" w:cs="Times New Roman" w:eastAsia="Times New Roman" w:hAnsi="Times New Roman"/>
          <w:sz w:val="22"/>
          <w:szCs w:val="22"/>
          <w:color w:val="FF0000"/>
          <w:strike w:val="1"/>
        </w:rPr>
        <w:t>and (b</w:t>
      </w:r>
      <w:r>
        <w:rPr>
          <w:rFonts w:ascii="Times New Roman" w:cs="Times New Roman" w:eastAsia="Times New Roman" w:hAnsi="Times New Roman"/>
          <w:sz w:val="22"/>
          <w:szCs w:val="22"/>
          <w:u w:val="single" w:color="auto"/>
          <w:color w:val="0000FF"/>
        </w:rPr>
        <w:t>(b)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Commitment, refers to whether such Commitment is a Term Commitment or a Revolving Commitment and (c</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any Lender, refers to whether such Lender has a Loan or Commitment of a particular Class.</w:t>
      </w:r>
    </w:p>
    <w:p>
      <w:pPr>
        <w:spacing w:after="0" w:line="18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and the rules and regulations thereunder, as from time to time in effect.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any and all assets, whether real or personal, tangible or intangible, on which Liens are purported to be granted pursuant to the Security Documents as security for the Secured Obligations.</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Agreement</w:t>
      </w:r>
      <w:r>
        <w:rPr>
          <w:rFonts w:ascii="Times New Roman" w:cs="Times New Roman" w:eastAsia="Times New Roman" w:hAnsi="Times New Roman"/>
          <w:sz w:val="22"/>
          <w:szCs w:val="22"/>
          <w:color w:val="auto"/>
        </w:rPr>
        <w:t>” means the Guarantee and Collateral Agreement, dated as of the Original Closing Date, among the Borrower, the other Loan Parties and the Administrative Agent, substantially in the form of Exhibit C, together with all supplements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means, at any time, the requirement that:</w:t>
      </w:r>
    </w:p>
    <w:p>
      <w:pPr>
        <w:spacing w:after="0" w:line="206" w:lineRule="exact"/>
        <w:rPr>
          <w:sz w:val="20"/>
          <w:szCs w:val="20"/>
          <w:color w:val="auto"/>
        </w:rPr>
      </w:pPr>
    </w:p>
    <w:p>
      <w:pPr>
        <w:jc w:val="both"/>
        <w:ind w:firstLine="1304"/>
        <w:spacing w:after="0" w:line="235" w:lineRule="auto"/>
        <w:tabs>
          <w:tab w:leader="none" w:pos="224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the Borrower and each Domestic Subsidiary either (i) a counterpart of the Collateral Agreement duly executed and delivered on behalf of such Person on the Original Closing Date or (ii) in the case of any Person that became a Domestic Subsidiary after the Original Closing Date or becomes a Domestic Subsidiary after the Restatement Effective Date, a supplement to the Collateral Agreement, in the form specified therein, duly executed and delivered on behalf of such Person, together with documents and opinions of the type referred to in Sections 4.01(b) and 4.01(k) with respect to such Domestic Subsidiary;</w:t>
      </w:r>
    </w:p>
    <w:p>
      <w:pPr>
        <w:spacing w:after="0" w:line="183"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47"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Interests in any Subsidiary owned by or on behalf of any Loan Party shall have been pledged pursuant to the Collateral Agreement and, in the case of Equity Interests in any Foreign Subsidiary, where the Administrative Agent so requests in connection with the pledge of such Equity Interests, a Foreign Pledge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Loan Parties shall not be required to pledge more than 65% of the outstanding voting Equity Interests in any Foreign Subsidiary (including any CFC)), and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spacing w:after="0" w:line="178" w:lineRule="exact"/>
        <w:rPr>
          <w:rFonts w:ascii="Times New Roman" w:cs="Times New Roman" w:eastAsia="Times New Roman" w:hAnsi="Times New Roman"/>
          <w:sz w:val="22"/>
          <w:szCs w:val="22"/>
          <w:color w:val="auto"/>
        </w:rPr>
      </w:pPr>
    </w:p>
    <w:p>
      <w:pPr>
        <w:ind w:firstLine="1304"/>
        <w:spacing w:after="0" w:line="258" w:lineRule="auto"/>
        <w:tabs>
          <w:tab w:leader="none" w:pos="208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Indebtedness of the Borrower and each Subsidiary and (ii) all Indebtedness of any other Person in a principal amount of $500,000 or more that, in each case,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5" w:name="page446"/>
    <w:bookmarkEnd w:id="445"/>
    <w:p>
      <w:pPr>
        <w:jc w:val="both"/>
        <w:spacing w:after="0" w:line="244" w:lineRule="auto"/>
        <w:rPr>
          <w:sz w:val="20"/>
          <w:szCs w:val="20"/>
          <w:color w:val="auto"/>
        </w:rPr>
      </w:pPr>
      <w:r>
        <w:rPr>
          <w:rFonts w:ascii="Times New Roman" w:cs="Times New Roman" w:eastAsia="Times New Roman" w:hAnsi="Times New Roman"/>
          <w:sz w:val="22"/>
          <w:szCs w:val="22"/>
          <w:color w:val="auto"/>
        </w:rPr>
        <w:t>owing to any Loan Party shall be evidenced by a promissory note and shall have been pledged pursuant to the Collateral Agreement, and the Administrative Agent shall have received all such promissory notes, together with undated instruments of transfer with respect thereto endorsed in blank;</w:t>
      </w:r>
    </w:p>
    <w:p>
      <w:pPr>
        <w:spacing w:after="0" w:line="173" w:lineRule="exact"/>
        <w:rPr>
          <w:sz w:val="20"/>
          <w:szCs w:val="20"/>
          <w:color w:val="auto"/>
        </w:rPr>
      </w:pPr>
    </w:p>
    <w:p>
      <w:pPr>
        <w:jc w:val="both"/>
        <w:ind w:firstLine="1304"/>
        <w:spacing w:after="0" w:line="238" w:lineRule="auto"/>
        <w:tabs>
          <w:tab w:leader="none" w:pos="2005"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and instruments, including Uniform Commercial Code financing statements, required by applicable Law or reasonably requested by the Administrative Agent to be filed, registered or recorded to create the Liens intended to be created by the Security Documents and perfect such Liens to the extent required by, and with the priority required by, the Security Documents, shall have been filed, registered or recorded or delivered to the Administrative Agent for filing, registration or recording;</w:t>
      </w:r>
    </w:p>
    <w:p>
      <w:pPr>
        <w:spacing w:after="0" w:line="176"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200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deposit account (other than (i) any deposit account the funds in which are used, in the ordinary course of business, solely for the payment of salaries and wages, workers’ compensation and similar expenses, (ii) any deposit account that is a zero-balance disbursement account, (iii) any deposit account the funds in which consist solely of (A) funds held by the Borrower or any Subsidiary in trust for any director, officer or employee of the Borrower or any Subsidiary or any employee benefit plan maintained by the Borrower or any Subsidiary or (B) funds representing deferred compensation for the directors and employees of the Borrower and the Subsidiaries and (iv) deposit accounts the daily balance in which does not at any time exceed $500,000 for all such accounts) and each securities account (other than any securities account the securities entitlements in which consist solely of (1) securities entitlements held by the Borrower or any Subsidiary in trust for any director, officer or employee of the Borrower or any Subsidiary or any employee benefit plan maintained by the Borrower or any Subsidiary or (2) securities entitlements representing deferred compensation for the directors and employees of the Borrower and the Subsidiaries) maintained by any Loan Party with any depositary bank or securities intermediary, the Administrative Agent shall have received a counterpart, duly executed and delivered by the applicable Loan Party and such depositary bank or securities intermediary, as the case may be, of a Control Agreement;</w:t>
      </w:r>
    </w:p>
    <w:p>
      <w:pPr>
        <w:spacing w:after="0" w:line="177"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34"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have obtained all consents and approvals required to be obtained by it in connection with the execution and delivery of all Security Documents to which it is a party, the performance of its obligations thereunder and the granting by it of the Liens thereunder.</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The foregoing definition shall not require (a) the creation or perfection of pledges of or security interests in, or the obtaining of legal opinions or other deliverables with respect to, particular assets of the Loan Parties (including Equity Interests in any Foreign Subsidiary), or the provision of Guarantees by any Subsidiary, if, and for so long as, the Administrative Agent, in consultation with the Borrower, determines that the cost of creating or perfecting such pledges or security interests in such assets, legal opinions or other deliverables in respect of such assets, or providing such Guarantees (taking into account any adverse tax consequences to the Borrower and its Affiliates (including the imposition of withholding or other material taxes)), shall be excessive in view of the benefits to be obtained by the Lenders therefrom or (b) the granting of any mortgage or deed of trust on any parcel of real property (as opposed to personal property).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6" w:name="page447"/>
    <w:bookmarkEnd w:id="446"/>
    <w:p>
      <w:pPr>
        <w:jc w:val="both"/>
        <w:spacing w:after="0" w:line="236" w:lineRule="auto"/>
        <w:rPr>
          <w:sz w:val="20"/>
          <w:szCs w:val="20"/>
          <w:color w:val="auto"/>
        </w:rPr>
      </w:pPr>
      <w:r>
        <w:rPr>
          <w:rFonts w:ascii="Times New Roman" w:cs="Times New Roman" w:eastAsia="Times New Roman" w:hAnsi="Times New Roman"/>
          <w:sz w:val="22"/>
          <w:szCs w:val="22"/>
          <w:color w:val="auto"/>
        </w:rPr>
        <w:t>Administrative Agent may grant extensions of time for the creation and perfection of security interests in or the obtaining of legal opinions or other deliverables with respect to particular assets or the provision of any Guarantee by any Subsidiary (including extensions beyond the Restatement Effective Date or in connection with assets acquired, or Subsidiaries formed or acquired, after the Restatement Effective Date) where it determines that such action cannot be accomplished without undue effort or expense by the time or times at which it would otherwise be required to be accomplished by this Agreement or the Security Documents.</w:t>
      </w:r>
    </w:p>
    <w:p>
      <w:pPr>
        <w:spacing w:after="0" w:line="18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as to any Lender, its Revolving Commitment </w:t>
      </w:r>
      <w:r>
        <w:rPr>
          <w:rFonts w:ascii="Times New Roman" w:cs="Times New Roman" w:eastAsia="Times New Roman" w:hAnsi="Times New Roman"/>
          <w:sz w:val="22"/>
          <w:szCs w:val="22"/>
          <w:u w:val="single" w:color="auto"/>
          <w:color w:val="0000FF"/>
        </w:rPr>
        <w:t>or Term Commitment 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combination thereof (as the context requires)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in the case of PNC, its Swingline Loan Commitment,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Commitments</w:t>
      </w:r>
      <w:r>
        <w:rPr>
          <w:rFonts w:ascii="Times New Roman" w:cs="Times New Roman" w:eastAsia="Times New Roman" w:hAnsi="Times New Roman"/>
          <w:sz w:val="22"/>
          <w:szCs w:val="22"/>
          <w:color w:val="000000"/>
        </w:rPr>
        <w:t>” shall mean the aggregate of the Revolving Commitments</w:t>
      </w:r>
      <w:r>
        <w:rPr>
          <w:rFonts w:ascii="Times New Roman" w:cs="Times New Roman" w:eastAsia="Times New Roman" w:hAnsi="Times New Roman"/>
          <w:sz w:val="22"/>
          <w:szCs w:val="22"/>
          <w:u w:val="single" w:color="auto"/>
          <w:color w:val="0000FF"/>
        </w:rPr>
        <w:t>, Term Commitments</w:t>
      </w:r>
      <w:r>
        <w:rPr>
          <w:rFonts w:ascii="Times New Roman" w:cs="Times New Roman" w:eastAsia="Times New Roman" w:hAnsi="Times New Roman"/>
          <w:sz w:val="22"/>
          <w:szCs w:val="22"/>
          <w:color w:val="000000"/>
        </w:rPr>
        <w:t xml:space="preserve"> and Swingline Loan Commitment of all of the Lenders.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Purchase Agreement</w:t>
      </w:r>
      <w:r>
        <w:rPr>
          <w:rFonts w:ascii="Times New Roman" w:cs="Times New Roman" w:eastAsia="Times New Roman" w:hAnsi="Times New Roman"/>
          <w:sz w:val="22"/>
          <w:szCs w:val="22"/>
          <w:color w:val="auto"/>
        </w:rPr>
        <w:t>” means that certain stock purchase agreement, dated as of September 23, 2016, by and among the Borrower, Siemens AG and certain stockholders of the Borrower.</w:t>
      </w:r>
    </w:p>
    <w:p>
      <w:pPr>
        <w:spacing w:after="0" w:line="15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means a Compliance Certificate in the form of Exhibit D or any other form approved by the Administrative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Computation Date</w:t>
      </w:r>
      <w:r>
        <w:rPr>
          <w:rFonts w:ascii="Times New Roman" w:cs="Times New Roman" w:eastAsia="Times New Roman" w:hAnsi="Times New Roman"/>
          <w:sz w:val="22"/>
          <w:szCs w:val="22"/>
          <w:color w:val="auto"/>
        </w:rPr>
        <w:t>” has the meaning specified in Section 2.23(b).</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Cash Interest Expense</w:t>
      </w:r>
      <w:r>
        <w:rPr>
          <w:rFonts w:ascii="Times New Roman" w:cs="Times New Roman" w:eastAsia="Times New Roman" w:hAnsi="Times New Roman"/>
          <w:sz w:val="22"/>
          <w:szCs w:val="22"/>
          <w:color w:val="auto"/>
        </w:rPr>
        <w:t xml:space="preserve">” means, for any period, the excess of (a) the sum, without duplication, of (i) the interest expense (including imputed interest expense in respect of Capital Lease Obligations) of the Borrower and its consolidated Subsidiaries for such period, determined on a consolidated basis in accordance with GAAP, (ii) any interest or other financing costs becoming payable during such period in respect of Indebtedness of the Borrower or its consolidated Subsidiaries to the extent such interest or other financing costs shall have been capitalized rather than included in consolidated interest expense for such period in accordance with GAAP (excluding capitalized loan origination costs and fees incurred on or prior to the Restatement Effective Date in connection with the Transactions) and (iii) any cash payments made during such period in respect of obligations referred to in clause (b)(ii) below that were amortized or accrued in a previous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to the extent included in such consolidated interest expense for such period, the sum of (i) noncash amounts attributable to amortization or write-off of capitalized interest or other financing costs paid in a previous period and (ii) noncash amounts attributable to amortization of debt discounts or accrued interest payable in kind for such period. For purposes of calculating Consolidated Cash Interest Expense for any period, if during such period the Borrower or any Subsidiary shall have consummated a Material Acquisition or a Material Disposition, Consolidated Cash Interest Expense for such period shall be calculated after giving pro forma effect thereto in accordance with Section 1.04(b).</w:t>
      </w:r>
    </w:p>
    <w:p>
      <w:pPr>
        <w:spacing w:after="0" w:line="1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xml:space="preserve"> ” means, for any period, Adjusted Consolidated Net Income for such period, plus (a) without duplication and to the extent deducted in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7" w:name="page448"/>
    <w:bookmarkEnd w:id="447"/>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such Adjusted Consolidated Net Income, the sum of (i) consolidated interest expense for such period (including imputed interest expense in respect of Capital Lease Obligations), (ii) consolidated income tax expense for such period, (iii) all amounts attributable to depreciation for such period and amortization of goodwill, intangible assets and capitalized assets for such period, (iv) any unrealized losses for such period attributable to the application of “mark to market” accounting in respect of Hedging Agreements and Equity Interests accounted for under the “liability” method, (v) any other noncash charges for such period, including noncash compensation expense (including any “mark-to-market” increases in GAAP compensation expense for such period with respect to any previous grant of an award or employee deferral under the Non-Qualified Deferred Compensation Plan) and any noncash charges that result from the impairment, write-down or write-off of intangible assets, but excluding any additions to bad debt reserves or bad debt expense, any noncash charges that result from the write-down or write-off of inventory and any noncash charges that result from the write-down or write-off of accounts receivable or that are in respect of any other item that was included in Adjusted Consolidated Net Income in a prior period, (vi) any losses attributable to early extinguishment of Indebtedness or obligations under any Hedging Agreement, (vii) the cumulative effect of a change in accounting principles, (viii) [intentionally omitted], (ix) any adjustments in such period that result from purchase accounting for deferred revenue, (x) accruals during such period for contingent “stay” bonuses granted in connection with Permitted Acquisitions, (xi) any legal or other transaction fees and expenses for such period relating to any Permitted Acquisition consummated during such period, (xii) any legal or other transaction fees and expenses for such period relating to the Transactions </w:t>
      </w:r>
      <w:r>
        <w:rPr>
          <w:rFonts w:ascii="Times New Roman" w:cs="Times New Roman" w:eastAsia="Times New Roman" w:hAnsi="Times New Roman"/>
          <w:sz w:val="21"/>
          <w:szCs w:val="21"/>
          <w:color w:val="FF0000"/>
          <w:strike w:val="1"/>
        </w:rPr>
        <w:t>and (xiii</w:t>
      </w:r>
      <w:r>
        <w:rPr>
          <w:rFonts w:ascii="Times New Roman" w:cs="Times New Roman" w:eastAsia="Times New Roman" w:hAnsi="Times New Roman"/>
          <w:sz w:val="21"/>
          <w:szCs w:val="21"/>
          <w:u w:val="single" w:color="auto"/>
          <w:color w:val="0000FF"/>
        </w:rPr>
        <w:t>, (xiii) normal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and customary out-of-pocket fees and expenses (including third-party legal and accounting costs and underwriting discounts and commissions paid or payable by the Borrower or a Borrower Parent Company in respect of any Equity Interests of the Borrower or a Borrower Parent Company sold in a Public Offering) in connection with the consummation of a Public Offering; provided that, the maximum amount in any period that may be added back to Adjusted Consolidated Net Income pursuant to this clause (a)(xiii) shall not exceed $22,500,000 for such period, and (xiv</w:t>
      </w:r>
      <w:r>
        <w:rPr>
          <w:rFonts w:ascii="Times New Roman" w:cs="Times New Roman" w:eastAsia="Times New Roman" w:hAnsi="Times New Roman"/>
          <w:sz w:val="21"/>
          <w:szCs w:val="21"/>
          <w:color w:val="000000"/>
        </w:rPr>
        <w:t>) subject to the last sentence of this definition, any other one-time, non-recurring expenses (including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severance, restructuring or other similar charges),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subject to clause (2) below in this proviso, any cash payment made with respect to any noncash items added back in computing Consolidated EBITDA for any prior period pursuant to clause (a)(v) above (or that would have been added back had this Agreement been in effect during such prior period) shall be subtracted in computing Consolidated EBITDA for the period in which such cash payment is made (it being agreed that, except to the extent funded, directly or indirectly, by the transactions contemplated by the Common Stock Purchase Agreement, this proviso (1) shall be deemed to apply to any payment made by the Borrower in cash on account of repurchase of any shares of its capital stock pursuant to the Stock Option Plan, but only to the extent that the issuance of such capital stock (or of the options or other securities upon the exercise, conversion or exchange of which such capital stock was issued) resulted in a noncash compensation expense in any prior period and (2) shall not be deemed to apply to any Deferred Compensation Payments); </w:t>
      </w:r>
      <w:r>
        <w:rPr>
          <w:rFonts w:ascii="Times New Roman" w:cs="Times New Roman" w:eastAsia="Times New Roman" w:hAnsi="Times New Roman"/>
          <w:sz w:val="21"/>
          <w:szCs w:val="21"/>
          <w:u w:val="single" w:color="auto"/>
          <w:color w:val="000000"/>
        </w:rPr>
        <w:t>minus</w:t>
      </w:r>
      <w:r>
        <w:rPr>
          <w:rFonts w:ascii="Times New Roman" w:cs="Times New Roman" w:eastAsia="Times New Roman" w:hAnsi="Times New Roman"/>
          <w:sz w:val="21"/>
          <w:szCs w:val="21"/>
          <w:color w:val="000000"/>
        </w:rPr>
        <w:t xml:space="preserve"> (b) without duplication and to the extent included in determining such Adjusted Consolidated Net Income, (i) any extraordinary gains for such period, (ii) any unrealized gains for such period attributable to the application of “mark to market” accounting in respect of Hedging Agreements and Equity Interests accounted for under the “liability” method, (iii) other noncash items of income for such period (excluding any noncash items of income (A) in respect of which cash was received in a prior period or will be received in a future period or (B) that represents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8" w:name="page449"/>
    <w:bookmarkEnd w:id="448"/>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reversal of any accrual for anticipated cash charges in any prior period, but only to the extent such accrual reduced Consolidated EBITDA for such prior period), (iv) any gains attributable to the early extinguishment of Indebtedness or obligations under any Hedging Agreement, and (v) the cumulative effect of a change in accounting principles;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an amount equal to the amount of any “mark-to-market” decreases in GAAP compensation expense for such period with respect to previously charged Deferred Compensation Grant Expense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(d) without duplication, an amount equal to the amount of any cost savings on account of cost savings initiatives implemented and/or identified by the Borrower to the Administrative Agent and which the Borrower reasonably expects to be realized within eighteen (18) months after the period for which cost savings are identified (net of any amounts already realized by the Borrower and its Subsidiaries);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Consolidated EBITDA shall be calculated so as to exclude the effect of any gain or loss that represents after-tax gains or losses attributable to any sale, transfer or other disposition of assets by the Borrower or any of its consolidated Subsidiaries, other than dispositions of inventory and other dispositions in the ordinary course of business. For purposes of calculating Consolidated EBITDA for any period, if during such period the Borrower or any Subsidiary shall have consummated a Material Acquisition or a Material Disposition, Consolidated EBITDA for such period shall be calculated after giving pro forma effect thereto in accordance with Section 1.04(b). Notwithstanding anything to the contrary herein, the maximum amount in any period that may be added (or added back) to Adjusted Consolidated Net Income pursuant to clause (a)(</w:t>
      </w:r>
      <w:r>
        <w:rPr>
          <w:rFonts w:ascii="Times New Roman" w:cs="Times New Roman" w:eastAsia="Times New Roman" w:hAnsi="Times New Roman"/>
          <w:sz w:val="22"/>
          <w:szCs w:val="22"/>
          <w:color w:val="FF0000"/>
          <w:strike w:val="1"/>
        </w:rPr>
        <w:t>xiii</w:t>
      </w:r>
      <w:r>
        <w:rPr>
          <w:rFonts w:ascii="Times New Roman" w:cs="Times New Roman" w:eastAsia="Times New Roman" w:hAnsi="Times New Roman"/>
          <w:sz w:val="22"/>
          <w:szCs w:val="22"/>
          <w:u w:val="single" w:color="auto"/>
          <w:color w:val="0000FF"/>
        </w:rPr>
        <w:t>xiv</w:t>
      </w:r>
      <w:r>
        <w:rPr>
          <w:rFonts w:ascii="Times New Roman" w:cs="Times New Roman" w:eastAsia="Times New Roman" w:hAnsi="Times New Roman"/>
          <w:sz w:val="22"/>
          <w:szCs w:val="22"/>
          <w:color w:val="auto"/>
        </w:rPr>
        <w:t>) and clause (d) of this definition shall not exceed, in the aggregate, fifteen percent (15%) of Consolidated EBITDA for such period, calculated prior to giving effect to such adjustments.</w:t>
      </w:r>
    </w:p>
    <w:p>
      <w:pPr>
        <w:spacing w:after="0" w:line="18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 For the avoidance of doubt, “Control” does not exist solely because of the right to designate a minority of the board of directors (or equivalent body) of such Person or to approve or disapprove significant transactions.</w:t>
      </w:r>
    </w:p>
    <w:p>
      <w:pPr>
        <w:spacing w:after="0" w:line="18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with respect to any deposit account or securities account maintained by any Loan Party, a control agreement in form and substance reasonably satisfactory to the Administrative Agent, duly executed and delivered by such Loan Party and the depositary bank or the securities intermediary, as the case may be, with which such account is maintained.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Cost Sharing Agreement</w:t>
      </w:r>
      <w:r>
        <w:rPr>
          <w:rFonts w:ascii="Times New Roman" w:cs="Times New Roman" w:eastAsia="Times New Roman" w:hAnsi="Times New Roman"/>
          <w:sz w:val="22"/>
          <w:szCs w:val="22"/>
          <w:color w:val="auto"/>
        </w:rPr>
        <w:t>” means the Agreement for Sharing Research and Development Costs effective as of January 1, 2010, by and between the Borrower and Bentley Software International Limited, an Irish company.</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 the Borrower, each of the Borrower’s Subsidiaries, all Subsidiary Loan Parties (including, in any event, all guarantors of the Secured Obligations) and all pledgors of Collateral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22"/>
          <w:szCs w:val="22"/>
          <w:color w:val="auto"/>
        </w:rPr>
        <w:t>of the management and policies of such Person whether by ownership of equity interests, contract or otherwise.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each Issuing Bank, the Swingline Lender and each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Lender.</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LIBOR Rate</w:t>
      </w:r>
      <w:r>
        <w:rPr>
          <w:rFonts w:ascii="Times New Roman" w:cs="Times New Roman" w:eastAsia="Times New Roman" w:hAnsi="Times New Roman"/>
          <w:sz w:val="22"/>
          <w:szCs w:val="22"/>
          <w:color w:val="auto"/>
        </w:rPr>
        <w:t>” means, for any day, the rate per annum determined by the Administrative Agent by dividing (the resulting quotient rounded upwards, if necessary, to the nearest 1/100th of 1%) (a) the Published Rate by (b) a number equal to 1.00 minus the Eurocurrency Reserve Percentage on such day. The Daily LIBOR Rate shall be adjusted as of each Business Day based on changes in the Published Rate or the Eurocurrency Reserve Percentage without notice to the Borrower, and shall be applicable from the effective date of any such change. Notwithstanding the foregoing, if the Daily LIBOR Rate as determined above would be less than zero (0.00), such rate shall be deemed to be zero (0.00) for purposes of this Agreement.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or upon notice, lapse of time or both would constitute, an Event of Default.</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w:t>
      </w:r>
      <w:r>
        <w:rPr>
          <w:rFonts w:ascii="Times New Roman" w:cs="Times New Roman" w:eastAsia="Times New Roman" w:hAnsi="Times New Roman"/>
          <w:sz w:val="22"/>
          <w:szCs w:val="22"/>
          <w:color w:val="auto"/>
        </w:rPr>
        <w:t xml:space="preserve">r” means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that (a) has failed, within two Business Days of the date required to be funded or paid, (i) to fund any portion of its Loans, (ii) to fund any portion of its participations in Letters of Credit or Swingline Loans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Borrower or the Administrative Agent,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the Administrative Agent’s and the Borrower’s receipt of such certification in form and substance satisfactory to the Administrative Agent and the Borrower, (d) has become the subject of a Bankruptcy Event, or (e) has become, or has a direct or indirect parent company that has become, the subject of a Bail-In Action.</w:t>
      </w:r>
    </w:p>
    <w:p>
      <w:pPr>
        <w:spacing w:after="0" w:line="18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Grant Expense</w:t>
      </w:r>
      <w:r>
        <w:rPr>
          <w:rFonts w:ascii="Times New Roman" w:cs="Times New Roman" w:eastAsia="Times New Roman" w:hAnsi="Times New Roman"/>
          <w:sz w:val="22"/>
          <w:szCs w:val="22"/>
          <w:color w:val="auto"/>
        </w:rPr>
        <w:t>” means any noncash compensation expense or charge resulting from a grant of an award to an employee of the Borrower or a Subsidiary under the Non-Qualified Deferred Compensation Plan, or from the election by an employee of the Borrower or a Subsidiary to defer compensation under the Non-Qualified Deferred Compensation Plan, in each case other than any “mark-to-market” accruals relating to any such grant or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0" w:name="page451"/>
    <w:bookmarkEnd w:id="450"/>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Payments</w:t>
      </w:r>
      <w:r>
        <w:rPr>
          <w:rFonts w:ascii="Times New Roman" w:cs="Times New Roman" w:eastAsia="Times New Roman" w:hAnsi="Times New Roman"/>
          <w:sz w:val="22"/>
          <w:szCs w:val="22"/>
          <w:color w:val="auto"/>
        </w:rPr>
        <w:t>” means cash payments made by the Borrower or any Subsidiary under the Non-Qualified Deferred Compensation Plan to a beneficiary thereof.</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Departing Lender</w:t>
      </w:r>
      <w:r>
        <w:rPr>
          <w:rFonts w:ascii="Times New Roman" w:cs="Times New Roman" w:eastAsia="Times New Roman" w:hAnsi="Times New Roman"/>
          <w:sz w:val="22"/>
          <w:szCs w:val="22"/>
          <w:color w:val="auto"/>
        </w:rPr>
        <w:t>” means each Lender under the Existing Credit Agreement that executes and delivers to the Administrative Agent a Departing Lender Signature Page.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Departing Lender Signature Page</w:t>
      </w:r>
      <w:r>
        <w:rPr>
          <w:rFonts w:ascii="Times New Roman" w:cs="Times New Roman" w:eastAsia="Times New Roman" w:hAnsi="Times New Roman"/>
          <w:sz w:val="22"/>
          <w:szCs w:val="22"/>
          <w:color w:val="auto"/>
        </w:rPr>
        <w:t>” means each signature page to this Agreement on which it is indicated that the Departing Lender executing the same shall cease to be a party to the Existing Credit Agreement on the Restatement Effective Date.</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w:t>
      </w:r>
      <w:r>
        <w:rPr>
          <w:rFonts w:ascii="Times New Roman" w:cs="Times New Roman" w:eastAsia="Times New Roman" w:hAnsi="Times New Roman"/>
          <w:sz w:val="22"/>
          <w:szCs w:val="22"/>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0" w:lineRule="exact"/>
        <w:rPr>
          <w:sz w:val="20"/>
          <w:szCs w:val="20"/>
          <w:color w:val="auto"/>
        </w:rPr>
      </w:pPr>
    </w:p>
    <w:p>
      <w:pPr>
        <w:jc w:val="both"/>
        <w:ind w:firstLine="1304"/>
        <w:spacing w:after="0" w:line="244" w:lineRule="auto"/>
        <w:tabs>
          <w:tab w:leader="none" w:pos="1993"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95"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6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redeemable (other than solely for Equity Interests in such Person that do not constitute Disqualified Equity Interests and cash in lieu of fractional shares of such Equity Interests) or is required to be repurchased by the Borrower or any Subsidiary, in whole or in part, at the option of the holder thereof;</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 each case, on or prior to the date 91 days after the </w:t>
      </w:r>
      <w:r>
        <w:rPr>
          <w:rFonts w:ascii="Times New Roman" w:cs="Times New Roman" w:eastAsia="Times New Roman" w:hAnsi="Times New Roman"/>
          <w:sz w:val="22"/>
          <w:szCs w:val="22"/>
          <w:color w:val="0000FF"/>
        </w:rPr>
        <w:t>later of the latest Maturity Date and the</w:t>
      </w:r>
      <w:r>
        <w:rPr>
          <w:rFonts w:ascii="Times New Roman" w:cs="Times New Roman" w:eastAsia="Times New Roman" w:hAnsi="Times New Roman"/>
          <w:sz w:val="22"/>
          <w:szCs w:val="22"/>
          <w:color w:val="auto"/>
        </w:rPr>
        <w:t xml:space="preserve"> latest Revolving Maturity Date (determined as of the date of issuance thereof or, in the case of any such Equity Interests outstanding on the date hereof,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-1880870</wp:posOffset>
            </wp:positionV>
            <wp:extent cx="2308860" cy="1714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4">
                      <a:extLst>
                        <a:ext uri="{28A0092B-C50C-407E-A947-70E740481C1C}"/>
                      </a:extLst>
                    </a:blip>
                    <a:srcRect/>
                    <a:stretch>
                      <a:fillRect/>
                    </a:stretch>
                  </pic:blipFill>
                  <pic:spPr bwMode="auto">
                    <a:xfrm>
                      <a:off x="0" y="0"/>
                      <a:ext cx="2308860" cy="17145"/>
                    </a:xfrm>
                    <a:prstGeom prst="rect">
                      <a:avLst/>
                    </a:prstGeom>
                    <a:noFill/>
                  </pic:spPr>
                </pic:pic>
              </a:graphicData>
            </a:graphic>
          </wp:anchor>
        </w:drawing>
      </w:r>
    </w:p>
    <w:p>
      <w:pPr>
        <w:spacing w:after="0" w:line="162"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u w:val="single" w:color="auto"/>
          <w:color w:val="0000FF"/>
        </w:rPr>
        <w:t>“Division/Series Transaction” means, with respect to any Loan Party and its Subsidiaries, that any such Person (a) divides into two or more Persons (whether or not the original Loan Party or Subsidiary thereof survives such division) or (b) creates, or reorganizes into, one or more series, in each case as contemplated under the laws of any jurisdiction (including any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22"/>
          <w:szCs w:val="22"/>
          <w:u w:val="single" w:color="auto"/>
          <w:color w:val="0000FF"/>
        </w:rPr>
        <w:t>or Plan of Division under Delaware law or any comparable event under a different jurisdiction’s law).</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“Dollars”, “U.S. Dollars</w:t>
      </w:r>
      <w:r>
        <w:rPr>
          <w:rFonts w:ascii="Times New Roman" w:cs="Times New Roman" w:eastAsia="Times New Roman" w:hAnsi="Times New Roman"/>
          <w:sz w:val="22"/>
          <w:szCs w:val="22"/>
          <w:color w:val="auto"/>
        </w:rPr>
        <w:t>” and the symbol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of the United States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America.</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with respect to any amount of any currency, the Equivalent Amount of such currency expressed in Dollars.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Swingline Loans</w:t>
      </w:r>
      <w:r>
        <w:rPr>
          <w:rFonts w:ascii="Times New Roman" w:cs="Times New Roman" w:eastAsia="Times New Roman" w:hAnsi="Times New Roman"/>
          <w:sz w:val="22"/>
          <w:szCs w:val="22"/>
          <w:color w:val="auto"/>
        </w:rPr>
        <w:t>” has the meaning specified in Section 2.04(a).</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xml:space="preserve">” means any Subsidiary incorporated or organized under the Laws of the United States of America, any State thereof or the District of Columbia,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Subsidiary is not a CFC.</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Unrestricted Cash</w:t>
      </w:r>
      <w:r>
        <w:rPr>
          <w:rFonts w:ascii="Times New Roman" w:cs="Times New Roman" w:eastAsia="Times New Roman" w:hAnsi="Times New Roman"/>
          <w:sz w:val="22"/>
          <w:szCs w:val="22"/>
          <w:color w:val="auto"/>
        </w:rPr>
        <w:t>” means, at any time, an amount equal to the Borrower Calculated Dollar Equivalent amount of all Unrestricted Cash of the Borrower and its Subsidiaries at such time determined on a consolidated basis, but excluding Foreign Unrestricted Cash.</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indicated in a document or agreement to be the date on which such document or agreement becomes effective, or, if there is no such indication, the date of execution of such document or agreement.</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Eligibility Date</w:t>
      </w:r>
      <w:r>
        <w:rPr>
          <w:rFonts w:ascii="Times New Roman" w:cs="Times New Roman" w:eastAsia="Times New Roman" w:hAnsi="Times New Roman"/>
          <w:sz w:val="22"/>
          <w:szCs w:val="22"/>
          <w:color w:val="auto"/>
        </w:rPr>
        <w:t>” means, with respect to each Loan Party and each Swap, the date on which this Agreement or any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a Lender, (b) an Affiliate of a Lender, (c) an Approved Fund and (d) any other Person, other than, in each case, a natural person or the Borrower, any Subsidiary or any other Affiliate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2" w:name="page453"/>
    <w:bookmarkEnd w:id="452"/>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Contract Participant</w:t>
      </w:r>
      <w:r>
        <w:rPr>
          <w:rFonts w:ascii="Times New Roman" w:cs="Times New Roman" w:eastAsia="Times New Roman" w:hAnsi="Times New Roman"/>
          <w:sz w:val="22"/>
          <w:szCs w:val="22"/>
          <w:color w:val="auto"/>
        </w:rPr>
        <w:t>” means an “eligible contract participant” as defined in the CEA and regulations thereunder.</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Letter</w:t>
      </w:r>
      <w:r>
        <w:rPr>
          <w:rFonts w:ascii="Times New Roman" w:cs="Times New Roman" w:eastAsia="Times New Roman" w:hAnsi="Times New Roman"/>
          <w:sz w:val="22"/>
          <w:szCs w:val="22"/>
          <w:color w:val="auto"/>
        </w:rPr>
        <w:t>” means the Engagement Letter dated December 13, 2017, among the Borrower, PNC Capital Markets LLC and the Administrative Agent (including the Summary of Terms and Conditions attached thereto).</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rules, regulations, codes, ordinances, judgments, orders, decrees and other Laws, and all injunctions, notices or binding agreements, issued, promulgated or entered into by or with any Governmental Authority and relating in any way to the environment, to preservation or reclamation of natural resources, to the management, Release or threatened Release of any Hazardous Material or to related health or safety matters.</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obligation, loss, claim, action, order or cost, contingent or otherwise (including any liability for damages, costs of environmental remediation, fines, penalties and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beneficial interests or other ownership interests, whether voting or nonvoting, in, or interests in the income or profits of, a Person, and any warrants, options or other rights entitling the holder thereof to purchase or acquire any of the foregoing.</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Equivalent Amount</w:t>
      </w:r>
      <w:r>
        <w:rPr>
          <w:rFonts w:ascii="Times New Roman" w:cs="Times New Roman" w:eastAsia="Times New Roman" w:hAnsi="Times New Roman"/>
          <w:sz w:val="22"/>
          <w:szCs w:val="22"/>
          <w:color w:val="auto"/>
        </w:rPr>
        <w:t>” means, at any time, as determined by the Administrative Agent (which determination shall be conclusive absent manifest error), with respect to an amount of any currency (the “</w:t>
      </w:r>
      <w:r>
        <w:rPr>
          <w:rFonts w:ascii="Times New Roman" w:cs="Times New Roman" w:eastAsia="Times New Roman" w:hAnsi="Times New Roman"/>
          <w:sz w:val="22"/>
          <w:szCs w:val="22"/>
          <w:u w:val="single" w:color="auto"/>
          <w:color w:val="auto"/>
        </w:rPr>
        <w:t>Reference Currency</w:t>
      </w:r>
      <w:r>
        <w:rPr>
          <w:rFonts w:ascii="Times New Roman" w:cs="Times New Roman" w:eastAsia="Times New Roman" w:hAnsi="Times New Roman"/>
          <w:sz w:val="22"/>
          <w:szCs w:val="22"/>
          <w:color w:val="auto"/>
        </w:rPr>
        <w:t>”) which is to be computed as an equivalent amount of another currency (the “</w:t>
      </w:r>
      <w:r>
        <w:rPr>
          <w:rFonts w:ascii="Times New Roman" w:cs="Times New Roman" w:eastAsia="Times New Roman" w:hAnsi="Times New Roman"/>
          <w:sz w:val="22"/>
          <w:szCs w:val="22"/>
          <w:u w:val="single" w:color="auto"/>
          <w:color w:val="auto"/>
        </w:rPr>
        <w:t>Equivalent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(a) if the Reference Currency and the Equivalent Currency are the same, the amount of such Reference Currency, or (b) if the Reference Currency and the Equivalent Currency are not the same, the amount of such Equivalent Currency converted from such Reference Currency at the Administrative Agent’s spot selling rate (based on the market rates then prevailing and available to the Administrative Agent) for the sale of such Equivalent Currency for such Reference Currency at a time determined by the Administrative Agent on the second Business Day immediately preceding the event for which such calculation is made.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Equivalent Currency</w:t>
      </w:r>
      <w:r>
        <w:rPr>
          <w:rFonts w:ascii="Times New Roman" w:cs="Times New Roman" w:eastAsia="Times New Roman" w:hAnsi="Times New Roman"/>
          <w:sz w:val="22"/>
          <w:szCs w:val="22"/>
          <w:color w:val="auto"/>
        </w:rPr>
        <w:t>” has the meaning assigned to such term in the definition of Equivalent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414(c) of the Code or, solely for purposes of Section 302 of ERISA and Section 412 of the Code, is treated as a single employer under Section 414(m) or 414(o)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3" w:name="page454"/>
    <w:bookmarkEnd w:id="453"/>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of its ERISA Affiliates of any liability under Title IV of ERISA with respect to the termination of any Plan, (f) the receipt by the Borrower or any of its ERISA Affiliates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or (h) the receipt by the Borrower or any of its ERISA Affiliates of any notice, or the receipt by any Multiemployer Plan from the Borrower or any of its ERISA Affiliates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9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refers to the lawful currency of the Participating Member States.</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w:t>
      </w:r>
      <w:r>
        <w:rPr>
          <w:rFonts w:ascii="Times New Roman" w:cs="Times New Roman" w:eastAsia="Times New Roman" w:hAnsi="Times New Roman"/>
          <w:sz w:val="22"/>
          <w:szCs w:val="22"/>
          <w:color w:val="auto"/>
        </w:rPr>
        <w:t>”, when used in reference to any Loan or Borrowing, refers to whether such Loan, or the Loans comprising such Borrowing, shall bear interest at a rate determined by reference to the LIBO Rate (including any Dollar Swingline Loan bearing interest at a LIBOR based rate or any Optional Currency Swingline Loan).</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Reserve Percentage</w:t>
      </w:r>
      <w:r>
        <w:rPr>
          <w:rFonts w:ascii="Times New Roman" w:cs="Times New Roman" w:eastAsia="Times New Roman" w:hAnsi="Times New Roman"/>
          <w:sz w:val="22"/>
          <w:szCs w:val="22"/>
          <w:color w:val="auto"/>
        </w:rPr>
        <w:t>” means, as of any day, the maximum percentage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w:t>
      </w:r>
      <w:r>
        <w:rPr>
          <w:rFonts w:ascii="Times New Roman" w:cs="Times New Roman" w:eastAsia="Times New Roman" w:hAnsi="Times New Roman"/>
          <w:sz w:val="22"/>
          <w:szCs w:val="22"/>
          <w:u w:val="single" w:color="auto"/>
          <w:color w:val="auto"/>
        </w:rPr>
        <w:t>Eurocurrency Liabilities</w:t>
      </w:r>
      <w:r>
        <w:rPr>
          <w:rFonts w:ascii="Times New Roman" w:cs="Times New Roman" w:eastAsia="Times New Roman" w:hAnsi="Times New Roman"/>
          <w:sz w:val="22"/>
          <w:szCs w:val="22"/>
          <w:color w:val="auto"/>
        </w:rPr>
        <w:t>”). The Eurocurrency Reserve Percentage shall be adjusted automatically on and as of the effective date of any change in any reserve percentage.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set forth in Article VII.</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Liabilities</w:t>
      </w:r>
      <w:r>
        <w:rPr>
          <w:rFonts w:ascii="Times New Roman" w:cs="Times New Roman" w:eastAsia="Times New Roman" w:hAnsi="Times New Roman"/>
          <w:sz w:val="22"/>
          <w:szCs w:val="22"/>
          <w:color w:val="auto"/>
        </w:rPr>
        <w:t>” means, with respect to each Loan Party, each of its Secured Hedge Obligations if, and only to the extent that, all or any portion of this Agreement or any other Loan Document that relates to such Secured Hedge Obligation is or becomes illegal under the CEA, or any rule, regulation or order of the CFTC, solely by virtue of such Loan Party’s failure to qualify as an Eligible Contract Participant on the Eligibility Date for such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4" w:name="page455"/>
    <w:bookmarkEnd w:id="454"/>
    <w:p>
      <w:pPr>
        <w:jc w:val="both"/>
        <w:spacing w:after="0" w:line="244" w:lineRule="auto"/>
        <w:rPr>
          <w:sz w:val="20"/>
          <w:szCs w:val="20"/>
          <w:color w:val="auto"/>
        </w:rPr>
      </w:pPr>
      <w:r>
        <w:rPr>
          <w:rFonts w:ascii="Times New Roman" w:cs="Times New Roman" w:eastAsia="Times New Roman" w:hAnsi="Times New Roman"/>
          <w:sz w:val="21"/>
          <w:szCs w:val="21"/>
          <w:color w:val="auto"/>
        </w:rPr>
        <w:t>Notwithstanding anything to the contrary contained in the foregoing or in any other provision of this Agreement or any other Loan Document, the foregoing is subject to the following provisos: (a) if a Secured Hedge Obligation arises under a master agreement governing more than one Swap, this definition shall apply only to the portion of such Secured Hedge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Secured Hedge Obligation would cause such obligation to be an Excluded Hedge Liability but the grant of a security interest would not cause such obligation to be an Excluded Hedge Liability, such Secured Hedge Obligation shall constitute an Excluded Hedge Liability for purposes of the guarantee but not for purposes of the grant of the security interest; and (c) if there is more than one Loan Party executing this Agreement or the other Loan Documents and a Secured Hedge Obligation would be an Excluded Hedge Liability with respect to one or more of such Persons, but not all of them, the definition of Excluded Hedge Liability or Liabilities with respect to each such Person shall only be deemed applicable to (i) the particular Secured Hedge Obligations that constitute Excluded Hedge Liabilities with respect to such Person, and (ii) the particular Person with respect to which such Secured Hedge Obligations constitute Excluded Hedge Liabilities.</w:t>
      </w:r>
    </w:p>
    <w:p>
      <w:pPr>
        <w:spacing w:after="0" w:line="17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Holders</w:t>
      </w:r>
      <w:r>
        <w:rPr>
          <w:rFonts w:ascii="Times New Roman" w:cs="Times New Roman" w:eastAsia="Times New Roman" w:hAnsi="Times New Roman"/>
          <w:sz w:val="22"/>
          <w:szCs w:val="22"/>
          <w:color w:val="auto"/>
        </w:rPr>
        <w:t>” means (a) Gregory S. Bentley, Keith A. Bentley, Barry J. Bentley, Raymond B. Bentley and Richard P. Bentley, and any trusts for the benefit of their family members; (b) the Borrower’s current employees and directors and any trusts for the benefit of their family members; and (c) the Bentley Profit Sharing/401(k) Plan.</w:t>
      </w:r>
    </w:p>
    <w:p>
      <w:pPr>
        <w:spacing w:after="0" w:line="18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became a party hereto or to such Lender immediately before it changed its lending office, (c) Taxes attributable to such Recipient’s failure to comply with Section 2.17(f), and (d) any U.S. federal withholding Taxes imposed under FATCA.</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Bonus Plan</w:t>
      </w:r>
      <w:r>
        <w:rPr>
          <w:rFonts w:ascii="Times New Roman" w:cs="Times New Roman" w:eastAsia="Times New Roman" w:hAnsi="Times New Roman"/>
          <w:sz w:val="21"/>
          <w:szCs w:val="21"/>
          <w:color w:val="auto"/>
        </w:rPr>
        <w:t>” means the Borrower’s incentive compensation plan pursuant to which up to 20% of the Borrower’s pre-tax operating cash earnings for any fiscal quarter (calculated prior to giving effect to any payments for such fiscal quarter under such plan and otherwise on the basis of internal management reporting consistent with past practices, with such modifications thereto as shall be approved by the board of directors of the Borrower as necessary, in the reasonable judgment thereof, to maintain comparable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21"/>
          <w:szCs w:val="21"/>
          <w:color w:val="auto"/>
        </w:rPr>
        <w:t>metrics) are allocated to certain executives and other employees of the Borrower, including the Bentley Brothers.</w:t>
      </w:r>
    </w:p>
    <w:p>
      <w:pPr>
        <w:spacing w:after="0" w:line="218"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Order No. 13224</w:t>
      </w:r>
      <w:r>
        <w:rPr>
          <w:rFonts w:ascii="Times New Roman" w:cs="Times New Roman" w:eastAsia="Times New Roman" w:hAnsi="Times New Roman"/>
          <w:sz w:val="22"/>
          <w:szCs w:val="22"/>
          <w:color w:val="auto"/>
        </w:rPr>
        <w:t>” means Executive Order No. 13224 on Terrorist Financing, effective September 24, 2001.</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 of Credit</w:t>
      </w:r>
      <w:r>
        <w:rPr>
          <w:rFonts w:ascii="Times New Roman" w:cs="Times New Roman" w:eastAsia="Times New Roman" w:hAnsi="Times New Roman"/>
          <w:sz w:val="22"/>
          <w:szCs w:val="22"/>
          <w:color w:val="auto"/>
        </w:rPr>
        <w:t xml:space="preserve">” means each letter of credit previously issued for the account of the Borrower or any Subsidiary that (a) is listed on Schedule 1.01 and (b) is outstanding on the Restatement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such letter of credit does not, as of the Restatement Effective Date, exceed the amount thereof set forth on Schedule 1.01.</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means, with respect to any individual, any other individual having a relationship with such individual by blood (to the second degree of consanguinity), marriage or adoption.</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Trust</w:t>
      </w:r>
      <w:r>
        <w:rPr>
          <w:rFonts w:ascii="Times New Roman" w:cs="Times New Roman" w:eastAsia="Times New Roman" w:hAnsi="Times New Roman"/>
          <w:sz w:val="22"/>
          <w:szCs w:val="22"/>
          <w:color w:val="auto"/>
        </w:rPr>
        <w:t>” means, with respect to any individual, trusts or estate planning vehicles established for the benefit of such individual or his/her Family Members.</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 between a foreign country and the United States entered into in connection with the implementation of the foregoing.</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of 1977, as amended, and the rules and regulations thereunder.</w:t>
      </w:r>
    </w:p>
    <w:p>
      <w:pPr>
        <w:spacing w:after="0" w:line="15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rate per annum (based on a year of three hundred sixty (360) days and actual days elapsed and rounded upward to the nearest 1/100 of one percent (1%)</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with .005% being rounded up</w:t>
      </w:r>
      <w:r>
        <w:rPr>
          <w:rFonts w:ascii="Times New Roman" w:cs="Times New Roman" w:eastAsia="Times New Roman" w:hAnsi="Times New Roman"/>
          <w:sz w:val="22"/>
          <w:szCs w:val="22"/>
          <w:color w:val="000000"/>
        </w:rPr>
        <w:t>) announced by the Federal Reserve Bank of New York (or any successor) on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day as being the weighted average of the rates on overnight federal funds transactions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if such Federal Reserve Bank (or its successor) does not announce such rate on any day, the “Federal Funds Effective Rate” for such day shall be the Federal Funds Effective Rate for the last day on which such rate was announced.</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means the Fee Letter dated December 13, 2017, among the Borrower, PNC Capital Markets LLC and the Administrative Agent </w:t>
      </w:r>
      <w:r>
        <w:rPr>
          <w:rFonts w:ascii="Times New Roman" w:cs="Times New Roman" w:eastAsia="Times New Roman" w:hAnsi="Times New Roman"/>
          <w:sz w:val="22"/>
          <w:szCs w:val="22"/>
          <w:color w:val="0000FF"/>
        </w:rPr>
        <w:t>and any other Fee Letter among the Borrower, PNC Capital Markets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LLC and the Administrative Agent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-189230</wp:posOffset>
            </wp:positionV>
            <wp:extent cx="3859530" cy="171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0">
                      <a:extLst>
                        <a:ext uri="{28A0092B-C50C-407E-A947-70E740481C1C}"/>
                      </a:extLst>
                    </a:blip>
                    <a:srcRect/>
                    <a:stretch>
                      <a:fillRect/>
                    </a:stretch>
                  </pic:blipFill>
                  <pic:spPr bwMode="auto">
                    <a:xfrm>
                      <a:off x="0" y="0"/>
                      <a:ext cx="3859530" cy="17145"/>
                    </a:xfrm>
                    <a:prstGeom prst="rect">
                      <a:avLst/>
                    </a:prstGeom>
                    <a:noFill/>
                  </pic:spPr>
                </pic:pic>
              </a:graphicData>
            </a:graphic>
          </wp:anchor>
        </w:drawing>
      </w:r>
    </w:p>
    <w:p>
      <w:pPr>
        <w:spacing w:after="0" w:line="15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with respect to any Person, the chief financial officer, principal accounting officer, treasurer or controller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6" w:name="page457"/>
    <w:bookmarkEnd w:id="456"/>
    <w:p>
      <w:pPr>
        <w:jc w:val="both"/>
        <w:ind w:firstLine="1296"/>
        <w:spacing w:after="0" w:line="282" w:lineRule="auto"/>
        <w:rPr>
          <w:sz w:val="20"/>
          <w:szCs w:val="20"/>
          <w:color w:val="auto"/>
        </w:rPr>
      </w:pPr>
      <w:r>
        <w:rPr>
          <w:rFonts w:ascii="Times New Roman" w:cs="Times New Roman" w:eastAsia="Times New Roman" w:hAnsi="Times New Roman"/>
          <w:sz w:val="21"/>
          <w:szCs w:val="21"/>
          <w:u w:val="single" w:color="auto"/>
          <w:color w:val="0000FF"/>
        </w:rPr>
        <w:t>“First Amendment” means the First Amendment to this Agreement, dated as of September 2, 2020, among the Borrower, the Subsidiary Loan Parties, the Lenders parties thereto and the Administrative Agent.</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u w:val="single" w:color="auto"/>
          <w:color w:val="0000FF"/>
        </w:rPr>
        <w:t>“First Amendment Effective Date” has the meaning assigned to such term in the First Amendment.</w:t>
      </w:r>
    </w:p>
    <w:p>
      <w:pPr>
        <w:spacing w:after="0" w:line="21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organized under the laws of a jurisdiction other than the United States of America (including each State thereof and the District of Columbia).</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Pledge Agreement</w:t>
      </w:r>
      <w:r>
        <w:rPr>
          <w:rFonts w:ascii="Times New Roman" w:cs="Times New Roman" w:eastAsia="Times New Roman" w:hAnsi="Times New Roman"/>
          <w:sz w:val="22"/>
          <w:szCs w:val="22"/>
          <w:color w:val="auto"/>
        </w:rPr>
        <w:t>” means a pledge or charge agreement granting a Lien on Equity Interests in a Foreign Subsidiary to secure the Secured Obligations, governed by the law of the jurisdiction of organization of such Foreign Subsidiary and in form and substance reasonably satisfactory to the Administrative Agent.</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not a Domestic Subsidiary. For the avoidance of doubt, any Subsidiary incorporated or organized under the laws of the United States of America, any State thereof or the District of Columbia shall be treated as a “Foreign Subsidiary” for purposes hereof if such Subsidiary is a CFC.</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Unrestricted Cash</w:t>
      </w:r>
      <w:r>
        <w:rPr>
          <w:rFonts w:ascii="Times New Roman" w:cs="Times New Roman" w:eastAsia="Times New Roman" w:hAnsi="Times New Roman"/>
          <w:sz w:val="22"/>
          <w:szCs w:val="22"/>
          <w:color w:val="auto"/>
        </w:rPr>
        <w:t>” means, at any time, the Borrower Calculated Dollar Equivalent amount of all Unrestricted Cash at such time of Foreign Subsidiaries determined on a consolidated basis.</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 means generally accepted accounting principles in the United States of America, applied in accordance with the consistency requirements thereof.</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means all authorizations, consents, approvals, permits, licenses and exemptions of, registrations and filings with, and reports to, Governmental Authorities.</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7" w:name="page458"/>
    <w:bookmarkEnd w:id="45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 The amount, as of any date of determination, of any Guarantee shall be the principal amount outstanding on such date of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the chief financial officer of the Borrower)).</w:t>
      </w:r>
    </w:p>
    <w:p>
      <w:pPr>
        <w:spacing w:after="0" w:line="18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radioactive,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xml:space="preserve">” means any agreement with respect to any swap, forward, future or derivative transaction, or any option or similar agreement, involving, or settled by reference to, one or more rates, currencies, commodities, prices of equity or debt securities or instruments, or economic, financial or pricing indices or measures of economic, financial or pricing risk or value, or any similar transaction or combination of the foregoing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phantom stock or similar plan providing for payments only on account of services provided by current or former directors, officers, employees or consultants of the Borrower or the Subsidiaries shall be a Hedging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ICC</w:t>
      </w:r>
      <w:r>
        <w:rPr>
          <w:rFonts w:ascii="Times New Roman" w:cs="Times New Roman" w:eastAsia="Times New Roman" w:hAnsi="Times New Roman"/>
          <w:sz w:val="22"/>
          <w:szCs w:val="22"/>
          <w:color w:val="auto"/>
        </w:rPr>
        <w:t>” has the meaning set forth in Section 9.09.</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Agreement</w:t>
      </w:r>
      <w:r>
        <w:rPr>
          <w:rFonts w:ascii="Times New Roman" w:cs="Times New Roman" w:eastAsia="Times New Roman" w:hAnsi="Times New Roman"/>
          <w:sz w:val="22"/>
          <w:szCs w:val="22"/>
          <w:color w:val="auto"/>
        </w:rPr>
        <w:t>” means an Incremental Facility Agreement, in form and substance reasonably satisfactory to the Administrative Agent, among the Borrower, the Administrative Agent and one or more Incremental Revolving Lenders, establishing Incremental Revolving Commitments and effecting such other amendments hereto and the other Loan Documents as are contemplated by Section 2.21.</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means, with respect to any Lender, the commitment, if any, of such Lender, established pursuant to an Incremental Facility Agreement and Section 2.21, to make Revolving Loans and to acquire participations in Letters of Credit and Swingline Loans hereunder, expressed as an amount representing the maximum aggregate permitted amount of such Lender’s Revolving Exposure under such Incremental Facility Agreement.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Lender</w:t>
      </w:r>
      <w:r>
        <w:rPr>
          <w:rFonts w:ascii="Times New Roman" w:cs="Times New Roman" w:eastAsia="Times New Roman" w:hAnsi="Times New Roman"/>
          <w:sz w:val="22"/>
          <w:szCs w:val="22"/>
          <w:color w:val="auto"/>
        </w:rPr>
        <w:t>” means a Lender with an Incremental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8" w:name="page459"/>
    <w:bookmarkEnd w:id="458"/>
    <w:p>
      <w:pPr>
        <w:jc w:val="both"/>
        <w:ind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 (b) all obligations of such Person evidenced by bonds, debentures, notes or similar instruments,</w:t>
      </w:r>
    </w:p>
    <w:p>
      <w:pPr>
        <w:spacing w:after="0" w:line="1" w:lineRule="exact"/>
        <w:rPr>
          <w:sz w:val="20"/>
          <w:szCs w:val="20"/>
          <w:color w:val="auto"/>
        </w:rPr>
      </w:pPr>
    </w:p>
    <w:p>
      <w:pPr>
        <w:jc w:val="both"/>
        <w:ind w:firstLine="8"/>
        <w:spacing w:after="0" w:line="242" w:lineRule="auto"/>
        <w:tabs>
          <w:tab w:leader="none" w:pos="318"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(i) current accounts payable incurred in the ordinary course of business (including intercompany accounts payable) and (ii) deferred compensation payable to directors, officers or employees of the Borrower or any Subsidiary, but including any purchase price adjustment, earnout or deferred payment of a similar nature incurred in connection with an acquisition to the extent required to be recorded as a liability on such Person’s balance sheet in accordance with GAAP), (e) all Capital Lease Obligations of such Person, (f) the maximum aggregate amount of all letters of credit and letters of guaranty in respect of which such Person is an account party,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(i) the maximum aggregate amount of all Bank Guarantees in respect of which such party is an account party or otherwise responsible to reimburse the bank or other financial institution that issued such Bank Guarantee(s) for any payments or draws under such Bank Guarantee(s), and (j) all Guarantees by such Person of Indebtedness of others.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 Notwithstanding anything to the contrary in this definition, Indebtedness shall not include (a) liabilities or obligations of a Loan Party under a Purchase Card Facility offered by a Lender or Affiliate thereof, (b) obligations in respect of non-competes and similar agreements and (c) deferred revenue, customer pre-payments or other similar obligations.</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Loan Party under this Agreement or any other Loan Document and (b) to the extent not otherwise described in the preceding clause (a), Other Taxes.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has the meaning set forth in Section 9.03(b).</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Coverage Ratio</w:t>
      </w:r>
      <w:r>
        <w:rPr>
          <w:rFonts w:ascii="Times New Roman" w:cs="Times New Roman" w:eastAsia="Times New Roman" w:hAnsi="Times New Roman"/>
          <w:sz w:val="22"/>
          <w:szCs w:val="22"/>
          <w:color w:val="auto"/>
        </w:rPr>
        <w:t>” shall mean, on any date, the ratio of (a) Consolidated EBITDA to (b) Consolidated Cash Interest Expense for the period of four consecutive fiscal quarters of the Borrower most recently ended on or prior to such date.</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Revolving Borrowing </w:t>
      </w:r>
      <w:r>
        <w:rPr>
          <w:rFonts w:ascii="Times New Roman" w:cs="Times New Roman" w:eastAsia="Times New Roman" w:hAnsi="Times New Roman"/>
          <w:sz w:val="22"/>
          <w:szCs w:val="22"/>
          <w:color w:val="0000FF"/>
        </w:rPr>
        <w:t>or Term Borrowing</w:t>
      </w:r>
      <w:r>
        <w:rPr>
          <w:rFonts w:ascii="Times New Roman" w:cs="Times New Roman" w:eastAsia="Times New Roman" w:hAnsi="Times New Roman"/>
          <w:sz w:val="22"/>
          <w:szCs w:val="22"/>
          <w:color w:val="auto"/>
        </w:rPr>
        <w:t xml:space="preserve"> in accordance with Section 2.07, which shall be, in the case of any such written request, in the form of Exhibit E or any other form approved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-189230</wp:posOffset>
            </wp:positionV>
            <wp:extent cx="1135380" cy="171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4">
                      <a:extLst>
                        <a:ext uri="{28A0092B-C50C-407E-A947-70E740481C1C}"/>
                      </a:extLst>
                    </a:blip>
                    <a:srcRect/>
                    <a:stretch>
                      <a:fillRect/>
                    </a:stretch>
                  </pic:blipFill>
                  <pic:spPr bwMode="auto">
                    <a:xfrm>
                      <a:off x="0" y="0"/>
                      <a:ext cx="1135380" cy="17145"/>
                    </a:xfrm>
                    <a:prstGeom prst="rect">
                      <a:avLst/>
                    </a:prstGeom>
                    <a:noFill/>
                  </pic:spPr>
                </pic:pic>
              </a:graphicData>
            </a:graphic>
          </wp:anchor>
        </w:drawing>
      </w:r>
    </w:p>
    <w:p>
      <w:pPr>
        <w:spacing w:after="0" w:line="15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ABR Loan (other than a Swingline Loan), the last day of each March, June, September and December, (b)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59" w:name="page460"/>
    <w:bookmarkEnd w:id="459"/>
    <w:p>
      <w:pPr>
        <w:jc w:val="both"/>
        <w:spacing w:after="0" w:line="234" w:lineRule="auto"/>
        <w:rPr>
          <w:sz w:val="20"/>
          <w:szCs w:val="20"/>
          <w:color w:val="auto"/>
        </w:rPr>
      </w:pPr>
      <w:r>
        <w:rPr>
          <w:rFonts w:ascii="Times New Roman" w:cs="Times New Roman" w:eastAsia="Times New Roman" w:hAnsi="Times New Roman"/>
          <w:sz w:val="22"/>
          <w:szCs w:val="22"/>
          <w:color w:val="auto"/>
        </w:rPr>
        <w:t>any Eurocurrency Loan (other than a Swingline Loan), the last day of the Interest Period applicable to the Borrowing of which such Loan is a part and, in the case of a Eurocurrency Borrowing with an Interest Period of more than three months’ duration, such day or days prior to the last day of such Interest Period as shall occur at intervals of three months’ duration after the first day of such Interest Period, and (c) (i) with respect to any Swingline Loan (other than an Optional Currency Swingline Loan or a Swingline Loan that is made under a Cash Management Agreement), the last day of each March, June, September and December and the day that such Swingline Loan is required to be repaid, (ii) with respect to any Swingline Loan made under a Cash Management Agreement, the date specified in such Cash Management Agreement for the payment of interest, (iii) with respect to any Optional Currency Swingline Loan, the last day of the Interest Period applicable to such Optional Currency Swingline Loan and (iv) with respect to all Swingline Loans, the Revolving Maturity Date.</w:t>
      </w:r>
    </w:p>
    <w:p>
      <w:pPr>
        <w:spacing w:after="0" w:line="179"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any Eurocurrency Borrowing, the period commencing on the date of such Borrowing and ending on the numerically corresponding day in the calendar month that is one, two, three or six months thereafter (or, if agreed to by each Lender participating therein, twelve months thereafter), as the Borrower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Notwithstanding the above, the only Interest Period available for Optional Currency Swingline Loans shall be one month.</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Option</w:t>
      </w:r>
      <w:r>
        <w:rPr>
          <w:rFonts w:ascii="Times New Roman" w:cs="Times New Roman" w:eastAsia="Times New Roman" w:hAnsi="Times New Roman"/>
          <w:sz w:val="22"/>
          <w:szCs w:val="22"/>
          <w:color w:val="auto"/>
        </w:rPr>
        <w:t>” means the Base Rate Option or the LIBO Rate Option.</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 specified Person,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The amount, as of any date of determination, of (a) any Investment in the form of a loan or an advance shall be the principal amount thereof outstanding on such date, without any adjustment for write-downs or write-offs (including as a result of forgiveness of any portion thereof) with respect to such loan or advance after the date thereof, (b) any Investment in the form of a Guarantee shall be determined in accordance with the definition of the term “Guarantee”, (c) any Investment in the form of a transfer of Equity Interests or other property by the investor to the investee, including any such transfer in the form of a capital contribution, shall be the fair value (as determined reasonably and in good faith by the chief financial officer of the Borrower) of such Equity Interests or other property as of the time of the transfer, minus the amount, as of such date, of any portion of such Investment repaid to the investor in cash as a return of capital, but without any other adjustment for increases or decreases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0" w:name="page461"/>
    <w:bookmarkEnd w:id="460"/>
    <w:p>
      <w:pPr>
        <w:jc w:val="both"/>
        <w:spacing w:after="0" w:line="232" w:lineRule="auto"/>
        <w:rPr>
          <w:sz w:val="20"/>
          <w:szCs w:val="20"/>
          <w:color w:val="auto"/>
        </w:rPr>
      </w:pPr>
      <w:r>
        <w:rPr>
          <w:rFonts w:ascii="Times New Roman" w:cs="Times New Roman" w:eastAsia="Times New Roman" w:hAnsi="Times New Roman"/>
          <w:sz w:val="22"/>
          <w:szCs w:val="22"/>
          <w:color w:val="auto"/>
        </w:rPr>
        <w:t>of, or write-ups, write-downs or write-offs with respect to, such Investment after the time of such transfer,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plus the cost of all additions, as of such date, thereto, and minus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time of such Investment, and (e) any Investment (other than any Investment referred to in clause (a), (b), (c) or (d) above) by the specified Person in any other Person resulting from the issuance by such other Person of its Equity Interests to the specified Person shall be the fair value (as determined reasonably and in good faith by the chief financial officer of the Borrower) of such Equity Interests at the time of the issuance thereof. Any basket in this Agreement under clauses (c), (o),</w:t>
      </w:r>
    </w:p>
    <w:p>
      <w:pPr>
        <w:spacing w:after="0" w:line="5" w:lineRule="exact"/>
        <w:rPr>
          <w:sz w:val="20"/>
          <w:szCs w:val="20"/>
          <w:color w:val="auto"/>
        </w:rPr>
      </w:pPr>
    </w:p>
    <w:p>
      <w:pPr>
        <w:jc w:val="both"/>
        <w:ind w:firstLine="8"/>
        <w:spacing w:after="0" w:line="231" w:lineRule="auto"/>
        <w:tabs>
          <w:tab w:leader="none" w:pos="31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(q) of Section 6.04 used to make an Investment by any Loan Party on or after the Restatement Effective Date in any Person that is not a Loan Party on the date such Investment is made but subsequently becomes a Loan Party in accordance with the terms of this Agreement shall be refreshed by the amount of the Investment so made on the date such Person so becomes a Loan Party. For the avoidance of doubt, for purposes of covenant compliance, the amount of an Investment shall be the amount actually invested, without adjustment for subsequent increases or decreases in the value of such Investment and, in the case of an Investment made in a currency other than Dollars, without adjustment for any changes in any applicable exchange rate. Further, in the case of any Investment in the form of loans or advances, the amount of the Investment shall be deemed reduced by any return of principal and, in the case of any Investment in the form of equity, the amount of the Investment shall be deemed reduced by the amount of any return of equity (whether in the form of dividends, share repurchases or otherwise).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Security Agreements</w:t>
      </w:r>
      <w:r>
        <w:rPr>
          <w:rFonts w:ascii="Times New Roman" w:cs="Times New Roman" w:eastAsia="Times New Roman" w:hAnsi="Times New Roman"/>
          <w:sz w:val="22"/>
          <w:szCs w:val="22"/>
          <w:color w:val="auto"/>
        </w:rPr>
        <w:t>” has the meaning set forth in the Collateral Agreement.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IPO</w:t>
      </w:r>
      <w:r>
        <w:rPr>
          <w:rFonts w:ascii="Times New Roman" w:cs="Times New Roman" w:eastAsia="Times New Roman" w:hAnsi="Times New Roman"/>
          <w:sz w:val="22"/>
          <w:szCs w:val="22"/>
          <w:color w:val="FF0000"/>
          <w:strike w:val="1"/>
        </w:rPr>
        <w:t xml:space="preserve">” means the initial </w:t>
      </w:r>
      <w:r>
        <w:rPr>
          <w:rFonts w:ascii="Times New Roman" w:cs="Times New Roman" w:eastAsia="Times New Roman" w:hAnsi="Times New Roman"/>
          <w:sz w:val="22"/>
          <w:szCs w:val="22"/>
          <w:color w:val="00C000"/>
          <w:strike w:val="1"/>
        </w:rPr>
        <w:t>underwritten public offering of common Equity Interests in the Borrower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or a Borrower Parent Company, in each case pursuant to an effective registration statement filed with the SEC pursuant to the Securities Act</w:t>
      </w:r>
      <w:r>
        <w:rPr>
          <w:rFonts w:ascii="Times New Roman" w:cs="Times New Roman" w:eastAsia="Times New Roman" w:hAnsi="Times New Roman"/>
          <w:sz w:val="22"/>
          <w:szCs w:val="22"/>
          <w:color w:val="FF0000"/>
          <w:strike w:val="1"/>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ISP98</w:t>
      </w:r>
      <w:r>
        <w:rPr>
          <w:rFonts w:ascii="Times New Roman" w:cs="Times New Roman" w:eastAsia="Times New Roman" w:hAnsi="Times New Roman"/>
          <w:sz w:val="22"/>
          <w:szCs w:val="22"/>
          <w:color w:val="auto"/>
        </w:rPr>
        <w:t>” has the meaning set forth in Section 9.09.</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(a) PNC, (b) solely in respect of any Existing Letter of Credit, the Person that is the issuer thereof and (c)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that shall have become an Issuing Bank hereunder as provided in Section 2.05(j) (other than any Person that shall have ceased to be an Issuing Bank as provided in Section 2.05(k)),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2.05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1" w:name="page462"/>
    <w:bookmarkEnd w:id="461"/>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 Issuing Bank pursuant to a Letter of Credit.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xml:space="preserve">” means, at any time, the sum of the Dollar Equivalent amount of (a) the aggregate amount of all Letters of Credit that remains available for drawing at such time and (b) the aggregate amount of all LC Disbursements that have not yet been reimbursed by or on behalf of the Borrower at such time. The LC Exposure of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at any time shall be its Applicable Percentage of the total LC Exposure at such time.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Lender Parent</w:t>
      </w:r>
      <w:r>
        <w:rPr>
          <w:rFonts w:ascii="Times New Roman" w:cs="Times New Roman" w:eastAsia="Times New Roman" w:hAnsi="Times New Roman"/>
          <w:sz w:val="22"/>
          <w:szCs w:val="22"/>
          <w:color w:val="FF0000"/>
          <w:strike w:val="1"/>
        </w:rPr>
        <w:t>” means, with respect to any Lender, any Person in respect of which such Lender is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subsidiary.</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 and any other Person that shall have become a party hereto pursuant to an Assignment and Assumption or an Incremental Facility Agreement, other than any such Person that shall have ceased to be a party hereto pursuant to an Assignment and Assumption. For the purpose of any Loan Document which provides for the granting of a security interest or other Lien to the Lenders or to the Administrative Agent for the benefit of the Lenders as security for the Secured Obligations, “Lenders” shall include any Affiliate of a Lender to which such Secured Obligation is owed. Unless the context otherwise requires, the term “Lenders” includes the Swingline Lender.</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 and any Existing Letter of Credit, other than any such letter of credit that shall have ceased to be a “Letter of Credit” outstanding hereunder pursuant to Section 9.05.</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has the meaning set forth in Section 2.05(b).</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means the following:</w:t>
      </w:r>
    </w:p>
    <w:p>
      <w:pPr>
        <w:spacing w:after="0" w:line="206" w:lineRule="exact"/>
        <w:rPr>
          <w:sz w:val="20"/>
          <w:szCs w:val="20"/>
          <w:color w:val="auto"/>
        </w:rPr>
      </w:pPr>
    </w:p>
    <w:p>
      <w:pPr>
        <w:jc w:val="both"/>
        <w:ind w:firstLine="1304"/>
        <w:spacing w:after="0" w:line="233" w:lineRule="auto"/>
        <w:tabs>
          <w:tab w:leader="none" w:pos="196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Revolving Loans </w:t>
      </w:r>
      <w:r>
        <w:rPr>
          <w:rFonts w:ascii="Times New Roman" w:cs="Times New Roman" w:eastAsia="Times New Roman" w:hAnsi="Times New Roman"/>
          <w:sz w:val="22"/>
          <w:szCs w:val="22"/>
          <w:u w:val="single" w:color="auto"/>
          <w:color w:val="0000FF"/>
        </w:rPr>
        <w:t>and Term Loans</w:t>
      </w:r>
      <w:r>
        <w:rPr>
          <w:rFonts w:ascii="Times New Roman" w:cs="Times New Roman" w:eastAsia="Times New Roman" w:hAnsi="Times New Roman"/>
          <w:sz w:val="22"/>
          <w:szCs w:val="22"/>
          <w:color w:val="auto"/>
        </w:rPr>
        <w:t xml:space="preserve"> comprising any Borrowing Tranche to which the LIBO Rate Option applies for any Interest Period, the interest rate per annum determined by the Administrative Agent by dividing (the resulting quotient rounded upwards, if necessary, to the nearest 1/100th of 1% per annum) (i)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as an authorized information vendor for the purpose of displaying rates at which U.S. Dollar deposits are offered by leading banks in the London interbank deposit market at approximately 11:00 a.m., London time, two (2) Business Days prior to the commencement of such Interest Period as the London interbank offered rate for U.S. Dollars for an amount comparable to such Borrowing Tranche and having a borrowing date and a maturity comparable to such Interest Period, by (ii) a number equal to 1.00 minus the Eurocurrency Reserve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2" w:name="page463"/>
    <w:bookmarkEnd w:id="462"/>
    <w:p>
      <w:pPr>
        <w:jc w:val="both"/>
        <w:ind w:firstLine="1304"/>
        <w:spacing w:after="0" w:line="245" w:lineRule="auto"/>
        <w:tabs>
          <w:tab w:leader="none" w:pos="2136"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Optional Currency Swingline Loans in Euros or British Pounds Sterling comprising any Borrowing Tranche for any Interest Period, the interest rate per annum determined by the Administrative Agent as the rate which appears on the Bloomberg Page BBAM1 (or on such other substitute Bloomberg page that displays rates at which the relevant Optional Currency is offered by leading banks in the London interbank deposit market), rounded upwards, if necessary, to the nearest 1/100th of 1% </w:t>
      </w:r>
      <w:r>
        <w:rPr>
          <w:rFonts w:ascii="Times New Roman" w:cs="Times New Roman" w:eastAsia="Times New Roman" w:hAnsi="Times New Roman"/>
          <w:sz w:val="21"/>
          <w:szCs w:val="21"/>
          <w:color w:val="FF0000"/>
          <w:strike w:val="1"/>
        </w:rPr>
        <w:t>(with .005% being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rounded up)</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per annum, or the rate which is quoted by another source selected by the Administrative Agent as 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authorized information vendor for the purpose of displaying rates at which such applicable Optional Currencies are offered by leading banks in the London interbank deposit market at approximately 11:00 a.m., London time, two (2) Business Days prior to the commencement of such Interest Period as the Relevant Interbank Market offered rate for deposits in Euros or British Pounds Sterling for an amount comparable to the principal amount of such Borrowing Tranche and having a borrowing date and a maturity comparable to such Interest Period.</w:t>
      </w:r>
    </w:p>
    <w:p>
      <w:pPr>
        <w:spacing w:after="0" w:line="177" w:lineRule="exact"/>
        <w:rPr>
          <w:rFonts w:ascii="Times New Roman" w:cs="Times New Roman" w:eastAsia="Times New Roman" w:hAnsi="Times New Roman"/>
          <w:sz w:val="21"/>
          <w:szCs w:val="21"/>
          <w:color w:val="auto"/>
        </w:rPr>
      </w:pPr>
    </w:p>
    <w:p>
      <w:pPr>
        <w:jc w:val="both"/>
        <w:ind w:firstLine="1304"/>
        <w:spacing w:after="0" w:line="233" w:lineRule="auto"/>
        <w:tabs>
          <w:tab w:leader="none" w:pos="2208"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Optional Currency Swingline Loans denominated in Canadian Dollars comprising any Borrowing Tranche, the interest rate per annum (the “</w:t>
      </w:r>
      <w:r>
        <w:rPr>
          <w:rFonts w:ascii="Times New Roman" w:cs="Times New Roman" w:eastAsia="Times New Roman" w:hAnsi="Times New Roman"/>
          <w:sz w:val="22"/>
          <w:szCs w:val="22"/>
          <w:u w:val="single" w:color="auto"/>
          <w:color w:val="auto"/>
        </w:rPr>
        <w:t>CDOR Rate</w:t>
      </w:r>
      <w:r>
        <w:rPr>
          <w:rFonts w:ascii="Times New Roman" w:cs="Times New Roman" w:eastAsia="Times New Roman" w:hAnsi="Times New Roman"/>
          <w:sz w:val="22"/>
          <w:szCs w:val="22"/>
          <w:color w:val="auto"/>
        </w:rPr>
        <w:t xml:space="preserve">”) as determined by the Administrative Agent, equal to the arithmetic average rate applicable to Canadian Dollar bankers’ acceptances (C$BAs) for the applicable Interest Period appearing on the Bloomberg page BTMM CA, rounded to the nearest 1/100th of 1% </w:t>
      </w:r>
      <w:r>
        <w:rPr>
          <w:rFonts w:ascii="Times New Roman" w:cs="Times New Roman" w:eastAsia="Times New Roman" w:hAnsi="Times New Roman"/>
          <w:sz w:val="22"/>
          <w:szCs w:val="22"/>
          <w:color w:val="FF0000"/>
        </w:rPr>
        <w:t>(with .005% being rounded up)</w:t>
      </w:r>
      <w:r>
        <w:rPr>
          <w:rFonts w:ascii="Times New Roman" w:cs="Times New Roman" w:eastAsia="Times New Roman" w:hAnsi="Times New Roman"/>
          <w:sz w:val="22"/>
          <w:szCs w:val="22"/>
          <w:color w:val="auto"/>
        </w:rPr>
        <w:t xml:space="preserve"> per annum, at approximately 11:00 a.m. Eastern Time, two Business Days prior to the commencement of such Interest Period, or if such day is not a Business Day, then on the immediately preceding Business Day, provided that if such rate does not appear on the Bloomberg page BTMM CA on such day the CDOR Rate on such day shall be the rate for such period applicable to Canadian Dollar bankers’ acceptances quoted by a bank listed in Schedule I of the Bank Act (Canada), as selected by the Administrative Agent, as of 11:00 a.m. Eastern Time on such day or, if such day is not a Business Day, then on the immediately preceding Business Day.</w:t>
      </w:r>
    </w:p>
    <w:p>
      <w:pPr>
        <w:spacing w:after="0" w:line="187"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LIBO Rate for any Loans shall be based upon the LIBO Rate for the currency in which such Loans are requested. With respect to any Loans available at a LIBO Rate, if at any time, for any reason, the source(s) for the LIBO Rate described above for the applicable currency or currencies is no longer available, then the Administrative Agent may determine a comparable replacement rate at such time (which determination shall be conclusive absent manifest error).</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2077"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give prompt notice to the Borrower of the LIBO Rate as determined or adjusted in accordance herewith, which determination shall be conclusive absent manifest error.</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0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LIBO Rate for any </w:t>
      </w:r>
      <w:r>
        <w:rPr>
          <w:rFonts w:ascii="Times New Roman" w:cs="Times New Roman" w:eastAsia="Times New Roman" w:hAnsi="Times New Roman"/>
          <w:sz w:val="22"/>
          <w:szCs w:val="22"/>
          <w:u w:val="single" w:color="auto"/>
          <w:color w:val="0000FF"/>
        </w:rPr>
        <w:t>Term Loan,</w:t>
      </w:r>
      <w:r>
        <w:rPr>
          <w:rFonts w:ascii="Times New Roman" w:cs="Times New Roman" w:eastAsia="Times New Roman" w:hAnsi="Times New Roman"/>
          <w:sz w:val="22"/>
          <w:szCs w:val="22"/>
          <w:color w:val="auto"/>
        </w:rPr>
        <w:t xml:space="preserve"> Revolving Loan or Dollar Swingline Loan shall be adjusted with respect to any Eurocurrency Borrowing that is outstanding on the effective date of any change in the Eurocurrency Reserve Percentage as of such effective date.</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2145"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Optional Currency Swingline Loans (but not Revolving Loans </w:t>
      </w:r>
      <w:r>
        <w:rPr>
          <w:rFonts w:ascii="Times New Roman" w:cs="Times New Roman" w:eastAsia="Times New Roman" w:hAnsi="Times New Roman"/>
          <w:sz w:val="22"/>
          <w:szCs w:val="22"/>
          <w:color w:val="0000FF"/>
        </w:rPr>
        <w:t>or Term Loans</w:t>
      </w:r>
      <w:r>
        <w:rPr>
          <w:rFonts w:ascii="Times New Roman" w:cs="Times New Roman" w:eastAsia="Times New Roman" w:hAnsi="Times New Roman"/>
          <w:sz w:val="22"/>
          <w:szCs w:val="22"/>
          <w:color w:val="auto"/>
        </w:rPr>
        <w:t>) shall be subject to the reserve requirements set forth in Section 2.23(a).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-3422015</wp:posOffset>
            </wp:positionV>
            <wp:extent cx="190627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9">
                      <a:extLst>
                        <a:ext uri="{28A0092B-C50C-407E-A947-70E740481C1C}"/>
                      </a:extLst>
                    </a:blip>
                    <a:srcRect/>
                    <a:stretch>
                      <a:fillRect/>
                    </a:stretch>
                  </pic:blipFill>
                  <pic:spPr bwMode="auto">
                    <a:xfrm>
                      <a:off x="0" y="0"/>
                      <a:ext cx="190627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-198755</wp:posOffset>
            </wp:positionV>
            <wp:extent cx="883285" cy="1714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0">
                      <a:extLst>
                        <a:ext uri="{28A0092B-C50C-407E-A947-70E740481C1C}"/>
                      </a:extLst>
                    </a:blip>
                    <a:srcRect/>
                    <a:stretch>
                      <a:fillRect/>
                    </a:stretch>
                  </pic:blipFill>
                  <pic:spPr bwMode="auto">
                    <a:xfrm>
                      <a:off x="0" y="0"/>
                      <a:ext cx="883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3" w:name="page464"/>
    <w:bookmarkEnd w:id="463"/>
    <w:p>
      <w:pPr>
        <w:ind w:firstLine="1304"/>
        <w:spacing w:after="0" w:line="258" w:lineRule="auto"/>
        <w:tabs>
          <w:tab w:leader="none" w:pos="208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LIBO Rate as determined under any method above would be less than zero (0.00), such rate shall be deemed to be zero (0.00) for purposes of this Agreement.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 Option</w:t>
      </w:r>
      <w:r>
        <w:rPr>
          <w:rFonts w:ascii="Times New Roman" w:cs="Times New Roman" w:eastAsia="Times New Roman" w:hAnsi="Times New Roman"/>
          <w:sz w:val="22"/>
          <w:szCs w:val="22"/>
          <w:color w:val="auto"/>
        </w:rPr>
        <w:t xml:space="preserve">” means the option of the Borrower to have Revolving Loans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Swingline Loans (including Optional Currency Swingline Loans) </w:t>
      </w:r>
      <w:r>
        <w:rPr>
          <w:rFonts w:ascii="Times New Roman" w:cs="Times New Roman" w:eastAsia="Times New Roman" w:hAnsi="Times New Roman"/>
          <w:sz w:val="22"/>
          <w:szCs w:val="22"/>
          <w:u w:val="single" w:color="auto"/>
          <w:color w:val="0000FF"/>
        </w:rPr>
        <w:t>and Term Loans</w:t>
      </w:r>
      <w:r>
        <w:rPr>
          <w:rFonts w:ascii="Times New Roman" w:cs="Times New Roman" w:eastAsia="Times New Roman" w:hAnsi="Times New Roman"/>
          <w:sz w:val="22"/>
          <w:szCs w:val="22"/>
          <w:color w:val="auto"/>
        </w:rPr>
        <w:t xml:space="preserve"> bear interest at the LIBO Rate pursuant to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-394970</wp:posOffset>
            </wp:positionV>
            <wp:extent cx="24066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2">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15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charge, security interest or other encumbrance on, in or of such asset, including any agreement to provide any of the foregoing and any arrangement entered into for the purpose of making particular assets available to satisfy any Indebtedness or other obligation,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 Obligations</w:t>
      </w:r>
      <w:r>
        <w:rPr>
          <w:rFonts w:ascii="Times New Roman" w:cs="Times New Roman" w:eastAsia="Times New Roman" w:hAnsi="Times New Roman"/>
          <w:sz w:val="22"/>
          <w:szCs w:val="22"/>
          <w:color w:val="auto"/>
        </w:rPr>
        <w:t>” has the meaning set forth in the Collateral Agreement.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Incremental Facility Agreements, the Loan Modification Agreements, the Collateral Agreement, the other Security Documents, the Reaffirmation Agreement, the Subordination Agreement, the Supplemental IP Security Agreements, the Perfection Certificate, any agreement designating an additional Issuing Bank as contemplated by Section 2.05(j)</w:t>
      </w:r>
      <w:r>
        <w:rPr>
          <w:rFonts w:ascii="Times New Roman" w:cs="Times New Roman" w:eastAsia="Times New Roman" w:hAnsi="Times New Roman"/>
          <w:sz w:val="22"/>
          <w:szCs w:val="22"/>
          <w:u w:val="single" w:color="auto"/>
          <w:color w:val="0000FF"/>
        </w:rPr>
        <w:t>, any amendments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foregoing documents (including the First Amendment)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except for purposes of Section 9.02, any promissory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notes delivered pursuant to Section 2.04(b) or Section 2.09(c).</w:t>
      </w:r>
    </w:p>
    <w:p>
      <w:pPr>
        <w:spacing w:after="0" w:line="18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Modification Agreement</w:t>
      </w:r>
      <w:r>
        <w:rPr>
          <w:rFonts w:ascii="Times New Roman" w:cs="Times New Roman" w:eastAsia="Times New Roman" w:hAnsi="Times New Roman"/>
          <w:sz w:val="22"/>
          <w:szCs w:val="22"/>
          <w:color w:val="auto"/>
        </w:rPr>
        <w:t>” means a Loan Modification Agreement, in form and substance reasonably satisfactory to the Administrative Agent, among the Borrower, the Administrative Agent and one or more Accepting Lenders, effecting one or more Permitted Amendments and such other amendments hereto and the other Loan Documents as contemplated by Section 2.22.</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Modification Offer</w:t>
      </w:r>
      <w:r>
        <w:rPr>
          <w:rFonts w:ascii="Times New Roman" w:cs="Times New Roman" w:eastAsia="Times New Roman" w:hAnsi="Times New Roman"/>
          <w:sz w:val="22"/>
          <w:szCs w:val="22"/>
          <w:color w:val="auto"/>
        </w:rPr>
        <w:t>” has the meaning set forth in Section 2.22(a).</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 and each Subsidiary Loan Party.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Indebtedness</w:t>
      </w:r>
      <w:r>
        <w:rPr>
          <w:rFonts w:ascii="Times New Roman" w:cs="Times New Roman" w:eastAsia="Times New Roman" w:hAnsi="Times New Roman"/>
          <w:sz w:val="22"/>
          <w:szCs w:val="22"/>
          <w:color w:val="auto"/>
        </w:rPr>
        <w:t>” means any Indebtedness that, in accordance with GAAP, constitutes (or, when incurred, constituted) a long-term liability.</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in Interest</w:t>
      </w:r>
      <w:r>
        <w:rPr>
          <w:rFonts w:ascii="Times New Roman" w:cs="Times New Roman" w:eastAsia="Times New Roman" w:hAnsi="Times New Roman"/>
          <w:sz w:val="22"/>
          <w:szCs w:val="22"/>
          <w:color w:val="auto"/>
        </w:rPr>
        <w:t xml:space="preserve">”, when used in reference to Lenders of any Class, means, at any time, </w:t>
      </w:r>
      <w:r>
        <w:rPr>
          <w:rFonts w:ascii="Times New Roman" w:cs="Times New Roman" w:eastAsia="Times New Roman" w:hAnsi="Times New Roman"/>
          <w:sz w:val="22"/>
          <w:szCs w:val="22"/>
          <w:u w:val="single" w:color="auto"/>
          <w:color w:val="0000FF"/>
        </w:rPr>
        <w:t>(a)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the case of the Revolving Lenders in any Class,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having Revolving Exposures and unused 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Commitments in such Class representing more than 50% of the sum of the Aggregate Revolving Exposures and the unused Aggregate Revolving Commitment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4" w:name="page465"/>
    <w:bookmarkEnd w:id="46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such Class at such time </w:t>
      </w:r>
      <w:r>
        <w:rPr>
          <w:rFonts w:ascii="Times New Roman" w:cs="Times New Roman" w:eastAsia="Times New Roman" w:hAnsi="Times New Roman"/>
          <w:sz w:val="22"/>
          <w:szCs w:val="22"/>
          <w:color w:val="0000FF"/>
        </w:rPr>
        <w:t>and (b) in the case of the Term Lenders in any Class, Lenders holding outstanding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Loans in such Class representing more than 50% of all Term Loans outstanding at such time in such Class</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-198755</wp:posOffset>
            </wp:positionV>
            <wp:extent cx="4982845" cy="171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4">
                      <a:extLst>
                        <a:ext uri="{28A0092B-C50C-407E-A947-70E740481C1C}"/>
                      </a:extLst>
                    </a:blip>
                    <a:srcRect/>
                    <a:stretch>
                      <a:fillRect/>
                    </a:stretch>
                  </pic:blipFill>
                  <pic:spPr bwMode="auto">
                    <a:xfrm>
                      <a:off x="0" y="0"/>
                      <a:ext cx="4982845" cy="17145"/>
                    </a:xfrm>
                    <a:prstGeom prst="rect">
                      <a:avLst/>
                    </a:prstGeom>
                    <a:noFill/>
                  </pic:spPr>
                </pic:pic>
              </a:graphicData>
            </a:graphic>
          </wp:anchor>
        </w:drawing>
      </w:r>
    </w:p>
    <w:p>
      <w:pPr>
        <w:spacing w:after="0" w:line="13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xml:space="preserve">” means any acquisition, or a series of related acquisitions, of (a) Equity Interests in any Person if, after giving effect thereto, such Person will become a Subsidiary or (b) assets comprising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consideration therefor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$50,000,000.</w:t>
      </w:r>
    </w:p>
    <w:p>
      <w:pPr>
        <w:spacing w:after="0" w:line="17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 event or condition that has resulted, or could reasonably be expected to result, in a material adverse effect on (a) the business, assets, liabilities, operations or condition (financial or otherwise) of the Borrower and the Subsidiaries, taken as a whole, (b) the ability of any Loan Party to perform any of its obligations under any Loan Document or (c) the rights and remedies available to the Lenders under any Loan Document.</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with respect to any Person, any indenture, loan or credit agreement, mortgage, deed of trust, contract, undertaking or other agreement or instrument to which such Person is a party or by which it or any of its properties is bound and that (a) evidences or governs any Material Indebtedness or any Disqualified Equity Interests or (b) involves aggregate amounts payable by or to such Person or any of its Affiliates during any fiscal year of $50,000,000 or more (other than, in the case of this clause (b), (i) purchase orders entered into in the ordinary course of business and (ii) any other contract, undertaking or other agreement that by its terms may be terminated or canceled by such Person in the ordinary course of business upon less than 60 days prior notice and without penalty or premium).</w:t>
      </w:r>
    </w:p>
    <w:p>
      <w:pPr>
        <w:spacing w:after="0" w:line="17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Disposition</w:t>
      </w:r>
      <w:r>
        <w:rPr>
          <w:rFonts w:ascii="Times New Roman" w:cs="Times New Roman" w:eastAsia="Times New Roman" w:hAnsi="Times New Roman"/>
          <w:sz w:val="22"/>
          <w:szCs w:val="22"/>
          <w:color w:val="auto"/>
        </w:rPr>
        <w:t xml:space="preserve">” means any sale, transfer or other disposition, or a series of related sales, transfers or other dispositions, of (a) all or substantially all the issued and outstanding Equity Interests in any Subsidiary that are owned by the Borrower or any Subsidiary or (b) assets comprising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consideration therefor (including Indebtedness assumed by the transferee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exceeds $50,000,000.</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Foreign IP Subsidiary</w:t>
      </w:r>
      <w:r>
        <w:rPr>
          <w:rFonts w:ascii="Times New Roman" w:cs="Times New Roman" w:eastAsia="Times New Roman" w:hAnsi="Times New Roman"/>
          <w:sz w:val="22"/>
          <w:szCs w:val="22"/>
          <w:color w:val="auto"/>
        </w:rPr>
        <w:t xml:space="preserve">” means any Foreign Subsidiary that is a wholly owned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Foreign Subsidiary shall not be liable for and shall not create, incur, assume or permit to exist any Indebtedness permitted under Section 6.01(a)(xi) and (b) no Subsidiary (other than any Subsidiary Loan Party) that owns directly or indirectly any Equity Interest in any such Foreign Subsidiary shall (i) be liable for or create, incur, assume or permit to exist any Indebtedness, (ii) create, incur, assume or permit to exist any Lien on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5" w:name="page466"/>
    <w:bookmarkEnd w:id="465"/>
    <w:p>
      <w:pPr>
        <w:jc w:val="both"/>
        <w:spacing w:after="0" w:line="238" w:lineRule="auto"/>
        <w:rPr>
          <w:sz w:val="20"/>
          <w:szCs w:val="20"/>
          <w:color w:val="auto"/>
        </w:rPr>
      </w:pPr>
      <w:r>
        <w:rPr>
          <w:rFonts w:ascii="Times New Roman" w:cs="Times New Roman" w:eastAsia="Times New Roman" w:hAnsi="Times New Roman"/>
          <w:sz w:val="22"/>
          <w:szCs w:val="22"/>
          <w:color w:val="auto"/>
        </w:rPr>
        <w:t>assets, other than Liens created under the Loan Documents and Permitted Encumbrances, (iii) own or acquire any assets other than Equity Interests in such Foreign Subsidiary (or any other Subsidiary that meets the requirements of this clause (b)), cash and Permitted Investments or (iv) engage in any business or activity other than the ownership of the outstanding Equity Interests in such Foreign Subsidiary (or any other Subsidiary that meets the requirements of this clause (b)) and activities incidental thereto.</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the Loans, Letters of Credit and Guarantees under the Loan Documents), or obligations in respect of one or more Hedging Agreements, in each case of any one or more of the Borrower and the Subsidiaries in an aggregate principal amount of $10,000,000 or more. For purposes of determining Material Indebtedness, the “principal amount” of the obligations of the Borrower or any Subsidiary in respect of any Hedging Agreement at any time shall be the maximum aggregate amount (giving effect to any netting agreements) that the Borrower or such Subsidiary would be required to pay if such Hedging Agreement were terminated at such time.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“Maturity Date” means December 18, 2022 (or, if such date shall not be a Business Day, the immediately preceding Business Day).</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Permitted Net Leverage Ratio</w:t>
      </w:r>
      <w:r>
        <w:rPr>
          <w:rFonts w:ascii="Times New Roman" w:cs="Times New Roman" w:eastAsia="Times New Roman" w:hAnsi="Times New Roman"/>
          <w:sz w:val="22"/>
          <w:szCs w:val="22"/>
          <w:color w:val="auto"/>
        </w:rPr>
        <w:t>” means, at any time, the maximum Net Leverage Ratio then permitted under Section 6.12.</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Minority Investment</w:t>
      </w:r>
      <w:r>
        <w:rPr>
          <w:rFonts w:ascii="Times New Roman" w:cs="Times New Roman" w:eastAsia="Times New Roman" w:hAnsi="Times New Roman"/>
          <w:sz w:val="22"/>
          <w:szCs w:val="22"/>
          <w:color w:val="auto"/>
        </w:rPr>
        <w:t>” means Investments by the Borrower and/or any Subsidiary made after the Restatement Effective Date in Equity Interests of any Person (a “</w:t>
      </w:r>
      <w:r>
        <w:rPr>
          <w:rFonts w:ascii="Times New Roman" w:cs="Times New Roman" w:eastAsia="Times New Roman" w:hAnsi="Times New Roman"/>
          <w:sz w:val="22"/>
          <w:szCs w:val="22"/>
          <w:u w:val="single" w:color="auto"/>
          <w:color w:val="auto"/>
        </w:rPr>
        <w:t>JV Entity</w:t>
      </w:r>
      <w:r>
        <w:rPr>
          <w:rFonts w:ascii="Times New Roman" w:cs="Times New Roman" w:eastAsia="Times New Roman" w:hAnsi="Times New Roman"/>
          <w:sz w:val="22"/>
          <w:szCs w:val="22"/>
          <w:color w:val="auto"/>
        </w:rPr>
        <w:t xml:space="preserve">”) that is engaged in a business of the type conducted by the Borrower and its Subsidiaries on the Restatement Effective Date or any business reasonably related thereto or complementary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Investment does not result in such JV Entity either becoming a Subsidiary of the Borrower or the Borrower or any Subsidiary (individually or collectively) Controlling such JV Entity. The amount, as of any date of determination, of any Minority Investment shall be calculated in accordance with the provisions of the second sentence of the definition of the term “Investment”;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if the Borrower or a Subsidiary acquires additional Equity Interests in, or all or substantially all of the assets of, a JV Entity in an acquisition permitted by Section 6.04, and as a result of such acquisition the JV Entity becomes a Subsidiary, or all or substantially all of its business and assets become owned and conducted by the Borrower or a Subsidiary, the “outstanding” Investment attributable to such JV Entity shall, notwithstanding anything to the contrary in the definition of the term “Investment”, be considered zero for purposes of Section 6.04(o).</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w:t>
      </w:r>
      <w:r>
        <w:rPr>
          <w:rFonts w:ascii="Times New Roman" w:cs="Times New Roman" w:eastAsia="Times New Roman" w:hAnsi="Times New Roman"/>
          <w:sz w:val="22"/>
          <w:szCs w:val="22"/>
          <w:color w:val="auto"/>
        </w:rPr>
        <w:t>,” with respect to an Interest Period means the interval between the days in consecutive calendar months numerically corresponding to the first day of such Interest Period. If any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any successor to its rating agency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6" w:name="page467"/>
    <w:bookmarkEnd w:id="46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Leverage Ratio</w:t>
      </w:r>
      <w:r>
        <w:rPr>
          <w:rFonts w:ascii="Times New Roman" w:cs="Times New Roman" w:eastAsia="Times New Roman" w:hAnsi="Times New Roman"/>
          <w:sz w:val="22"/>
          <w:szCs w:val="22"/>
          <w:color w:val="auto"/>
        </w:rPr>
        <w:t xml:space="preserve">” means, on any date, the ratio of (a) Total Funded Indebtedness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an amount equal to the lesser of (i) the sum of (x) 100% of Domestic Unrestricted Cash as at such date, plus (y) 65% of the Foreign Unrestricted Cash as at such date, and (ii) $100,000,000, to (b) Consolidated EBITDA for the period of four consecutive fiscal quarters of the Borrower most recently ended on or prior to such date.</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Net Proceeds” means with respect to the sale or issuance after the First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Date of any Equity Interests in the Borrower or any Borrower Parent Company in connection with a Public Offering, the amount equal to (a) the aggregate amount received in cash by a Borrower Parent Company, the Borrower or any Subsidiary thereof in connection with such sale or issuance, but only as and when received, minus (b) the underwriting discounts, the fees, commissions, stamp or other taxes and other out-of-pocket expenses incurred by the Borrower and its Subsidiaries (or, if applicable, any Borrower Parent Company) and paid to Persons other than a Loan Party or Affiliate thereof (unless such payment to such Affiliate is approved in writing by the Administrative Agent in its sole discretion) in connection with such sale or issuance.</w:t>
      </w:r>
    </w:p>
    <w:p>
      <w:pPr>
        <w:spacing w:after="0" w:line="17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Non-Defaulting Lender</w:t>
      </w:r>
      <w:r>
        <w:rPr>
          <w:rFonts w:ascii="Times New Roman" w:cs="Times New Roman" w:eastAsia="Times New Roman" w:hAnsi="Times New Roman"/>
          <w:sz w:val="22"/>
          <w:szCs w:val="22"/>
          <w:color w:val="000000"/>
        </w:rPr>
        <w:t>” means, at any time,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that is not a Defaulting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at such time.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Non-Qualified Deferred Compensation Plan</w:t>
      </w:r>
      <w:r>
        <w:rPr>
          <w:rFonts w:ascii="Times New Roman" w:cs="Times New Roman" w:eastAsia="Times New Roman" w:hAnsi="Times New Roman"/>
          <w:sz w:val="22"/>
          <w:szCs w:val="22"/>
          <w:color w:val="auto"/>
        </w:rPr>
        <w:t>” means the Bentley Systems, Incorporated Nonqualified Deferred Compensation Plan, as amended and restated effective as of January 1, 2015, and as further amended from time to time.</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Non-Qualifying Party</w:t>
      </w:r>
      <w:r>
        <w:rPr>
          <w:rFonts w:ascii="Times New Roman" w:cs="Times New Roman" w:eastAsia="Times New Roman" w:hAnsi="Times New Roman"/>
          <w:sz w:val="22"/>
          <w:szCs w:val="22"/>
          <w:color w:val="auto"/>
        </w:rPr>
        <w:t>” means any Loan Party that fails for any reason to qualify as an Eligible Contract Participant.</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Currency</w:t>
      </w:r>
      <w:r>
        <w:rPr>
          <w:rFonts w:ascii="Times New Roman" w:cs="Times New Roman" w:eastAsia="Times New Roman" w:hAnsi="Times New Roman"/>
          <w:sz w:val="22"/>
          <w:szCs w:val="22"/>
          <w:color w:val="auto"/>
        </w:rPr>
        <w:t>” means the following lawful currencies: Euros, British Pounds Sterling and Canadian Dollars and any other currency approved by Administrative Agent, the Swingline Lender and all of the Issuing Banks pursuant to Section 2.23(e). Subject to Section 2.23, each Optional Currency must be the lawful currency of the specified country.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Currency Swingline Loans</w:t>
      </w:r>
      <w:r>
        <w:rPr>
          <w:rFonts w:ascii="Times New Roman" w:cs="Times New Roman" w:eastAsia="Times New Roman" w:hAnsi="Times New Roman"/>
          <w:sz w:val="22"/>
          <w:szCs w:val="22"/>
          <w:color w:val="auto"/>
        </w:rPr>
        <w:t>” has the meaning assigned to such term in Section 2.04(a).</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Closing Date</w:t>
      </w:r>
      <w:r>
        <w:rPr>
          <w:rFonts w:ascii="Times New Roman" w:cs="Times New Roman" w:eastAsia="Times New Roman" w:hAnsi="Times New Roman"/>
          <w:sz w:val="22"/>
          <w:szCs w:val="22"/>
          <w:color w:val="auto"/>
        </w:rPr>
        <w:t>” means the “Closing Date” as defined in the Existing Credit Agreement, which date was February 2, 2012.</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has the meaning assigned to such term in Section 2.29(a).</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(or an agent or affiliate thereof)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7" w:name="page468"/>
    <w:bookmarkEnd w:id="46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enforced this Agreement or any other Loan Document, or sold or assigned an interest in any Loan, this Agreement or any other Loan Document).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Currency</w:t>
      </w:r>
      <w:r>
        <w:rPr>
          <w:rFonts w:ascii="Times New Roman" w:cs="Times New Roman" w:eastAsia="Times New Roman" w:hAnsi="Times New Roman"/>
          <w:sz w:val="22"/>
          <w:szCs w:val="22"/>
          <w:color w:val="auto"/>
        </w:rPr>
        <w:t>” has the meaning assigned to such term in Section 2.29(a).</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2.19(b)).</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xml:space="preserve">”),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(0.00), then such rate shall be deemed to be zero (0.00). The rate of interest charged shall be adjusted as of each Business Day based on changes in the Overnight Bank Funding Rate without notice to the Borrower.</w:t>
      </w:r>
    </w:p>
    <w:p>
      <w:pPr>
        <w:spacing w:after="0" w:line="18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with respect to any Swingline Loans in an Optional Currency, the rate of interest per annum as determined by the Administrative Agent at which overnight deposits in such currency, in an amount approximately equal to the amount with respect to which such rate is being determined, would be offered for such day in the Relevant Interbank Market.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set forth in Section 9.04(c).</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Participants</w:t>
      </w:r>
      <w:r>
        <w:rPr>
          <w:rFonts w:ascii="Times New Roman" w:cs="Times New Roman" w:eastAsia="Times New Roman" w:hAnsi="Times New Roman"/>
          <w:sz w:val="22"/>
          <w:szCs w:val="22"/>
          <w:color w:val="auto"/>
        </w:rPr>
        <w:t>” has the meaning set forth in Section 9.04(c)(i).</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Communities that adopts or has adopted the euro as its lawful currency in accordance with legislation of the European Community relating to Economic and Monetary Union.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means a certificate in the form of Exhibit F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8" w:name="page469"/>
    <w:bookmarkEnd w:id="468"/>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the purchase or other acquisition by the Borrower or any Subsidiary of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the case of any such purchase or other acquisition of any Equity Interests in any Person, upon the consummation of such purchase or other acquisition such Person and each subsidiary of such Person will be a wholly owned Subsidiary (including as a result of a merger or consolidation between any Subsidiary and such Person), (b) such purchase or other acquisition was not preceded by, or consummated pursuant to, an unsolicited tender offer or proxy contest initiated by or on behalf of the Borrower or any Subsidiary, (c) all transactions related thereto are consummated in accordance with applicable Law, (d) the business of such Person, or such assets, as the case may be, constitute a business permitted under Section 6.03(b), (e) with respect to each such purchase or other acquisition, all actions required to be taken with respect to each newly created or acquired Subsidiary or assets in order to satisfy the requirements set forth in clauses (a), (b), (c), (d) and (f) of the definition of the term “Collateral and Guarantee Requirement” shall have been taken (or arrangements for the taking of such actions satisfactory to the Administrative Agent shall have been made), and (f) at the time of and immediately after giving effect to any such purchase or other acquisition, (i) no Default shall have occurred and be continuing and (ii) the Borrower shall be in compliance with the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calculated on both an actual and on a pro forma basis in accordance with Section 1.04(b).</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Amendment</w:t>
      </w:r>
      <w:r>
        <w:rPr>
          <w:rFonts w:ascii="Times New Roman" w:cs="Times New Roman" w:eastAsia="Times New Roman" w:hAnsi="Times New Roman"/>
          <w:sz w:val="22"/>
          <w:szCs w:val="22"/>
          <w:color w:val="auto"/>
        </w:rPr>
        <w:t xml:space="preserve">” means an amendment to this Agreement and the other Loan Documents, effected in connection with a Loan Modification Offer pursuant to Section 2.22, providing for an extension of the </w:t>
      </w:r>
      <w:r>
        <w:rPr>
          <w:rFonts w:ascii="Times New Roman" w:cs="Times New Roman" w:eastAsia="Times New Roman" w:hAnsi="Times New Roman"/>
          <w:sz w:val="22"/>
          <w:szCs w:val="22"/>
          <w:u w:val="single" w:color="auto"/>
          <w:color w:val="0000FF"/>
        </w:rPr>
        <w:t>Maturity Date and/or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Revolving Maturity Date applicable to the Loans and/or Commitments of the Accepting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Lenders and, in connection therewith, </w:t>
      </w:r>
      <w:r>
        <w:rPr>
          <w:rFonts w:ascii="Times New Roman" w:cs="Times New Roman" w:eastAsia="Times New Roman" w:hAnsi="Times New Roman"/>
          <w:sz w:val="22"/>
          <w:szCs w:val="22"/>
          <w:u w:val="single" w:color="auto"/>
          <w:color w:val="0000FF"/>
        </w:rPr>
        <w:t>as applicable,</w:t>
      </w:r>
      <w:r>
        <w:rPr>
          <w:rFonts w:ascii="Times New Roman" w:cs="Times New Roman" w:eastAsia="Times New Roman" w:hAnsi="Times New Roman"/>
          <w:sz w:val="22"/>
          <w:szCs w:val="22"/>
          <w:color w:val="000000"/>
        </w:rPr>
        <w:t xml:space="preserve"> (a) an increase in the Applicable Rate with respect to the Loans and/or Commitments of the Accepting Lenders, and/or (b) an increase in the fees payable to, or the inclusion of new fees to be payable to, the Accepting Lenders.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2040" w:hanging="736"/>
        <w:spacing w:after="0"/>
        <w:tabs>
          <w:tab w:leader="none" w:pos="2040"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imposed by Law for Taxes that are not yet due or are being contested in compliance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Section 5.06;</w:t>
      </w:r>
    </w:p>
    <w:p>
      <w:pPr>
        <w:spacing w:after="0" w:line="182" w:lineRule="exact"/>
        <w:rPr>
          <w:rFonts w:ascii="Times New Roman" w:cs="Times New Roman" w:eastAsia="Times New Roman" w:hAnsi="Times New Roman"/>
          <w:sz w:val="21"/>
          <w:szCs w:val="21"/>
          <w:color w:val="auto"/>
        </w:rPr>
      </w:pPr>
    </w:p>
    <w:p>
      <w:pPr>
        <w:jc w:val="both"/>
        <w:ind w:firstLine="1304"/>
        <w:spacing w:after="0" w:line="239" w:lineRule="auto"/>
        <w:tabs>
          <w:tab w:leader="none" w:pos="2149"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(other than any Lien imposed pursuant to Section 430(k) of the Code or Section 303(k) of ERISA or a violation of Section 436 of the Code), arising in the ordinary course of business and securing obligations that are not overdue by more than 30 days or are being contested in compliance with Section 5.06;</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35"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in the ordinary course of business in compliance with workers’ compensation, unemployment insurance and other social security laws and (ii) in respect of letters of credit, bank guarantees or similar instruments issued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69" w:name="page470"/>
    <w:bookmarkEnd w:id="469"/>
    <w:p>
      <w:pPr>
        <w:spacing w:after="0" w:line="258" w:lineRule="auto"/>
        <w:rPr>
          <w:sz w:val="20"/>
          <w:szCs w:val="20"/>
          <w:color w:val="auto"/>
        </w:rPr>
      </w:pPr>
      <w:r>
        <w:rPr>
          <w:rFonts w:ascii="Times New Roman" w:cs="Times New Roman" w:eastAsia="Times New Roman" w:hAnsi="Times New Roman"/>
          <w:sz w:val="22"/>
          <w:szCs w:val="22"/>
          <w:color w:val="auto"/>
        </w:rPr>
        <w:t>of the Borrower or any Subsidiary in the ordinary course of business supporting obligations of the type set forth in clause (i) above;</w:t>
      </w:r>
    </w:p>
    <w:p>
      <w:pPr>
        <w:spacing w:after="0" w:line="158" w:lineRule="exact"/>
        <w:rPr>
          <w:sz w:val="20"/>
          <w:szCs w:val="20"/>
          <w:color w:val="auto"/>
        </w:rPr>
      </w:pPr>
    </w:p>
    <w:p>
      <w:pPr>
        <w:jc w:val="both"/>
        <w:ind w:firstLine="1304"/>
        <w:spacing w:after="0" w:line="238" w:lineRule="auto"/>
        <w:tabs>
          <w:tab w:leader="none" w:pos="2119"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to secure the performance of bids, trade contracts, leases, statutory obligations, surety and appeal bonds, performance bonds and other obligations of a like nature, in each case in the ordinary course of business and (ii) in respect of letters of credit, bank guarantees or similar instruments issued for the account of the Borrower or any Subsidiary in the ordinary course of business supporting obligations of the type set forth in clause (i) above;</w:t>
      </w:r>
    </w:p>
    <w:p>
      <w:pPr>
        <w:spacing w:after="0" w:line="176" w:lineRule="exact"/>
        <w:rPr>
          <w:rFonts w:ascii="Times New Roman" w:cs="Times New Roman" w:eastAsia="Times New Roman" w:hAnsi="Times New Roman"/>
          <w:sz w:val="22"/>
          <w:szCs w:val="22"/>
          <w:color w:val="auto"/>
        </w:rPr>
      </w:pPr>
    </w:p>
    <w:p>
      <w:pPr>
        <w:ind w:firstLine="1304"/>
        <w:spacing w:after="0" w:line="258" w:lineRule="auto"/>
        <w:tabs>
          <w:tab w:leader="none" w:pos="212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clause (k) of Article VII;</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2103"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80" w:lineRule="exact"/>
        <w:rPr>
          <w:rFonts w:ascii="Times New Roman" w:cs="Times New Roman" w:eastAsia="Times New Roman" w:hAnsi="Times New Roman"/>
          <w:sz w:val="22"/>
          <w:szCs w:val="22"/>
          <w:color w:val="auto"/>
        </w:rPr>
      </w:pPr>
    </w:p>
    <w:p>
      <w:pPr>
        <w:ind w:left="2260" w:hanging="956"/>
        <w:spacing w:after="0"/>
        <w:tabs>
          <w:tab w:leader="none" w:pos="226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Permitted Investments described in clause (d) of the definition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182"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94"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banker’s liens, rights of setoff or similar rights and remedies as to deposit accounts or other funds maintained with depository institutions;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deposit accounts or funds are not established or deposited for the purpose of providing collateral for any Indebtedness and are not subject to restrictions on access by the Borrower or any Subsidiary in excess of those required by applicable banking regulations;</w:t>
      </w:r>
    </w:p>
    <w:p>
      <w:pPr>
        <w:spacing w:after="0" w:line="161" w:lineRule="exact"/>
        <w:rPr>
          <w:rFonts w:ascii="Times New Roman" w:cs="Times New Roman" w:eastAsia="Times New Roman" w:hAnsi="Times New Roman"/>
          <w:sz w:val="21"/>
          <w:szCs w:val="21"/>
          <w:color w:val="auto"/>
        </w:rPr>
      </w:pPr>
    </w:p>
    <w:p>
      <w:pPr>
        <w:jc w:val="both"/>
        <w:ind w:firstLine="1304"/>
        <w:spacing w:after="0" w:line="244" w:lineRule="auto"/>
        <w:tabs>
          <w:tab w:leader="none" w:pos="2278"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Uniform Commercial Code financing statement filings (or similar filings under applicable Law) regarding operating leases entered into by the Borrower and the Subsidiaries in the ordinary course of business; and</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31"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representing any interest or title of a licensor, lessor or sublicensor or sublessor, or a licensee, lessee or sublicensee or sublessee, in the property subject to any lease, license or sublicense or concession agreement permitted by this Agreement;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“Permitted Encumbrances” shall not include any Lien securing Indebtedness other than Liens referred to in clauses (c)(ii) and (d)(ii) above securing obligations under letters of credit, bankers guarantees or similar instruments.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Holder</w:t>
      </w:r>
      <w:r>
        <w:rPr>
          <w:rFonts w:ascii="Times New Roman" w:cs="Times New Roman" w:eastAsia="Times New Roman" w:hAnsi="Times New Roman"/>
          <w:sz w:val="22"/>
          <w:szCs w:val="22"/>
          <w:color w:val="auto"/>
        </w:rPr>
        <w:t>” means the Bentley Brothers, their Family Members and their Family Trusts.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firstLine="1304"/>
        <w:spacing w:after="0" w:line="244" w:lineRule="auto"/>
        <w:tabs>
          <w:tab w:leader="none" w:pos="2486"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any agency or instrumentality thereof,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0" w:name="page471"/>
    <w:bookmarkEnd w:id="470"/>
    <w:p>
      <w:pPr>
        <w:ind w:right="20" w:firstLine="1304"/>
        <w:spacing w:after="0" w:line="258" w:lineRule="auto"/>
        <w:tabs>
          <w:tab w:leader="none" w:pos="212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S&amp;P or Moody’s;</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79"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76"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52"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93"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Rule 2a-7 under the Investment Company Act of 1940, (ii) are rated AAA by S&amp;P and Aaa by Moody’s and (iii) have portfolio assets of at least $5,000,000,000; and</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4"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Minority Investment Amount</w:t>
      </w:r>
      <w:r>
        <w:rPr>
          <w:rFonts w:ascii="Times New Roman" w:cs="Times New Roman" w:eastAsia="Times New Roman" w:hAnsi="Times New Roman"/>
          <w:sz w:val="22"/>
          <w:szCs w:val="22"/>
          <w:color w:val="auto"/>
        </w:rPr>
        <w:t>” has the meaning set forth in Section 6.04(o).</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Borrower or any of its ERISA Affiliates is (or, if such plan were terminated, would under Section 4069 of ERISA be deemed to be) an “employer” as defined in Section 3(5) of ERISA.</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means PNC Bank, National Association.</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interest rate per annum announced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means the main banking office of the Administrative Agent in Pittsburgh,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18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PTE” means a prohibited transaction class exemption issued by the U.S. Department of Labor,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1" w:name="page472"/>
    <w:bookmarkEnd w:id="471"/>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 xml:space="preserve">“Public Offering” means any </w:t>
      </w:r>
      <w:r>
        <w:rPr>
          <w:rFonts w:ascii="Times New Roman" w:cs="Times New Roman" w:eastAsia="Times New Roman" w:hAnsi="Times New Roman"/>
          <w:sz w:val="22"/>
          <w:szCs w:val="22"/>
          <w:u w:val="single" w:color="auto"/>
          <w:color w:val="00C000"/>
        </w:rPr>
        <w:t>underwritten public offering</w:t>
      </w:r>
      <w:r>
        <w:rPr>
          <w:rFonts w:ascii="Times New Roman" w:cs="Times New Roman" w:eastAsia="Times New Roman" w:hAnsi="Times New Roman"/>
          <w:sz w:val="22"/>
          <w:szCs w:val="22"/>
          <w:u w:val="single" w:color="auto"/>
          <w:color w:val="0000FF"/>
        </w:rPr>
        <w:t xml:space="preserve"> or direct listing </w:t>
      </w:r>
      <w:r>
        <w:rPr>
          <w:rFonts w:ascii="Times New Roman" w:cs="Times New Roman" w:eastAsia="Times New Roman" w:hAnsi="Times New Roman"/>
          <w:sz w:val="22"/>
          <w:szCs w:val="22"/>
          <w:u w:val="single" w:color="auto"/>
          <w:color w:val="00C000"/>
        </w:rPr>
        <w:t>of common Equity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000"/>
        </w:rPr>
        <w:t xml:space="preserve">Interests in the Borrower or a Borrower Parent Company, in each case pursuant to an effective registration statement </w:t>
      </w:r>
      <w:r>
        <w:rPr>
          <w:rFonts w:ascii="Times New Roman" w:cs="Times New Roman" w:eastAsia="Times New Roman" w:hAnsi="Times New Roman"/>
          <w:sz w:val="22"/>
          <w:szCs w:val="22"/>
          <w:u w:val="single" w:color="auto"/>
          <w:color w:val="0000FF"/>
        </w:rPr>
        <w:t>on Form S-1 or S-3 or any successor form</w:t>
      </w:r>
      <w:r>
        <w:rPr>
          <w:rFonts w:ascii="Times New Roman" w:cs="Times New Roman" w:eastAsia="Times New Roman" w:hAnsi="Times New Roman"/>
          <w:sz w:val="22"/>
          <w:szCs w:val="22"/>
          <w:u w:val="single" w:color="auto"/>
          <w:color w:val="00C000"/>
        </w:rPr>
        <w:t xml:space="preserve"> filed with the SEC pursuant to the Securities Act</w:t>
      </w:r>
      <w:r>
        <w:rPr>
          <w:rFonts w:ascii="Times New Roman" w:cs="Times New Roman" w:eastAsia="Times New Roman" w:hAnsi="Times New Roman"/>
          <w:sz w:val="22"/>
          <w:szCs w:val="22"/>
          <w:u w:val="single" w:color="auto"/>
          <w:color w:val="0000FF"/>
        </w:rPr>
        <w:t>, including</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u w:val="single" w:color="auto"/>
          <w:color w:val="0000FF"/>
        </w:rPr>
        <w:t>the registration of common Equity Interests in the Borrower or a Borrower Parent Company relating to the resale of Equity Interests in the Borrower or a Borrower Parent Company in which the Borrower or a Borrower Parent Company will not receive the proceeds from the sale of such Equity Interests.</w:t>
      </w:r>
    </w:p>
    <w:p>
      <w:pPr>
        <w:spacing w:after="0" w:line="17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Published Rate</w:t>
      </w:r>
      <w:r>
        <w:rPr>
          <w:rFonts w:ascii="Times New Roman" w:cs="Times New Roman" w:eastAsia="Times New Roman" w:hAnsi="Times New Roman"/>
          <w:sz w:val="22"/>
          <w:szCs w:val="22"/>
          <w:color w:val="000000"/>
        </w:rPr>
        <w:t>” means the rate of interest published each Business Day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The Wall Street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 xml:space="preserve">Journal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Money Rates</w:t>
      </w:r>
      <w:r>
        <w:rPr>
          <w:rFonts w:ascii="Times New Roman" w:cs="Times New Roman" w:eastAsia="Times New Roman" w:hAnsi="Times New Roman"/>
          <w:sz w:val="22"/>
          <w:szCs w:val="22"/>
          <w:color w:val="000000"/>
        </w:rPr>
        <w:t>” listing under the caption “London Interbank Offered Rates” for a one-month period (or, if</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no such rate is published therein for any reason, then the Published Rate shall be the rate at which U.S. dollar deposits are offered by leading banks in the London interbank deposit market for a one-month period as published in another publication determined by the Administrative Agent).</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Card Facility</w:t>
      </w:r>
      <w:r>
        <w:rPr>
          <w:rFonts w:ascii="Times New Roman" w:cs="Times New Roman" w:eastAsia="Times New Roman" w:hAnsi="Times New Roman"/>
          <w:sz w:val="22"/>
          <w:szCs w:val="22"/>
          <w:color w:val="auto"/>
        </w:rPr>
        <w:t>” means a purchase card facility providing corporate credit cards and related services to employees of one or more Loan Parties and all agreements or other arrangements in connection therewith.</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Loan Party</w:t>
      </w:r>
      <w:r>
        <w:rPr>
          <w:rFonts w:ascii="Times New Roman" w:cs="Times New Roman" w:eastAsia="Times New Roman" w:hAnsi="Times New Roman"/>
          <w:sz w:val="22"/>
          <w:szCs w:val="22"/>
          <w:color w:val="auto"/>
        </w:rPr>
        <w:t>” means each Loan Party that on the Eligibility Date is (a) a corporation, partnership, proprietorship, organization, trust, or other entity other than a “commodity pool” as defined in Section 1a(10) of the CEA and the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 (v)(II) of the CEA.</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Reaffirmation Agreement</w:t>
      </w:r>
      <w:r>
        <w:rPr>
          <w:rFonts w:ascii="Times New Roman" w:cs="Times New Roman" w:eastAsia="Times New Roman" w:hAnsi="Times New Roman"/>
          <w:sz w:val="22"/>
          <w:szCs w:val="22"/>
          <w:color w:val="auto"/>
        </w:rPr>
        <w:t>” means the Reaffirmation and Amendment to Guarantee and Collateral Agreement, dated as of the Restatement Effective Date, among the Borrower, the other Loan Parties party thereto and the Administrative Agent.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has the meaning specified in Section 2.17(a).</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Currency</w:t>
      </w:r>
      <w:r>
        <w:rPr>
          <w:rFonts w:ascii="Times New Roman" w:cs="Times New Roman" w:eastAsia="Times New Roman" w:hAnsi="Times New Roman"/>
          <w:sz w:val="22"/>
          <w:szCs w:val="22"/>
          <w:color w:val="auto"/>
        </w:rPr>
        <w:t>” has the meaning specified in the definition of “Equivalent Amount.”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Indebtedness</w:t>
      </w:r>
      <w:r>
        <w:rPr>
          <w:rFonts w:ascii="Times New Roman" w:cs="Times New Roman" w:eastAsia="Times New Roman" w:hAnsi="Times New Roman"/>
          <w:sz w:val="21"/>
          <w:szCs w:val="21"/>
          <w:color w:val="auto"/>
        </w:rPr>
        <w:t>” means, in respect of any Indebtedness (the “</w:t>
      </w:r>
      <w:r>
        <w:rPr>
          <w:rFonts w:ascii="Times New Roman" w:cs="Times New Roman" w:eastAsia="Times New Roman" w:hAnsi="Times New Roman"/>
          <w:sz w:val="21"/>
          <w:szCs w:val="21"/>
          <w:u w:val="single" w:color="auto"/>
          <w:color w:val="auto"/>
        </w:rPr>
        <w:t>Original Indebtedness</w:t>
      </w:r>
      <w:r>
        <w:rPr>
          <w:rFonts w:ascii="Times New Roman" w:cs="Times New Roman" w:eastAsia="Times New Roman" w:hAnsi="Times New Roman"/>
          <w:sz w:val="21"/>
          <w:szCs w:val="21"/>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the principal amount of such Refinancing Indebtedness shall not exceed the principal amount of such Original Indebtedness except by an amount no greater than accrued and unpaid interest with respect to such Original Indebtedness and reasonable fees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w:t>
      </w:r>
    </w:p>
    <w:p>
      <w:pPr>
        <w:spacing w:after="0" w:line="4" w:lineRule="exact"/>
        <w:rPr>
          <w:sz w:val="20"/>
          <w:szCs w:val="20"/>
          <w:color w:val="auto"/>
        </w:rPr>
      </w:pPr>
    </w:p>
    <w:p>
      <w:pPr>
        <w:ind w:firstLine="8"/>
        <w:spacing w:after="0" w:line="237" w:lineRule="auto"/>
        <w:tabs>
          <w:tab w:leader="none" w:pos="299"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Indebtedness shall not be required to be repaid, prepaid, redeemed, repurchased or defeased, whether on one or more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2" w:name="page473"/>
    <w:bookmarkEnd w:id="472"/>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dates, upon the occurrence of one or more events or at the option of any holder thereof (except, in each case, upon the occurrence of an event of default or a change in control or as and to the extent such repayment, prepayment, redemption, repurchase or defeasance would have been required pursuant to the terms of such Original Indebtedness) prior to the earlier of (i) the maturity of such Original Indebtedness and (ii) the date 91 days after the </w:t>
      </w:r>
      <w:r>
        <w:rPr>
          <w:rFonts w:ascii="Times New Roman" w:cs="Times New Roman" w:eastAsia="Times New Roman" w:hAnsi="Times New Roman"/>
          <w:sz w:val="22"/>
          <w:szCs w:val="22"/>
          <w:u w:val="single" w:color="auto"/>
          <w:color w:val="0000FF"/>
        </w:rPr>
        <w:t>later of the latest Maturity Date and the</w:t>
      </w:r>
      <w:r>
        <w:rPr>
          <w:rFonts w:ascii="Times New Roman" w:cs="Times New Roman" w:eastAsia="Times New Roman" w:hAnsi="Times New Roman"/>
          <w:sz w:val="22"/>
          <w:szCs w:val="22"/>
          <w:color w:val="auto"/>
        </w:rPr>
        <w:t xml:space="preserve"> latest Revolving Maturity Date in effect on the date of such extension, renewal or refinancing,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scheduled amortization payments (however denominated) of such Refinancing Indebtedness shall be permitted so long as the weighted average life to maturity of such Refinancing Indebtedness shall be longer than the weighted average life to maturity of such Original Indebtedness remaining as of the date of such extension, renewal or refinancing; (d) such Refinancing Indebtedness shall not constitute an obligation (including pursuant to a Guarantee) of any Subsidiary that shall not have been (or, in the case of after-acquired Subsidiaries, shall not have been required to become) an obligor in respect of such Original Indebtedness; (e) if such Original Indebtedness shall have been subordinated to the Loan Document Obligations, such Refinancing Indebtedness shall also be subordinated to the Loan 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set forth in Section 9.04(b).</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directors, officers, partners, trustees, employees, agents and advisors of such Person and of such Person’s Affiliates.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Interbank Market</w:t>
      </w:r>
      <w:r>
        <w:rPr>
          <w:rFonts w:ascii="Times New Roman" w:cs="Times New Roman" w:eastAsia="Times New Roman" w:hAnsi="Times New Roman"/>
          <w:sz w:val="22"/>
          <w:szCs w:val="22"/>
          <w:color w:val="auto"/>
        </w:rPr>
        <w:t>” means in relation to Euro and British Pounds Sterling, the London interbank market, and in relation to any other currencies, the applicable offshore interbank market. Notwithstanding the foregoing, the references to the currencies listed in this definition shall only apply if such currencies are or become available as Optional Currencies in accordance with the terms hereof.</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3" w:name="page474"/>
    <w:bookmarkEnd w:id="473"/>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Lenders (other than any Defaulting Lender) having more than 50% of the </w:t>
      </w:r>
      <w:r>
        <w:rPr>
          <w:rFonts w:ascii="Times New Roman" w:cs="Times New Roman" w:eastAsia="Times New Roman" w:hAnsi="Times New Roman"/>
          <w:sz w:val="22"/>
          <w:szCs w:val="22"/>
          <w:u w:val="single" w:color="auto"/>
          <w:color w:val="0000FF"/>
        </w:rPr>
        <w:t>sum of (i) the</w:t>
      </w:r>
      <w:r>
        <w:rPr>
          <w:rFonts w:ascii="Times New Roman" w:cs="Times New Roman" w:eastAsia="Times New Roman" w:hAnsi="Times New Roman"/>
          <w:sz w:val="22"/>
          <w:szCs w:val="22"/>
          <w:color w:val="auto"/>
        </w:rPr>
        <w:t xml:space="preserve"> aggregate amount of the Revolving Commitments of the Lenders (excluding any Defaulting Lender) or, after the termination of the Revolving Commitments, </w:t>
      </w:r>
      <w:r>
        <w:rPr>
          <w:rFonts w:ascii="Times New Roman" w:cs="Times New Roman" w:eastAsia="Times New Roman" w:hAnsi="Times New Roman"/>
          <w:sz w:val="22"/>
          <w:szCs w:val="22"/>
          <w:color w:val="FF0000"/>
          <w:strike w:val="1"/>
        </w:rPr>
        <w:t>having Revolving Exposures representing more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than 50%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outstanding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Aggregate Revolving Exposure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of the Lenders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(excluding any Defaulting Lender)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and (ii) the aggregate outstanding amount of any Term Loans.</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“Resolution Authority” means an EEA Resolution Authority or, with respect to any UK Financial Institution, a UK Resolution Authority</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9.02), which date is December 19, 2017.</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cancelation or termination of, or any other return of capital with respect to, any Equity Interests in the Borrower or any Subsidiary.</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Availability Period</w:t>
      </w:r>
      <w:r>
        <w:rPr>
          <w:rFonts w:ascii="Times New Roman" w:cs="Times New Roman" w:eastAsia="Times New Roman" w:hAnsi="Times New Roman"/>
          <w:sz w:val="22"/>
          <w:szCs w:val="22"/>
          <w:color w:val="auto"/>
        </w:rPr>
        <w:t>” means the period from and including the Restatement Effective Date to but excluding the earlier of the Revolving Maturity Date and the date of termination of the Revolving Commitments.</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means, with respect to each Lender, the commitment, if any, of such Lender to make Revolving Loans and to acquire participations in Letters of Credit and Swingline Loans hereunder, expressed as an amount representing the maximum aggregate permitted amount of such Lender’s Revolving Exposure hereunder, as such commitment may be (a) reduced from time to time pursuant to Section 2.08, (b) increased from time to time pursuant to Section 2.21 and (c) reduced or increased from time to time pursuant to assignments by or to such Lender pursuant to Section 9.04. The initial amount of each Lender’s Revolving Commitment is set forth on Schedule 2.01, or in the Assignment and Assumption or the Incremental Facility Agreement pursuant to which such Lender shall have assumed its Revolving Commitment, as applicable. The initial aggregate amount of the Lenders’ Revolving Commitments is $500,000,000.</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Exposure</w:t>
      </w:r>
      <w:r>
        <w:rPr>
          <w:rFonts w:ascii="Times New Roman" w:cs="Times New Roman" w:eastAsia="Times New Roman" w:hAnsi="Times New Roman"/>
          <w:sz w:val="22"/>
          <w:szCs w:val="22"/>
          <w:color w:val="auto"/>
        </w:rPr>
        <w:t xml:space="preserve">” means, with respect to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at any time, the sum of the outstanding principal amount of such Lender’s Revolving Loans and such Lender’s LC Exposure and Swingline Exposure at such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“Revolving Lender” means a Lender with a Revolving Commitment or Revolving Exposure.</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“Revolving Lender Parent” means, with respect to any Revolving Lender, any Person in respect of which such Revolving Lender is a subsidiary.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clause (b) of Section 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4" w:name="page475"/>
    <w:bookmarkEnd w:id="474"/>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Maturity Date</w:t>
      </w:r>
      <w:r>
        <w:rPr>
          <w:rFonts w:ascii="Times New Roman" w:cs="Times New Roman" w:eastAsia="Times New Roman" w:hAnsi="Times New Roman"/>
          <w:sz w:val="22"/>
          <w:szCs w:val="22"/>
          <w:color w:val="auto"/>
        </w:rPr>
        <w:t>” means December 18, 2022 (or, if such date shall not be a Business Day, the immediately preceding Business Day).</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 and any successor to its rating agency business.</w:t>
      </w:r>
    </w:p>
    <w:p>
      <w:pPr>
        <w:spacing w:after="0" w:line="15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means an arrangement relating to property owned by the Borrower or any Subsidiary whereby the Borrower or such Subsidiary sells or transfers such property to any Person and the Borrower or any Subsidiary leases such property, or other property that it intends to use for substantially the same purpose or purposes as the property sold or transferred, from such Person or its Affiliates.</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 country or territory that is the target or subject of a sanctions program maintained under any Anti-Terrorism Law, including, without limitation, any country that is the subject of economic or financial sanctions imposed by the Office of Foreign Assets Control of the U.S. Department of the Treasury, the U.S. Department of State, the United Nations Security Council, the European Union or Her Majesty’s Treasury of the United Kingdom.</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 including, without limitation, any Person listed on any sanctions-related list maintained by the Office of Foreign Assets Control of the U.S. Department of the Treasury, the U.S. Department of State, the United Nations Security Council, the European Union or Her Majesty’s Treasury of the United Kingdom.</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Obligations</w:t>
      </w:r>
      <w:r>
        <w:rPr>
          <w:rFonts w:ascii="Times New Roman" w:cs="Times New Roman" w:eastAsia="Times New Roman" w:hAnsi="Times New Roman"/>
          <w:sz w:val="22"/>
          <w:szCs w:val="22"/>
          <w:color w:val="auto"/>
        </w:rPr>
        <w:t>” has the meaning assigned to such term in the Collateral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has the meaning set forth in the Collateral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has the meaning set forth in the Collateral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Collateral Agreement, the Foreign Pledge Agreements, the IP Security Agreements, the Control Agreements and each other security agreement or other instrument or document executed and delivered pursuant to Section 5.03 or 5.12 to secure the Secured Obligations.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Equity Holders</w:t>
      </w:r>
      <w:r>
        <w:rPr>
          <w:rFonts w:ascii="Times New Roman" w:cs="Times New Roman" w:eastAsia="Times New Roman" w:hAnsi="Times New Roman"/>
          <w:sz w:val="22"/>
          <w:szCs w:val="22"/>
          <w:color w:val="auto"/>
        </w:rPr>
        <w:t>” means the Bentley Brothers and any other individual that, together with his or her Family Members and Family Trusts, owns 1% or more of the aggregate ordinary voting power represented by the issued and outstanding Equity Interests in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5" w:name="page476"/>
    <w:bookmarkEnd w:id="475"/>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Default</w:t>
      </w:r>
      <w:r>
        <w:rPr>
          <w:rFonts w:ascii="Times New Roman" w:cs="Times New Roman" w:eastAsia="Times New Roman" w:hAnsi="Times New Roman"/>
          <w:sz w:val="22"/>
          <w:szCs w:val="22"/>
          <w:color w:val="auto"/>
        </w:rPr>
        <w:t>” means a Default under clause (a), (b), (d) (insofar as such clause relates to Section 6.12 or 6.13) or (e) (insofar as such clause relates to the delivery under Section 5.01(a) of an audit opinion that does not contain a “going concern” qualification) of Article VII.</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Option Plan</w:t>
      </w:r>
      <w:r>
        <w:rPr>
          <w:rFonts w:ascii="Times New Roman" w:cs="Times New Roman" w:eastAsia="Times New Roman" w:hAnsi="Times New Roman"/>
          <w:sz w:val="21"/>
          <w:szCs w:val="21"/>
          <w:color w:val="auto"/>
        </w:rPr>
        <w:t>” means (a) the 2005 Stock Option Plan, as amended and restated effective March 19, 2008, and the 2015 Equity Incentive Plan, as amended, of the Borrower, in each case as such plan is in effect on the date hereof, and (b) any other stock option plan (including either of the plans referred to in clause (a) above as it may be amended or otherwise modified after the date hereof) or other employee compensation plan so long as the terms thereof requiring or permitting the Borrower to repurchase any shares of capital stock of the Borrower or make any other Restricted Payments are not, in the aggregate, materially more adverse to the interests of the Lenders than the terms of the plans referred to in clause (a) above as in effect on the date hereof.</w:t>
      </w:r>
    </w:p>
    <w:p>
      <w:pPr>
        <w:spacing w:after="0" w:line="17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means the Amended and Restated Intercompany Subordination Agreement, dated as of the Restatement Effective Date, by and among the Administrative Agent, the Borrower and the Subsidiaries of the Borrower party thereto.</w:t>
      </w:r>
    </w:p>
    <w:p>
      <w:pPr>
        <w:spacing w:after="0" w:line="17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 any Person the accounts of which would be consolidated with those of the parent in the parent’s consolidated financial statements if such financial statements were prepared in accordance with GAAP as of such date and (b) any other Person (i) 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Borrower.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Loan Party</w:t>
      </w:r>
      <w:r>
        <w:rPr>
          <w:rFonts w:ascii="Times New Roman" w:cs="Times New Roman" w:eastAsia="Times New Roman" w:hAnsi="Times New Roman"/>
          <w:sz w:val="22"/>
          <w:szCs w:val="22"/>
          <w:color w:val="auto"/>
        </w:rPr>
        <w:t>” means each Subsidiary that is a party to the Collateral Agreement.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Supplemental IP Security Agreements</w:t>
      </w:r>
      <w:r>
        <w:rPr>
          <w:rFonts w:ascii="Times New Roman" w:cs="Times New Roman" w:eastAsia="Times New Roman" w:hAnsi="Times New Roman"/>
          <w:sz w:val="22"/>
          <w:szCs w:val="22"/>
          <w:color w:val="auto"/>
        </w:rPr>
        <w:t>” has the meaning set forth in the Collateral Agreement.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w:t>
      </w:r>
      <w:r>
        <w:rPr>
          <w:rFonts w:ascii="Times New Roman" w:cs="Times New Roman" w:eastAsia="Times New Roman" w:hAnsi="Times New Roman"/>
          <w:sz w:val="22"/>
          <w:szCs w:val="22"/>
          <w:color w:val="auto"/>
        </w:rPr>
        <w:t>”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xml:space="preserve">” means, at any time, the aggregate Dollar Equivalent principal amount of all Swingline Loans outstanding at such time. The Swingline Exposure of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at any time shall be its Applicable Percentage of the total Swingline Exposure at such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means PNC, in its capacity as lender of Swingline Loans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6" w:name="page477"/>
    <w:bookmarkEnd w:id="47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means a Loan made pursuant to Section 2.04.</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 Commitment</w:t>
      </w:r>
      <w:r>
        <w:rPr>
          <w:rFonts w:ascii="Times New Roman" w:cs="Times New Roman" w:eastAsia="Times New Roman" w:hAnsi="Times New Roman"/>
          <w:sz w:val="22"/>
          <w:szCs w:val="22"/>
          <w:color w:val="auto"/>
        </w:rPr>
        <w:t>” means PNC’s commitment to make Swingline Loans to the Borrower in an aggregate Dollar Equivalent principal amount of up to $50,000,000.</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 Conversion Date</w:t>
      </w:r>
      <w:r>
        <w:rPr>
          <w:rFonts w:ascii="Times New Roman" w:cs="Times New Roman" w:eastAsia="Times New Roman" w:hAnsi="Times New Roman"/>
          <w:sz w:val="22"/>
          <w:szCs w:val="22"/>
          <w:color w:val="auto"/>
        </w:rPr>
        <w:t>” has the meaning set forth in Section 2.04(c).</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 Repayment Date</w:t>
      </w:r>
      <w:r>
        <w:rPr>
          <w:rFonts w:ascii="Times New Roman" w:cs="Times New Roman" w:eastAsia="Times New Roman" w:hAnsi="Times New Roman"/>
          <w:sz w:val="22"/>
          <w:szCs w:val="22"/>
          <w:color w:val="auto"/>
        </w:rPr>
        <w:t>” has the meaning set forth in Section 2.04(b).</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Notes</w:t>
      </w:r>
      <w:r>
        <w:rPr>
          <w:rFonts w:ascii="Times New Roman" w:cs="Times New Roman" w:eastAsia="Times New Roman" w:hAnsi="Times New Roman"/>
          <w:sz w:val="22"/>
          <w:szCs w:val="22"/>
          <w:color w:val="auto"/>
        </w:rPr>
        <w:t>” has the meaning assigned thereto in Section 2.04(b).</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Technology License Agreement</w:t>
      </w:r>
      <w:r>
        <w:rPr>
          <w:rFonts w:ascii="Times New Roman" w:cs="Times New Roman" w:eastAsia="Times New Roman" w:hAnsi="Times New Roman"/>
          <w:sz w:val="22"/>
          <w:szCs w:val="22"/>
          <w:color w:val="auto"/>
        </w:rPr>
        <w:t>” means the Technology License Agreement dated as of December 30, 2009, among the Borrower and Bentley Software International Limited, an Irish company.</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u w:val="single" w:color="auto"/>
          <w:color w:val="0000FF"/>
        </w:rPr>
        <w:t xml:space="preserve">“Term Commitment” means, with respect to each Lender, the commitment, if any, of such Lender to make a Term Loan on the First Amendment Effective Date, expressed as an amount representing the maximum principal amount of the Term Loan to be made by such Lender, as such commitment may be assigned or modified. </w:t>
      </w:r>
      <w:r>
        <w:rPr>
          <w:rFonts w:ascii="Times New Roman" w:cs="Times New Roman" w:eastAsia="Times New Roman" w:hAnsi="Times New Roman"/>
          <w:sz w:val="22"/>
          <w:szCs w:val="22"/>
          <w:color w:val="0000FF"/>
        </w:rPr>
        <w:t xml:space="preserve">The initial amount of each Lender’s Term Commitment as of the First Amendment Effective Date is set forth on </w:t>
      </w:r>
      <w:r>
        <w:rPr>
          <w:rFonts w:ascii="Times New Roman" w:cs="Times New Roman" w:eastAsia="Times New Roman" w:hAnsi="Times New Roman"/>
          <w:sz w:val="22"/>
          <w:szCs w:val="22"/>
          <w:u w:val="single" w:color="auto"/>
          <w:color w:val="0000FF"/>
        </w:rPr>
        <w:t>Schedule 2.01, or in the Assignment and Assumption pursuant to which such Lender shall have assumed its Term Commitment, as applicable. The initial aggregate amount of the Lenders’ Term Commitments as of the First Amendment Effective Date is $125,000,000.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6292850" cy="171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7">
                      <a:extLst>
                        <a:ext uri="{28A0092B-C50C-407E-A947-70E740481C1C}"/>
                      </a:extLst>
                    </a:blip>
                    <a:srcRect/>
                    <a:stretch>
                      <a:fillRect/>
                    </a:stretch>
                  </pic:blipFill>
                  <pic:spPr bwMode="auto">
                    <a:xfrm>
                      <a:off x="0" y="0"/>
                      <a:ext cx="6292850" cy="17145"/>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“Term Lender” means a Lender with a Term Commitment or an outstanding Term Loan.</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“Term Loan” means a Term Loan made pursuant to Section 2.01(a).</w:t>
      </w:r>
    </w:p>
    <w:p>
      <w:pPr>
        <w:spacing w:after="0" w:line="206"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Funded Indebtedness</w:t>
      </w:r>
      <w:r>
        <w:rPr>
          <w:rFonts w:ascii="Times New Roman" w:cs="Times New Roman" w:eastAsia="Times New Roman" w:hAnsi="Times New Roman"/>
          <w:sz w:val="22"/>
          <w:szCs w:val="22"/>
          <w:color w:val="auto"/>
        </w:rPr>
        <w:t>” means, as of any date, the sum (without duplication) of (a) the aggregate principal amount of Indebtedness of the Borrower and the Subsidiaries outstanding as of such date, in the amount that would be reflected on a balance sheet prepared as of such date on a consolidated basis in accordance with GAAP (but without giving effect to any election to value any Indebtedness at “fair value”, as described in Section 1.04(a), or any other accounting principle that results in the amount of any such Indebtedness (other than zero coupon Indebtedness) as reflected on such balance sheet to be below the stated principal amount of such Indebtedness), (b) the aggregate amount of Capital Lease Obligations of the Borrower and the Subsidiaries outstanding as of such date, determined on a consolidated basis, and (c) the aggregate obligations of the Borrower and the Subsidiaries as an account party in respect of letters of credit or letters of guaranty, other than contingent obligations in respect of any letter of credit or letter of guaranty to the extent such letter of credit or letter of guaranty does not support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7" w:name="page478"/>
    <w:bookmarkEnd w:id="477"/>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of the Loan Documents by each of the Loan Parties intended to be a party thereto, the borrowing of the Loans and the issuance of the Letters of Credit hereunder and the use of the proceeds thereof.</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comprising such Borrowing, is determined by reference to the LIBO Rate, the Alternate Base Rate or, in the case of Dollar Swingline Loans, the Daily LIBOR Rate, as determined by the Administrative Agent and the Borrower (or, with respect to Swingline Loans, such other rate as is agreed to by the Borrower and the Swingline Lender).</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“United States person” within the meaning of Section 7701(a)(30)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Certificate</w:t>
      </w:r>
      <w:r>
        <w:rPr>
          <w:rFonts w:ascii="Times New Roman" w:cs="Times New Roman" w:eastAsia="Times New Roman" w:hAnsi="Times New Roman"/>
          <w:sz w:val="22"/>
          <w:szCs w:val="22"/>
          <w:color w:val="auto"/>
        </w:rPr>
        <w:t>” has the meaning set forth in Section 2.17(f)(ii)(D)(2).</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has the meaning specified in Section 9.09.</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UK Financial Institution” means any BRRD Undertaking (as such term is defined under the PRA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“UK Resolution Authority”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Unrestricted Cash</w:t>
      </w:r>
      <w:r>
        <w:rPr>
          <w:rFonts w:ascii="Times New Roman" w:cs="Times New Roman" w:eastAsia="Times New Roman" w:hAnsi="Times New Roman"/>
          <w:sz w:val="22"/>
          <w:szCs w:val="22"/>
          <w:color w:val="000000"/>
        </w:rPr>
        <w:t>” means cash, cash equivalents and Permitted Investments of the Borrower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any of its Subsidiaries that (a) would not be required to appear as “restricted” on a consolidated balance sheet of the Borrower or any of its Subsidiaries and (b) is not subject to any Lien in favor of any Person other than Liens created under the Loan Documents and Liens constituting Permitted Encumbrances of the type described in clause (h) of the definition of such term.</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Public Law 107-56, as the same has been, or shall hereafter be, renewed, extended, amended or replaced.</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w:t>
      </w:r>
      <w:r>
        <w:rPr>
          <w:rFonts w:ascii="Times New Roman" w:cs="Times New Roman" w:eastAsia="Times New Roman" w:hAnsi="Times New Roman"/>
          <w:sz w:val="22"/>
          <w:szCs w:val="22"/>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Withdrawal Liability</w:t>
      </w:r>
      <w:r>
        <w:rPr>
          <w:rFonts w:ascii="Times New Roman" w:cs="Times New Roman" w:eastAsia="Times New Roman" w:hAnsi="Times New Roman"/>
          <w:sz w:val="21"/>
          <w:szCs w:val="21"/>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8" w:name="page479"/>
    <w:bookmarkEnd w:id="47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and the Administrative Agent.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cs="Times New Roman" w:eastAsia="Times New Roman" w:hAnsi="Times New Roman"/>
          <w:sz w:val="22"/>
          <w:szCs w:val="22"/>
          <w:u w:val="single" w:color="auto"/>
          <w:color w:val="0000FF"/>
        </w:rPr>
        <w:t>, and (b) with respect to the United Kingdom, any powers of the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and Borrowings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“Revolving Loan” or “Revolving Borrowing”)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“Eurocurrency Loan” or “Eurocurrency Borrowing”)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“Eurocurrency Revolving Loan” or “Eurocurrency Revolving Borrowing”).</w:t>
      </w:r>
    </w:p>
    <w:p>
      <w:pPr>
        <w:spacing w:after="0" w:line="18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18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 Pro Forma Calculations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Except as otherwise expressly provided herein, all terms of an accounting or financial nature used herein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at any time any change in GAAP would affect in any material respect the computation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79" w:name="page480"/>
    <w:bookmarkEnd w:id="479"/>
    <w:p>
      <w:pPr>
        <w:jc w:val="both"/>
        <w:spacing w:after="0" w:line="243" w:lineRule="auto"/>
        <w:rPr>
          <w:sz w:val="20"/>
          <w:szCs w:val="20"/>
          <w:color w:val="auto"/>
        </w:rPr>
      </w:pPr>
      <w:r>
        <w:rPr>
          <w:rFonts w:ascii="Times New Roman" w:cs="Times New Roman" w:eastAsia="Times New Roman" w:hAnsi="Times New Roman"/>
          <w:sz w:val="21"/>
          <w:szCs w:val="21"/>
          <w:color w:val="auto"/>
        </w:rPr>
        <w:t>covenant (including the computation of any financial covenant and resulting changes, if any, to the Applicable Rate) set forth in any Loan Document, (x) the Borrower may, by providing written notice to the Administrative Agent, and (y) the Administrative Agent or the Required Lenders may, by providing written notice to the Borrower (in either case), elect not to apply such change in GAAP, and concurrently with the delivery of such notice (or promptly thereafter if such notice is delivered by the Administrative Agent or the Required Lenders), the Borrower shall provide to the Administrative Agent a written reconciliation in form and substance reasonably satisfactory to the Administrative Agent, between calculations of such covenant made before and after the disapplication of such change in GAAP, (ii) notwithstanding any other provision contained herein, all terms of an accounting or financial nature used herein shall be construed, and all computations of amounts and ratios referred to herein (including financial covenants and other financial tests) shall be made without giving effect to any election under Statement of Financial Accounting Standards 159, The Fair Value Option for Financial Assets and Financial Liabilities, or any successor thereto (including pursuant to the Accounting Standards Codification), to value any Indebtedness of the Borrower or any Subsidiary at “fair value”, as defined therein and (iii) notwithstanding the Accounting Standards Update issued by the Financial Accounting Standards Board (“FASB”) on February 25, 2016 related to lease accounting standards and related materials issued by FASB, the treatment of leases for all purposes hereunder (and any related interest or lease expense) shall be based on GAAP prior to the implementation of such Accounting Standards Update. Without limiting the foregoing, operating leases shall not be deemed to be “capital leases” regardless of whether they may appear on the balance sheet under GAAP.</w:t>
      </w:r>
    </w:p>
    <w:p>
      <w:pPr>
        <w:spacing w:after="0" w:line="189" w:lineRule="exact"/>
        <w:rPr>
          <w:sz w:val="20"/>
          <w:szCs w:val="20"/>
          <w:color w:val="auto"/>
        </w:rPr>
      </w:pPr>
    </w:p>
    <w:p>
      <w:pPr>
        <w:jc w:val="both"/>
        <w:ind w:firstLine="1304"/>
        <w:spacing w:after="0" w:line="232" w:lineRule="auto"/>
        <w:tabs>
          <w:tab w:leader="none" w:pos="2091"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pro forma computations required to be made hereunder giving effect to any Material Acquisition, Material Disposition, Permitted Acquisition or other transaction shall be calculated after giving pro forma effect thereto (and, in the case of any pro forma computations made hereunder to determine whether such Material Acquisition, Material Disposition, Permitted Acquisition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Hedging Agreement applicable to such Indebtedness if such Hedging Agreement has a remaining term in excess of 12 months). </w:t>
      </w:r>
      <w:r>
        <w:rPr>
          <w:rFonts w:ascii="Times New Roman" w:cs="Times New Roman" w:eastAsia="Times New Roman" w:hAnsi="Times New Roman"/>
          <w:sz w:val="22"/>
          <w:szCs w:val="22"/>
          <w:u w:val="single" w:color="auto"/>
          <w:color w:val="0000FF"/>
        </w:rPr>
        <w:t>In addition, for any pro forma computations made between the 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Amendment Effective Date and the delivery of the financial statements for the quarter ended September 30, 2020 pursuant to Section 5.01(b), such pro forma calculations shall give effect to the making of the Term Loans as if made on June 30, 2020.</w:t>
      </w:r>
    </w:p>
    <w:p>
      <w:pPr>
        <w:spacing w:after="0" w:line="18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Currency Calculations</w:t>
      </w:r>
      <w:r>
        <w:rPr>
          <w:rFonts w:ascii="Times New Roman" w:cs="Times New Roman" w:eastAsia="Times New Roman" w:hAnsi="Times New Roman"/>
          <w:sz w:val="22"/>
          <w:szCs w:val="22"/>
          <w:color w:val="auto"/>
        </w:rPr>
        <w:t>. All financial statements and Compliance Certificates shall be set forth in Dollars. For purposes of preparing the financial statements, calculating financial covenants and determining compliance with covenants expressed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0" w:name="page481"/>
    <w:bookmarkEnd w:id="480"/>
    <w:p>
      <w:pPr>
        <w:jc w:val="both"/>
        <w:spacing w:after="0" w:line="234" w:lineRule="auto"/>
        <w:rPr>
          <w:sz w:val="20"/>
          <w:szCs w:val="20"/>
          <w:color w:val="auto"/>
        </w:rPr>
      </w:pPr>
      <w:r>
        <w:rPr>
          <w:rFonts w:ascii="Times New Roman" w:cs="Times New Roman" w:eastAsia="Times New Roman" w:hAnsi="Times New Roman"/>
          <w:sz w:val="22"/>
          <w:szCs w:val="22"/>
          <w:color w:val="auto"/>
        </w:rPr>
        <w:t>Optional Currencies shall be converted to Dollars at the currency exchange rates in effect on the date of such determination; provided that no Default or Event of Default shall arise as a result of any limitation set forth in Dollars in Section 6.01 or 6.02 being exceeded solely as a result of changes in currency exchange rates from those rates applicable at the time or times Indebtedness or Liens were initially consummated in reliance on the exceptions under such Sections. For purposes of any determination under Section 6.04, 6.05 or 6.08, the amount of each Investment, disposition, Restricted Payment or other applicable transaction denominated in Optional Currencies shall be translated into Dollars at the currency exchange rate in effect on the date such Investment, disposition, Restricted Payment or other transaction is consummated. Such currency exchange rates shall be determined in good faith by the Borrower.</w:t>
      </w:r>
    </w:p>
    <w:p>
      <w:pPr>
        <w:spacing w:after="0" w:line="183"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Amendment and Restatement of Existing Credit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This Agreement constitutes an amendment and restatement of the Existing Credit Agreement effective from and after the Restatement Effective Date. The parties to this Agreement agree that, upon (i) the execution and delivery by each of the parties hereto of this Agreement and (ii) satisfaction of the conditions set forth in Section 4.01 hereof (or waiver in accordance with Section 9.02), the terms and provisions of the Existing Credit Agreement shall be and hereby are amended, superseded and restated in their entirety by the terms and provisions of this Agreement. It is the express intent of the parties hereto that this Agreement is entered into in substitution for, and not in payment of, the obligations of the Borrower under the Existing Credit Agreement and is in no way intended to constitute a novation of any of the Borrower’s indebtedness which was evidenced by the Existing Credit Agreement or any of the other Loan Documents. Upon the effectiveness hereof (I) all “Revolving Loans” (as defined in the Existing Credit Agreement) made under the Existing Credit Agreement which are outstanding on the Restatement Effective Date shall continue as Revolving Loans under (and shall be governed by the terms of) this Agreement and shall either have the same Interest Periods as in effect under the Existing Credit Agreement or an Interest Period of one Month as determined by the Administrative Agent in consultation with the Borrower, (II) all “Letters of Credit” issued (or deemed issued) under the Existing Credit Agreement which remain outstanding on the Restatement Effective Date shall continue as Letters of Credit under (and shall be governed by the terms of) this Agreement,</w:t>
      </w:r>
    </w:p>
    <w:p>
      <w:pPr>
        <w:spacing w:after="0" w:line="16" w:lineRule="exact"/>
        <w:rPr>
          <w:sz w:val="20"/>
          <w:szCs w:val="20"/>
          <w:color w:val="auto"/>
        </w:rPr>
      </w:pPr>
    </w:p>
    <w:p>
      <w:pPr>
        <w:jc w:val="both"/>
        <w:ind w:firstLine="8"/>
        <w:spacing w:after="0" w:line="242" w:lineRule="auto"/>
        <w:tabs>
          <w:tab w:leader="none" w:pos="423"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Departing Lender’s outstanding “Loans” under (and as defined in) the Existing Credit Agreement as of the Restatement Effective Date shall be repaid in full in cash in immediately available funds (accompanied by any accrued and unpaid interest and fees thereon and any other amounts or liabilities owing to each Departing Lender under the Existing Credit Agreement), each Departing Lender’s “Commitment” under and as defined in the Existing Credit Agreement shall be terminated and be of no further force and effect, each Departing Lender shall not be a Lender for any purpose hereunder (provided that each Departing Lender shall retain its respective rights as a “Lender” under the Existing Credit Agreement to expense reimbursement and indemnification pursuant to, and in accordance with, the terms of the Existing Credit Agreement), and such Departing Lender shall be released from any obligation or liability under the Existing Credit Agreement, (IV) all “Term Loans” (as defined in the Existing Credit Agreement) shall be paid in full including all accrued interest thereon, (V) all obligations constituting “Obligations” or “Secured Obligations” under and as defined in the Existing Credit Agreement or any Loan Document with any Lender (but not any Departing Lender or Affiliate of a Departing Lender) which are outstanding on the Restatement Effective Date and are not being paid on such date shall continue as Obligations or Secured Obligations, as applicable, under this Agreement and the other Loan Documents, (VI) all references in the “Loan Documents” (as defined in the Existing Credit Agreement) to the “Administrative Agent,”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1" w:name="page482"/>
    <w:bookmarkEnd w:id="48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Agreement” and the “Loan Documents” shall be deemed to refer to the Administrative Agent, this Agreement and the Loan Documents (in each case as defined herein), (VII) the Administrative Agent shall make such reallocations, sales, assignments or other relevant actions in respect of each Lender’s credit and loan exposure under the Existing Credit Agreement as are necessary in order that such Lender’s pro rata share of the outstanding Loans hereunder reflect such Lender’s pro rata share of the outstanding aggregate Loans on the Restatement Effective Date based on its Applicable Percentage, and (VIII) the Borrower shall compensate each Departing Lender for any and all losses, costs and expenses incurred by such Departing Lender in connection with the repayment of any “Eurocurrency Loans” (as defined in the Existing Credit Agreement), in each case on the terms and in the manner set forth in 2.16 of the Existing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for the avoidance of doubt, each Lender under this Agreement agrees to waive any right to compensation under Section 2.16 in connection with the reallocation and transactions described above. Without limiting the foregoing, the parties hereto (including, without limitation, each Departing Lender) hereby agree that the consent of any Departing Lender shall be limited to the acknowledgments and agreements set forth in this Section 1.06, and shall not be required as a condition to the effectiveness of any other amendments, restatements, supplements or modifications to the Existing Credit Agreement or the Loan Documents.</w:t>
      </w:r>
    </w:p>
    <w:p>
      <w:pPr>
        <w:spacing w:after="0" w:line="177" w:lineRule="exact"/>
        <w:rPr>
          <w:sz w:val="20"/>
          <w:szCs w:val="20"/>
          <w:color w:val="auto"/>
        </w:rPr>
      </w:pPr>
    </w:p>
    <w:p>
      <w:pPr>
        <w:jc w:val="both"/>
        <w:ind w:firstLine="1304"/>
        <w:spacing w:after="0" w:line="235" w:lineRule="auto"/>
        <w:tabs>
          <w:tab w:leader="none" w:pos="2083"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Restatement Effective Date, each Lender (i) shall be deemed to have purchased a participation in each outstanding Letter of Credit in accordance with its Applicable Percentage and (ii) to the extent necessary, each Lender (including those Lenders that were not “Lenders” under and as defined in the Existing Credit Agreement) shall fund Revolving Loans (or receive payment of its “Revolving Loans”, as defined in the Existing Credit Agreement) such that the Revolving Loans of each of the Lenders on the Restatement Effective Date are equal to its Applicable Percentage of the Revolving Loans of all of the Lenders outstanding on the Restatement Effective Date.</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u w:val="single" w:color="auto"/>
          <w:color w:val="0000FF"/>
        </w:rPr>
        <w:t>SECTION 1.07. Divisions. For all purposes under the Loan Documents, in connection with any Division/Series Transaction: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u w:val="single" w:color="auto"/>
          <w:color w:val="0000FF"/>
        </w:rPr>
        <w:t>SECTION 1.08. Euro-Rate Notification. Section 2.14(b) of this Agreement provides a mechanism for determining an alternative rate of interest in the event that one or more Relevant Interbank Market offered rates is no longer available or in certain other circumstances. The Administrative Agent does not warrant or accept any responsibility for and shall not have any liability with respect to, the administration, submission or any other matter related to any Relevant Interbank Market offered rate or other rates in the definition of “LIBO Rate” or with respect to any alternative or successor rate thereto, or replacement rate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2" w:name="page483"/>
    <w:bookmarkEnd w:id="482"/>
    <w:p>
      <w:pPr>
        <w:jc w:val="center"/>
        <w:spacing w:after="0"/>
        <w:rPr>
          <w:sz w:val="20"/>
          <w:szCs w:val="20"/>
          <w:color w:val="auto"/>
        </w:rPr>
      </w:pPr>
      <w:r>
        <w:rPr>
          <w:rFonts w:ascii="Times New Roman" w:cs="Times New Roman" w:eastAsia="Times New Roman" w:hAnsi="Times New Roman"/>
          <w:sz w:val="22"/>
          <w:szCs w:val="22"/>
          <w:color w:val="010000"/>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Subject to the terms and conditions set forth herein</w:t>
      </w:r>
      <w:r>
        <w:rPr>
          <w:rFonts w:ascii="Times New Roman" w:cs="Times New Roman" w:eastAsia="Times New Roman" w:hAnsi="Times New Roman"/>
          <w:sz w:val="22"/>
          <w:szCs w:val="22"/>
          <w:color w:val="FF0000"/>
          <w:strike w:val="1"/>
        </w:rPr>
        <w:t>,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(a)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Lender agrees to make a Term Loan to the Borrower on the First Amendment Effective Date in a principal amount not exceeding its Term Commitment and (b) each 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agrees to make Revolving Loans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Borrower from time to time during the Revolving Availability Period in an aggregate principal amount that will not result in such Lender’s Revolving Exposure exceeding such Lender’s Revolving Commitment or the Aggregate Revolving Exposure exceeding the Aggregate Revolving Commitment. Within the foregoing limits and subject to the terms and conditions set forth herein, the Borrower may borrow, prepay and reborrow Revolving Loans. </w:t>
      </w:r>
      <w:r>
        <w:rPr>
          <w:rFonts w:ascii="Times New Roman" w:cs="Times New Roman" w:eastAsia="Times New Roman" w:hAnsi="Times New Roman"/>
          <w:sz w:val="22"/>
          <w:szCs w:val="22"/>
          <w:u w:val="single" w:color="auto"/>
          <w:color w:val="0000FF"/>
        </w:rPr>
        <w:t>Amounts repaid or prepaid in respect of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-1111885</wp:posOffset>
            </wp:positionV>
            <wp:extent cx="483870" cy="171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4">
                      <a:extLst>
                        <a:ext uri="{28A0092B-C50C-407E-A947-70E740481C1C}"/>
                      </a:extLst>
                    </a:blip>
                    <a:srcRect/>
                    <a:stretch>
                      <a:fillRect/>
                    </a:stretch>
                  </pic:blipFill>
                  <pic:spPr bwMode="auto">
                    <a:xfrm>
                      <a:off x="0" y="0"/>
                      <a:ext cx="483870" cy="17145"/>
                    </a:xfrm>
                    <a:prstGeom prst="rect">
                      <a:avLst/>
                    </a:prstGeom>
                    <a:noFill/>
                  </pic:spPr>
                </pic:pic>
              </a:graphicData>
            </a:graphic>
          </wp:anchor>
        </w:drawing>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81" w:lineRule="exact"/>
        <w:rPr>
          <w:sz w:val="20"/>
          <w:szCs w:val="20"/>
          <w:color w:val="auto"/>
        </w:rPr>
      </w:pPr>
    </w:p>
    <w:p>
      <w:pPr>
        <w:jc w:val="both"/>
        <w:ind w:firstLine="1304"/>
        <w:spacing w:after="0" w:line="236" w:lineRule="auto"/>
        <w:tabs>
          <w:tab w:leader="none" w:pos="235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2.14, each Revolving Borrowing </w:t>
      </w:r>
      <w:r>
        <w:rPr>
          <w:rFonts w:ascii="Times New Roman" w:cs="Times New Roman" w:eastAsia="Times New Roman" w:hAnsi="Times New Roman"/>
          <w:sz w:val="22"/>
          <w:szCs w:val="22"/>
          <w:u w:val="single" w:color="auto"/>
          <w:color w:val="0000FF"/>
        </w:rPr>
        <w:t>and Term Borrowing</w:t>
      </w:r>
      <w:r>
        <w:rPr>
          <w:rFonts w:ascii="Times New Roman" w:cs="Times New Roman" w:eastAsia="Times New Roman" w:hAnsi="Times New Roman"/>
          <w:sz w:val="22"/>
          <w:szCs w:val="22"/>
          <w:color w:val="auto"/>
        </w:rPr>
        <w:t xml:space="preserve"> shall be comprised entirely of ABR Loans or Eurocurrency Loans as the Borrower may request in accordance herewith. The rate of interest on each Swingline Loan shall be determined in accordance with Section 2.13. Each Lender at its option may make any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99"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commencement of each Interest Period for any Eurocurrency Borrowing (other than Swingline Loans), such Borrowing shall be in an aggregate amount that is an integral multiple of $500,000 and not less than $1,000,000;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Eurocurrency Borrowing that results from a continuation of an outstanding Eurocurrency Borrowing may be in an aggregate amount that is equal to such outstanding Borrowing. At the time that each ABR Borrowing (other than Swingline Loans) is made, such Borrowing shall be in an aggregate amount that is an integral multiple of $500,000 and not less than $1,000,000;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ABR Revolving Borrowing may be in an aggregate amount that is equal to the entire unused balance of the Aggregate Revolving Commitment or that is required to finance the reimbursement of an LC Disbursement as contemplated by Section 2.05(f). Each Swingline Loan (other than a Swingline Loan under a Cash Management Agreement) shall be in an amount permitted under Section 2.04(f). Borrowings of more than one Type and Class may be outstanding at the same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not at any time be more than a total of ten (or such greater number as may be agreed to by the Administrative Agent) Eurocurrency Borrowings outstanding.</w:t>
      </w:r>
    </w:p>
    <w:p>
      <w:pPr>
        <w:spacing w:after="0" w:line="173" w:lineRule="exact"/>
        <w:rPr>
          <w:rFonts w:ascii="Times New Roman" w:cs="Times New Roman" w:eastAsia="Times New Roman" w:hAnsi="Times New Roman"/>
          <w:sz w:val="21"/>
          <w:szCs w:val="21"/>
          <w:color w:val="auto"/>
        </w:rPr>
      </w:pPr>
    </w:p>
    <w:p>
      <w:pPr>
        <w:ind w:firstLine="1304"/>
        <w:spacing w:after="0" w:line="258" w:lineRule="auto"/>
        <w:tabs>
          <w:tab w:leader="none" w:pos="2034"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the Borrower shall not be entitled to request, or to elect to convert to or continue, any Eurocurrency Borrowing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3" w:name="page484"/>
    <w:bookmarkEnd w:id="483"/>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Interest Period requested with respect thereto would end after the </w:t>
      </w:r>
      <w:r>
        <w:rPr>
          <w:rFonts w:ascii="Times New Roman" w:cs="Times New Roman" w:eastAsia="Times New Roman" w:hAnsi="Times New Roman"/>
          <w:sz w:val="22"/>
          <w:szCs w:val="22"/>
          <w:u w:val="single" w:color="auto"/>
          <w:color w:val="0000FF"/>
        </w:rPr>
        <w:t>Maturity Date or the</w:t>
      </w:r>
      <w:r>
        <w:rPr>
          <w:rFonts w:ascii="Times New Roman" w:cs="Times New Roman" w:eastAsia="Times New Roman" w:hAnsi="Times New Roman"/>
          <w:sz w:val="22"/>
          <w:szCs w:val="22"/>
          <w:color w:val="auto"/>
        </w:rPr>
        <w:t xml:space="preserve"> Revolving Maturity Date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as the case may be</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Borrowings</w:t>
      </w:r>
      <w:r>
        <w:rPr>
          <w:rFonts w:ascii="Times New Roman" w:cs="Times New Roman" w:eastAsia="Times New Roman" w:hAnsi="Times New Roman"/>
          <w:sz w:val="22"/>
          <w:szCs w:val="22"/>
          <w:color w:val="auto"/>
        </w:rPr>
        <w:t xml:space="preserve">. To request a Revolving Borrowing </w:t>
      </w:r>
      <w:r>
        <w:rPr>
          <w:rFonts w:ascii="Times New Roman" w:cs="Times New Roman" w:eastAsia="Times New Roman" w:hAnsi="Times New Roman"/>
          <w:sz w:val="22"/>
          <w:szCs w:val="22"/>
          <w:color w:val="0000FF"/>
        </w:rPr>
        <w:t>or Term Borrowing</w:t>
      </w:r>
      <w:r>
        <w:rPr>
          <w:rFonts w:ascii="Times New Roman" w:cs="Times New Roman" w:eastAsia="Times New Roman" w:hAnsi="Times New Roman"/>
          <w:sz w:val="22"/>
          <w:szCs w:val="22"/>
          <w:color w:val="auto"/>
        </w:rPr>
        <w:t>, the Borrower shall notify the Administrative Agent of such request by telephone (a) in the case of a Eurocurrency Borrowing, not later than 11:00 a.m., Pittsburgh time, three Business Days before the date of the proposed Borrowing or (b) in the case of an ABR Borrowing, not later than 11:00 a.m., Pittsburgh time, on the day of the proposed Borrowing. Each such telephonic Borrowing Request shall be irrevocable and shall be confirmed promptly by hand delivery or facsimile to the Administrative Agent of an executed written Borrowing Request. Each such telephonic and written Borrowing Request shall specify the following information in compliance with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-1111885</wp:posOffset>
            </wp:positionV>
            <wp:extent cx="1099820" cy="171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6">
                      <a:extLst>
                        <a:ext uri="{28A0092B-C50C-407E-A947-70E740481C1C}"/>
                      </a:extLst>
                    </a:blip>
                    <a:srcRect/>
                    <a:stretch>
                      <a:fillRect/>
                    </a:stretch>
                  </pic:blipFill>
                  <pic:spPr bwMode="auto">
                    <a:xfrm>
                      <a:off x="0" y="0"/>
                      <a:ext cx="1099820" cy="17145"/>
                    </a:xfrm>
                    <a:prstGeom prst="rect">
                      <a:avLst/>
                    </a:prstGeom>
                    <a:noFill/>
                  </pic:spPr>
                </pic:pic>
              </a:graphicData>
            </a:graphic>
          </wp:anchor>
        </w:drawing>
      </w:r>
    </w:p>
    <w:p>
      <w:pPr>
        <w:spacing w:after="0" w:line="158" w:lineRule="exact"/>
        <w:rPr>
          <w:sz w:val="20"/>
          <w:szCs w:val="20"/>
          <w:color w:val="auto"/>
        </w:rPr>
      </w:pPr>
    </w:p>
    <w:p>
      <w:pPr>
        <w:ind w:left="660" w:right="20" w:firstLine="644"/>
        <w:spacing w:after="0" w:line="258" w:lineRule="auto"/>
        <w:tabs>
          <w:tab w:leader="none" w:pos="2133"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[intentionally omitted];</w:t>
      </w:r>
      <w:r>
        <w:rPr>
          <w:rFonts w:ascii="Times New Roman" w:cs="Times New Roman" w:eastAsia="Times New Roman" w:hAnsi="Times New Roman"/>
          <w:sz w:val="22"/>
          <w:szCs w:val="22"/>
          <w:u w:val="single" w:color="auto"/>
          <w:color w:val="0000FF"/>
          <w:strike w:val="1"/>
        </w:rPr>
        <w:t>whether the requested Borrowing is to be a Term Borrowing or a</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Revolving Borrowing;</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such Borrowing;</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an ABR Borrowing or a Eurocurrency Borrowing;</w:t>
      </w:r>
    </w:p>
    <w:p>
      <w:pPr>
        <w:spacing w:after="0" w:line="206"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2002"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Eurocurrency Borrowing, the initial Interest Period to be applicable thereto, which shall be a period contemplated by the definition of the term “Interest Period”; and</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027"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account of the Borrower to which funds are to be disbursed or, in the case of any ABR Revolving Borrowing requested to finance the reimbursement of an LC Disbursement as provided in Section 2.05(f), the identity of the Issuing Bank that made such LC Disbursement.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If no election as to the Type of Borrowing is specified, then the requested Borrowing shall be an ABR Borrowing. If no Interest Period is specified with respect to any requested Eurocurrency Borrowing, then the Borrower shall be deemed to have selected an Interest Period of one month’s duration. Promptly following receipt of a Borrowing Request in accordance with this Section, the Administrative Agent shall advise each Lender </w:t>
      </w:r>
      <w:r>
        <w:rPr>
          <w:rFonts w:ascii="Times New Roman" w:cs="Times New Roman" w:eastAsia="Times New Roman" w:hAnsi="Times New Roman"/>
          <w:sz w:val="22"/>
          <w:szCs w:val="22"/>
          <w:u w:val="single" w:color="auto"/>
          <w:color w:val="0000FF"/>
        </w:rPr>
        <w:t>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applicable Class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the details thereof and of the amount of such Lender’s Loan to be made as part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requested Borrowing.</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(including Sections 2.07 and 2.13), any Revolving Loans made on the Restatement Effective Date </w:t>
      </w:r>
      <w:r>
        <w:rPr>
          <w:rFonts w:ascii="Times New Roman" w:cs="Times New Roman" w:eastAsia="Times New Roman" w:hAnsi="Times New Roman"/>
          <w:sz w:val="22"/>
          <w:szCs w:val="22"/>
          <w:color w:val="0000FF"/>
        </w:rPr>
        <w:t>and any Term Borrowings made on the First Amendment Effective Date</w:t>
      </w:r>
      <w:r>
        <w:rPr>
          <w:rFonts w:ascii="Times New Roman" w:cs="Times New Roman" w:eastAsia="Times New Roman" w:hAnsi="Times New Roman"/>
          <w:sz w:val="22"/>
          <w:szCs w:val="22"/>
          <w:color w:val="auto"/>
        </w:rPr>
        <w:t xml:space="preserve"> shall be Eurocurrency Borrowings with an Interest Period of one Month, except to the extent that pursuant to Section 1.06, such Revolving Loans become part of a Borrowing Tranche of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that were outstanding on the Restatement Effective Date under the Existing Credit Agreement. </w:t>
      </w:r>
      <w:r>
        <w:rPr>
          <w:rFonts w:ascii="Times New Roman" w:cs="Times New Roman" w:eastAsia="Times New Roman" w:hAnsi="Times New Roman"/>
          <w:sz w:val="22"/>
          <w:szCs w:val="22"/>
          <w:u w:val="single" w:color="auto"/>
          <w:color w:val="0000FF"/>
        </w:rPr>
        <w:t>No Term Loans may be borrowed after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-647065</wp:posOffset>
            </wp:positionV>
            <wp:extent cx="4088765" cy="171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7">
                      <a:extLst>
                        <a:ext uri="{28A0092B-C50C-407E-A947-70E740481C1C}"/>
                      </a:extLst>
                    </a:blip>
                    <a:srcRect/>
                    <a:stretch>
                      <a:fillRect/>
                    </a:stretch>
                  </pic:blipFill>
                  <pic:spPr bwMode="auto">
                    <a:xfrm>
                      <a:off x="0" y="0"/>
                      <a:ext cx="40887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4" w:name="page485"/>
    <w:bookmarkEnd w:id="484"/>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Subject to the terms and conditions set forth herein, the Swingline Lender agrees to make Swingline Loans to the Borrower from time to time during the Revolving Availability Period in Dollars (the “</w:t>
      </w:r>
      <w:r>
        <w:rPr>
          <w:rFonts w:ascii="Times New Roman" w:cs="Times New Roman" w:eastAsia="Times New Roman" w:hAnsi="Times New Roman"/>
          <w:sz w:val="22"/>
          <w:szCs w:val="22"/>
          <w:u w:val="single" w:color="auto"/>
          <w:color w:val="auto"/>
        </w:rPr>
        <w:t>Dollar Swingline Loans</w:t>
      </w:r>
      <w:r>
        <w:rPr>
          <w:rFonts w:ascii="Times New Roman" w:cs="Times New Roman" w:eastAsia="Times New Roman" w:hAnsi="Times New Roman"/>
          <w:sz w:val="22"/>
          <w:szCs w:val="22"/>
          <w:color w:val="auto"/>
        </w:rPr>
        <w:t>”) or in an Optional Currency (the “</w:t>
      </w:r>
      <w:r>
        <w:rPr>
          <w:rFonts w:ascii="Times New Roman" w:cs="Times New Roman" w:eastAsia="Times New Roman" w:hAnsi="Times New Roman"/>
          <w:sz w:val="22"/>
          <w:szCs w:val="22"/>
          <w:u w:val="single" w:color="auto"/>
          <w:color w:val="auto"/>
        </w:rPr>
        <w:t>Optional Currency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 xml:space="preserve">”) in an aggregate principal amount at any time outstanding that will not result in (i) the aggregate Dollar Equivalent principal amount of the outstanding Swingline Loans exceeding $50,000,000 or (ii) the Aggregate Revolving Exposure exceeding the Aggregate Revolving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Swingline Lender shall not be required to make a Swingline Loan to refinance an outstanding Swingline Loan unless such Swingline Loan is an Optional Currency Swingline Loan. Within the foregoing limits and subject to the terms and conditions set forth herein, the Borrower may borrow, prepay and reborrow Swingline Loans. Each Swingline Loan shall be in at least the minimum amounts required under Section 2.04(f) below. The interest rate for a Swingline Loan shall be determined in accordance with Section 2.13.</w:t>
      </w:r>
    </w:p>
    <w:p>
      <w:pPr>
        <w:spacing w:after="0" w:line="187" w:lineRule="exact"/>
        <w:rPr>
          <w:sz w:val="20"/>
          <w:szCs w:val="20"/>
          <w:color w:val="auto"/>
        </w:rPr>
      </w:pPr>
    </w:p>
    <w:p>
      <w:pPr>
        <w:jc w:val="both"/>
        <w:ind w:firstLine="1304"/>
        <w:spacing w:after="0" w:line="243" w:lineRule="auto"/>
        <w:tabs>
          <w:tab w:leader="none" w:pos="2063"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request a Swingline Loan, the Borrower shall notify the Administrative Agent of such request by telephone not later than 12:00 noon, Pittsburgh time (i) with respect to Dollar Swingline Loans, on the day of the proposed Dollar Swingline Loan and (ii) with respect to Optional Currency Swingline Loans, four (4) Business Days prior to the proposed Borrowing Date specifying (i) the amount to be borrowed, (ii) the requested Borrowing Date, (iii) the date such Swingline Loan is to be repaid, if applicable, which date shall be, with respect to Optional Currency Swingline Loans, one Month from the Borrowing Date (the “</w:t>
      </w:r>
      <w:r>
        <w:rPr>
          <w:rFonts w:ascii="Times New Roman" w:cs="Times New Roman" w:eastAsia="Times New Roman" w:hAnsi="Times New Roman"/>
          <w:sz w:val="21"/>
          <w:szCs w:val="21"/>
          <w:u w:val="single" w:color="auto"/>
          <w:color w:val="auto"/>
        </w:rPr>
        <w:t>Swingline Loan Repayment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(iv) the currency in which such Swingline Loan shall be funded. The request for such Swingline Loan shall be irrevocable. Provided that all applicable conditions precedent contained herein have been satisfied, the Swingline Lender shall, not later than 4:00 p.m., Pittsburgh time, on the date specified in the Borrower’s request for such Swingline Loan, make such Swingline Loan by crediting the Borrower’s deposit account with PNC or, in the case of any Swingline Loan requested to finance the reimbursement of an LC Disbursement as provided in Section 2.05(f), the account of the Issuing Bank that has made such LC Disbursement as notified to the Administrative Agent. Each such telephonic Borrowing Request shall be irrevocable and shall be irrevocable and shall be confirmed promptly by hand delivery or facsimile to the Administrative Agent of an executed written Borrowing Request. Promptly following the receipt of a Borrowing Request in accordance with this Section, the Administrative Agent shall advise the Swingline Lender of the details thereof. The obligation of the Borrower to repay the Swingline Loans shall be evidenced by two promissory notes of the Borrower dated the date hereof, payable to the order of the Swingline Lender and substantially in the form of Exhibit H-1 and Exhibit H-2 (as amended, supplemented or otherwise modified from time to time, the “</w:t>
      </w:r>
      <w:r>
        <w:rPr>
          <w:rFonts w:ascii="Times New Roman" w:cs="Times New Roman" w:eastAsia="Times New Roman" w:hAnsi="Times New Roman"/>
          <w:sz w:val="21"/>
          <w:szCs w:val="21"/>
          <w:u w:val="single" w:color="auto"/>
          <w:color w:val="auto"/>
        </w:rPr>
        <w:t>Swingline Notes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304"/>
        <w:spacing w:after="0" w:line="234" w:lineRule="auto"/>
        <w:tabs>
          <w:tab w:leader="none" w:pos="199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Swingline Loans shall be repaid on the earlier of (i) the Revolving Maturity Date or (ii) the Swingline Loan Repayment Date for such Swingline Loan, provided that with respect to an Optional Currency Swingline Loan, the Borrower may renew the Interest Period thereon by delivering a Swingline Loan Borrowing Request therefor at least four (4) Business Days prior to the proposed renewal thereof in accordance with the terms of Section 2.04(b) above. Notwithstanding anything to the contrary herein, any Swingline Loan at any time shall be repaid upon demand by the Administrative Agent (any such date being the “</w:t>
      </w:r>
      <w:r>
        <w:rPr>
          <w:rFonts w:ascii="Times New Roman" w:cs="Times New Roman" w:eastAsia="Times New Roman" w:hAnsi="Times New Roman"/>
          <w:sz w:val="22"/>
          <w:szCs w:val="22"/>
          <w:u w:val="single" w:color="auto"/>
          <w:color w:val="auto"/>
        </w:rPr>
        <w:t>Swingline Loan 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the Borrower shall indemnify the Swingline Lender and each other Lender pursuant to Section 2.16 on account of such repayment. Unless the Borrower shall have notified the Administrative Agent prior to 11:00 a.m., Pittsburgh time, on such Swingline Loan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5" w:name="page486"/>
    <w:bookmarkEnd w:id="48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Date (or, in the case of Optional Currency Swingline Loans, 11:00 a.m. Pittsburgh time four (4) Business Days prior to such Swingline Loan Conversion Date), that the Borrower intends to repay such Swingline Loan with funds other than the proceeds of a Revolving Loan, or, in the case of an Optional Currency Swingline Loan, renew the Interest Period with respect thereto, the Borrower shall be deemed to have given notice to the Administrative Agent requesting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to make Revolving Loans in U.S. Dollars in an amount equal to the Dollar Equivalent amount of such Swingline Loans, which Revolving Loans shall earn interest at the Alternate Base Rate in effect on the Swingline Loan Conversion Date in an aggregate Dollar Equivalent amount equal to the amount of such Swingline Loan plus interest thereon, and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shall, on the Swingline Loan Conversion Date, make ABR Loans (without the requirement that they comply with the conditions for Revolving Loans in Section 2.02 and/or Section 2.03), in an aggregate amount equal to the Dollar Equivalent amount of such Swingline Loan plus interest thereon, the proceeds of which shall be applied directly by the Administrative Agent to repay the Swingline Lender for such Swingline Loan then due plus accrued interest thereon; and provided, further, that if for any reason the proceeds of such Revolving Loans are not received by the Swingline Lender on the Swingline Loan Conversion Date in an aggregate amount equal to the amount of such Swingline Loan then due plus accrued interest thereon, the Borrower shall reimburse the Swingline Lender on the day immediately following the Swingline Loan Conversion Date, in same day funds, in an amount equal to the excess of the amount of such Swingline Loan then due over the aggregate amount of such Revolving Loans, if any, received plus accrued interest thereon.</w:t>
      </w:r>
    </w:p>
    <w:p>
      <w:pPr>
        <w:spacing w:after="0" w:line="188" w:lineRule="exact"/>
        <w:rPr>
          <w:sz w:val="20"/>
          <w:szCs w:val="20"/>
          <w:color w:val="auto"/>
        </w:rPr>
      </w:pPr>
    </w:p>
    <w:p>
      <w:pPr>
        <w:jc w:val="both"/>
        <w:ind w:firstLine="1304"/>
        <w:spacing w:after="0" w:line="232" w:lineRule="auto"/>
        <w:tabs>
          <w:tab w:leader="none" w:pos="2182"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Borrower shall fail to repay the Swingline Lender as provided in Section 2.04(c), the Swingline Lender shall convert such Swingline Loan, if an Optional Currency Swingline Loan, to a Dollar Swingline Loan at the Dollar Equivalent amount of such Swingline Loan and the Administrative Agent shall promptly notify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of the unpaid Dollar Equivalent amount of such Swingline Loan and of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respective participation therein in a Dollar Equivalent amount equal to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Applicable Percentage of such Swingline Loan, as calculated at the date the Swingline Lender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converts the Optional Currency in which Optional Currency Swingline Loans are denominated into Dollars, if applicable.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shall make available to the Administrative Agent for payment to the Swingline Lender (and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hereby absolutely and unconditionally agrees to pay to the Swingline Lender on account of such participation) a Dollar Equivalent amount equal to its respective participation therein based on its Applicable Percentage of such Swingline Loan or Loans (plus accrued interest thereon), in Dollars and in same day funds at the office of the Administrative Agent specified in such notice. If such notice is delivered by the Administrative Agent by 11:00 a.m., Pittsburgh time,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shall make funds available to the Administrative Agent on that Business Day. If such notice is delivered after 11:00 a.m., Pittsburgh time,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shall make funds available to the Administrative Agent on the next Business Day. In the event that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fails to make available to the Administrative Agent the Dollar Equivalent amount of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participation in such unpaid amount as provided herein, the Swingline Lender shall be entitled to recover such amount on demand from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together with interest thereon at a rate per annum equal to the Federal Funds Effective Rate for each day during the period between the date such participation amount is required to be paid and the date on which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makes available its participation in such unpaid amount. The failure of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to make available to the Administrative Agent its Applicable Percentage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6" w:name="page487"/>
    <w:bookmarkEnd w:id="486"/>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any such unpaid amount shall not relieve any other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of its obligations hereunder to make available to the Administrative Agent its Applicable Percentage of such unpaid amount when due as set forth above. Each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acknowledges and agrees that, in making any Swingline Loan, the Swingline Lender shall be entitled to rely, and shall not incur any liability for relying, upon the representation and warranty of the Borrower deemed made pursuant to Section 4.02, unless, at least one Business Day prior to the time such Swingline Loan was made, the </w:t>
      </w:r>
      <w:r>
        <w:rPr>
          <w:rFonts w:ascii="Times New Roman" w:cs="Times New Roman" w:eastAsia="Times New Roman" w:hAnsi="Times New Roman"/>
          <w:sz w:val="21"/>
          <w:szCs w:val="21"/>
          <w:color w:val="FF0000"/>
          <w:strike w:val="1"/>
        </w:rPr>
        <w:t>Required</w:t>
      </w:r>
      <w:r>
        <w:rPr>
          <w:rFonts w:ascii="Times New Roman" w:cs="Times New Roman" w:eastAsia="Times New Roman" w:hAnsi="Times New Roman"/>
          <w:sz w:val="21"/>
          <w:szCs w:val="21"/>
          <w:u w:val="single" w:color="auto"/>
          <w:color w:val="0000FF"/>
        </w:rPr>
        <w:t>Majority in Interest of the Revolving</w:t>
      </w:r>
      <w:r>
        <w:rPr>
          <w:rFonts w:ascii="Times New Roman" w:cs="Times New Roman" w:eastAsia="Times New Roman" w:hAnsi="Times New Roman"/>
          <w:sz w:val="21"/>
          <w:szCs w:val="21"/>
          <w:color w:val="auto"/>
        </w:rPr>
        <w:t xml:space="preserve"> Lenders shall have notified the Swingline Lender (with a copy to the Administrative Agent) in writing that, as a result of one or more events or circumstances described in such notice, one or more of the conditions precedent set forth in Section 4.02(a) or 4.02(b) would not be satisfied if such Swingline Loan were then made (it being understood and agreed that, in the event the Swingline Lender shall have received any such notice, it shall have no obligation to make any Swingline Loan until and unless it shall be satisfied in its sole discretion that the events and circumstances described in such notice shall have been cured or otherwise shall have ceased to exist). Each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Lender shall comply with its obligation under this paragraph by wire transfer of immediately available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funds, in the same manner as provided in Section 2.06 with respect to Loans made by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Lender (and Section 2.06 shall apply, </w:t>
      </w:r>
      <w:r>
        <w:rPr>
          <w:rFonts w:ascii="Times New Roman" w:cs="Times New Roman" w:eastAsia="Times New Roman" w:hAnsi="Times New Roman"/>
          <w:sz w:val="21"/>
          <w:szCs w:val="21"/>
          <w:u w:val="single" w:color="auto"/>
          <w:color w:val="000000"/>
        </w:rPr>
        <w:t>mutatis mutandis</w:t>
      </w:r>
      <w:r>
        <w:rPr>
          <w:rFonts w:ascii="Times New Roman" w:cs="Times New Roman" w:eastAsia="Times New Roman" w:hAnsi="Times New Roman"/>
          <w:sz w:val="21"/>
          <w:szCs w:val="21"/>
          <w:color w:val="000000"/>
        </w:rPr>
        <w:t xml:space="preserve">, to the payment obligations of the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Lenders pursuant to this paragraph), and the Administrative Agent shall promptly remit to the Swingline Lender the amounts so received by it from the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Lenders that shall have made their payments pursuant to this paragraph and to the Swingline Lender, as their interests may appear;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any such payment so remitted shall be repaid to the Swingline Lender or to the Administrative Agent, as applicable, if and to the extent such payment is required to be refunded to the Borrower (or any other Person) for any reason. The purchase of participations in a Swingline Loan pursuant to this paragraph shall not constitute a Loan and shall not relieve the Borrower of its obligation to repay such Swingline Loan.</w:t>
      </w:r>
    </w:p>
    <w:p>
      <w:pPr>
        <w:spacing w:after="0" w:line="200" w:lineRule="exact"/>
        <w:rPr>
          <w:sz w:val="20"/>
          <w:szCs w:val="20"/>
          <w:color w:val="auto"/>
        </w:rPr>
      </w:pPr>
    </w:p>
    <w:p>
      <w:pPr>
        <w:spacing w:after="0" w:line="244" w:lineRule="exact"/>
        <w:rPr>
          <w:sz w:val="20"/>
          <w:szCs w:val="20"/>
          <w:color w:val="auto"/>
        </w:rPr>
      </w:pPr>
    </w:p>
    <w:p>
      <w:pPr>
        <w:jc w:val="both"/>
        <w:ind w:firstLine="1304"/>
        <w:spacing w:after="0" w:line="235" w:lineRule="auto"/>
        <w:tabs>
          <w:tab w:leader="none" w:pos="2097"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Aggregate Revolving Commitment is terminated in accordance with the terms hereof, the Swingline Loan Commitment shall also be terminated automatically. In the event the Borrower reduces the Aggregate Revolving Commitment to less than the Swingline Loan Commitment, the Swingline Loan Commitment shall immediately be reduced to an amount equal to the Aggregate Revolving Commitment. In the event the Borrower reduces the Aggregate Revolving Commitment to less than the outstanding Dollar Equivalent principal amount of the Swingline Loans then outstanding, the Borrower shall immediately repay the amount by which such outstanding Swingline Loans exceeds the Swingline Loan Commitment as so reduced plus accrued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7" w:name="page488"/>
    <w:bookmarkEnd w:id="487"/>
    <w:p>
      <w:pPr>
        <w:jc w:val="both"/>
        <w:ind w:firstLine="1304"/>
        <w:spacing w:after="0" w:line="235" w:lineRule="auto"/>
        <w:tabs>
          <w:tab w:leader="none" w:pos="2012"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there be more than (i) one (1) outstanding Dollar Swingline Loan, except as to Swingline Loans made pursuant to Section 2.04(h) and (ii) three (3) outstanding Optional Currency Swingline Loans, in each case unless otherwise agreed by the Swingline Lender. Each Dollar Swingline Loan shall be in a minimum original principal amount of $100,000 and integral multiples of $50,000, except as to Swingline Loans made pursuant to Section 2.04(h), as to which there shall be no minimum. Each Optional Currency Swingline Loan shall be in a minimum original principal amount of the Dollar Equivalent of $1,000,000 and integral multiples thereof, unless otherwise agreed by the Administrative Agent.</w:t>
      </w:r>
    </w:p>
    <w:p>
      <w:pPr>
        <w:spacing w:after="0" w:line="183" w:lineRule="exact"/>
        <w:rPr>
          <w:rFonts w:ascii="Times New Roman" w:cs="Times New Roman" w:eastAsia="Times New Roman" w:hAnsi="Times New Roman"/>
          <w:sz w:val="22"/>
          <w:szCs w:val="22"/>
          <w:color w:val="auto"/>
        </w:rPr>
      </w:pPr>
    </w:p>
    <w:p>
      <w:pPr>
        <w:jc w:val="both"/>
        <w:ind w:firstLine="1304"/>
        <w:spacing w:after="0" w:line="234" w:lineRule="auto"/>
        <w:tabs>
          <w:tab w:leader="none" w:pos="2268"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at any time and from time to time to prepay the Swingline Loans, in whole or in part, without premium or penalty (but in any event subject to Section 2.16), upon prior written, facsimile or telephonic notice to the Swingline Lender given by the Borrower no later than 11:00 a.m., Pittsburgh time, on the date of any proposed prepayment;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notice of the prepayment of any Optional Currency Swingline Loan shall be provided no later than 11:00 a.m., Pittsburgh time, four (4) Business Days prior to the date of prepayment unless otherwise agreed by the Swingline Lender. Each notice of prepayment shall specify the Swingline Loan to be prepaid and the amount to be prepaid, shall be irrevocable and shall commit the Borrower to prepay such amount on such date, with accrued interest thereon and any other amounts owed hereunder.</w:t>
      </w:r>
    </w:p>
    <w:p>
      <w:pPr>
        <w:spacing w:after="0" w:line="18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42" w:val="left"/>
        </w:tabs>
        <w:numPr>
          <w:ilvl w:val="1"/>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making Dollar Swingline Loans pursuant to the foregoing provisions of this Section 2.04, without the requirement for a specific request from the Borrower pursuant to subsection 2.04(b), the Swingline Lender may make Swingline Loans to the Borrower in Dollars in accordance with the provisions of any agreements between the Borrower and the Swingline Lender relating to the Borrower’s deposit, sweep and other accounts at the Swingline Lender and related arrangements and agreements regarding the management and investment of the Borrower’s cash assets that are satisfactory to the Administrative Agent and Swingline Lender (the “</w:t>
      </w:r>
      <w:r>
        <w:rPr>
          <w:rFonts w:ascii="Times New Roman" w:cs="Times New Roman" w:eastAsia="Times New Roman" w:hAnsi="Times New Roman"/>
          <w:sz w:val="21"/>
          <w:szCs w:val="21"/>
          <w:u w:val="single" w:color="auto"/>
          <w:color w:val="auto"/>
        </w:rPr>
        <w:t>Cash Management Agreements</w:t>
      </w:r>
      <w:r>
        <w:rPr>
          <w:rFonts w:ascii="Times New Roman" w:cs="Times New Roman" w:eastAsia="Times New Roman" w:hAnsi="Times New Roman"/>
          <w:sz w:val="21"/>
          <w:szCs w:val="21"/>
          <w:color w:val="auto"/>
        </w:rPr>
        <w:t>”) to the extent of the daily aggregate net negative balance in the Borrower’s accounts which are subject to the provisions of the Cash Management Agreements. Dollar Swingline Loans made pursuant to this subsection 2.04(h) in accordance with the provisions of the Cash Management Agreements shall</w:t>
      </w:r>
    </w:p>
    <w:p>
      <w:pPr>
        <w:spacing w:after="0" w:line="1" w:lineRule="exact"/>
        <w:rPr>
          <w:rFonts w:ascii="Times New Roman" w:cs="Times New Roman" w:eastAsia="Times New Roman" w:hAnsi="Times New Roman"/>
          <w:sz w:val="21"/>
          <w:szCs w:val="21"/>
          <w:color w:val="auto"/>
        </w:rPr>
      </w:pPr>
    </w:p>
    <w:p>
      <w:pPr>
        <w:jc w:val="both"/>
        <w:ind w:firstLine="8"/>
        <w:spacing w:after="0" w:line="242" w:lineRule="auto"/>
        <w:tabs>
          <w:tab w:leader="none" w:pos="280"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 subject to the limitations as to aggregate amount set forth in subsection 2.04(f), (ii) not be subject to the limitations as to individual amount set forth above in this Section 2.04, (iii) be payable by the Borrower, both as to principal and interest, at the times set forth in the Cash Management Agreements (but in no event later than the Revolving Maturity Date), (iv) not be made at any time after the </w:t>
      </w:r>
      <w:r>
        <w:rPr>
          <w:rFonts w:ascii="Times New Roman" w:cs="Times New Roman" w:eastAsia="Times New Roman" w:hAnsi="Times New Roman"/>
          <w:sz w:val="21"/>
          <w:szCs w:val="21"/>
          <w:color w:val="FF0000"/>
          <w:strike w:val="1"/>
        </w:rPr>
        <w:t>Required</w:t>
      </w:r>
      <w:r>
        <w:rPr>
          <w:rFonts w:ascii="Times New Roman" w:cs="Times New Roman" w:eastAsia="Times New Roman" w:hAnsi="Times New Roman"/>
          <w:sz w:val="21"/>
          <w:szCs w:val="21"/>
          <w:u w:val="single" w:color="auto"/>
          <w:color w:val="0000FF"/>
        </w:rPr>
        <w:t>Majority in Interest of the Revolving</w:t>
      </w:r>
      <w:r>
        <w:rPr>
          <w:rFonts w:ascii="Times New Roman" w:cs="Times New Roman" w:eastAsia="Times New Roman" w:hAnsi="Times New Roman"/>
          <w:sz w:val="21"/>
          <w:szCs w:val="21"/>
          <w:color w:val="auto"/>
        </w:rPr>
        <w:t xml:space="preserve"> Lenders shall have notified the Swingline Lender (with a copy to the Administrative Agent) in writing that, as a result of one or more events or circumstances described in such notice, one or more of the conditions precedent set forth in Section 4.02(a) or 4.02(b) would not be satisfied if such Swingline Loan were then made (unless the Administrative Agent shall be satisfied in its sole discretion that the events and circumstances described in such notice shall have been cured or otherwise shall have ceased to exist), (v) not be subject to the notice and timing provisions set forth above in this Section, (vi) if not repaid by the Borrower in accordance with the provisions of the Cash Management Agreements, be subject to each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Lender’s obligation to purchase participating interests therein pursuant to Section 2.04(d), and (vii) except as provided in the foregoing subsections (i) through (vi), be subject to all of the terms and conditions of this Section 2.04. If any Cash Management Agreements are in effect, Dollar Swingline Loans shall only be made pursuant to such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8" w:name="page489"/>
    <w:bookmarkEnd w:id="488"/>
    <w:p>
      <w:pPr>
        <w:jc w:val="both"/>
        <w:ind w:firstLine="1304"/>
        <w:spacing w:after="0" w:line="236" w:lineRule="auto"/>
        <w:tabs>
          <w:tab w:leader="none" w:pos="2159" w:val="left"/>
        </w:tabs>
        <w:numPr>
          <w:ilvl w:val="0"/>
          <w:numId w:val="34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 xml:space="preserve">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shall ratably in accordance with its Applicable Percentage, indemnify the Swingline Lender, its affiliates and their respective directors, officers, agents and employees (to the extent not reimbursed by the Borrower) against any cost, expense (including reasonable counsel fees and expenses), claim, demand, action, loss or liability (except any of the foregoing that results from the indemnitees’ gross negligence or willful misconduct) that such indemnitees may suffer or incur in connection with this Section 2.04 or any action taken or omitted by such indemnitees hereunder.</w:t>
      </w:r>
    </w:p>
    <w:p>
      <w:pPr>
        <w:spacing w:after="0" w:line="181"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the Borrower may request the issuance of Letters of Credit for its own account, denominated in either Dollars or an Optional Currency and in a form reasonably acceptable to the Administrative Agent and the applicable Issuing Bank, at any time and from time to time during the Revolving Availability Period. On the Restatement Effective Date, each Existing Letter of Credit shall be deemed, for all purposes of this Agreement (including paragraphs (d) and (f) of this Section), to be a Letter of Credit issued hereunder for the account of the Borrower. The Borrower unconditionally and irrevocably agrees that, in connection with any Existing Letter of Credit, it will be fully responsible for the reimbursement of LC Disbursements, the payment of interest thereon and the payment of fees due under Section 2.12(c) to the same extent as if it were the account party in respect of such Existing Letter of Credit. Notwithstanding anything contained in any letter of credit application furnished to any Issuing Bank in connection with the issuance of any Letter of Credit, (i) all provisions of such letter of credit application purporting to grant liens in favor of the Issuing Bank to secure obligations in respect of such Letter of Credit shall be disregarded, it being agreed that such obligations shall be secured to the extent provided in this Agreement and in the Security Documents, and (ii) in the event of any inconsistency between the terms and conditions of such letter of credit application and the terms and conditions of this Agreement, the terms and conditions of this Agreement shall control.</w:t>
      </w:r>
    </w:p>
    <w:p>
      <w:pPr>
        <w:spacing w:after="0" w:line="191" w:lineRule="exact"/>
        <w:rPr>
          <w:sz w:val="20"/>
          <w:szCs w:val="20"/>
          <w:color w:val="auto"/>
        </w:rPr>
      </w:pPr>
    </w:p>
    <w:p>
      <w:pPr>
        <w:jc w:val="both"/>
        <w:ind w:firstLine="1304"/>
        <w:spacing w:after="0" w:line="232" w:lineRule="auto"/>
        <w:tabs>
          <w:tab w:leader="none" w:pos="2047"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Extension; Certain Conditions.</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fax (or transmit by electronic communication, if arrangements for doing so have been approved by the recipient) to the applicable Issuing Bank and the Administrative Agent, reasonably in advance of the requested date of issuance, amendment, renewal or extension (but in no event less than five (5) Business Days unless otherwise agreed to by such Issuing Bank), a notice requesting the issuance of a Letter of Credit, or identifying the Letter of Credit to be amended, renewed or extended, and specifying the requested date of issuance, amendment, renewal or extension (which shall be a Business Day), the date on which such Letter of Credit is to expire (which shall comply with paragraph (c) of this Section), the amount of such Letter of Credit, whether such Letter of Credit will be in Dollars or an Optional Currency (and, if in an Optional Currency, which Optional Currency), the name and address of the beneficiary thereof and such other information as shall be necessary to enable the applicable Issuing Bank to prepare, amend, renew or extend such Letter of Credit. If requested by the applicable Issuing Bank, the Borrower also shall submit a letter of credit application on such Issuing Bank’s standard form in connection with any such request. A Letter of Credit shall be issued, amended, renewed or extended only if (and upon each issuance, amendment, renewal or extension of any Letter of Credit the Borrower shall be deemed to represent and warrant that), after giving effect to such issuance, amendment, renewal or extension, (i) the LC Exposure will not exceed $50,000,000 (the “</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and (ii) the Aggregate Revolving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89" w:name="page490"/>
    <w:bookmarkEnd w:id="489"/>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will not exceed the Aggregate Revolving Commitment. Each Issuing Bank agrees that it shall not permit any issuance, amendment, renewal or extension of a Letter of Credit to occur unless it shall have given to the Administrative Agent the written notice thereof required under paragraph (l)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written notice shall not be required for any Letter of Credit issued by an Issuing Bank that is at such time also the Administrative Agent.</w:t>
      </w:r>
    </w:p>
    <w:p>
      <w:pPr>
        <w:spacing w:after="0" w:line="177" w:lineRule="exact"/>
        <w:rPr>
          <w:sz w:val="20"/>
          <w:szCs w:val="20"/>
          <w:color w:val="auto"/>
        </w:rPr>
      </w:pPr>
    </w:p>
    <w:p>
      <w:pPr>
        <w:jc w:val="both"/>
        <w:ind w:firstLine="1304"/>
        <w:spacing w:after="0" w:line="234" w:lineRule="auto"/>
        <w:tabs>
          <w:tab w:leader="none" w:pos="2049"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Revolving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each Existing Letter of Credit shall expire in accordance with the terms thereof, but any extension or renewal thereof shall be subject to the conditions of this paragraph (c), and (B) any Letter of Credit may contain customary automatic renewal provisions agreed upon by the Borrower and the applicable Issuing Bank pursuant to which the expiration date of such Letter of Credit shall automatically be extended for a period of up to 12 months (but not to a date later than the date set forth in clause (ii) above), subject to a right on the part of such Issuing Bank to prevent any such renewal from occurring by giving notice to the beneficiary in advance of any such renewal.</w:t>
      </w:r>
    </w:p>
    <w:p>
      <w:pPr>
        <w:spacing w:after="0" w:line="179" w:lineRule="exact"/>
        <w:rPr>
          <w:rFonts w:ascii="Times New Roman" w:cs="Times New Roman" w:eastAsia="Times New Roman" w:hAnsi="Times New Roman"/>
          <w:sz w:val="22"/>
          <w:szCs w:val="22"/>
          <w:color w:val="auto"/>
        </w:rPr>
      </w:pPr>
    </w:p>
    <w:p>
      <w:pPr>
        <w:jc w:val="both"/>
        <w:ind w:firstLine="1304"/>
        <w:spacing w:after="0" w:line="232" w:lineRule="auto"/>
        <w:tabs>
          <w:tab w:leader="none" w:pos="199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(or an amendment to a Letter of Credit increasing the amount thereof) and without any further action on the part of the applicable Issuing Bank or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the Issuing Bank that is the issuer thereof hereby grants to each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and each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hereby acquires from such Issuing Bank, a participation in such Letter of Credit equal to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Applicable Percentage of the aggregate amount available to be drawn under such Letter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Credit. In consideration and in furtherance of the foregoing,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hereby absolutely and unconditionally agrees to pay to the Administrative Agent, for the account of such Issuing Bank,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Applicable Percentage of each LC Disbursement made by such Issuing Bank under such Letter of Credit and not reimbursed by the Borrower on the date due as provided in paragraph (f) of this Section, or of any reimbursement payment required to be refunded to the Borrower or any other Person for any reason.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acknowledges and agrees that its obligation to acquire participations pursuant to this paragraph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 respect of Letters of Credit is absolute and unconditional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further acknowledges and agrees that, in issuing, amending, renewing or extending any Letter of Credit, the applicable Issuing Bank shall be entitled to rely, and shall not incur any liability for relying, upon the representation and warranty of the Borrower deemed made pursuant to Section 4.02, unless, at least one Business Day prior to the time such Letter of Credit is issued, amended, renewed or extended, the </w:t>
      </w:r>
      <w:r>
        <w:rPr>
          <w:rFonts w:ascii="Times New Roman" w:cs="Times New Roman" w:eastAsia="Times New Roman" w:hAnsi="Times New Roman"/>
          <w:sz w:val="22"/>
          <w:szCs w:val="22"/>
          <w:color w:val="FF0000"/>
          <w:strike w:val="1"/>
        </w:rPr>
        <w:t>Required</w:t>
      </w:r>
      <w:r>
        <w:rPr>
          <w:rFonts w:ascii="Times New Roman" w:cs="Times New Roman" w:eastAsia="Times New Roman" w:hAnsi="Times New Roman"/>
          <w:sz w:val="22"/>
          <w:szCs w:val="22"/>
          <w:u w:val="single" w:color="auto"/>
          <w:color w:val="0000FF"/>
        </w:rPr>
        <w:t>Majority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Interest of the 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shall have notified the applicable Issuing Bank (with a copy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Agent) in writing that, as a result of one or more events or circumstances described in such notice, one or more of the conditions precedent set forth in Section 4.02(a) or 4.02(b) would not be satisfied if such Letter of Credit were then issued, amended, renewed or extended (it being understood and agreed that, in the event any Issuing Bank shall have received any such notice, it shall have no obligation to issue, amend, renew or extend any Letter of Credit until and unless it shall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0" w:name="page491"/>
    <w:bookmarkEnd w:id="490"/>
    <w:p>
      <w:pPr>
        <w:ind w:right="20"/>
        <w:spacing w:after="0" w:line="258" w:lineRule="auto"/>
        <w:rPr>
          <w:sz w:val="20"/>
          <w:szCs w:val="20"/>
          <w:color w:val="auto"/>
        </w:rPr>
      </w:pPr>
      <w:r>
        <w:rPr>
          <w:rFonts w:ascii="Times New Roman" w:cs="Times New Roman" w:eastAsia="Times New Roman" w:hAnsi="Times New Roman"/>
          <w:sz w:val="22"/>
          <w:szCs w:val="22"/>
          <w:color w:val="auto"/>
        </w:rPr>
        <w:t>in its sole discretion that the events and circumstances described in such notice shall have been cured or otherwise shall have ceased to exist).</w:t>
      </w:r>
    </w:p>
    <w:p>
      <w:pPr>
        <w:spacing w:after="0" w:line="158" w:lineRule="exact"/>
        <w:rPr>
          <w:sz w:val="20"/>
          <w:szCs w:val="20"/>
          <w:color w:val="auto"/>
        </w:rPr>
      </w:pPr>
    </w:p>
    <w:p>
      <w:pPr>
        <w:jc w:val="both"/>
        <w:ind w:firstLine="1304"/>
        <w:spacing w:after="0" w:line="236" w:lineRule="auto"/>
        <w:tabs>
          <w:tab w:leader="none" w:pos="2049"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w:t>
      </w:r>
      <w:r>
        <w:rPr>
          <w:rFonts w:ascii="Times New Roman" w:cs="Times New Roman" w:eastAsia="Times New Roman" w:hAnsi="Times New Roman"/>
          <w:sz w:val="22"/>
          <w:szCs w:val="22"/>
          <w:color w:val="auto"/>
        </w:rPr>
        <w:t xml:space="preserve"> Each Issuing Bank shall, promptly following its receipt thereof, examine all documents purporting to represent a demand for payment under a Letter of Credit and shall promptly notify the Administrative Agent and the Borrower by telephone (confirmed promptly by hand delivery or facsimile)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such LC Disbursement.</w:t>
      </w:r>
    </w:p>
    <w:p>
      <w:pPr>
        <w:spacing w:after="0" w:line="181"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71"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xml:space="preserve"> If an Issuing Bank shall make an LC Disbursement in respect of a Letter of Credit, the Borrower shall reimburse such LC Disbursement in Dollars by paying to the Administrative Agent an amount equal to the Dollar Equivalent amount of such LC Disbursement not later than (i) if the Borrower shall have received notice of such LC Disbursement prior to 10:00 a.m., Pittsburgh time, on any Business Day, then 1:00 p.m., Pittsburgh time, on such Business Day or (ii) otherwise, 1:00 p.m., Pittsburgh time, on the Business Day immediately following the day that the Borrower receives such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amount of such LC Disbursement is $500,000 or more, the Borrower may, subject to the conditions to borrowing set forth herein, request in accordance with Section 2.03 or 2.04 that such payment be financed with an ABR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Borrowing in Dollars or a Dollar Swingline Loan and, to the extent so financed, the Borrower’s obligation to make such payment shall be discharged and replaced by the resulting ABR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Borrowing or Dollar Swingline Loan. If the Borrower fails to reimburse any LC Disbursement by the time specified above, the Administrative Agent shall notify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of such failure, the payment then due in Dollars from the Borrower in respect of the applicable LC Disbursement and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Applicable Percentage thereof. Promptly following receipt of such notice,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shall pay to the Administrative Agent in Dollars its Applicable Percentage of the amount then due in Dollars from the Borrower, in the same manner as provided in Section 2.06 with respect to Loans made by such Lender (and Section 2.06 shall apply, </w:t>
      </w:r>
      <w:r>
        <w:rPr>
          <w:rFonts w:ascii="Times New Roman" w:cs="Times New Roman" w:eastAsia="Times New Roman" w:hAnsi="Times New Roman"/>
          <w:sz w:val="22"/>
          <w:szCs w:val="22"/>
          <w:u w:val="single" w:color="auto"/>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mutandis</w:t>
      </w:r>
      <w:r>
        <w:rPr>
          <w:rFonts w:ascii="Times New Roman" w:cs="Times New Roman" w:eastAsia="Times New Roman" w:hAnsi="Times New Roman"/>
          <w:sz w:val="22"/>
          <w:szCs w:val="22"/>
          <w:color w:val="auto"/>
        </w:rPr>
        <w:t xml:space="preserve">, to the payment obligations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pursuant to this paragraph), and the Administrative Agent shall promptly remit to the applicable Issuing Bank the amounts so received by it from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Promptly following receipt by the Administrative Agent of any payment from the Borrower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pursuant to this paragraph, the Administrative Agent shall distribute such payment to the applicable Issuing Bank or, to the extent that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have made payments pursuant to this paragraph to reimburse such Issuing Bank, then to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and such Issuing Bank as their interests may appear. Any payment made by a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pursuant to this paragraph to reimburse an Issuing Bank for an LC Disbursement (other than the funding of an ABR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Borrowing in Dollars or a Dollar Swingline Loan as contemplated above) shall not constitute a Loan and shall not relieve the Borrower of its obligation to reimburse such LC Disbursement.</w:t>
      </w:r>
    </w:p>
    <w:p>
      <w:pPr>
        <w:spacing w:after="0" w:line="203" w:lineRule="exact"/>
        <w:rPr>
          <w:rFonts w:ascii="Times New Roman" w:cs="Times New Roman" w:eastAsia="Times New Roman" w:hAnsi="Times New Roman"/>
          <w:sz w:val="22"/>
          <w:szCs w:val="22"/>
          <w:color w:val="auto"/>
        </w:rPr>
      </w:pPr>
    </w:p>
    <w:p>
      <w:pPr>
        <w:jc w:val="both"/>
        <w:ind w:firstLine="1304"/>
        <w:spacing w:after="0" w:line="236" w:lineRule="auto"/>
        <w:tabs>
          <w:tab w:leader="none" w:pos="2236"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paragraph (f) of this Section, and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participation obligation as provided in paragraph (d)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thereof or hereof, (ii) any 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1" w:name="page492"/>
    <w:bookmarkEnd w:id="49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paragraph, constitute a legal or equitable discharge of, or provide a right of setoff against, the Borrower’s or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court of competent jurisdiction in a final and nonappealable judgment),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7" w:lineRule="exact"/>
        <w:rPr>
          <w:sz w:val="20"/>
          <w:szCs w:val="20"/>
          <w:color w:val="auto"/>
        </w:rPr>
      </w:pPr>
    </w:p>
    <w:p>
      <w:pPr>
        <w:jc w:val="both"/>
        <w:ind w:firstLine="1304"/>
        <w:spacing w:after="0" w:line="233" w:lineRule="auto"/>
        <w:tabs>
          <w:tab w:leader="none" w:pos="214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 Issuing Bank shall make any LC Disbursement, then, unless the Borrower shall reimburse such LC Disbursement in full in Dollars on the date such LC Disbursement is made, the unpaid Dollar Equivalent amount thereof shall bear interest, for each day from and including the date such LC Disbursement is made to but excluding the date that the Borrower reimburses such LC Disbursement in full in Dollars, at the rate per annum then applicable to ABR Revolving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such LC Disbursement when due pursuant to paragraph (f) of this Section, then Section 2.13(d) shall apply. Interest accrued pursuant to this paragraph shall be paid to the Administrative Agent, for the account of the applicable Issuing Bank, except that interest accrued on and after the date of payment by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pursuant to paragraph (f) of this Section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7"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15"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that the Borrower receives notice from the Administrative Agent or the Required Lenders </w:t>
      </w:r>
      <w:r>
        <w:rPr>
          <w:rFonts w:ascii="Times New Roman" w:cs="Times New Roman" w:eastAsia="Times New Roman" w:hAnsi="Times New Roman"/>
          <w:sz w:val="22"/>
          <w:szCs w:val="22"/>
          <w:u w:val="single" w:color="auto"/>
          <w:color w:val="0000FF"/>
        </w:rPr>
        <w:t>(or, if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maturity of the Loans has been accelerated, a Majority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2" w:name="page493"/>
    <w:bookmarkEnd w:id="492"/>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0000FF"/>
        </w:rPr>
        <w:t>of the Revolving Lenders)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demanding the deposit of cash collateral pursuant to this paragraph, the Borrower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deposit in an account with the Administrative Agent, in the name of the Administrative Agent and for the benefit of the Lenders, an amount in cash in Dollars equal to the LC Exposure as of such date plus any accrued and unpaid interest thereon;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Dollars in accordance with this paragraph as and to the extent required by Section 2.11(b) or 2.20. Each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Banks in Dollars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w:t>
      </w:r>
      <w:r>
        <w:rPr>
          <w:rFonts w:ascii="Times New Roman" w:cs="Times New Roman" w:eastAsia="Times New Roman" w:hAnsi="Times New Roman"/>
          <w:sz w:val="22"/>
          <w:szCs w:val="22"/>
          <w:color w:val="FF0000"/>
          <w:strike w:val="1"/>
        </w:rPr>
        <w:t>the Required</w:t>
      </w:r>
      <w:r>
        <w:rPr>
          <w:rFonts w:ascii="Times New Roman" w:cs="Times New Roman" w:eastAsia="Times New Roman" w:hAnsi="Times New Roman"/>
          <w:sz w:val="22"/>
          <w:szCs w:val="22"/>
          <w:u w:val="single" w:color="auto"/>
          <w:color w:val="0000FF"/>
        </w:rPr>
        <w:t>a Majority in Interest of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be applied to satisfy other obligations of the Borrower under this Agreement. If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Borrower is required to provide an amount of cash collateral hereunder as a result of the occurrence of an Event of Default, such amount (to the extent not applied as aforesaid) shall be returned to the Borrower, upon the written request of the Borrower, within three Business Days after all Events of Default have been cured or waived. If the Borrower is required to provide an amount of cash collateral hereunder pursuant to Section 2.11(b), such amount (to the extent not applied as aforesaid) shall be returned to the Borrower as and to the extent that, after giving effect to such return, the Aggregate Revolving Exposure would not exceed the Aggregate Revolving Commitment and no Default shall have occurred and be continuing.</w:t>
      </w:r>
    </w:p>
    <w:p>
      <w:pPr>
        <w:spacing w:after="0" w:line="177" w:lineRule="exact"/>
        <w:rPr>
          <w:sz w:val="20"/>
          <w:szCs w:val="20"/>
          <w:color w:val="auto"/>
        </w:rPr>
      </w:pPr>
    </w:p>
    <w:p>
      <w:pPr>
        <w:jc w:val="both"/>
        <w:ind w:firstLine="1304"/>
        <w:spacing w:after="0" w:line="246" w:lineRule="auto"/>
        <w:tabs>
          <w:tab w:leader="none" w:pos="1999"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Additional Issuing Banks.</w:t>
      </w:r>
      <w:r>
        <w:rPr>
          <w:rFonts w:ascii="Times New Roman" w:cs="Times New Roman" w:eastAsia="Times New Roman" w:hAnsi="Times New Roman"/>
          <w:sz w:val="21"/>
          <w:szCs w:val="21"/>
          <w:color w:val="auto"/>
        </w:rPr>
        <w:t xml:space="preserve"> The Borrower may, at any time and from time to time, with the consent of the Administrative Agent (which consent shall not be unreasonably withheld), designate as additional Issuing Banks one or more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Lenders that agree to serve in such capacity as provided below. The acceptance by a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of an appointment as an Issuing Bank hereunder shall be evidenced by an agreement, which shall be in form and substance reasonably satisfactory to the Administrative Agent, executed by the Borrower, the Administrative Agent and such designated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and, from and after the effective date of such agreement, (i)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shall have all the rights and obligations of an Issuing Bank under this Agreement and (ii) references herein to the term “Issuing Bank” shall be deemed to include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in its capacity as an issuer of Letters of Credit hereunder.</w:t>
      </w:r>
    </w:p>
    <w:p>
      <w:pPr>
        <w:spacing w:after="0" w:line="175" w:lineRule="exact"/>
        <w:rPr>
          <w:rFonts w:ascii="Times New Roman" w:cs="Times New Roman" w:eastAsia="Times New Roman" w:hAnsi="Times New Roman"/>
          <w:sz w:val="21"/>
          <w:szCs w:val="21"/>
          <w:color w:val="auto"/>
        </w:rPr>
      </w:pPr>
    </w:p>
    <w:p>
      <w:pPr>
        <w:jc w:val="both"/>
        <w:ind w:firstLine="1304"/>
        <w:spacing w:after="0" w:line="238" w:lineRule="auto"/>
        <w:tabs>
          <w:tab w:leader="none" w:pos="2155"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an Issuing Bank.</w:t>
      </w:r>
      <w:r>
        <w:rPr>
          <w:rFonts w:ascii="Times New Roman" w:cs="Times New Roman" w:eastAsia="Times New Roman" w:hAnsi="Times New Roman"/>
          <w:sz w:val="22"/>
          <w:szCs w:val="22"/>
          <w:color w:val="auto"/>
        </w:rPr>
        <w:t xml:space="preserve">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3" w:name="page494"/>
    <w:bookmarkEnd w:id="493"/>
    <w:p>
      <w:pPr>
        <w:jc w:val="both"/>
        <w:spacing w:after="0" w:line="235" w:lineRule="auto"/>
        <w:rPr>
          <w:sz w:val="20"/>
          <w:szCs w:val="20"/>
          <w:color w:val="auto"/>
        </w:rPr>
      </w:pPr>
      <w:r>
        <w:rPr>
          <w:rFonts w:ascii="Times New Roman" w:cs="Times New Roman" w:eastAsia="Times New Roman" w:hAnsi="Times New Roman"/>
          <w:sz w:val="22"/>
          <w:szCs w:val="22"/>
          <w:color w:val="auto"/>
        </w:rPr>
        <w:t>termination shall become effective until and unless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2.12(c).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83" w:lineRule="exact"/>
        <w:rPr>
          <w:sz w:val="20"/>
          <w:szCs w:val="20"/>
          <w:color w:val="auto"/>
        </w:rPr>
      </w:pPr>
    </w:p>
    <w:p>
      <w:pPr>
        <w:jc w:val="both"/>
        <w:ind w:firstLine="1304"/>
        <w:spacing w:after="0" w:line="232" w:lineRule="auto"/>
        <w:tabs>
          <w:tab w:leader="none" w:pos="229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 Reports to the Administrative Agent.</w:t>
      </w:r>
      <w:r>
        <w:rPr>
          <w:rFonts w:ascii="Times New Roman" w:cs="Times New Roman" w:eastAsia="Times New Roman" w:hAnsi="Times New Roman"/>
          <w:sz w:val="22"/>
          <w:szCs w:val="22"/>
          <w:color w:val="auto"/>
        </w:rPr>
        <w:t xml:space="preserve">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(and whether such issuance is in Dollars or an Optional Currency),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(in the applicable currency or currencies)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(and whether in Dollars or an Optional Currency) of such LC Disbursement, (iv) on any Business Day on which the Borrower fails to reimburse an LC Disbursement required to be reimbursed to such Issuing Bank on such day, the date of such failure and the amount of such LC Disbursement (and whether such LC Disbursement was in Dollars or an Optional Currency) and (v) on any other Business Day, such other information as the Administrative Agent shall reasonably request as to the Letters of Credit issued by such Issuing Bank. Notwithstanding the foregoing, if such Issuing Bank is the same institution as the Administrative Agent, it shall not be required to provide the foregoing report to the Administrative Agent.</w:t>
      </w:r>
    </w:p>
    <w:p>
      <w:pPr>
        <w:spacing w:after="0" w:line="188"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9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LC Exposure Determination.</w:t>
      </w:r>
      <w:r>
        <w:rPr>
          <w:rFonts w:ascii="Times New Roman" w:cs="Times New Roman" w:eastAsia="Times New Roman" w:hAnsi="Times New Roman"/>
          <w:sz w:val="22"/>
          <w:szCs w:val="22"/>
          <w:color w:val="auto"/>
        </w:rPr>
        <w:t xml:space="preserve">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Each Lender shall make each Loan to be made by it hereunder on the proposed date thereof by wire transfer of immediately available funds by 1:00 pm, Pittsburgh time, to the account of the Administrative Agent most recently designated by it for such purpose by notice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Section 2.04. The Administrative Agent will make such Loans available to the Borrower by promptly remitting the amounts so received, in like funds, to an account of the Borrower or, in the case of ABR Revolving Loans made to finance the reimbursement of an LC Disbursement as provided in Section 2.05(f), to the Issuing Bank specified by the Borrower in the applicable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4" w:name="page495"/>
    <w:bookmarkEnd w:id="494"/>
    <w:p>
      <w:pPr>
        <w:jc w:val="both"/>
        <w:ind w:firstLine="1304"/>
        <w:spacing w:after="0" w:line="232" w:lineRule="auto"/>
        <w:tabs>
          <w:tab w:leader="none" w:pos="217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(or, in the case of Swingline Loans or other amounts due in an Optional Currency, the Overnight Rate) and a rate determined by the Administrative Agent in accordance with banking industry rules on interbank compensation or (ii) in the case of a payment to be made by the Borrower, the interest rate applicable to ABR Revolving Loans (or, at the election of the Swingline Lender with respect to Optional Currency Swingline Loans, the rate otherwise applicable to such Optional Currency Swingline Loans). If such Lender pays such amount to the Administrative Agent, then such amount shall constitute such Lender’s Loan included in such Borrowing.</w:t>
      </w:r>
    </w:p>
    <w:p>
      <w:pPr>
        <w:spacing w:after="0" w:line="19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Each Revolving Borrowing </w:t>
      </w:r>
      <w:r>
        <w:rPr>
          <w:rFonts w:ascii="Times New Roman" w:cs="Times New Roman" w:eastAsia="Times New Roman" w:hAnsi="Times New Roman"/>
          <w:sz w:val="22"/>
          <w:szCs w:val="22"/>
          <w:color w:val="0000FF"/>
        </w:rPr>
        <w:t>and Term Borrowing</w:t>
      </w:r>
      <w:r>
        <w:rPr>
          <w:rFonts w:ascii="Times New Roman" w:cs="Times New Roman" w:eastAsia="Times New Roman" w:hAnsi="Times New Roman"/>
          <w:sz w:val="22"/>
          <w:szCs w:val="22"/>
          <w:color w:val="auto"/>
        </w:rPr>
        <w:t xml:space="preserve"> initially shall be of the Type and, in the case of a Eurocurrency Borrowing, shall have an initial Interest Period as specified in the applicable Borrowing Request or as otherwise provided in Section 2.03. Thereafter, the Borrower may elect to convert such Borrowing to a Borrowing of a different Type or to continue such Borrowing and, in the case of a Eurocurrency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4615180</wp:posOffset>
            </wp:positionH>
            <wp:positionV relativeFrom="paragraph">
              <wp:posOffset>-1263015</wp:posOffset>
            </wp:positionV>
            <wp:extent cx="1211580" cy="171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9">
                      <a:extLst>
                        <a:ext uri="{28A0092B-C50C-407E-A947-70E740481C1C}"/>
                      </a:extLst>
                    </a:blip>
                    <a:srcRect/>
                    <a:stretch>
                      <a:fillRect/>
                    </a:stretch>
                  </pic:blipFill>
                  <pic:spPr bwMode="auto">
                    <a:xfrm>
                      <a:off x="0" y="0"/>
                      <a:ext cx="1211580" cy="17145"/>
                    </a:xfrm>
                    <a:prstGeom prst="rect">
                      <a:avLst/>
                    </a:prstGeom>
                    <a:noFill/>
                  </pic:spPr>
                </pic:pic>
              </a:graphicData>
            </a:graphic>
          </wp:anchor>
        </w:drawing>
      </w:r>
    </w:p>
    <w:p>
      <w:pPr>
        <w:spacing w:after="0" w:line="163" w:lineRule="exact"/>
        <w:rPr>
          <w:sz w:val="20"/>
          <w:szCs w:val="20"/>
          <w:color w:val="auto"/>
        </w:rPr>
      </w:pPr>
    </w:p>
    <w:p>
      <w:pPr>
        <w:jc w:val="both"/>
        <w:ind w:firstLine="1304"/>
        <w:spacing w:after="0" w:line="235" w:lineRule="auto"/>
        <w:tabs>
          <w:tab w:leader="none" w:pos="2033"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Borrower shall notify the Administrative Agent of such election by telephone by the time that a Borrowing Request would be required under Section 2.03 if the Borrower were requesting a Revolving Borrowing of the Type resulting from such election to be made on the effective date of such election. Each such telephonic Interest Election Request shall be irrevocable and shall be confirmed promptly by hand delivery or facsimile to the Administrative Agent of an executed written Interest Election Request. Each telephonic and written Interest Election Request shall specify the following information in compliance with Section 2.02:</w:t>
      </w:r>
    </w:p>
    <w:p>
      <w:pPr>
        <w:spacing w:after="0" w:line="183" w:lineRule="exact"/>
        <w:rPr>
          <w:sz w:val="20"/>
          <w:szCs w:val="20"/>
          <w:color w:val="auto"/>
        </w:rPr>
      </w:pPr>
    </w:p>
    <w:p>
      <w:pPr>
        <w:jc w:val="both"/>
        <w:ind w:left="660" w:firstLine="644"/>
        <w:spacing w:after="0" w:line="239" w:lineRule="auto"/>
        <w:tabs>
          <w:tab w:leader="none" w:pos="204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2068"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5" w:name="page496"/>
    <w:bookmarkEnd w:id="495"/>
    <w:p>
      <w:pPr>
        <w:ind w:left="1960" w:hanging="656"/>
        <w:spacing w:after="0"/>
        <w:tabs>
          <w:tab w:leader="none" w:pos="1960"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resulting Borrowing is to be an ABR Borrowing or a Eurocurrency Borrowing;</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jc w:val="both"/>
        <w:ind w:left="660" w:firstLine="644"/>
        <w:spacing w:after="0" w:line="244" w:lineRule="auto"/>
        <w:tabs>
          <w:tab w:leader="none" w:pos="2146"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resulting Borrowing is to be a Eurocurrency Borrowing, the Interest Period to be applicable thereto after giving effect to such election, which shall be a period contemplated by the definition of the term “Interest Period”.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any such Interest Election Request requests a Eurocurrency Borrowing but does not specify an Interest Period, then the Borrower shall be deemed to have selected an Interest Period of one month’s duration.</w:t>
      </w:r>
    </w:p>
    <w:p>
      <w:pPr>
        <w:spacing w:after="0" w:line="158" w:lineRule="exact"/>
        <w:rPr>
          <w:sz w:val="20"/>
          <w:szCs w:val="20"/>
          <w:color w:val="auto"/>
        </w:rPr>
      </w:pPr>
    </w:p>
    <w:p>
      <w:pPr>
        <w:jc w:val="both"/>
        <w:ind w:right="20" w:firstLine="1304"/>
        <w:spacing w:after="0" w:line="244" w:lineRule="auto"/>
        <w:tabs>
          <w:tab w:leader="none" w:pos="1995"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73" w:lineRule="exact"/>
        <w:rPr>
          <w:rFonts w:ascii="Times New Roman" w:cs="Times New Roman" w:eastAsia="Times New Roman" w:hAnsi="Times New Roman"/>
          <w:sz w:val="22"/>
          <w:szCs w:val="22"/>
          <w:color w:val="auto"/>
        </w:rPr>
      </w:pPr>
    </w:p>
    <w:p>
      <w:pPr>
        <w:jc w:val="both"/>
        <w:ind w:firstLine="1304"/>
        <w:spacing w:after="0" w:line="233" w:lineRule="auto"/>
        <w:tabs>
          <w:tab w:leader="none" w:pos="2279"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Borrower fails to deliver a timely Interest Election Request with respect to a Eurocurrency Borrowing of Revolving Loans </w:t>
      </w:r>
      <w:r>
        <w:rPr>
          <w:rFonts w:ascii="Times New Roman" w:cs="Times New Roman" w:eastAsia="Times New Roman" w:hAnsi="Times New Roman"/>
          <w:sz w:val="22"/>
          <w:szCs w:val="22"/>
          <w:color w:val="0000FF"/>
        </w:rPr>
        <w:t>or Term Loans, as the case may be,</w:t>
      </w:r>
      <w:r>
        <w:rPr>
          <w:rFonts w:ascii="Times New Roman" w:cs="Times New Roman" w:eastAsia="Times New Roman" w:hAnsi="Times New Roman"/>
          <w:sz w:val="22"/>
          <w:szCs w:val="22"/>
          <w:color w:val="auto"/>
        </w:rPr>
        <w:t xml:space="preserve"> prior to the end of the Interest Period applicable thereto, then, unless such Borrowing is repaid as provided herein, at the end of such Interest Period such Borrowing shall be continued as a Eurocurrency Borrowing with an Interest Period of one month’s duration. Notwithstanding any contrary provision hereof, if an Event of Default under clause (h) or (i) of Article VII has occurred and is continuing with respect to the Borrower, or if any other Event of Default has occurred and is continuing and the Administrative Agent, at the request of a Majority in Interest of Lenders of any Class, has notified the Borrower of the election to give effect to this sentence on account of such other Event of Default, then, in each such case, so long as such Event of Default is continuing, (i) no outstanding Borrowing of such Class may be converted to or continued as a Eurocurrency Borrowing and (ii) unless repaid, each Eurocurrency Borrowing of such Class shall be converted to an ABR Borrowing at the end of the Interest Period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-1570355</wp:posOffset>
            </wp:positionV>
            <wp:extent cx="2035175" cy="171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1">
                      <a:extLst>
                        <a:ext uri="{28A0092B-C50C-407E-A947-70E740481C1C}"/>
                      </a:extLst>
                    </a:blip>
                    <a:srcRect/>
                    <a:stretch>
                      <a:fillRect/>
                    </a:stretch>
                  </pic:blipFill>
                  <pic:spPr bwMode="auto">
                    <a:xfrm>
                      <a:off x="0" y="0"/>
                      <a:ext cx="2035175" cy="17145"/>
                    </a:xfrm>
                    <a:prstGeom prst="rect">
                      <a:avLst/>
                    </a:prstGeom>
                    <a:noFill/>
                  </pic:spPr>
                </pic:pic>
              </a:graphicData>
            </a:graphic>
          </wp:anchor>
        </w:drawing>
      </w:r>
    </w:p>
    <w:p>
      <w:pPr>
        <w:spacing w:after="0" w:line="16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and Reduction of Commitments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rPr>
        <w:t>(a) The Term Commitments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shall automatically terminate at 5:00 p.m. Pittsburgh time on the First Amendment Effective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Commitments shall automatically terminate on the Revolving Maturity Date.</w:t>
      </w:r>
    </w:p>
    <w:p>
      <w:pPr>
        <w:spacing w:after="0" w:line="173" w:lineRule="exact"/>
        <w:rPr>
          <w:sz w:val="20"/>
          <w:szCs w:val="20"/>
          <w:color w:val="auto"/>
        </w:rPr>
      </w:pPr>
    </w:p>
    <w:p>
      <w:pPr>
        <w:jc w:val="both"/>
        <w:ind w:firstLine="1304"/>
        <w:spacing w:after="0" w:line="236" w:lineRule="auto"/>
        <w:tabs>
          <w:tab w:leader="none" w:pos="2007" w:val="left"/>
        </w:tabs>
        <w:numPr>
          <w:ilvl w:val="0"/>
          <w:numId w:val="35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rPr>
        <w:t xml:space="preserve">(b) </w:t>
      </w:r>
      <w:r>
        <w:rPr>
          <w:rFonts w:ascii="Times New Roman" w:cs="Times New Roman" w:eastAsia="Times New Roman" w:hAnsi="Times New Roman"/>
          <w:sz w:val="22"/>
          <w:szCs w:val="22"/>
          <w:color w:val="000000"/>
        </w:rPr>
        <w:t>The Borrower may at any time terminate, or from time to time permanently reduce,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the Commitments of any Class;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or Swingline Loans in accordance with Section 2.11, the Aggregate Revolving Exposure would exceed the Aggregate Revolving Commitment.</w:t>
      </w:r>
    </w:p>
    <w:p>
      <w:pPr>
        <w:spacing w:after="0" w:line="181" w:lineRule="exact"/>
        <w:rPr>
          <w:rFonts w:ascii="Times New Roman" w:cs="Times New Roman" w:eastAsia="Times New Roman" w:hAnsi="Times New Roman"/>
          <w:sz w:val="22"/>
          <w:szCs w:val="22"/>
          <w:u w:val="single" w:color="auto"/>
          <w:color w:val="0000FF"/>
        </w:rPr>
      </w:pPr>
    </w:p>
    <w:p>
      <w:pPr>
        <w:jc w:val="both"/>
        <w:ind w:firstLine="1304"/>
        <w:spacing w:after="0" w:line="238" w:lineRule="auto"/>
        <w:tabs>
          <w:tab w:leader="none" w:pos="2008" w:val="left"/>
        </w:tabs>
        <w:numPr>
          <w:ilvl w:val="0"/>
          <w:numId w:val="35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rPr>
        <w:t xml:space="preserve">(c) </w:t>
      </w:r>
      <w:r>
        <w:rPr>
          <w:rFonts w:ascii="Times New Roman" w:cs="Times New Roman" w:eastAsia="Times New Roman" w:hAnsi="Times New Roman"/>
          <w:sz w:val="22"/>
          <w:szCs w:val="22"/>
          <w:color w:val="000000"/>
        </w:rPr>
        <w:t>The Borrower shall notify the Administrative Agent of any election to terminate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reduce the Commitments under paragraph (b) of this Section at least three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-1764030</wp:posOffset>
            </wp:positionV>
            <wp:extent cx="40830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2">
                      <a:extLst>
                        <a:ext uri="{28A0092B-C50C-407E-A947-70E740481C1C}"/>
                      </a:extLst>
                    </a:blip>
                    <a:srcRect/>
                    <a:stretch>
                      <a:fillRect/>
                    </a:stretch>
                  </pic:blipFill>
                  <pic:spPr bwMode="auto">
                    <a:xfrm>
                      <a:off x="0" y="0"/>
                      <a:ext cx="408305"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-701040</wp:posOffset>
            </wp:positionV>
            <wp:extent cx="41783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3">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6" w:name="page497"/>
    <w:bookmarkEnd w:id="496"/>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or reduction of the Revolving Commitments under paragraph (b) of this Section may state that such notice is conditioned upon the occurrence of one or more events specified therein,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w:t>
      </w:r>
      <w:r>
        <w:rPr>
          <w:rFonts w:ascii="Times New Roman" w:cs="Times New Roman" w:eastAsia="Times New Roman" w:hAnsi="Times New Roman"/>
          <w:sz w:val="22"/>
          <w:szCs w:val="22"/>
          <w:color w:val="0000FF"/>
        </w:rPr>
        <w:t>in such Class</w:t>
      </w:r>
      <w:r>
        <w:rPr>
          <w:rFonts w:ascii="Times New Roman" w:cs="Times New Roman" w:eastAsia="Times New Roman" w:hAnsi="Times New Roman"/>
          <w:sz w:val="22"/>
          <w:szCs w:val="22"/>
          <w:color w:val="auto"/>
        </w:rPr>
        <w:t xml:space="preserve"> in accordance with their respective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-182880</wp:posOffset>
            </wp:positionV>
            <wp:extent cx="758190" cy="171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5">
                      <a:extLst>
                        <a:ext uri="{28A0092B-C50C-407E-A947-70E740481C1C}"/>
                      </a:extLst>
                    </a:blip>
                    <a:srcRect/>
                    <a:stretch>
                      <a:fillRect/>
                    </a:stretch>
                  </pic:blipFill>
                  <pic:spPr bwMode="auto">
                    <a:xfrm>
                      <a:off x="0" y="0"/>
                      <a:ext cx="758190" cy="1714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hereby unconditionally promises to pay (i) to the Administrative Agent for the account of each Lender the then unpaid principal amount of each Revolving Loan of such Lender on the Revolving Maturity Date,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color w:val="auto"/>
        </w:rPr>
        <w:t xml:space="preserve"> (ii) </w:t>
      </w:r>
      <w:r>
        <w:rPr>
          <w:rFonts w:ascii="Times New Roman" w:cs="Times New Roman" w:eastAsia="Times New Roman" w:hAnsi="Times New Roman"/>
          <w:sz w:val="22"/>
          <w:szCs w:val="22"/>
          <w:u w:val="single" w:color="auto"/>
          <w:color w:val="0000FF"/>
        </w:rPr>
        <w:t>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Administrative Agent for the account of each Lender the then unpaid principal amount of each Term Loan of such Lender as provided in Section 2.10 and (iii)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the Swingline Lender the then unpaid principal amount of each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Swingline Loan on the Revolving Maturity Date or as required pursuant to Section 2.04.</w:t>
      </w:r>
    </w:p>
    <w:p>
      <w:pPr>
        <w:spacing w:after="0" w:line="181" w:lineRule="exact"/>
        <w:rPr>
          <w:sz w:val="20"/>
          <w:szCs w:val="20"/>
          <w:color w:val="auto"/>
        </w:rPr>
      </w:pPr>
    </w:p>
    <w:p>
      <w:pPr>
        <w:jc w:val="both"/>
        <w:ind w:firstLine="1304"/>
        <w:spacing w:after="0" w:line="238" w:lineRule="auto"/>
        <w:tabs>
          <w:tab w:leader="none" w:pos="2046"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records maintained by the Administrative Agent and the Lenders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of the existence and amounts of the obligations of the Borrower in respect of the Loans, LC Disbursements, interest and fees due or accrued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the Administrative Agent or any Lender to maintain such records or any error therein shall not in any manner affect the obligation of the Borrower to pay any amounts due hereunder in accordance with the terms of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96"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8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115"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the Administrative Agent or the Swingline Lender, as the case may be, shall be made at the Principal Office (or, with respect to Optional Currency Loans, at the Principal Office or, if directed by the Administrative Agent, at such other office of the Administrative Agent as the Administrative Agent shall so direct) and in immediately available funds.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FF0000"/>
          <w:strike w:val="1"/>
        </w:rPr>
        <w:t>[Intentionally Omitted]</w:t>
      </w:r>
      <w:r>
        <w:rPr>
          <w:rFonts w:ascii="Times New Roman" w:cs="Times New Roman" w:eastAsia="Times New Roman" w:hAnsi="Times New Roman"/>
          <w:sz w:val="22"/>
          <w:szCs w:val="22"/>
          <w:u w:val="single" w:color="auto"/>
          <w:color w:val="0000FF"/>
        </w:rPr>
        <w:t>Amortization of Term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0" w:hanging="696"/>
        <w:spacing w:after="0"/>
        <w:tabs>
          <w:tab w:leader="none" w:pos="2000" w:val="left"/>
        </w:tabs>
        <w:numPr>
          <w:ilvl w:val="0"/>
          <w:numId w:val="35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To the extent not previously paid, all Term Loans shall be due and payable on the Maturity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w:t>
      </w:r>
    </w:p>
    <w:p>
      <w:pPr>
        <w:spacing w:after="0" w:line="182" w:lineRule="exact"/>
        <w:rPr>
          <w:sz w:val="20"/>
          <w:szCs w:val="20"/>
          <w:color w:val="auto"/>
        </w:rPr>
      </w:pPr>
    </w:p>
    <w:p>
      <w:pPr>
        <w:jc w:val="both"/>
        <w:ind w:firstLine="1304"/>
        <w:spacing w:after="0" w:line="244" w:lineRule="auto"/>
        <w:tabs>
          <w:tab w:leader="none" w:pos="2209" w:val="left"/>
        </w:tabs>
        <w:numPr>
          <w:ilvl w:val="0"/>
          <w:numId w:val="36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Prior to any repayment of any Term Borrowings of any Class under this Section, the Borrower shall select the Borrowing or Borrowings of the applicable Class to be repaid and shall notify the Administrative Agent by telephone (confirmed by hand delivery or facsimile)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7" w:name="page498"/>
    <w:bookmarkEnd w:id="497"/>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0000FF"/>
        </w:rPr>
        <w:t>of such selection not later than 11:00 a.m., Pittsburgh time, three Business Days before the scheduled date of such repayment. Each repayment of a Term Borrowing shall be applied ratably to the Loans included in the repaid Term Borrowing. Repayments of Term Borrowings shall be accompanied by accrued interest on the amounts repaid.</w:t>
      </w:r>
    </w:p>
    <w:p>
      <w:pPr>
        <w:spacing w:after="0" w:line="18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shall have the right at any time and from time to time to prepay any Borrowing in whole or in part, subject to the requirements of this Section.</w:t>
      </w:r>
    </w:p>
    <w:p>
      <w:pPr>
        <w:spacing w:after="0" w:line="158" w:lineRule="exact"/>
        <w:rPr>
          <w:sz w:val="20"/>
          <w:szCs w:val="20"/>
          <w:color w:val="auto"/>
        </w:rPr>
      </w:pPr>
    </w:p>
    <w:p>
      <w:pPr>
        <w:jc w:val="both"/>
        <w:ind w:firstLine="1304"/>
        <w:spacing w:after="0" w:line="238" w:lineRule="auto"/>
        <w:tabs>
          <w:tab w:leader="none" w:pos="2165"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and on each occasion that the Aggregate Revolving Exposure exceeds the Aggregate Revolving Commitment (other than as a result of fluctuations in currencies), the Borrower shall prepay Revolving Borrowings or Swingline Borrowings (or, if no such Borrowings are outstanding, deposit cash collateral in an account with the Administrative Agent in accordance with Section 2.05(i)) in an aggregate amount equal to such excess. The Borrower also shall make the prepayments required under Section 2.27.</w:t>
      </w:r>
    </w:p>
    <w:p>
      <w:pPr>
        <w:spacing w:after="0" w:line="176" w:lineRule="exact"/>
        <w:rPr>
          <w:rFonts w:ascii="Times New Roman" w:cs="Times New Roman" w:eastAsia="Times New Roman" w:hAnsi="Times New Roman"/>
          <w:sz w:val="22"/>
          <w:szCs w:val="22"/>
          <w:color w:val="auto"/>
        </w:rPr>
      </w:pPr>
    </w:p>
    <w:p>
      <w:pPr>
        <w:jc w:val="both"/>
        <w:ind w:firstLine="1304"/>
        <w:spacing w:after="0" w:line="234" w:lineRule="auto"/>
        <w:tabs>
          <w:tab w:leader="none" w:pos="2008"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[Intentionally Omitted]</w:t>
      </w:r>
      <w:r>
        <w:rPr>
          <w:rFonts w:ascii="Times New Roman" w:cs="Times New Roman" w:eastAsia="Times New Roman" w:hAnsi="Times New Roman"/>
          <w:sz w:val="22"/>
          <w:szCs w:val="22"/>
          <w:u w:val="single" w:color="auto"/>
          <w:color w:val="0000FF"/>
          <w:strike w:val="1"/>
        </w:rPr>
        <w:t>Within five (5) Business Days following the sale or issuance of any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Equity Interests in the Borrower or a Borrower Parent Company in connection with a Public Offering, the Borrower shall make a mandatory prepayment on the Loans equal to one hundred percent (100%) of the Net Proceeds from such sale or issuance received by a Borrower Parent Company, the Borrower or any Subsidiary thereof. All prepayments required pursuant to the immediately preceding sentence shall be applied (i) first, to the payment of the Term Loans until the Term Loans have been paid in full, (ii) second, after the Term Loans have been paid in full, to the Dollar Swingline Loans until paid in full and (iii) third, after the Dollar Swingline Loans have been paid in full, to the Revolving Loans until paid in full. Payments applied to the Dollar Swingline Loans and the Revolving Loans shall not reduce the Revolving Commitment.</w:t>
      </w:r>
    </w:p>
    <w:p>
      <w:pPr>
        <w:spacing w:after="0" w:line="183"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00"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optional or mandatory prepayment of Borrowings under this Section, the Borrower shall specify the Borrowing or Borrowings to be prepaid in the notice of such prepayment delivered pursuant to paragraph (f) of this Section.</w:t>
      </w:r>
    </w:p>
    <w:p>
      <w:pPr>
        <w:spacing w:after="0" w:line="173" w:lineRule="exact"/>
        <w:rPr>
          <w:rFonts w:ascii="Times New Roman" w:cs="Times New Roman" w:eastAsia="Times New Roman" w:hAnsi="Times New Roman"/>
          <w:sz w:val="22"/>
          <w:szCs w:val="22"/>
          <w:color w:val="auto"/>
        </w:rPr>
      </w:pPr>
    </w:p>
    <w:p>
      <w:pPr>
        <w:jc w:val="both"/>
        <w:ind w:firstLine="1304"/>
        <w:spacing w:after="0" w:line="233" w:lineRule="auto"/>
        <w:tabs>
          <w:tab w:leader="none" w:pos="2058"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(and, in the case of prepayment of a Swingline Loan, the Swingline Lender) by telephone (confirmed by hand delivery or facsimile) of any optional prepayment and, to the extent practicable, any mandatory prepayment hereunder (i) in the case of prepayment of a Eurocurrency Borrowing (other than Optional Currency Swingline Loans), not later than 11:00 a.m., Pittsburgh time, three Business Days before the date of prepayment, (ii) in the case of prepayment of an Optional Currency Swingline Loan, not later than 11:00 Pittsburgh time, four Business Days before the date of prepayment, (iii) in the case of prepayment of an ABR Borrowing, not later than 11:00 a.m., Pittsburgh time, one Business Day before the date of prepayment or (iv) in the case of prepayment of a Dollar Swingline Loan, not later than 11:00 a.m., Pittsburgh time, on the date of prepayment as provided in Section 2.03(g). Each such notice shall be irrevocable and shall specify the prepayment date, the principal amount of each Borrowing or portion thereof to be prepaid (and, if applicable, the Optional Currency of any Optional Currency Swingline Loan being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if a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8" w:name="page499"/>
    <w:bookmarkEnd w:id="49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of optional prepayment is given in connection with a conditional notice of termination of the Revolving Commitments as contemplated by Section 2.08, then such notice of prepayment may be revoked if such notice of termination is revoked in accordance with Section </w:t>
      </w:r>
      <w:r>
        <w:rPr>
          <w:rFonts w:ascii="Times New Roman" w:cs="Times New Roman" w:eastAsia="Times New Roman" w:hAnsi="Times New Roman"/>
          <w:sz w:val="22"/>
          <w:szCs w:val="22"/>
          <w:color w:val="FF0000"/>
          <w:strike w:val="1"/>
        </w:rPr>
        <w:t>2.08.</w:t>
      </w:r>
      <w:r>
        <w:rPr>
          <w:rFonts w:ascii="Times New Roman" w:cs="Times New Roman" w:eastAsia="Times New Roman" w:hAnsi="Times New Roman"/>
          <w:sz w:val="22"/>
          <w:szCs w:val="22"/>
          <w:u w:val="single" w:color="auto"/>
          <w:color w:val="0000FF"/>
        </w:rPr>
        <w:t>2.08 and (B) a notice of prepayment of Term Borrowings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pursuant to paragraph (a) of this Section may state that such notice is conditioned upon the occurrence of one or more events or conditions precedent specified therein, in which case such notice may be revoked by the Borrower (by notice to the Administrative Agent on or prior to the specified date of prepayment) if such event does not occur or if such condition is not satisfied.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Promptly following receipt of any such notice (other than a notice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relating solely to Swingline Loans), the Administrative Agent shall advise the Lenders of the applicable Class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[Intentionally Omitted.]</w:t>
      </w:r>
    </w:p>
    <w:p>
      <w:pPr>
        <w:spacing w:after="0" w:line="206" w:lineRule="exact"/>
        <w:rPr>
          <w:sz w:val="20"/>
          <w:szCs w:val="20"/>
          <w:color w:val="auto"/>
        </w:rPr>
      </w:pPr>
    </w:p>
    <w:p>
      <w:pPr>
        <w:jc w:val="both"/>
        <w:ind w:firstLine="1304"/>
        <w:spacing w:after="0" w:line="244" w:lineRule="auto"/>
        <w:tabs>
          <w:tab w:leader="none" w:pos="1996"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agrees to pay to the Administrative Agent for the account of each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a commitment fee in Dollars, which shall accrue at the Applicable Rate on the daily unused Dollar Equivalent amount of the Revolving Commitment of such Lender during the period from and including the Restatement Effective Date to but excluding the date on which such Revolving Commitment terminates. Accrued commitment fees shall be payable in Dollars in arrears on the last day of March, June, September and December of each year and on the date on which the Revolving Commitments terminate, commencing on the first such date to occur after the Restatement Effective Date. All commitment fees shall be computed on the basis of a year of 360 days and shall be payable for the actual number of days elapsed (including the first day but excluding the last day). For purposes of computing commitment fees, a Revolving Commitment of a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shall be deemed to be used to the extent of the outstanding Revolving Loans and LC Exposure of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(and solely for the purposes of computing commitment fees, the Swingline Exposure of each Lender other than the Swingline Lender shall be disregarded for such purpose and the Swingline Loans shall be considered to be borrowed amounts under the Swingline Lender’s Revolving Commitment).</w:t>
      </w:r>
    </w:p>
    <w:p>
      <w:pPr>
        <w:spacing w:after="0" w:line="183" w:lineRule="exact"/>
        <w:rPr>
          <w:rFonts w:ascii="Times New Roman" w:cs="Times New Roman" w:eastAsia="Times New Roman" w:hAnsi="Times New Roman"/>
          <w:sz w:val="21"/>
          <w:szCs w:val="21"/>
          <w:color w:val="auto"/>
        </w:rPr>
      </w:pPr>
    </w:p>
    <w:p>
      <w:pPr>
        <w:jc w:val="both"/>
        <w:ind w:firstLine="1304"/>
        <w:spacing w:after="0" w:line="233" w:lineRule="auto"/>
        <w:tabs>
          <w:tab w:leader="none" w:pos="2244"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to pay (i) to the Administrative Agent for the account of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(including the applicable Issuing Bank in its capacity as a Lender) a participation fee in Dollars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with respect to its participations in Letters of Credit, which shall accrue at the Applicable Rate used to determine the interest rate applicable to Eurocurrency Revolving Loans on the daily amount of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LC Exposure (excluding any portion thereof attributable to unreimbursed LC Disbursements) during the period from and including the Restatement Effective Date to but excluding the later of the date on which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Revolving Commitment terminates and the date on which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ceases to have any LC Exposure;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that</w:t>
      </w:r>
      <w:r>
        <w:rPr>
          <w:rFonts w:ascii="Times New Roman" w:cs="Times New Roman" w:eastAsia="Times New Roman" w:hAnsi="Times New Roman"/>
          <w:sz w:val="22"/>
          <w:szCs w:val="22"/>
          <w:color w:val="000000"/>
        </w:rPr>
        <w:t xml:space="preserve">, upon the occurrence of an Event of Default and until such Event of Default shall have been cured or waived, at the discretion of the Administrative Agent or upon written demand by the Required Lenders </w:t>
      </w:r>
      <w:r>
        <w:rPr>
          <w:rFonts w:ascii="Times New Roman" w:cs="Times New Roman" w:eastAsia="Times New Roman" w:hAnsi="Times New Roman"/>
          <w:sz w:val="22"/>
          <w:szCs w:val="22"/>
          <w:u w:val="single" w:color="auto"/>
          <w:color w:val="0000FF"/>
        </w:rPr>
        <w:t>(or, if the maturity of the Loans has been accelerated, a Majority in Interest of the Revolving Lenders)</w:t>
      </w:r>
      <w:r>
        <w:rPr>
          <w:rFonts w:ascii="Times New Roman" w:cs="Times New Roman" w:eastAsia="Times New Roman" w:hAnsi="Times New Roman"/>
          <w:sz w:val="22"/>
          <w:szCs w:val="22"/>
          <w:color w:val="000000"/>
        </w:rPr>
        <w:t xml:space="preserve"> to the Administrative Agent, the participation fee paid to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shall be increased by two percent (2%)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499" w:name="page500"/>
    <w:bookmarkEnd w:id="49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and (ii) to each Issuing Bank for its own account a fronting fee in Dollars, which shall accrue at a rate per annum equal to 0.125% on the average daily amount of the LC Exposure attributable to Letters of Credit issued by such Issuing Bank (excluding any portion thereof attributable to unreimbursed LC Disbursements) during the period from and including the Restatement Effective Date to but excluding the later of the date of termination of the Revolving Commitments and the date on which there ceases to be any such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Restatement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in Dollars for the actual number of days elapsed (including the first day but excluding the last day).</w:t>
      </w:r>
    </w:p>
    <w:p>
      <w:pPr>
        <w:spacing w:after="0" w:line="180" w:lineRule="exact"/>
        <w:rPr>
          <w:sz w:val="20"/>
          <w:szCs w:val="20"/>
          <w:color w:val="auto"/>
        </w:rPr>
      </w:pPr>
    </w:p>
    <w:p>
      <w:pPr>
        <w:jc w:val="both"/>
        <w:ind w:firstLine="1304"/>
        <w:spacing w:after="0" w:line="244" w:lineRule="auto"/>
        <w:tabs>
          <w:tab w:leader="none" w:pos="2010"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to pay to the Administrative Agent, for its own account, fees payable in the amounts and at the times separately agreed upon between the Borrower and the Administrative Agent, including as set forth in the Fee Letter.</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29"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immediately available funds, to the Administrative Agent (or to an Issuing Bank, in the case of fees payable to it) for distribution, in the case of commitment fees and participation fees, to the Lenders entitled thereto. Fees paid shall not be refundable under any circumstances.</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Loans comprising each ABR Borrowing (including any Dollar Swingline Loan bearing interest based on the Alternate Base Rate) shall bear interest at the Alternate Base Rate plus the Applicable Rate.</w:t>
      </w:r>
    </w:p>
    <w:p>
      <w:pPr>
        <w:spacing w:after="0" w:line="173" w:lineRule="exact"/>
        <w:rPr>
          <w:sz w:val="20"/>
          <w:szCs w:val="20"/>
          <w:color w:val="auto"/>
        </w:rPr>
      </w:pPr>
    </w:p>
    <w:p>
      <w:pPr>
        <w:ind w:right="20" w:firstLine="1304"/>
        <w:spacing w:after="0" w:line="282" w:lineRule="auto"/>
        <w:tabs>
          <w:tab w:leader="none" w:pos="2138"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Loans comprising each Eurocurrency Borrowing (other than any Swingline Loans) shall bear interest at the LIBO Rate for the Interest Period in effect for such Borrowing plus the Applicable Rate.</w:t>
      </w:r>
    </w:p>
    <w:p>
      <w:pPr>
        <w:spacing w:after="0" w:line="134" w:lineRule="exact"/>
        <w:rPr>
          <w:rFonts w:ascii="Times New Roman" w:cs="Times New Roman" w:eastAsia="Times New Roman" w:hAnsi="Times New Roman"/>
          <w:sz w:val="21"/>
          <w:szCs w:val="21"/>
          <w:color w:val="auto"/>
        </w:rPr>
      </w:pPr>
    </w:p>
    <w:p>
      <w:pPr>
        <w:jc w:val="both"/>
        <w:ind w:firstLine="1304"/>
        <w:spacing w:after="0" w:line="234" w:lineRule="auto"/>
        <w:tabs>
          <w:tab w:leader="none" w:pos="2049"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Except as provided in the next sentence hereof, each Dollar Swingline Loan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bear interest at the Daily LIBOR Rate plus the Applicable Rate for Revolving Loans that are Eurocurrency Loans (or such other rate that is mutually agreed to by the Borrower and the Swingline Lender in writing at the time such Swingline Loan is made); </w:t>
      </w:r>
      <w:r>
        <w:rPr>
          <w:rFonts w:ascii="Times New Roman" w:cs="Times New Roman" w:eastAsia="Times New Roman" w:hAnsi="Times New Roman"/>
          <w:sz w:val="22"/>
          <w:szCs w:val="22"/>
          <w:u w:val="single" w:color="auto"/>
          <w:color w:val="000000"/>
        </w:rPr>
        <w:t>provided that</w:t>
      </w:r>
      <w:r>
        <w:rPr>
          <w:rFonts w:ascii="Times New Roman" w:cs="Times New Roman" w:eastAsia="Times New Roman" w:hAnsi="Times New Roman"/>
          <w:sz w:val="22"/>
          <w:szCs w:val="22"/>
          <w:color w:val="000000"/>
        </w:rPr>
        <w:t xml:space="preserve"> if the Swingline Lender determines (which determination shall be conclusive absent manifest error) that adequate and reasonable means do not exist for ascertaining the Daily LIBOR Rate or that the Daily LIBOR Rate will not adequately and fairly reflect the cost of the Swingline Lender of making or maintaining such Swingline Loans, Dollar Swingline Loans shall bear interest at the Alternate Base Rate plus the Applicable Rate unless otherwise mutually agreed by the Borrower and the Swingline Lender in writing at the time such Swingline Loan is made. Notwithstanding the foregoing, in the case of Swingline Loans made in accordance with Cash Management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0" w:name="page501"/>
    <w:bookmarkEnd w:id="500"/>
    <w:p>
      <w:pPr>
        <w:spacing w:after="0" w:line="258" w:lineRule="auto"/>
        <w:rPr>
          <w:sz w:val="20"/>
          <w:szCs w:val="20"/>
          <w:color w:val="auto"/>
        </w:rPr>
      </w:pPr>
      <w:r>
        <w:rPr>
          <w:rFonts w:ascii="Times New Roman" w:cs="Times New Roman" w:eastAsia="Times New Roman" w:hAnsi="Times New Roman"/>
          <w:sz w:val="22"/>
          <w:szCs w:val="22"/>
          <w:color w:val="auto"/>
        </w:rPr>
        <w:t>pursuant to Section 2.04(h), such Swingline Loans shall bear interest as determined in accordance with such Cash Management Agreements.</w:t>
      </w:r>
    </w:p>
    <w:p>
      <w:pPr>
        <w:spacing w:after="0" w:line="158" w:lineRule="exact"/>
        <w:rPr>
          <w:sz w:val="20"/>
          <w:szCs w:val="20"/>
          <w:color w:val="auto"/>
        </w:rPr>
      </w:pPr>
    </w:p>
    <w:p>
      <w:pPr>
        <w:jc w:val="both"/>
        <w:ind w:left="660" w:firstLine="644"/>
        <w:spacing w:after="0" w:line="244" w:lineRule="auto"/>
        <w:tabs>
          <w:tab w:leader="none" w:pos="1950"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Optional Currency Swingline Loan shall bear interest at the LIBO Rate for the Interest Period in effect for such Borrowing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one Month) plus the Applicable Rate and no Optional Currency Swingline Loan shall bear interest based on the Alternate Base Rate.</w:t>
      </w:r>
    </w:p>
    <w:p>
      <w:pPr>
        <w:spacing w:after="0" w:line="173" w:lineRule="exact"/>
        <w:rPr>
          <w:sz w:val="20"/>
          <w:szCs w:val="20"/>
          <w:color w:val="auto"/>
        </w:rPr>
      </w:pPr>
    </w:p>
    <w:p>
      <w:pPr>
        <w:jc w:val="both"/>
        <w:ind w:firstLine="1304"/>
        <w:spacing w:after="0" w:line="233" w:lineRule="auto"/>
        <w:tabs>
          <w:tab w:leader="none" w:pos="2121"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per annum plus the rate otherwise applicable to such Loan as provided in the preceding paragraphs of this Section or (ii) in the case of any other amount, 2% per annum plus the rate applicable to ABR Revolving Loans as provided in paragraph (a) of this Section. In addition, but without duplication of the immediately preceding sentence, at any time that an Event of Default shall have occurred and be continuing, at the written request of the Required Lenders and whether or not any principal or interest of any Loan has not been paid when due, all Loans shall bear interest, after as well as before judgment, at a rate per annum equal to 2% per annum plus the rate otherwise applicable to such Loans as provided in the preceding paragraphs of this Section.</w:t>
      </w:r>
    </w:p>
    <w:p>
      <w:pPr>
        <w:spacing w:after="0" w:line="18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56"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Accrued interest on each Loan shall be payable in arrears on each Interest Payment Date for such Loan and</w:t>
      </w:r>
      <w:r>
        <w:rPr>
          <w:rFonts w:ascii="Times New Roman" w:cs="Times New Roman" w:eastAsia="Times New Roman" w:hAnsi="Times New Roman"/>
          <w:sz w:val="21"/>
          <w:szCs w:val="21"/>
          <w:u w:val="single" w:color="auto"/>
          <w:color w:val="0000FF"/>
        </w:rPr>
        <w:t>, in the case of a Revolving Loan,</w:t>
      </w:r>
      <w:r>
        <w:rPr>
          <w:rFonts w:ascii="Times New Roman" w:cs="Times New Roman" w:eastAsia="Times New Roman" w:hAnsi="Times New Roman"/>
          <w:sz w:val="21"/>
          <w:szCs w:val="21"/>
          <w:color w:val="auto"/>
        </w:rPr>
        <w:t xml:space="preserve"> upon termination of the Revolving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jc w:val="both"/>
        <w:ind w:firstLine="8"/>
        <w:spacing w:after="0" w:line="232" w:lineRule="auto"/>
        <w:tabs>
          <w:tab w:leader="none" w:pos="271"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pursuant to paragraph (d)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 Eurocurrency Loan prior to the end of the current Interest Period therefor, accrued interest on such Loan shall be payable on the effective date of such conversion.</w:t>
      </w:r>
    </w:p>
    <w:p>
      <w:pPr>
        <w:spacing w:after="0" w:line="182"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01" w:val="left"/>
        </w:tabs>
        <w:numPr>
          <w:ilvl w:val="1"/>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 interest computed by reference to the Alternate Base Rate shall be computed on the basis of a year of 365 days (or 366 days in a leap year) and (ii) in the case of interest in respect of Optional Currency Swingline Loans as to which market practice differs from the foregoing, in accordance with such market practice, and in each case shall be payable for the actual number of days elapsed (including the first day but excluding the last day). The applicable Alternate Base Rate, LIBO Rate or Daily LIBOR Rate shall be determined by the Administrative Agent, and such determination shall be conclusive absent manifest error.</w:t>
      </w:r>
    </w:p>
    <w:p>
      <w:pPr>
        <w:spacing w:after="0" w:line="179" w:lineRule="exact"/>
        <w:rPr>
          <w:rFonts w:ascii="Times New Roman" w:cs="Times New Roman" w:eastAsia="Times New Roman" w:hAnsi="Times New Roman"/>
          <w:sz w:val="22"/>
          <w:szCs w:val="22"/>
          <w:color w:val="auto"/>
        </w:rPr>
      </w:pPr>
    </w:p>
    <w:p>
      <w:pPr>
        <w:jc w:val="both"/>
        <w:ind w:firstLine="1304"/>
        <w:spacing w:after="0" w:line="237" w:lineRule="auto"/>
        <w:tabs>
          <w:tab w:leader="none" w:pos="2205" w:val="left"/>
        </w:tabs>
        <w:numPr>
          <w:ilvl w:val="1"/>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(i) whenever any interest or fee under this Agreement is calculated on the basis of a period of time other than a calendar year, such rate used in such calculation, when expressed as an annual rate, is equivalent to (x) such rate, multiplied by (y) the actual number of days in the calendar year in which the period for which such interest or fee is calculated ends, and divided by (z) the number of days in such period of time, (ii) the principle of deemed reinvestment of interest shall not apply to any interest calculation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1" w:name="page502"/>
    <w:bookmarkEnd w:id="501"/>
    <w:p>
      <w:pPr>
        <w:spacing w:after="0" w:line="258" w:lineRule="auto"/>
        <w:rPr>
          <w:sz w:val="20"/>
          <w:szCs w:val="20"/>
          <w:color w:val="auto"/>
        </w:rPr>
      </w:pPr>
      <w:r>
        <w:rPr>
          <w:rFonts w:ascii="Times New Roman" w:cs="Times New Roman" w:eastAsia="Times New Roman" w:hAnsi="Times New Roman"/>
          <w:sz w:val="22"/>
          <w:szCs w:val="22"/>
          <w:color w:val="auto"/>
        </w:rPr>
        <w:t>this Agreement, and (iii) the rates of interest stipulated in this Agreement are intended to be nominal rates and not effective rates or yields.</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If prior to the commencement of any Interest Period for a Eurocurrency Borrowing of any Class (including an Optional Currency Swingline Loan):</w:t>
      </w:r>
    </w:p>
    <w:p>
      <w:pPr>
        <w:spacing w:after="0" w:line="158" w:lineRule="exact"/>
        <w:rPr>
          <w:sz w:val="20"/>
          <w:szCs w:val="20"/>
          <w:color w:val="auto"/>
        </w:rPr>
      </w:pPr>
    </w:p>
    <w:p>
      <w:pPr>
        <w:jc w:val="both"/>
        <w:ind w:left="660" w:firstLine="644"/>
        <w:spacing w:after="0" w:line="239" w:lineRule="auto"/>
        <w:tabs>
          <w:tab w:leader="none" w:pos="225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 that adequate and reasonable means do not exist for ascertaining the LIBO Rate for such Interest Period or a contingency has occurred which materially and adversely affects the Relevant Interbank Market;</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201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a Majority in Interest of the Lenders of such Class (or, in the case of any Optional Currency Swingline Loan, by the Swingline Lender) that the LIBO Rate for such Interest Period will not adequately and fairly reflect the cost to such Lenders (or, if applicable, the Swingline Lender) of making or maintaining their Loans included in such Eurocurrency Borrowing for such Interest Period;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75"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a Majority Interest of the Lenders of such Class (or, in the case of Optional Currency Swingline Loans, by the Swingline Lender) that after making all reasonable efforts, deposits of the relevant amount in Dollars or in the Optional Currency (as applicable) for the relevant Interest Period for a Loan to which a LIBO Rate Option applies are not available to such Lender or the Swingline Lender, as applicable, with respect to such Loan in the Relevant Interbank Market; or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2045"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a Majority in Interest of the Lenders of such Class (or, in the case of Optional Currency Swingline Loans, by the Swingline Lender) that the making, maintenance or funding of any Loan to which a LIBO Rate Option applies has been made impractible or unlawful by compliance by such Lender (or the Swingline Lender, as the case may be) in good faith with any Law or any interpretation or application thereof by any Governmental Authority or with any request or directive of any such Governmental Authority (whether or not having the force of Law);</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then the Administrative Agent shall give notice (which may be telephonic) thereof to the Borrower and the Lenders of such Class as promptly as practicable and, subject to clause (b) below of this Section 2.14, until the Administrative Agent notifies the Borrower and the Lenders of such Class that the circumstances giving rise to such notice no longer exist, (x) any Interest Election Request that requests the conversion of any Borrowing of such Class to, or continuation of any Borrowing of such Class as, a Eurocurrency Borrowing shall be ineffective, and such Borrowing shall (I) in the case of a Revolving Loan </w:t>
      </w:r>
      <w:r>
        <w:rPr>
          <w:rFonts w:ascii="Times New Roman" w:cs="Times New Roman" w:eastAsia="Times New Roman" w:hAnsi="Times New Roman"/>
          <w:sz w:val="22"/>
          <w:szCs w:val="22"/>
          <w:color w:val="0000FF"/>
        </w:rPr>
        <w:t>or a Term Loan</w:t>
      </w:r>
      <w:r>
        <w:rPr>
          <w:rFonts w:ascii="Times New Roman" w:cs="Times New Roman" w:eastAsia="Times New Roman" w:hAnsi="Times New Roman"/>
          <w:sz w:val="22"/>
          <w:szCs w:val="22"/>
          <w:color w:val="auto"/>
        </w:rPr>
        <w:t>, be continued as an ABR Borrowing or converted to an ABR Borrowing (A) on the last day of the applicable Interest Period, as the case may be, if the Lenders may lawfully continue to maintain such Loans or (B) immediately if the Lenders may not lawfully continue to maintain such Loans, or (II) in the case of a Swingline Loan, be repaid in full (A) on the last day of the applicable Interest Period if the Swingline Lender may lawfully continue to maintain such Loans, (B) immediately if the Swingline Lender may not lawfully continue to maintain such Swingline Loans or (C) immediately if such Swingline Loan has no Interest Period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Swingline Loan at the Daily Libor Rate), (y) any Borrowing Request for a 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-1109345</wp:posOffset>
            </wp:positionV>
            <wp:extent cx="884555" cy="171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1">
                      <a:extLst>
                        <a:ext uri="{28A0092B-C50C-407E-A947-70E740481C1C}"/>
                      </a:extLst>
                    </a:blip>
                    <a:srcRect/>
                    <a:stretch>
                      <a:fillRect/>
                    </a:stretch>
                  </pic:blipFill>
                  <pic:spPr bwMode="auto">
                    <a:xfrm>
                      <a:off x="0" y="0"/>
                      <a:ext cx="8845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2" w:name="page503"/>
    <w:bookmarkEnd w:id="502"/>
    <w:p>
      <w:pPr>
        <w:spacing w:after="0" w:line="258" w:lineRule="auto"/>
        <w:rPr>
          <w:sz w:val="20"/>
          <w:szCs w:val="20"/>
          <w:color w:val="auto"/>
        </w:rPr>
      </w:pPr>
      <w:r>
        <w:rPr>
          <w:rFonts w:ascii="Times New Roman" w:cs="Times New Roman" w:eastAsia="Times New Roman" w:hAnsi="Times New Roman"/>
          <w:sz w:val="22"/>
          <w:szCs w:val="22"/>
          <w:color w:val="auto"/>
        </w:rPr>
        <w:t xml:space="preserve">Borrowing of Revolving Loans </w:t>
      </w:r>
      <w:r>
        <w:rPr>
          <w:rFonts w:ascii="Times New Roman" w:cs="Times New Roman" w:eastAsia="Times New Roman" w:hAnsi="Times New Roman"/>
          <w:sz w:val="22"/>
          <w:szCs w:val="22"/>
          <w:u w:val="single" w:color="auto"/>
          <w:color w:val="0000FF"/>
        </w:rPr>
        <w:t>or Term Loans</w:t>
      </w:r>
      <w:r>
        <w:rPr>
          <w:rFonts w:ascii="Times New Roman" w:cs="Times New Roman" w:eastAsia="Times New Roman" w:hAnsi="Times New Roman"/>
          <w:sz w:val="22"/>
          <w:szCs w:val="22"/>
          <w:color w:val="auto"/>
        </w:rPr>
        <w:t xml:space="preserve"> of such Class shall be treated as a request for an ABR Borrowing and (z) any Borrowing Request for an Optional Currency Swingline Loan will be deemed withdrawn.</w:t>
      </w:r>
    </w:p>
    <w:p>
      <w:pPr>
        <w:spacing w:after="0" w:line="158" w:lineRule="exact"/>
        <w:rPr>
          <w:sz w:val="20"/>
          <w:szCs w:val="20"/>
          <w:color w:val="auto"/>
        </w:rPr>
      </w:pPr>
    </w:p>
    <w:p>
      <w:pPr>
        <w:jc w:val="both"/>
        <w:ind w:firstLine="1304"/>
        <w:spacing w:after="0" w:line="233" w:lineRule="auto"/>
        <w:tabs>
          <w:tab w:leader="none" w:pos="1980"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(including without limitation the definition of LIBO Rate), if the Administrative Agent determines (which determination shall be final and conclusive, absent manifest error) that either (i)(x) the circumstances set forth in Section 2.14(a)(i) have arisen and are unlikely to be temporary or (y) the circumstances set forth in Section 2.14(a)(i) have not arisen but the applicable supervisor or administrator (if any) of LIBOR or a Governmental Authority having jurisdiction over the Administrative Agent has made a public statement identifying the specific date after which the LIBO Rate shall no longer be used for determining interest rates for loans (either of (i)(x) or (i)(y), a “</w:t>
      </w:r>
      <w:r>
        <w:rPr>
          <w:rFonts w:ascii="Times New Roman" w:cs="Times New Roman" w:eastAsia="Times New Roman" w:hAnsi="Times New Roman"/>
          <w:sz w:val="22"/>
          <w:szCs w:val="22"/>
          <w:u w:val="single" w:color="auto"/>
          <w:color w:val="auto"/>
        </w:rPr>
        <w:t>LIBOR Termination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or</w:t>
      </w:r>
      <w:r>
        <w:rPr>
          <w:rFonts w:ascii="Times New Roman" w:cs="Times New Roman" w:eastAsia="Times New Roman" w:hAnsi="Times New Roman"/>
          <w:sz w:val="22"/>
          <w:szCs w:val="22"/>
          <w:color w:val="auto"/>
        </w:rPr>
        <w:t xml:space="preserve"> (ii) the LIBO Rate is no longer a widely recognized benchmark rate for newly originated loans in Dollars in the U.S. market, then the Administrative Agent may (in consultation with the Borrower) choose a replacement index rate (“</w:t>
      </w:r>
      <w:r>
        <w:rPr>
          <w:rFonts w:ascii="Times New Roman" w:cs="Times New Roman" w:eastAsia="Times New Roman" w:hAnsi="Times New Roman"/>
          <w:sz w:val="22"/>
          <w:szCs w:val="22"/>
          <w:u w:val="single" w:color="auto"/>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w:t>
      </w:r>
      <w:r>
        <w:rPr>
          <w:rFonts w:ascii="Times New Roman" w:cs="Times New Roman" w:eastAsia="Times New Roman" w:hAnsi="Times New Roman"/>
          <w:sz w:val="22"/>
          <w:szCs w:val="22"/>
          <w:color w:val="auto"/>
        </w:rPr>
        <w:t>”), and, as appropriate, adjustment margin(s) (“</w:t>
      </w:r>
      <w:r>
        <w:rPr>
          <w:rFonts w:ascii="Times New Roman" w:cs="Times New Roman" w:eastAsia="Times New Roman" w:hAnsi="Times New Roman"/>
          <w:sz w:val="22"/>
          <w:szCs w:val="22"/>
          <w:u w:val="single" w:color="auto"/>
          <w:color w:val="auto"/>
        </w:rPr>
        <w:t>Adjustment Margin(s)</w:t>
      </w:r>
      <w:r>
        <w:rPr>
          <w:rFonts w:ascii="Times New Roman" w:cs="Times New Roman" w:eastAsia="Times New Roman" w:hAnsi="Times New Roman"/>
          <w:sz w:val="22"/>
          <w:szCs w:val="22"/>
          <w:color w:val="auto"/>
        </w:rPr>
        <w:t>”) corresponding to each available LIBOR term, to effect, to the extent practicable, an aggregate all-in interest rate comparable to the LIBOR-based rate in effect prior to its replacement. The Replacement Rate and Adjustment Margin(s) will be determined with due consideration to the then-prevailing market practice for determining a rate of interest for newly originated syndicated loans in the United States, and may reflect appropriate adjustments to account for the transition from LIBOR to the Replacement Rate.</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The Administrative Agent shall promptly notify the Lenders of the Replacement Rate and Adjustment Margin(s), and the Administrative Agent and the Borrower shall enter into an amendment to this Agreement to reflect such Replacement Rate and Adjustment Margin(s). Notwithstanding anything to the contrary in this Agreement or the other Loan Documents (including, without limitation, Section 9.02), such amendment shall become effective without any further action or consent of any other party to this Agreement so long as the Administrative Agent shall not have received, within ten (10) Business Days of the date a draft of the amendment reflecting such Replacement Rate and Adjustment Margin(s) is provided to the Lenders, a written notice from the Required Lenders stating that such Lenders object to such amendment.</w:t>
      </w:r>
    </w:p>
    <w:p>
      <w:pPr>
        <w:spacing w:after="0" w:line="17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Until an amendment reflecting a new Reference Rate and Adjustment Margin(s), if any, is entered into in accordance with this Section 2.14(b), each advance, conversion and renewal of a Loan under the LIBO Rate Option will continue to bear interest with reference to the LIBO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Administrative Agent determines (which determination shall be final and conclusive, absent manifest error) that a LIBOR Termination Date has occurred, then following the LIBOR Termination Date, (i) all Revolving Loans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to which the LIBO Rate Option would otherwise apply shall automatically be converted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Base Rate Option until such time that an amendment reflecting a new Reference Rate and Adjustment Margin(s), if any, is entered into and (ii) all Swingline Loans shall be repaid in full unless otherwise agreed by the Swingline Lender.</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For the avoidance of doubt, on or after the effective date of the Replacement Rate, the aggregate all-in interest payable by the Borrower in respect of the Loans shall be the sum of the Replacement Rate, the Adjustment Margin(s), if any, and the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3" w:name="page504"/>
    <w:bookmarkEnd w:id="503"/>
    <w:p>
      <w:pPr>
        <w:ind w:left="130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If any Change in Law shall:</w:t>
      </w:r>
    </w:p>
    <w:p>
      <w:pPr>
        <w:spacing w:after="0" w:line="206" w:lineRule="exact"/>
        <w:rPr>
          <w:sz w:val="20"/>
          <w:szCs w:val="20"/>
          <w:color w:val="auto"/>
        </w:rPr>
      </w:pPr>
    </w:p>
    <w:p>
      <w:pPr>
        <w:jc w:val="both"/>
        <w:ind w:left="660" w:firstLine="644"/>
        <w:spacing w:after="0" w:line="238" w:lineRule="auto"/>
        <w:tabs>
          <w:tab w:leader="none" w:pos="2388"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(including any compulsory loan requirement, insurance charge or other assessment) against assets of, deposits with or for the account of, or credit extended by, any Lender or Issuing Bank (except any such reserve requirement reflected in the LIBO Rate or, in the case of Optional Currency Swingline Loans, reimbursed by the Borrower pursuant to Section 2.23(a));</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4" w:lineRule="auto"/>
        <w:tabs>
          <w:tab w:leader="none" w:pos="2238"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Issuing Bank or the Relevant Interbank Market any other condition, cost or expense (other than Taxes) affecting this Agreement or Loans made by such Lender or any Letter of Credit or participation therein; or</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1990"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other Recipient of making, converting to, continuing or maintaining any Eurocurrency Loan (including any Optional Currency Swingline Loan or any Dollar Swingline Loans bearing interest at a LIBOR based rate) (or of maintaining its obligation to make any such Loan),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upon request of such Lender, Issuing Bank or other Recipient, the Borrower will pay to such Lender, Issuing Bank or other Recipient, as the case may be, such additional amount or amounts as will compensate such Lender, Issuing Bank or other Recipient, as the case may be, for such additional costs or expenses incurred or reduction suffered.</w:t>
      </w:r>
    </w:p>
    <w:p>
      <w:pPr>
        <w:spacing w:after="0" w:line="171" w:lineRule="exact"/>
        <w:rPr>
          <w:sz w:val="20"/>
          <w:szCs w:val="20"/>
          <w:color w:val="auto"/>
        </w:rPr>
      </w:pPr>
    </w:p>
    <w:p>
      <w:pPr>
        <w:jc w:val="both"/>
        <w:ind w:firstLine="1304"/>
        <w:spacing w:after="0" w:line="233" w:lineRule="auto"/>
        <w:tabs>
          <w:tab w:leader="none" w:pos="2147"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Bank determines that any Change in Law regarding capital or liquidity requirements has had or would have the effect of reducing the rate of return on such Lender’s or Issuing Bank’s capital or on the capital of such Lender’s or Issuing Bank’s holding company, if any, as a consequence of this Agreement, the Commitments of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suffered.</w:t>
      </w:r>
    </w:p>
    <w:p>
      <w:pPr>
        <w:spacing w:after="0" w:line="187" w:lineRule="exact"/>
        <w:rPr>
          <w:rFonts w:ascii="Times New Roman" w:cs="Times New Roman" w:eastAsia="Times New Roman" w:hAnsi="Times New Roman"/>
          <w:sz w:val="22"/>
          <w:szCs w:val="22"/>
          <w:color w:val="auto"/>
        </w:rPr>
      </w:pPr>
    </w:p>
    <w:p>
      <w:pPr>
        <w:ind w:firstLine="1304"/>
        <w:spacing w:after="0" w:line="258" w:lineRule="auto"/>
        <w:tabs>
          <w:tab w:leader="none" w:pos="2007"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Issuing Bank setting forth the amount or amounts necessary to compensate such Lender or Issuing Bank or its holding company, as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4" w:name="page505"/>
    <w:bookmarkEnd w:id="504"/>
    <w:p>
      <w:pPr>
        <w:jc w:val="both"/>
        <w:spacing w:after="0" w:line="244" w:lineRule="auto"/>
        <w:rPr>
          <w:sz w:val="20"/>
          <w:szCs w:val="20"/>
          <w:color w:val="auto"/>
        </w:rPr>
      </w:pPr>
      <w:r>
        <w:rPr>
          <w:rFonts w:ascii="Times New Roman" w:cs="Times New Roman" w:eastAsia="Times New Roman" w:hAnsi="Times New Roman"/>
          <w:sz w:val="22"/>
          <w:szCs w:val="22"/>
          <w:color w:val="auto"/>
        </w:rPr>
        <w:t>may be, as specified in paragraph (a) or (b) of this Section delivered to the Borrower shall be conclusive absent manifest error. The Borrower shall pay such Lender or Issuing Bank, as the case may be, the amount shown as due on any such certificate within 10 days after receipt thereof.</w:t>
      </w:r>
    </w:p>
    <w:p>
      <w:pPr>
        <w:spacing w:after="0" w:line="173" w:lineRule="exact"/>
        <w:rPr>
          <w:sz w:val="20"/>
          <w:szCs w:val="20"/>
          <w:color w:val="auto"/>
        </w:rPr>
      </w:pPr>
    </w:p>
    <w:p>
      <w:pPr>
        <w:jc w:val="both"/>
        <w:ind w:firstLine="1304"/>
        <w:spacing w:after="0" w:line="234" w:lineRule="auto"/>
        <w:tabs>
          <w:tab w:leader="none" w:pos="2225"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Issuing Bank pursuant to this Section for any increased costs or expenses incurred or reductions suffered more than 270 days prior to the date that such Lender or Issuing Bank, as the case may be, notifies the Borrower of the Change in Law giving rise to such increased costs or expenses or reductions and of such Lender’s or Issuing Bank’s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expenses or reductions is retroactive, then the 270-day period referred to above shall be extended to include the period of retroactive effect thereof.</w:t>
      </w:r>
    </w:p>
    <w:p>
      <w:pPr>
        <w:spacing w:after="0" w:line="18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or continue any Eurocurrency Loan on the date specified in any notice delivered pursuant hereto or (d) the assignment of any Eurocurrency Loan other than on the last day of the Interest Period applicable thereto as a result of a request by the Borrower pursuant to Section 2.19, then, in any such event, the Borrower shall compensate each Lender for the loss, cost and expense attributable to such event. Such loss, cost or expense to any Lender shall be deemed to include an amount determined by such Lender to be the excess, if any, of (i) the amount of interest that would have accrued on the principal amount of such Loan had such event not occurred, at the LIBO Rate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dollar deposits (or deposits in the relevant Optional Currency, as the case may be) of a comparable amount and period from other banks in the Relevant Interbank Market. Such losses, costs or expenses shall also include any foreign exchange losses, costs or expenses, including in connection with any foreign exchange contracts. The Borrower shall also compensate each Lender for the loss, cost and expense attributable to any failure by the Borrower to deliver a timely Interest Election Request with respect to a Eurocurrency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u w:val="single" w:color="auto"/>
          <w:color w:val="0000FF"/>
        </w:rPr>
        <w:t>Term Loan or Eurocurrency Revolving Loan, as the case may be</w:t>
      </w:r>
      <w:r>
        <w:rPr>
          <w:rFonts w:ascii="Times New Roman" w:cs="Times New Roman" w:eastAsia="Times New Roman" w:hAnsi="Times New Roman"/>
          <w:sz w:val="22"/>
          <w:szCs w:val="22"/>
          <w:color w:val="000000"/>
        </w:rPr>
        <w:t>. A certificate of any Lender delivered to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Borrower and setting forth any amount or amounts that such Lender is entitled to receive pursuant to this Section shall be conclusive absent manifest error. The Borrower shall pay such Lender the amount shown as due on any such certificate within 10 days after receipt thereof.</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Withholding of Taxes; Gross-Up</w:t>
      </w:r>
      <w:r>
        <w:rPr>
          <w:rFonts w:ascii="Times New Roman" w:cs="Times New Roman" w:eastAsia="Times New Roman" w:hAnsi="Times New Roman"/>
          <w:sz w:val="22"/>
          <w:szCs w:val="22"/>
          <w:color w:val="auto"/>
        </w:rPr>
        <w:t>. Each payment by a Loan Party under this Agreement or any other Loan Document, whether to the Administrative Agent, any Lender or Issuing Bank or any other Person to which any such obligation is owed (each of the foregoing being referred to as a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shall be made without withholding for any Taxes, unless such withholding is required by any Law. If any Withholding Agent determines,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5" w:name="page506"/>
    <w:bookmarkEnd w:id="505"/>
    <w:p>
      <w:pPr>
        <w:jc w:val="both"/>
        <w:spacing w:after="0" w:line="236" w:lineRule="auto"/>
        <w:rPr>
          <w:sz w:val="20"/>
          <w:szCs w:val="20"/>
          <w:color w:val="auto"/>
        </w:rPr>
      </w:pPr>
      <w:r>
        <w:rPr>
          <w:rFonts w:ascii="Times New Roman" w:cs="Times New Roman" w:eastAsia="Times New Roman" w:hAnsi="Times New Roman"/>
          <w:sz w:val="22"/>
          <w:szCs w:val="22"/>
          <w:color w:val="auto"/>
        </w:rPr>
        <w:t>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81" w:lineRule="exact"/>
        <w:rPr>
          <w:sz w:val="20"/>
          <w:szCs w:val="20"/>
          <w:color w:val="auto"/>
        </w:rPr>
      </w:pPr>
    </w:p>
    <w:p>
      <w:pPr>
        <w:ind w:firstLine="1304"/>
        <w:spacing w:after="0" w:line="258" w:lineRule="auto"/>
        <w:tabs>
          <w:tab w:leader="none" w:pos="2007"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xml:space="preserve"> The Borrower shall timely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jc w:val="both"/>
        <w:ind w:firstLine="1304"/>
        <w:spacing w:after="0" w:line="238" w:lineRule="auto"/>
        <w:tabs>
          <w:tab w:leader="none" w:pos="2008"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Indemnified Taxes by a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jc w:val="both"/>
        <w:ind w:firstLine="1304"/>
        <w:spacing w:after="0" w:line="234" w:lineRule="auto"/>
        <w:tabs>
          <w:tab w:leader="none" w:pos="2034"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Loan Parties.</w:t>
      </w:r>
      <w:r>
        <w:rPr>
          <w:rFonts w:ascii="Times New Roman" w:cs="Times New Roman" w:eastAsia="Times New Roman" w:hAnsi="Times New Roman"/>
          <w:sz w:val="22"/>
          <w:szCs w:val="22"/>
          <w:color w:val="auto"/>
        </w:rPr>
        <w:t xml:space="preserve"> The Loan Parties shall indemnify each Recipient for any Indemnified Taxes that are paid or payable by such Recipient in connection with this Agreement (including amounts paid or payable under this paragraph) and any reasonable expenses arising therefrom or with respect thereto, whether or not such Indemnified Taxes were correctly or legally imposed or asserted by the relevant Governmental Authority. The indemnity under this paragraph shall be paid within 10 days after the Recipient delivers to any Loan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183" w:lineRule="exact"/>
        <w:rPr>
          <w:rFonts w:ascii="Times New Roman" w:cs="Times New Roman" w:eastAsia="Times New Roman" w:hAnsi="Times New Roman"/>
          <w:sz w:val="22"/>
          <w:szCs w:val="22"/>
          <w:color w:val="auto"/>
        </w:rPr>
      </w:pPr>
    </w:p>
    <w:p>
      <w:pPr>
        <w:jc w:val="both"/>
        <w:ind w:firstLine="1304"/>
        <w:spacing w:after="0" w:line="246" w:lineRule="auto"/>
        <w:tabs>
          <w:tab w:leader="none" w:pos="2008"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xml:space="preserve"> Each Lender shall severally indemnify the Administrative Agent for any Taxes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paragraph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175" w:lineRule="exact"/>
        <w:rPr>
          <w:rFonts w:ascii="Times New Roman" w:cs="Times New Roman" w:eastAsia="Times New Roman" w:hAnsi="Times New Roman"/>
          <w:sz w:val="21"/>
          <w:szCs w:val="21"/>
          <w:color w:val="auto"/>
        </w:rPr>
      </w:pPr>
    </w:p>
    <w:p>
      <w:pPr>
        <w:jc w:val="both"/>
        <w:ind w:firstLine="1304"/>
        <w:spacing w:after="0" w:line="235" w:lineRule="auto"/>
        <w:tabs>
          <w:tab w:leader="none" w:pos="2052"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xml:space="preserve"> Any Lender that is entitled to an exemption from, or reduction of, any applicable withholding Tax with respect to any payments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6" w:name="page507"/>
    <w:bookmarkEnd w:id="506"/>
    <w:p>
      <w:pPr>
        <w:jc w:val="both"/>
        <w:spacing w:after="0" w:line="233" w:lineRule="auto"/>
        <w:rPr>
          <w:sz w:val="20"/>
          <w:szCs w:val="20"/>
          <w:color w:val="auto"/>
        </w:rPr>
      </w:pPr>
      <w:r>
        <w:rPr>
          <w:rFonts w:ascii="Times New Roman" w:cs="Times New Roman" w:eastAsia="Times New Roman" w:hAnsi="Times New Roman"/>
          <w:sz w:val="22"/>
          <w:szCs w:val="22"/>
          <w:color w:val="auto"/>
        </w:rPr>
        <w:t>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clauses (A) through (E) of paragraph (f)(ii) and paragraph (f)(iii) below) shall not be required if in the Lender’s reasonable judgment such completion, execution or submission would subject such Lender to any material unreimbursed cost or expense (or, in the case of a Change in Law, any incremental material unreimbursed cost or expense) or would materially prejudice the legal or commercial position of such Lender. Upon the reasonable request of the Borrower or the Administrative Agent, any Lender shall update any form or certification previously delivered pursuant to this Section 2.17(f). If any form or certification previously delivered pursuant to this Section 2.17(f)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update the form or certification if it is legally eligible to do so.</w:t>
      </w:r>
    </w:p>
    <w:p>
      <w:pPr>
        <w:spacing w:after="0" w:line="180" w:lineRule="exact"/>
        <w:rPr>
          <w:sz w:val="20"/>
          <w:szCs w:val="20"/>
          <w:color w:val="auto"/>
        </w:rPr>
      </w:pPr>
    </w:p>
    <w:p>
      <w:pPr>
        <w:jc w:val="both"/>
        <w:ind w:left="660" w:firstLine="644"/>
        <w:spacing w:after="0" w:line="255" w:lineRule="auto"/>
        <w:tabs>
          <w:tab w:leader="none" w:pos="1959"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each Lender shall, if it is legally eligible to do so, deliver to the Borrower and the Administrative Agent (in such number of copies as is reasonably requested by the Borrower and the Administrative Agent) on or prior to the date on which such Lender becomes a party hereto, duly completed and executed copies of whichever of the following is applicable:</w:t>
      </w:r>
    </w:p>
    <w:p>
      <w:pPr>
        <w:spacing w:after="0" w:line="161" w:lineRule="exact"/>
        <w:rPr>
          <w:rFonts w:ascii="Times New Roman" w:cs="Times New Roman" w:eastAsia="Times New Roman" w:hAnsi="Times New Roman"/>
          <w:sz w:val="21"/>
          <w:szCs w:val="21"/>
          <w:color w:val="auto"/>
        </w:rPr>
      </w:pPr>
    </w:p>
    <w:p>
      <w:pPr>
        <w:ind w:left="1300" w:firstLine="652"/>
        <w:spacing w:after="0" w:line="258" w:lineRule="auto"/>
        <w:tabs>
          <w:tab w:leader="none" w:pos="2747" w:val="left"/>
        </w:tabs>
        <w:numPr>
          <w:ilvl w:val="1"/>
          <w:numId w:val="3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Lender that is a U.S. Person, IRS Form W-9 certifying that such Lender is exempt from U.S. Federal backup withholding tax;</w:t>
      </w:r>
    </w:p>
    <w:p>
      <w:pPr>
        <w:spacing w:after="0" w:line="158" w:lineRule="exact"/>
        <w:rPr>
          <w:rFonts w:ascii="Times New Roman" w:cs="Times New Roman" w:eastAsia="Times New Roman" w:hAnsi="Times New Roman"/>
          <w:sz w:val="22"/>
          <w:szCs w:val="22"/>
          <w:color w:val="010000"/>
        </w:rPr>
      </w:pPr>
    </w:p>
    <w:p>
      <w:pPr>
        <w:jc w:val="both"/>
        <w:ind w:left="1300" w:firstLine="652"/>
        <w:spacing w:after="0" w:line="235" w:lineRule="auto"/>
        <w:tabs>
          <w:tab w:leader="none" w:pos="2762" w:val="left"/>
        </w:tabs>
        <w:numPr>
          <w:ilvl w:val="1"/>
          <w:numId w:val="3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Foreign Lender claiming the benefits of an income tax treaty to which the United States of America is a party (1) with respect to payments of interest under this Agreement, IRS Form W-8BEN or W-8BEN-E establishing an exemption from, or reduction of, U.S. Federal withholding Tax pursuant to the “interest” article of such tax treaty and (2) with respect to any other applicable payments under this Agreement, IRS Form W-8BEN or W-8BEN-E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2"/>
          <w:szCs w:val="22"/>
          <w:color w:val="010000"/>
        </w:rPr>
      </w:pPr>
    </w:p>
    <w:p>
      <w:pPr>
        <w:jc w:val="both"/>
        <w:ind w:left="1300" w:firstLine="652"/>
        <w:spacing w:after="0" w:line="244" w:lineRule="auto"/>
        <w:tabs>
          <w:tab w:leader="none" w:pos="2614" w:val="left"/>
        </w:tabs>
        <w:numPr>
          <w:ilvl w:val="1"/>
          <w:numId w:val="3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Foreign Lender for whom payments under this Agreement constitute income that is effectively connected with such Lender’s conduct of a trade or business in the United States of America, IRS Form W-8ECI;</w:t>
      </w:r>
    </w:p>
    <w:p>
      <w:pPr>
        <w:spacing w:after="0" w:line="173" w:lineRule="exact"/>
        <w:rPr>
          <w:rFonts w:ascii="Times New Roman" w:cs="Times New Roman" w:eastAsia="Times New Roman" w:hAnsi="Times New Roman"/>
          <w:sz w:val="22"/>
          <w:szCs w:val="22"/>
          <w:color w:val="010000"/>
        </w:rPr>
      </w:pPr>
    </w:p>
    <w:p>
      <w:pPr>
        <w:jc w:val="both"/>
        <w:ind w:left="1300" w:firstLine="652"/>
        <w:spacing w:after="0" w:line="235" w:lineRule="auto"/>
        <w:tabs>
          <w:tab w:leader="none" w:pos="2653" w:val="left"/>
        </w:tabs>
        <w:numPr>
          <w:ilvl w:val="1"/>
          <w:numId w:val="3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both (1) IRS Form W-8BEN or W-8BEN-E and (2) a certificate substantially in the form of Exhibit G-1, Exhibit G-2, Exhibit G-3 or Exhibit G-4 (each, a “</w:t>
      </w:r>
      <w:r>
        <w:rPr>
          <w:rFonts w:ascii="Times New Roman" w:cs="Times New Roman" w:eastAsia="Times New Roman" w:hAnsi="Times New Roman"/>
          <w:sz w:val="22"/>
          <w:szCs w:val="22"/>
          <w:u w:val="single" w:color="auto"/>
          <w:color w:val="auto"/>
        </w:rPr>
        <w:t>U.S. Tax Certificate</w:t>
      </w:r>
      <w:r>
        <w:rPr>
          <w:rFonts w:ascii="Times New Roman" w:cs="Times New Roman" w:eastAsia="Times New Roman" w:hAnsi="Times New Roman"/>
          <w:sz w:val="22"/>
          <w:szCs w:val="22"/>
          <w:color w:val="auto"/>
        </w:rPr>
        <w:t>”), as applicable, to the effect that such Lender is not (w) a “bank” within the meaning of Section 881(c)(3)(A) of the Code, (x) a “10 percent shareholder” of the Borrower within the meaning of Section 881(c)(3)(B) of the Code, (y) a “controlled foreign corporation” described in Section 881(c)(3)(C)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7" w:name="page508"/>
    <w:bookmarkEnd w:id="507"/>
    <w:p>
      <w:pPr>
        <w:ind w:left="1300" w:right="20"/>
        <w:spacing w:after="0" w:line="258" w:lineRule="auto"/>
        <w:rPr>
          <w:sz w:val="20"/>
          <w:szCs w:val="20"/>
          <w:color w:val="auto"/>
        </w:rPr>
      </w:pPr>
      <w:r>
        <w:rPr>
          <w:rFonts w:ascii="Times New Roman" w:cs="Times New Roman" w:eastAsia="Times New Roman" w:hAnsi="Times New Roman"/>
          <w:sz w:val="22"/>
          <w:szCs w:val="22"/>
          <w:color w:val="auto"/>
        </w:rPr>
        <w:t>and (z) conducting a trade or business in the United States of America with which the relevant interest payments are effectively connected;</w:t>
      </w:r>
    </w:p>
    <w:p>
      <w:pPr>
        <w:spacing w:after="0" w:line="158" w:lineRule="exact"/>
        <w:rPr>
          <w:sz w:val="20"/>
          <w:szCs w:val="20"/>
          <w:color w:val="auto"/>
        </w:rPr>
      </w:pPr>
    </w:p>
    <w:p>
      <w:pPr>
        <w:jc w:val="both"/>
        <w:ind w:left="1300" w:firstLine="652"/>
        <w:spacing w:after="0" w:line="235" w:lineRule="auto"/>
        <w:tabs>
          <w:tab w:leader="none" w:pos="2683" w:val="left"/>
        </w:tabs>
        <w:numPr>
          <w:ilvl w:val="1"/>
          <w:numId w:val="3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case of a Foreign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Lender is a partnership and one or more of its partners are claiming the exemption for portfolio interest under Section 881(c) of the Code, such Lender may provide a U.S. Tax Certificate on behalf of such partners; or</w:t>
      </w:r>
    </w:p>
    <w:p>
      <w:pPr>
        <w:spacing w:after="0" w:line="178" w:lineRule="exact"/>
        <w:rPr>
          <w:rFonts w:ascii="Times New Roman" w:cs="Times New Roman" w:eastAsia="Times New Roman" w:hAnsi="Times New Roman"/>
          <w:sz w:val="22"/>
          <w:szCs w:val="22"/>
          <w:color w:val="010000"/>
        </w:rPr>
      </w:pPr>
    </w:p>
    <w:p>
      <w:pPr>
        <w:jc w:val="both"/>
        <w:ind w:left="1300" w:firstLine="652"/>
        <w:spacing w:after="0" w:line="239" w:lineRule="auto"/>
        <w:tabs>
          <w:tab w:leader="none" w:pos="2752" w:val="left"/>
        </w:tabs>
        <w:numPr>
          <w:ilvl w:val="1"/>
          <w:numId w:val="3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other form prescribed by Law as a basis for claiming exemption from, or a reduction of, U.S. Federal withholding Tax, together with such supplementary documentation as shall be necessary to enable the Borrower or the Administrative Agent to determine the amount of Tax (if any) required by Law to be withheld.</w:t>
      </w:r>
    </w:p>
    <w:p>
      <w:pPr>
        <w:spacing w:after="0" w:line="180" w:lineRule="exact"/>
        <w:rPr>
          <w:rFonts w:ascii="Times New Roman" w:cs="Times New Roman" w:eastAsia="Times New Roman" w:hAnsi="Times New Roman"/>
          <w:sz w:val="22"/>
          <w:szCs w:val="22"/>
          <w:color w:val="010000"/>
        </w:rPr>
      </w:pPr>
    </w:p>
    <w:p>
      <w:pPr>
        <w:jc w:val="both"/>
        <w:ind w:left="660" w:firstLine="644"/>
        <w:spacing w:after="0" w:line="233" w:lineRule="auto"/>
        <w:tabs>
          <w:tab w:leader="none" w:pos="1974"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or to determine the amount to deduct and withhold from such payment. Solely for purposes of this Section 2.17(f)(iii), the term “FATCA” shall include any amendments made to FATCA after the date of this Agreement.</w:t>
      </w:r>
    </w:p>
    <w:p>
      <w:pPr>
        <w:spacing w:after="0" w:line="187" w:lineRule="exact"/>
        <w:rPr>
          <w:sz w:val="20"/>
          <w:szCs w:val="20"/>
          <w:color w:val="auto"/>
        </w:rPr>
      </w:pPr>
    </w:p>
    <w:p>
      <w:pPr>
        <w:jc w:val="both"/>
        <w:ind w:firstLine="1304"/>
        <w:spacing w:after="0" w:line="233" w:lineRule="auto"/>
        <w:tabs>
          <w:tab w:leader="none" w:pos="2007"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Recipient determines, in its sole discretion exercised in good faith, that it has received a refund of any Taxes as to which it has been indemnified pursuant to this Section (including additional amounts paid pursuant to this Section), it shall pay to the indemnifying party an amount equal to such refund (but only to the extent of indemnity payments made or additional amounts paid under this Section with respect to the Taxes giving rise to such refund), net of all out-of-pocket expenses (including any Taxes) of Recipient and without interest (other than any interest paid by the relevant Governmental Authority with respect to such refund). Such indemnifying party, upon the request of such Recipient, shall repay to such Recipient the amount paid to such Recipient pursuant to the prior sentence (plus any penalties, interest or other charges imposed by the relevant Governmental Authority) in the event such Recipient is required to repay such refund to such Governmental Authority. Notwithstanding anything to the contrary in this paragraph (g), in no event will any Recipient be required to pay any amount to any indemnifying party pursuant to this paragraph (g) the payment of which would place such Recipient in a less favorable position (on a net after-Tax basis) than such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8" w:name="page509"/>
    <w:bookmarkEnd w:id="508"/>
    <w:p>
      <w:pPr>
        <w:jc w:val="both"/>
        <w:spacing w:after="0" w:line="238" w:lineRule="auto"/>
        <w:rPr>
          <w:sz w:val="20"/>
          <w:szCs w:val="20"/>
          <w:color w:val="auto"/>
        </w:rPr>
      </w:pPr>
      <w:r>
        <w:rPr>
          <w:rFonts w:ascii="Times New Roman" w:cs="Times New Roman" w:eastAsia="Times New Roman" w:hAnsi="Times New Roman"/>
          <w:sz w:val="22"/>
          <w:szCs w:val="22"/>
          <w:color w:val="auto"/>
        </w:rPr>
        <w:t>would have been in if the Tax subject to indemnification or additional amounts paid and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the indemnifying party or any other Person.</w:t>
      </w:r>
    </w:p>
    <w:p>
      <w:pPr>
        <w:spacing w:after="0" w:line="177" w:lineRule="exact"/>
        <w:rPr>
          <w:sz w:val="20"/>
          <w:szCs w:val="20"/>
          <w:color w:val="auto"/>
        </w:rPr>
      </w:pPr>
    </w:p>
    <w:p>
      <w:pPr>
        <w:ind w:firstLine="1304"/>
        <w:spacing w:after="0" w:line="258" w:lineRule="auto"/>
        <w:tabs>
          <w:tab w:leader="none" w:pos="222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For purposes of Sections 2.17(e) and 2.17(f), the term “Lender” shall include each Issuing Bank.</w:t>
      </w:r>
    </w:p>
    <w:p>
      <w:pPr>
        <w:spacing w:after="0" w:line="15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shall make each payment required to be made by it hereunder or under any other Loan Document prior to the time expressly required hereunder or under such other Loan Document for such payment (or, if no such time is expressly required, prior to 12:00 noon, Pittsburgh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required to be made directly to any Issuing Bank or the Swingline Lender shall be so made, payments pursuant to Sections 2.15, 2.16, 2.17 and 9.03 shall be made directly to the Persons entitled thereto and payments pursuant to other Loan Documents shall be made to the Persons specified therein. The Administrative Agent shall distribute any such payment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 other than, to the extent specified herein (including in Section 2.25), with respect to Optional Currency Swingline Loans or Letters of Credit denominated in an Optional Currency.</w:t>
      </w:r>
    </w:p>
    <w:p>
      <w:pPr>
        <w:spacing w:after="0" w:line="190" w:lineRule="exact"/>
        <w:rPr>
          <w:sz w:val="20"/>
          <w:szCs w:val="20"/>
          <w:color w:val="auto"/>
        </w:rPr>
      </w:pPr>
    </w:p>
    <w:p>
      <w:pPr>
        <w:jc w:val="both"/>
        <w:ind w:firstLine="1304"/>
        <w:spacing w:after="0" w:line="239" w:lineRule="auto"/>
        <w:tabs>
          <w:tab w:leader="none" w:pos="2039"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unreimbursed LC Disbursements, interest and fees then due hereunder, such funds shall be applied towards payment of the amounts then due hereunder ratably among the parties entitled thereto, in accordance with the amounts then due to such parties.</w:t>
      </w:r>
    </w:p>
    <w:p>
      <w:pPr>
        <w:spacing w:after="0" w:line="180" w:lineRule="exact"/>
        <w:rPr>
          <w:rFonts w:ascii="Times New Roman" w:cs="Times New Roman" w:eastAsia="Times New Roman" w:hAnsi="Times New Roman"/>
          <w:sz w:val="22"/>
          <w:szCs w:val="22"/>
          <w:color w:val="auto"/>
        </w:rPr>
      </w:pPr>
    </w:p>
    <w:p>
      <w:pPr>
        <w:jc w:val="both"/>
        <w:ind w:firstLine="1304"/>
        <w:spacing w:after="0" w:line="234" w:lineRule="auto"/>
        <w:tabs>
          <w:tab w:leader="none" w:pos="2056"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amount of all such payments shall be shared by the Lenders ratably in accordance with the aggregate amounts of principal of and accrued interest on their Loans and participations in LC Disbursements and Swingline Loans; </w:t>
      </w:r>
      <w:r>
        <w:rPr>
          <w:rFonts w:ascii="Times New Roman" w:cs="Times New Roman" w:eastAsia="Times New Roman" w:hAnsi="Times New Roman"/>
          <w:sz w:val="22"/>
          <w:szCs w:val="22"/>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09" w:name="page510"/>
    <w:bookmarkEnd w:id="509"/>
    <w:p>
      <w:pPr>
        <w:jc w:val="both"/>
        <w:spacing w:after="0" w:line="233" w:lineRule="auto"/>
        <w:rPr>
          <w:sz w:val="20"/>
          <w:szCs w:val="20"/>
          <w:color w:val="auto"/>
        </w:rPr>
      </w:pPr>
      <w:r>
        <w:rPr>
          <w:rFonts w:ascii="Times New Roman" w:cs="Times New Roman" w:eastAsia="Times New Roman" w:hAnsi="Times New Roman"/>
          <w:sz w:val="22"/>
          <w:szCs w:val="22"/>
          <w:color w:val="auto"/>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or any payment obtained by a Lender as consideration for the assignment of or sale of a participation in any of its Loans or participations in LC Disbursements or Swingline Loans to any Person that is an Eligible Assignee (as such term is defined from time to time).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7" w:lineRule="exact"/>
        <w:rPr>
          <w:sz w:val="20"/>
          <w:szCs w:val="20"/>
          <w:color w:val="auto"/>
        </w:rPr>
      </w:pPr>
    </w:p>
    <w:p>
      <w:pPr>
        <w:jc w:val="both"/>
        <w:ind w:firstLine="1304"/>
        <w:spacing w:after="0" w:line="233" w:lineRule="auto"/>
        <w:tabs>
          <w:tab w:leader="none" w:pos="2021"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Borrower prior to the date on which any payment is due to the Administrative Agent for the account of the Lenders or Issuing Banks hereunder that the Borrower will not make such payment, the Administrative Agent may assume that the Borrower has made such payment on such date in accordance herewith and may, in reliance upon such assumption,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7"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13"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Sections 2.04(d), 2.05(d), 2.05(f), 2.06(b), 2.18(d) and 9.03(c), in each case in such order as shall be determined by the Administrative Agent in its discretion.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68"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financial statements delivered under Section 5.01(a) or 5.01(b), or any Compliance Certificate delivered under Section 5.01(d), shall prove to have been materially inaccurate, and such inaccuracy shall have resulted in the payment of any interest or fees at rates lower than those that were in fact applicable for any period (based on the actual Net Leverage Ratio), then, if such inaccuracy is discovered prior to the termination of the Commitments and the repayment in full of the principal of all Loans and the reduction of the LC Exposure to zero, the Borrower shall pay to the Administrative Agent, for distribution to the Lenders (or former Lenders) as their interests may appear, the accrued interest or fees that should have been paid but were not paid as a result of such misstatement.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0" w:name="page511"/>
    <w:bookmarkEnd w:id="510"/>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If any Lender requests compensation under Section 2.15, or if the Borrower is required to pay any additional amount to any Lender or to any Governmental Authority for the account of any Lender pursuant to Section 2.17, then such Lender shall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and delegation.</w:t>
      </w:r>
    </w:p>
    <w:p>
      <w:pPr>
        <w:spacing w:after="0" w:line="179" w:lineRule="exact"/>
        <w:rPr>
          <w:sz w:val="20"/>
          <w:szCs w:val="20"/>
          <w:color w:val="auto"/>
        </w:rPr>
      </w:pPr>
    </w:p>
    <w:p>
      <w:pPr>
        <w:jc w:val="both"/>
        <w:ind w:firstLine="1304"/>
        <w:spacing w:after="0" w:line="231" w:lineRule="auto"/>
        <w:tabs>
          <w:tab w:leader="none" w:pos="199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 any Lender requests compensation under Section 2.15, (ii) the Borrower is required to pay any additional amount to any Lender or any Governmental Authority for the account of any Lender pursuant to Section 2.17, (iii) any Lender has become a Defaulting Lender or (iv) any Lender has failed to consent to a proposed amendment, waiver, discharge or termination that under Section 9.02 requires the consent of all the Lenders (or all the affected Lenders or all the Lenders of the affected Class) and with respect to which the Required Lenders (or, in circumstances where Section 9.02 does not require the consent of the Required Lenders, a Majority in Interest of the Lenders of the affected Class) shall have granted their consent,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(or, in the case of any such assignment and delegation resulting from a failure to provide a consent, all its interests, rights and obligations under this Agreement and the other Loan Documents as a Lender of a particular Class) to an Eligible Assignee that shall assume such obligations (which may be another Lender, if a Lender accepts such assignment and delegation);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Borrower shall have received the prior written consent of the Administrative Agent </w:t>
      </w:r>
      <w:r>
        <w:rPr>
          <w:rFonts w:ascii="Times New Roman" w:cs="Times New Roman" w:eastAsia="Times New Roman" w:hAnsi="Times New Roman"/>
          <w:sz w:val="22"/>
          <w:szCs w:val="22"/>
          <w:color w:val="0000FF"/>
        </w:rPr>
        <w:t>(and, if a Revolving Commitment is being assigned</w:t>
      </w:r>
      <w:r>
        <w:rPr>
          <w:rFonts w:ascii="Times New Roman" w:cs="Times New Roman" w:eastAsia="Times New Roman" w:hAnsi="Times New Roman"/>
          <w:sz w:val="22"/>
          <w:szCs w:val="22"/>
          <w:color w:val="auto"/>
        </w:rPr>
        <w:t>, each Issuing Bank and the Swingline Lender</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which </w:t>
      </w:r>
      <w:r>
        <w:rPr>
          <w:rFonts w:ascii="Times New Roman" w:cs="Times New Roman" w:eastAsia="Times New Roman" w:hAnsi="Times New Roman"/>
          <w:sz w:val="22"/>
          <w:szCs w:val="22"/>
          <w:color w:val="FF0000"/>
          <w:strike w:val="1"/>
        </w:rPr>
        <w:t>consents</w:t>
      </w:r>
      <w:r>
        <w:rPr>
          <w:rFonts w:ascii="Times New Roman" w:cs="Times New Roman" w:eastAsia="Times New Roman" w:hAnsi="Times New Roman"/>
          <w:sz w:val="22"/>
          <w:szCs w:val="22"/>
          <w:u w:val="single" w:color="auto"/>
          <w:color w:val="0000FF"/>
        </w:rPr>
        <w:t>consent(s)</w:t>
      </w:r>
      <w:r>
        <w:rPr>
          <w:rFonts w:ascii="Times New Roman" w:cs="Times New Roman" w:eastAsia="Times New Roman" w:hAnsi="Times New Roman"/>
          <w:sz w:val="22"/>
          <w:szCs w:val="22"/>
          <w:color w:val="auto"/>
        </w:rPr>
        <w:t xml:space="preserve"> shall not unreasonably be withheld, (B) such Lender shall have received payment of an amount equal to the outstanding principal of its Loans and, if applicable, participations in LC Disbursements and Swingline Loans, accrued interest thereon, accrued fees and all other amounts payable to it hereunder (if applicable, in each case only to the extent such amounts relate to its interest as a Lender of a particular Class) from the assignee (in the case of such principal and accrued interest and fees) or the Borrower (in the case of all other amounts), (C) in the case of any such assignment and delegation resulting from a claim for compensation under Section 2.15 or payments required to be made pursuant to Section 2.17,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waiver, discharge or termination can be effected. A Lender shall not be required to make any such assignment and delegation if, prior thereto, as a result of a waiver or consent by such Lender or otherwise, the circumstances entitling the Borrower to require such assignment and delegation have ceased to apply. Each party hereto agrees that an assignment and delegation required pursuant to this paragraph may be effected pursuant to an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-2331720</wp:posOffset>
            </wp:positionV>
            <wp:extent cx="2931795" cy="171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1" w:name="page512"/>
    <w:bookmarkEnd w:id="511"/>
    <w:p>
      <w:pPr>
        <w:jc w:val="both"/>
        <w:spacing w:after="0" w:line="258" w:lineRule="auto"/>
        <w:rPr>
          <w:sz w:val="20"/>
          <w:szCs w:val="20"/>
          <w:color w:val="auto"/>
        </w:rPr>
      </w:pPr>
      <w:r>
        <w:rPr>
          <w:rFonts w:ascii="Times New Roman" w:cs="Times New Roman" w:eastAsia="Times New Roman" w:hAnsi="Times New Roman"/>
          <w:sz w:val="22"/>
          <w:szCs w:val="22"/>
          <w:color w:val="auto"/>
        </w:rPr>
        <w:t>Assumption executed by the Borrower, the Administrative Agent and the assignee and that the Lender required to make such assignment and delegation need not be a party thereto.</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 provision of this Agreement to the contrary, if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becomes a Defaulting Lender, then the following provisions shall apply for so long as such Lender is a Defaulting Lender:</w:t>
      </w:r>
    </w:p>
    <w:p>
      <w:pPr>
        <w:spacing w:after="0" w:line="173" w:lineRule="exact"/>
        <w:rPr>
          <w:sz w:val="20"/>
          <w:szCs w:val="20"/>
          <w:color w:val="auto"/>
        </w:rPr>
      </w:pPr>
    </w:p>
    <w:p>
      <w:pPr>
        <w:ind w:firstLine="1304"/>
        <w:spacing w:after="0" w:line="258" w:lineRule="auto"/>
        <w:tabs>
          <w:tab w:leader="none" w:pos="2432"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 fees shall cease to accrue on the unused amount of the Revolving Commitment of such Defaulting Lender pursuant to Section 2.12(b);</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65"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Commitment and Revolving Exposure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9.02);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amendment, waiver or other modification (i) requiring the consent of all Lenders or all Lenders directly affected thereby shall, except as otherwise provided in Section 9.02, require the consent of such Defaulting Lender in accordance with the terms hereof or (ii) that by its terms affects any Defaulting Lender disproportionately adversely relative to the other affected Lenders shall require the consent of such Defaulting Lender;</w:t>
      </w:r>
    </w:p>
    <w:p>
      <w:pPr>
        <w:spacing w:after="0" w:line="178" w:lineRule="exact"/>
        <w:rPr>
          <w:rFonts w:ascii="Times New Roman" w:cs="Times New Roman" w:eastAsia="Times New Roman" w:hAnsi="Times New Roman"/>
          <w:sz w:val="22"/>
          <w:szCs w:val="22"/>
          <w:color w:val="auto"/>
        </w:rPr>
      </w:pPr>
    </w:p>
    <w:p>
      <w:pPr>
        <w:ind w:right="20" w:firstLine="1304"/>
        <w:spacing w:after="0" w:line="258" w:lineRule="auto"/>
        <w:tabs>
          <w:tab w:leader="none" w:pos="2205"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Swingline Exposure or LC Exposure exists at the time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becomes a Defaulting Lender then:</w:t>
      </w:r>
    </w:p>
    <w:p>
      <w:pPr>
        <w:spacing w:after="0" w:line="158" w:lineRule="exact"/>
        <w:rPr>
          <w:sz w:val="20"/>
          <w:szCs w:val="20"/>
          <w:color w:val="auto"/>
        </w:rPr>
      </w:pPr>
    </w:p>
    <w:p>
      <w:pPr>
        <w:jc w:val="both"/>
        <w:ind w:left="660" w:firstLine="644"/>
        <w:spacing w:after="0" w:line="234" w:lineRule="auto"/>
        <w:tabs>
          <w:tab w:leader="none" w:pos="2003"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the Swingline Exposure and LC Exposure of such Defaulting Lender shall be reallocated among the Non-Defaulting Lenders in accordance with their respective Applicable Percentages (calculated without regard to such Defaulting Lender’s Revolving Commitment) but only to the extent that such reallocation does not cause the Revolving Exposure of any Non-Defaulting Lender to exceed such Non-Defaulting Lender’s Revolving Commitment. Subject to Section 9.17,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3"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59"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(i) above cannot, or can only partially, be effected, the Borrower shall within one Business Day following notice by the Administrative Agent (A) first, prepay the portion of such Defaulting Lender’s Swingline Exposure that has not been reallocated and (B) second, cash collateralize for the benefit of the Issuing Banks the portion of such Defaulting Lender’s LC Exposure that has not been reallocated in accordance with the procedures set forth in Section 2.05(i) for so long as such LC Exposure is outstanding;</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39" w:lineRule="auto"/>
        <w:tabs>
          <w:tab w:leader="none" w:pos="2046"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cash collateralizes any portion of such Defaulting Lender’s LC Exposure pursuant to clause (ii) above, the Borrower shall not be required to pay participation fees to such Defaulting Lender pursuant to Section 2.12(c) with respect to such portion of such Defaulting Lender’s LC Exposure for so long as such Defaulting Lender’s LC Exposure is cash 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2" w:name="page513"/>
    <w:bookmarkEnd w:id="512"/>
    <w:p>
      <w:pPr>
        <w:jc w:val="both"/>
        <w:ind w:left="660" w:firstLine="644"/>
        <w:spacing w:after="0" w:line="244" w:lineRule="auto"/>
        <w:tabs>
          <w:tab w:leader="none" w:pos="214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portion of the LC Exposure of such Defaulting Lender is reallocated pursuant to clause (i) above, then the fees payable to the Lenders pursuant to Sections 2.12(b) and 2.12(c) shall be adjusted to give effect to such reallocation; and</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2129"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such Defaulting Lender’s LC Exposure is neither reallocated nor cash collateralized pursuant to clause (i) or (ii) above, then, without prejudice to any rights or remedies of any Issuing Bank or any other Lender hereunder, all commitment fees that otherwise would have been payable to such Defaulting Lender (solely with respect to the portion of such Defaulting Lender’s Commitment utilized by such LC Exposure) and participation fees payable under Section 2.12(c)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83" w:lineRule="exact"/>
        <w:rPr>
          <w:sz w:val="20"/>
          <w:szCs w:val="20"/>
          <w:color w:val="auto"/>
        </w:rPr>
      </w:pPr>
    </w:p>
    <w:p>
      <w:pPr>
        <w:jc w:val="both"/>
        <w:ind w:firstLine="1304"/>
        <w:spacing w:after="0" w:line="244" w:lineRule="auto"/>
        <w:tabs>
          <w:tab w:leader="none" w:pos="2041" w:val="left"/>
        </w:tabs>
        <w:numPr>
          <w:ilvl w:val="1"/>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Lender is a Defaulting Lender, the Swingline Lender shall not be required to fund any Swingline Loan and no Issuing Bank shall be required to issue, amend, renew or extend any Letter of Credit, unless in each case it is satisfied that the related exposure and the Defaulting Lender’s then outstanding Swingline Exposure or LC Exposure, as applicable, will be fully covered by the Revolving Commitments of the Non-Defaulting Lenders and/or cash collateral provided by the Borrower in accordance with Section 2.20(c), and participating interests in any such funded Swingline Loan or in any such issued, amended, reviewed or extended Letter of Credit will be allocated among the Non-Defaulting Lenders in a manner consistent with Section 2.20(c)</w:t>
      </w:r>
    </w:p>
    <w:p>
      <w:pPr>
        <w:spacing w:after="0" w:line="6"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such Defaulting Lender shall not participate therein).</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(x) a Bankruptcy Event with respect to a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Parent shall have occurred following the date hereof and for so long as such Bankruptcy Event shall continue or (y) the Swingline Lender or any Issuing Bank has a good faith belief that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has defaulted in fulfilling its obligations under one or more other agreements in which such Lender commits to extend credit, the Swingline Lender shall not be required to fund any Swingline Loan, and no Issuing Bank shall be required to issue, amend, renew or extend any Letter of Credit, unless the Swingline Lender or such Issuing Bank, as the case may be, shall have entered into arrangements with the Borrower or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satisfactory to the Swingline Lender or such Issuing Bank, as the case may be, to defease any risk to it in respect of such Lender hereunder.</w:t>
      </w:r>
    </w:p>
    <w:p>
      <w:pPr>
        <w:spacing w:after="0" w:line="17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the Administrative Agent, the Borrower, the Swingline Lender and each Issuing Bank each agree that a Defaulting Lender has adequately remedied all matters that caused such Lender to be a Defaulting Lender, then the Swingline Exposure and LC Exposure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shall be readjusted to reflect the inclusion of such Lender’s Revolving Commitment and on such date such Lender shall purchase at par such of the Revolving Loans of the other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Incremental Revolving Commitments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may on one or more occasions, by written notice to the Administrative Agent, request during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3" w:name="page514"/>
    <w:bookmarkEnd w:id="51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Availability Period, the establishment of Incremental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all the Incremental Revolving Commitments shall not exceed $100,000,000 and (ii) each Incremental Revolving Commitment shall be in integral multiples of $5,000,000. Each such notice shall specify (A) the date on which the Borrower proposes that the Incremental Revolving Commitments shall be effective, which shall be a date not less than 10 Business Days (or such shorter period as may be agreed to by the Administrative Agent) after the date on which such notice is delivered to the Administrative Agent and (B) the amount of the Incremental Revolving Commitments being requested (it being agreed that (x) any Lender approached to provide any Incremental Revolving Commitment may elect or decline, in its sole discretion, to provide such Incremental Revolving Commitment and (y) any Person that the Borrower proposes to become an Incremental Revolving Lender, if such Person is not then a Lender, must be an Eligible Assignee and must be reasonably acceptable to the Administrative Agent and each Issuing Bank and the Swingline Lender).</w:t>
      </w:r>
    </w:p>
    <w:p>
      <w:pPr>
        <w:spacing w:after="0" w:line="187" w:lineRule="exact"/>
        <w:rPr>
          <w:sz w:val="20"/>
          <w:szCs w:val="20"/>
          <w:color w:val="auto"/>
        </w:rPr>
      </w:pPr>
    </w:p>
    <w:p>
      <w:pPr>
        <w:jc w:val="both"/>
        <w:ind w:firstLine="1304"/>
        <w:spacing w:after="0" w:line="239" w:lineRule="auto"/>
        <w:tabs>
          <w:tab w:leader="none" w:pos="2014" w:val="left"/>
        </w:tabs>
        <w:numPr>
          <w:ilvl w:val="1"/>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any Incremental Revolving Commitment and Loans and other extensions of credit to be made thereunder shall be identical to those of the Revolving Commitments and Loans and other extensions of credit made thereunder, and shall be treated as a single Class with such Revolving Commitments and Loans.</w:t>
      </w:r>
    </w:p>
    <w:p>
      <w:pPr>
        <w:spacing w:after="0" w:line="180" w:lineRule="exact"/>
        <w:rPr>
          <w:rFonts w:ascii="Times New Roman" w:cs="Times New Roman" w:eastAsia="Times New Roman" w:hAnsi="Times New Roman"/>
          <w:sz w:val="22"/>
          <w:szCs w:val="22"/>
          <w:color w:val="auto"/>
        </w:rPr>
      </w:pPr>
    </w:p>
    <w:p>
      <w:pPr>
        <w:jc w:val="both"/>
        <w:ind w:firstLine="1304"/>
        <w:spacing w:after="0" w:line="242" w:lineRule="auto"/>
        <w:tabs>
          <w:tab w:leader="none" w:pos="2259" w:val="left"/>
        </w:tabs>
        <w:numPr>
          <w:ilvl w:val="1"/>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Incremental Revolving Commitments shall be effected pursuant to one or more Incremental Facility Agreements executed and delivered by the Borrower, each Incremental Revolving Lender providing such Incremental Revolving Commitments and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Incremental Revolving Commitments shall become effective unless (i) no Default or Event of Default shall have occurred and be continuing on the date of effectiveness thereof, both immediately prior to and immediately after giving effect to such Incremental Revolving Commitments and the making of Loans and issuance of Letters of Credit thereunder to be made on such date, (ii) on the date of effectiveness thereof, the representations and warranties of each Loan Party set forth in the Loan Documents shall be true and correct (A) in the case of the representations and warranties qualified as to materiality, in all respects and (B) otherwise, in all material respects, in each case on and as of such date, except in the case of any such representation and warranty that expressly relates to a prior date, in which case such representation and warranty shall be so true and correct on and as of such prior date, (iii) after giving effect to such Incremental Revolving Commitments and the making of Loans and other extensions of credit thereunder to be made on the date of effectiveness thereof and assuming that all Incremental Revolving Commitments are fully drawn, (A) the Net Leverage Ratio, calculated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on a pro forma basis in accordance with Section 1.04(b), shall not exceed the Maximum Permitted Net Leverage Ratio then in effect minus 0.25 to 1.00 and (B) the Borrower shall be in compliance with the financial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calculated on both an actual basis and on a pro forma basis in accordance with Section 1.04(b),</w:t>
      </w:r>
    </w:p>
    <w:p>
      <w:pPr>
        <w:spacing w:after="0" w:line="1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make any payments required to be made pursuant to Section 2.16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4" w:name="page515"/>
    <w:bookmarkEnd w:id="514"/>
    <w:p>
      <w:pPr>
        <w:jc w:val="both"/>
        <w:spacing w:after="0" w:line="236" w:lineRule="auto"/>
        <w:rPr>
          <w:sz w:val="20"/>
          <w:szCs w:val="20"/>
          <w:color w:val="auto"/>
        </w:rPr>
      </w:pPr>
      <w:r>
        <w:rPr>
          <w:rFonts w:ascii="Times New Roman" w:cs="Times New Roman" w:eastAsia="Times New Roman" w:hAnsi="Times New Roman"/>
          <w:sz w:val="22"/>
          <w:szCs w:val="22"/>
          <w:color w:val="auto"/>
        </w:rPr>
        <w:t>Incremental Revolving Commitments and the related transactions under this Section and (v) the Borrower shall have delivered to the Administrative Agent such legal opinions, board resolutions, secretary’s certificates, officer’s certificates and other documents as shall reasonably be requested by the Administrative Agent in connection with any such transaction. Each Incremental Facility Agreement may, without the consent of any Lender, effect such amendments to this Agreement and the other Loan Documents as may be necessary or appropriate, in the opinion of the Administrative Agent, to give effect to the provisions of this Section.</w:t>
      </w:r>
    </w:p>
    <w:p>
      <w:pPr>
        <w:spacing w:after="0" w:line="181" w:lineRule="exact"/>
        <w:rPr>
          <w:sz w:val="20"/>
          <w:szCs w:val="20"/>
          <w:color w:val="auto"/>
        </w:rPr>
      </w:pPr>
    </w:p>
    <w:p>
      <w:pPr>
        <w:jc w:val="both"/>
        <w:ind w:firstLine="1304"/>
        <w:spacing w:after="0" w:line="233" w:lineRule="auto"/>
        <w:tabs>
          <w:tab w:leader="none" w:pos="222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effectiveness of an Incremental Revolving Commitment of any Incremental Revolving Lender, (i) such Incremental Revolving Lender shall be deemed to be a “Lender” </w:t>
      </w:r>
      <w:r>
        <w:rPr>
          <w:rFonts w:ascii="Times New Roman" w:cs="Times New Roman" w:eastAsia="Times New Roman" w:hAnsi="Times New Roman"/>
          <w:sz w:val="22"/>
          <w:szCs w:val="22"/>
          <w:u w:val="single" w:color="auto"/>
          <w:color w:val="0000FF"/>
        </w:rPr>
        <w:t>(and a Lender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respect of the Revolving Commitments and the Revolving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hereunder, and henceforth shall be entitled to 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rights of, and benefits accruing to, Lenders </w:t>
      </w:r>
      <w:r>
        <w:rPr>
          <w:rFonts w:ascii="Times New Roman" w:cs="Times New Roman" w:eastAsia="Times New Roman" w:hAnsi="Times New Roman"/>
          <w:sz w:val="22"/>
          <w:szCs w:val="22"/>
          <w:u w:val="single" w:color="auto"/>
          <w:color w:val="0000FF"/>
        </w:rPr>
        <w:t>(or Lenders in respect of the Revolving Commitments and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Revolving Loans)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hereunder and shall be bound by all agreements, acknowledgements and other obligations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Lenders </w:t>
      </w:r>
      <w:r>
        <w:rPr>
          <w:rFonts w:ascii="Times New Roman" w:cs="Times New Roman" w:eastAsia="Times New Roman" w:hAnsi="Times New Roman"/>
          <w:sz w:val="22"/>
          <w:szCs w:val="22"/>
          <w:u w:val="single" w:color="auto"/>
          <w:color w:val="0000FF"/>
        </w:rPr>
        <w:t>(or Lenders in respect of the Revolving Commitments and the Revolving Loans)</w:t>
      </w:r>
      <w:r>
        <w:rPr>
          <w:rFonts w:ascii="Times New Roman" w:cs="Times New Roman" w:eastAsia="Times New Roman" w:hAnsi="Times New Roman"/>
          <w:sz w:val="22"/>
          <w:szCs w:val="22"/>
          <w:color w:val="000000"/>
        </w:rPr>
        <w:t xml:space="preserve"> hereunder and under the other Loan Documents, (ii) such Incremental Revolving Commitment shall constitute (or, in the event such Incremental Revolving Lender already has a Revolving Commitment, shall increase) the Revolving Commitment of such Incremental Revolving Lender and (iii) the aggregate amount of the Revolving Commitments shall be increased by the amount of such Incremental Revolving Commitment, in each case, subject to further increase or reduction from time to time as set forth in the definition of the term “Revolving Commitment”. For the avoidance of doubt, upon the effectiveness of any Incremental Revolving Commitment, the Revolving Exposure of the Incremental Revolving Lender holding such Commitment, and the Applicable Percentage of all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Lenders, shall automatically be adjusted to give effect thereto.</w:t>
      </w:r>
    </w:p>
    <w:p>
      <w:pPr>
        <w:spacing w:after="0" w:line="179"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36"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effectiveness of any Incremental Revolving Commitments,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shall assign to each Incremental Revolving Lender holding such Incremental Revolving Commitment, and each such Incremental Revolving Lender shall purchase from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(including such Incremental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ratably in accordance with their Applicable Percentages after giving effect to the effectiveness of such Incremental Revolving Commitment.</w:t>
      </w:r>
    </w:p>
    <w:p>
      <w:pPr>
        <w:spacing w:after="0" w:line="17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38" w:lineRule="auto"/>
        <w:tabs>
          <w:tab w:leader="none" w:pos="2397"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notify the Lenders promptly upon receipt by the Administrative Agent of any notice from the Borrower referred to in Section 2.21(a) and of the effectiveness of any Incremental Revolving Commitments, in each case advising the Lenders of the details thereof and of the Applicable Percentages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after giving effect thereto and of the assignments required to be made pursuant to Section 2.21(e).</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2.22. </w:t>
      </w:r>
      <w:r>
        <w:rPr>
          <w:rFonts w:ascii="Times New Roman" w:cs="Times New Roman" w:eastAsia="Times New Roman" w:hAnsi="Times New Roman"/>
          <w:sz w:val="22"/>
          <w:szCs w:val="22"/>
          <w:u w:val="single" w:color="auto"/>
          <w:color w:val="auto"/>
        </w:rPr>
        <w:t>Loan Modification Offers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may on one or more occasions, by written notice to the Administrative Agent, make one or more offers (each, a “</w:t>
      </w:r>
      <w:r>
        <w:rPr>
          <w:rFonts w:ascii="Times New Roman" w:cs="Times New Roman" w:eastAsia="Times New Roman" w:hAnsi="Times New Roman"/>
          <w:sz w:val="22"/>
          <w:szCs w:val="22"/>
          <w:u w:val="single" w:color="auto"/>
          <w:color w:val="auto"/>
        </w:rPr>
        <w:t>Loan Modification Offer</w:t>
      </w:r>
      <w:r>
        <w:rPr>
          <w:rFonts w:ascii="Times New Roman" w:cs="Times New Roman" w:eastAsia="Times New Roman" w:hAnsi="Times New Roman"/>
          <w:sz w:val="22"/>
          <w:szCs w:val="22"/>
          <w:color w:val="auto"/>
        </w:rPr>
        <w:t>”) to all the Lenders of one or more Classes (each Class subject to such a Loan Modification Offer, an “</w:t>
      </w:r>
      <w:r>
        <w:rPr>
          <w:rFonts w:ascii="Times New Roman" w:cs="Times New Roman" w:eastAsia="Times New Roman" w:hAnsi="Times New Roman"/>
          <w:sz w:val="22"/>
          <w:szCs w:val="22"/>
          <w:u w:val="single" w:color="auto"/>
          <w:color w:val="auto"/>
        </w:rPr>
        <w:t>Affected Class</w:t>
      </w:r>
      <w:r>
        <w:rPr>
          <w:rFonts w:ascii="Times New Roman" w:cs="Times New Roman" w:eastAsia="Times New Roman" w:hAnsi="Times New Roman"/>
          <w:sz w:val="22"/>
          <w:szCs w:val="22"/>
          <w:color w:val="auto"/>
        </w:rPr>
        <w:t>”) to make one or more Permitted Amendments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5" w:name="page516"/>
    <w:bookmarkEnd w:id="515"/>
    <w:p>
      <w:pPr>
        <w:jc w:val="both"/>
        <w:spacing w:after="0" w:line="235" w:lineRule="auto"/>
        <w:rPr>
          <w:sz w:val="20"/>
          <w:szCs w:val="20"/>
          <w:color w:val="auto"/>
        </w:rPr>
      </w:pPr>
      <w:r>
        <w:rPr>
          <w:rFonts w:ascii="Times New Roman" w:cs="Times New Roman" w:eastAsia="Times New Roman" w:hAnsi="Times New Roman"/>
          <w:sz w:val="22"/>
          <w:szCs w:val="22"/>
          <w:color w:val="auto"/>
        </w:rPr>
        <w:t>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(which shall not be less than 10 Business Days nor more than 30 Business Days after the date of such notice, unless otherwise agreed to by the Administrative Agent).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22"/>
          <w:szCs w:val="22"/>
          <w:u w:val="single" w:color="auto"/>
          <w:color w:val="auto"/>
        </w:rPr>
        <w:t>Accepting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 the case of any Accepting Lender, only with respect to such Lender’s Loans and Commitments of such Affected Class as to which such Lender’s acceptance has been made.</w:t>
      </w:r>
    </w:p>
    <w:p>
      <w:pPr>
        <w:spacing w:after="0" w:line="178" w:lineRule="exact"/>
        <w:rPr>
          <w:sz w:val="20"/>
          <w:szCs w:val="20"/>
          <w:color w:val="auto"/>
        </w:rPr>
      </w:pPr>
    </w:p>
    <w:p>
      <w:pPr>
        <w:jc w:val="both"/>
        <w:ind w:firstLine="1304"/>
        <w:spacing w:after="0" w:line="232" w:lineRule="auto"/>
        <w:tabs>
          <w:tab w:leader="none" w:pos="215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Permitted Amendment shall be effected pursuant to a Loan Modification Agreement executed and delivered by the Borrower, each applicable Accepting Lender and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Permitted Amendment shall become effective unless the Borrower shall have delivered to the Administrative Agent such legal opinions, board resolutions, secretary’s certificates, officer’s certificates and other documents as shall reasonably be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Section, including any amendments necessary to treat the applicable Loans and/or Commitments of the Accepting Lenders as a new “Class” of loans and/or commitments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Loan Modification Offer </w:t>
      </w:r>
      <w:r>
        <w:rPr>
          <w:rFonts w:ascii="Times New Roman" w:cs="Times New Roman" w:eastAsia="Times New Roman" w:hAnsi="Times New Roman"/>
          <w:sz w:val="22"/>
          <w:szCs w:val="22"/>
          <w:u w:val="single" w:color="auto"/>
          <w:color w:val="0000FF"/>
        </w:rPr>
        <w:t>relating to Revolving Commitments or Revolving Loans</w:t>
      </w:r>
      <w:r>
        <w:rPr>
          <w:rFonts w:ascii="Times New Roman" w:cs="Times New Roman" w:eastAsia="Times New Roman" w:hAnsi="Times New Roman"/>
          <w:sz w:val="22"/>
          <w:szCs w:val="22"/>
          <w:color w:val="auto"/>
        </w:rPr>
        <w:t>, except as otherwise agreed to by each Issuing Bank and the Swingline Lender, (i) the allocation of the participation exposure with respect to any then-existing or subsequently issued or made Letter of Credit or Swingline Loan as between the commitments of such new “Class” and the remaining Revolving Commitments shall be made on a ratable basis as between the commitments of such new “Class” and the remaining Revolving Commitments and (ii) the Revolving Availability Period and the Revolving Maturity Date, as such terms are used in reference to Letters of Credit or Swingline Loans, may not be extended without the prior written consent of each Issuing Bank and the Swingline Lender, as applicable.</w:t>
      </w:r>
    </w:p>
    <w:p>
      <w:pPr>
        <w:spacing w:after="0" w:line="18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2.23. </w:t>
      </w:r>
      <w:r>
        <w:rPr>
          <w:rFonts w:ascii="Times New Roman" w:cs="Times New Roman" w:eastAsia="Times New Roman" w:hAnsi="Times New Roman"/>
          <w:sz w:val="22"/>
          <w:szCs w:val="22"/>
          <w:u w:val="single" w:color="auto"/>
          <w:color w:val="auto"/>
        </w:rPr>
        <w:t>Additional Reserve Requirements for Optional Currency Swingline Loans;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Computation Dates; Misc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shall pay to the Swingline Lender (i) as long as the Swingline Lender shall be required to maintain reserves with respect to liabilities or assets consisting of or including eurocurrency funds or deposits, additional interest on the unpaid principal amount of each Optional Currency Swingline Loan equal to the actual costs of such reserves allocated to such Loan by the Swingline Lender (as determined by the Swingline Lender in good faith, which determination shall be conclusive absent manifest error), and (ii) as long as the Swingline Lender shall be required to comply with any reserve ratio requirement under Regulation D or under any similar, successor or analogous requirement of the Board of Governors of the Federal Reserve System (or any successor) or any other central banking or financial regulatory authority imposed in respect of the maintenance of the Swingline Loan Commitment or the funding of the Optional Currency Swingline Loans, such additional costs (expressed as a percentage per annum and rounded upwards, if necessary, to the nearest five decimal places) equal to the actual costs allocated to such Commitment or Optional Currency Swingline Loan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6" w:name="page517"/>
    <w:bookmarkEnd w:id="516"/>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Swingline Lender (as determined by the Swingline Lender in good faith, which determination shall be conclusive absent manifest error), which in each case shall be due and payable on each date on which interest is payable on such Optional Currency Swingline Loan;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 each case the Borrower shall have received at least ten days’ prior notice (with a copy to the Administrative Agent) of such additional interest or costs from the Swingline Lender. If the Swingline Lender fails to give notice ten (10) days prior to the relevant interest payment date, such additional interest or costs shall be due and payable ten (10) days from receipt of such notice. At the written request of the Borrower, the Swingline Lender shall use commercially reasonable efforts to assign and delegate its rights and obligations with respect to Optional Currency Swingline Loans to another of its offices, branches or Affiliates if, in the judgment of the Swingline Lender, such designation or assignment and delegation</w:t>
      </w:r>
    </w:p>
    <w:p>
      <w:pPr>
        <w:spacing w:after="0" w:line="1" w:lineRule="exact"/>
        <w:rPr>
          <w:sz w:val="20"/>
          <w:szCs w:val="20"/>
          <w:color w:val="auto"/>
        </w:rPr>
      </w:pPr>
    </w:p>
    <w:p>
      <w:pPr>
        <w:jc w:val="both"/>
        <w:ind w:firstLine="8"/>
        <w:spacing w:after="0" w:line="232" w:lineRule="auto"/>
        <w:tabs>
          <w:tab w:leader="none" w:pos="28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eliminate or reduce amounts payable pursuant to this Section 2.23(a) in the future and (ii) would not subject the Swingline Lender to any unreimbursed cost or expense and would not otherwise be disadvantageous to the Swingline Lender; provided that this sentence shall not apply to any such additional amounts arising as a result of the application of any reserve requirement or reserve ratio requirement. The Borrower hereby agrees to pay all reasonable costs and expenses incurred by the Swingline Lender in connection with any such designation or assignment and delegation.</w:t>
      </w:r>
    </w:p>
    <w:p>
      <w:pPr>
        <w:spacing w:after="0" w:line="182" w:lineRule="exact"/>
        <w:rPr>
          <w:rFonts w:ascii="Times New Roman" w:cs="Times New Roman" w:eastAsia="Times New Roman" w:hAnsi="Times New Roman"/>
          <w:sz w:val="22"/>
          <w:szCs w:val="22"/>
          <w:color w:val="auto"/>
        </w:rPr>
      </w:pPr>
    </w:p>
    <w:p>
      <w:pPr>
        <w:jc w:val="both"/>
        <w:ind w:firstLine="1304"/>
        <w:spacing w:after="0" w:line="248" w:lineRule="auto"/>
        <w:tabs>
          <w:tab w:leader="none" w:pos="2368"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determine the Dollar Equivalent amount of (i) the outstanding and proposed Optional Currency Swingline Loans and Letters of Credit to be denominated in an Optional Currency as of the requested Borrowing Date or date of issuance, as the case may be, (ii) the outstanding LC Exposure in respect of Letters of Credit denominated in an Optional Currency as of the last Business Day of each month, and (iii) the outstanding Optional Currency Swingline Loans as of the end of each Interest Period (each such date under clauses (i) through (iii), and any other date on which the Administrative Agent determines it is necessary or advisable to make such computation, in its sole discretion, is referred to as a “</w:t>
      </w:r>
      <w:r>
        <w:rPr>
          <w:rFonts w:ascii="Times New Roman" w:cs="Times New Roman" w:eastAsia="Times New Roman" w:hAnsi="Times New Roman"/>
          <w:sz w:val="21"/>
          <w:szCs w:val="21"/>
          <w:u w:val="single" w:color="auto"/>
          <w:color w:val="auto"/>
        </w:rPr>
        <w:t>Computation Date</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1304"/>
        <w:spacing w:after="0" w:line="233" w:lineRule="auto"/>
        <w:tabs>
          <w:tab w:leader="none" w:pos="1972"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Optional Currency ceases to be lawful currency of the nation issuing the same and is replaced by the Euro or (ii) any Optional Currency and the Euro are at the same time recognized by any Governmental Authority of the nation issuing such currency as lawful currency of such nation and the Administrative Agent or the Swingline Lender shall so request in a notice delivered to the Borrower, then any amount payable hereunder by any party hereto in such Optional Currency shall instead be payable in the Euro and the amount so payable shall be determined by translating the amount payable in such Optional Currency to the Euro at the exchange rate established by that nation for the purpose of implementing the replacement of the relevant Optional Currency by the Euro (and the provisions governing payments in Optional Currencies in this Agreement shall apply to such payment in the Euro as if such payment in the Euro were a payment in an Optional Currency). Prior to the occurrence of the event or events described in clause (i) or (ii) of the preceding sentence, each amount payable by the Borrower hereunder in any Optional Currency will, except as otherwise provided herein, continue to be payable only in that currency.</w:t>
      </w:r>
    </w:p>
    <w:p>
      <w:pPr>
        <w:spacing w:after="0" w:line="184" w:lineRule="exact"/>
        <w:rPr>
          <w:rFonts w:ascii="Times New Roman" w:cs="Times New Roman" w:eastAsia="Times New Roman" w:hAnsi="Times New Roman"/>
          <w:sz w:val="22"/>
          <w:szCs w:val="22"/>
          <w:color w:val="auto"/>
        </w:rPr>
      </w:pPr>
    </w:p>
    <w:p>
      <w:pPr>
        <w:jc w:val="both"/>
        <w:ind w:firstLine="1304"/>
        <w:spacing w:after="0" w:line="238" w:lineRule="auto"/>
        <w:tabs>
          <w:tab w:leader="none" w:pos="2003"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agrees, at the request of any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(including, for the avoidance of doubt, the Swingline Lender), to compensate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for any loss, cost, expense or reduction in return that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shall reasonably determine shall be incurred or sustained by such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as a result of the replacement of any Optional Currency by the Euro and that would not have been incurred or sustained but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7" w:name="page518"/>
    <w:bookmarkEnd w:id="517"/>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transactions provided for herein. A certificate of any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setting forth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Lender’s determination of the amount or amounts necessary to compensate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shall be delivered to the Borrower and shall be conclusive absent manifest error so long as such determination is made on a reasonable basis. The Borrower shall pay such </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Lender the amount shown as due on any such certificate within ten</w:t>
      </w:r>
    </w:p>
    <w:p>
      <w:pPr>
        <w:spacing w:after="0" w:line="2" w:lineRule="exact"/>
        <w:rPr>
          <w:sz w:val="20"/>
          <w:szCs w:val="20"/>
          <w:color w:val="auto"/>
        </w:rPr>
      </w:pPr>
    </w:p>
    <w:p>
      <w:pPr>
        <w:ind w:left="420" w:hanging="412"/>
        <w:spacing w:after="0"/>
        <w:tabs>
          <w:tab w:leader="none" w:pos="42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thereof.</w:t>
      </w:r>
    </w:p>
    <w:p>
      <w:pPr>
        <w:spacing w:after="0" w:line="182" w:lineRule="exact"/>
        <w:rPr>
          <w:rFonts w:ascii="Times New Roman" w:cs="Times New Roman" w:eastAsia="Times New Roman" w:hAnsi="Times New Roman"/>
          <w:sz w:val="22"/>
          <w:szCs w:val="22"/>
          <w:color w:val="auto"/>
        </w:rPr>
      </w:pPr>
    </w:p>
    <w:p>
      <w:pPr>
        <w:jc w:val="both"/>
        <w:ind w:firstLine="1304"/>
        <w:spacing w:after="0" w:line="233" w:lineRule="auto"/>
        <w:tabs>
          <w:tab w:leader="none" w:pos="2158"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deliver to the Administrative Agent a written request that Optional Currency Swingline Loans hereunder also be permitted to be made in any other lawful currency (other than Dollars), in addition to the currencies specified in the definition of “Optional Currency” herein, provided that such currency must be freely traded in the offshore interbank foreign exchange markets, freely transferable, freely convertible into Dollars and available to the Swingline Lender and each of the Issuing Banks in the Relevant Interbank Market. The Administrative Agent will promptly notify the Swingline Lender and the Issuing Banks of any such request promptly after the Administrative Agent receives such request. The Administrative Agent will promptly notify the Borrower of the acceptance or rejection by the Administrative Agent, the Swingline Lender and each of the Issuing Banks of the Borrower’s request. The requested currency shall be approved as an Optional Currency hereunder only if the Administrative Agent, the Swingline Lender and each of the Issuing Banks approve of the Borrower’s request.</w:t>
      </w:r>
    </w:p>
    <w:p>
      <w:pPr>
        <w:spacing w:after="0" w:line="18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2.24. </w:t>
      </w:r>
      <w:r>
        <w:rPr>
          <w:rFonts w:ascii="Times New Roman" w:cs="Times New Roman" w:eastAsia="Times New Roman" w:hAnsi="Times New Roman"/>
          <w:sz w:val="22"/>
          <w:szCs w:val="22"/>
          <w:u w:val="single" w:color="auto"/>
          <w:color w:val="auto"/>
        </w:rPr>
        <w:t>Optional Currency Not Available</w:t>
      </w:r>
      <w:r>
        <w:rPr>
          <w:rFonts w:ascii="Times New Roman" w:cs="Times New Roman" w:eastAsia="Times New Roman" w:hAnsi="Times New Roman"/>
          <w:sz w:val="22"/>
          <w:szCs w:val="22"/>
          <w:color w:val="auto"/>
        </w:rPr>
        <w:t>. The Swingline Lender shall be under no obligation to make the Optional Currency Swingline Loans and no Issuing Bank shall be under any obligation to issue Letters of Credit requested by the Borrower which are denominated in an Optional Currency if the Swingline Lender or such Issuing Bank, as the case may be, notifies the Administrative Agent by 5:00 p.m. (Pittsburgh time) three (3) Business Days prior to the Borrowing Date for such Optional Currency Swingline Loans or date of issuance that (i) the making, maintenance or funding of such Optional Currency Swingline Loan, the issuance of such Letter of Credit, or the funding of any draw thereunder has been made or, in the case of a draw, would be made, impracticable or unlawful by compliance by the Swingline Lender or such Issuing Bank in good-faith with any Law or any interpretation or application thereof by any Governmental Authority or with any request or directive of any such Governmental Authority (whether or not having the force of Law), (ii) after making all reasonable efforts, deposits of the relevant amount in the relevant Optional Currency (including, if applicable, for the relevant Interest Period) are not available to the Swingline Lender or such Issuing Bank with respect to such Optional Currency Swingline Loan or Letter of Credit in such Optional Currency in the Relevant Interbank Market or (iii) the Administrative Agent shall have determined, or the Swingline Lender or any Issuing Bank shall have notified the Administrative Agent in writing that it has determined, that a fundamental change has occurred in the foreign exchange or interbank markets with respect to any Optional Currency (including, without limitation, changes in national or international financial, political or economic conditions or currency exchange rates or exchange controls). In the event that the Administrative Agent receives a timely notice from the Swingline Lender or an Issuing Bank pursuant to the preceding sentence, the Administrative Agent will notify the Borrower, (1) no later than 12:00 noon (Pittsburgh time) two (2) Business Days prior to the Borrowing Date for such Optional Currency Swingline Loans that the Optional Currency is not then available for such Optional Currency Swingline Loans, or (2) prior to the issuance of an Optional Currency Letter of Credit, that Letters of Credit are not then available in such Optional Currency. If the Borrower receives a notice described in the preceding sentence, the Borrower may, by notice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8" w:name="page519"/>
    <w:bookmarkEnd w:id="518"/>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Borrower to the Administrative Agent not later than 5:00 p.m. (Pittsburgh time) two (2) Business Days prior to the Borrowing Date for such Optional Currency Swingline Loans, or prior to the issuance date of such Letter of Credit, as the case may be, either (a) withdraw the Swingline Loan Borrowing Request for such Optional Currency Loan or request for such Letter of Credit in such Optional Currency, as the case may be, in which event the Administrative Agent will promptly notify the Swingline Lender and applicable Issuing Bank of the same and the Swingline Lender shall not make such Optional Currency Swingline Loans, and such Issuing Bank shall not issue such Letter of Credit or (b) request that the Swingline Loans referred to in its Swingline Loan Borrowing Request or Letter of Credit, as the case may be, be made in Dollars or in a different Optional Currency in an amount equal to the Dollar Equivalent or other Optional Currency Equivalent Amount of such Swingline Loans or Letter of Credit and shall (A) in the case of Swingline Loans denominated in Dollars, bear interest at the rate determined pursuant to Section 2.13(c), or (B) in the case of Swingline Loans denominated in an Optional Currency, bear interest at the applicable LIBO Rate plus the Applicable </w:t>
      </w:r>
      <w:r>
        <w:rPr>
          <w:rFonts w:ascii="Times New Roman" w:cs="Times New Roman" w:eastAsia="Times New Roman" w:hAnsi="Times New Roman"/>
          <w:sz w:val="22"/>
          <w:szCs w:val="22"/>
          <w:color w:val="FF0000"/>
          <w:strike w:val="1"/>
        </w:rPr>
        <w:t>Percentage</w:t>
      </w:r>
      <w:r>
        <w:rPr>
          <w:rFonts w:ascii="Times New Roman" w:cs="Times New Roman" w:eastAsia="Times New Roman" w:hAnsi="Times New Roman"/>
          <w:sz w:val="22"/>
          <w:szCs w:val="22"/>
          <w:u w:val="single" w:color="auto"/>
          <w:color w:val="0000FF"/>
        </w:rPr>
        <w:t>Rate</w:t>
      </w:r>
      <w:r>
        <w:rPr>
          <w:rFonts w:ascii="Times New Roman" w:cs="Times New Roman" w:eastAsia="Times New Roman" w:hAnsi="Times New Roman"/>
          <w:sz w:val="22"/>
          <w:szCs w:val="22"/>
          <w:color w:val="auto"/>
        </w:rPr>
        <w:t>, in which event the Administrative Agent shall promptly deliver a notice to the Swingline Lender and/or the Issuing Bank, as the case may be, stating: in the case of (X) Swingline Loans, (I) that such Swingline Loans shall be made in the applicable currency and the interest rate applicable thereto, and (II) the aggregate amount of such Swingline Loans and, (Y) Letters of Credit (I) such Letters of Credit shall be issued in the applicable currency and (II) the stated face amount of such Letters of Credit. If the Borrower does not withdraw such Swingline Loan Borrowing Request or request for Letter of Credit before such time as provided in clause (a) or request before such time that the requested Swingline Loans referred to in its Swingline Loan Borrowing Request or Letter of Credit be made in Dollars or a different Optional Currency as provided in clause (b), then (i) the Borrower shall be deemed to have withdrawn such Swingline Loan Borrowing Request or request for Letter of Credit, as the case may be, and (ii) the Administrative Agent shall promptly deliver a notice to the Swingline Lender and/or the applicable Issuing Bank thereof and the Swingline Lender shall not be obligated to make such Swingline Loans and such Issuing Bank shall not be obligated to issue such Letter of Credit.</w:t>
      </w:r>
    </w:p>
    <w:p>
      <w:pPr>
        <w:spacing w:after="0" w:line="17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2.25. </w:t>
      </w:r>
      <w:r>
        <w:rPr>
          <w:rFonts w:ascii="Times New Roman" w:cs="Times New Roman" w:eastAsia="Times New Roman" w:hAnsi="Times New Roman"/>
          <w:sz w:val="22"/>
          <w:szCs w:val="22"/>
          <w:u w:val="single" w:color="auto"/>
          <w:color w:val="auto"/>
        </w:rPr>
        <w:t>Currency Repayments</w:t>
      </w:r>
      <w:r>
        <w:rPr>
          <w:rFonts w:ascii="Times New Roman" w:cs="Times New Roman" w:eastAsia="Times New Roman" w:hAnsi="Times New Roman"/>
          <w:sz w:val="22"/>
          <w:szCs w:val="22"/>
          <w:color w:val="auto"/>
        </w:rPr>
        <w:t xml:space="preserve">. Notwithstanding anything contained herein to the contrary, except as expressly provided in Section 2.04(c) in connection with the repayment of an Optional Currency Swingline Loan with the proceeds of ABR Loans, or as otherwise agreed to by the Swingline Lender, the entire amount of principal of and interest on any Optional Currency Swingline Loan shall be repaid by the Borrower in the same Optional Currency in which such Optional Currency Swingline Loan was made, provided, however, that if it is impossible or illegal for the Borrower to effect payment of a Swingline Loan in the Optional Currency in which such Loan was made, or if the Borrower defaults in its obligations to do so, the Swingline Lender, may at its option permit such payment to be made (a) at and to a different location, subsidiary, affiliate or correspondent of the Administrative Agent, or (b) in the Dollar Equivalent, or (c) in an Equivalent Amount of such other currency (freely convertible into Dollars) as the Swingline Lender may solely at its option designate. Upon any events described in (a) through (c) of the preceding sentence, the Borrower shall make such payment. In all events, whether described in such clauses (a) through (c), whether the Borrower makes such required payments, or otherwise, (i) the Borrower agrees to hold the Swingline Lender, each Issuing Bank and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harmless from and against any loss incurred by any of them arising from the cost to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indemnified party of any premium, any costs of exchange, the cost of hedging and covering the Optional Currency in which such Optional Currency Swingline Loan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19" w:name="page520"/>
    <w:bookmarkEnd w:id="51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originally made, and from any change in the value of Dollars, or such other currency, in relation to the Optional Currency that was due and owing, and (ii) each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 agrees to hold the Swingline Lender and each Issuing Bank harmless from and against any loss incurred by the Swingline Lender or such Issuing Bank arising from the cost to the Swingline Lender or such Issuing Bank of any premium, any costs of exchange, the cost of hedging and covering the Optional Currency in which such Optional Currency Swingline Loan or Letter of Credit, as the case may be, was originally made, and from any change in the value of Dollars or such other currency in relation to the Optional Currency that was due and owing. Such loss shall be calculated for the period commencing with the first day of the Interest Period for such Loan and continuing through the date of payment thereof. Without prejudice to the survival of any other agreement of the Borrower or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hereunder, the Borrower’s and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respective obligations under this Section 2.25 shall survive termination of this Agreement.</w:t>
      </w:r>
    </w:p>
    <w:p>
      <w:pPr>
        <w:spacing w:after="0" w:line="18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2.26. </w:t>
      </w:r>
      <w:r>
        <w:rPr>
          <w:rFonts w:ascii="Times New Roman" w:cs="Times New Roman" w:eastAsia="Times New Roman" w:hAnsi="Times New Roman"/>
          <w:sz w:val="22"/>
          <w:szCs w:val="22"/>
          <w:u w:val="single" w:color="auto"/>
          <w:color w:val="auto"/>
        </w:rPr>
        <w:t>Optional Currency Amounts</w:t>
      </w:r>
      <w:r>
        <w:rPr>
          <w:rFonts w:ascii="Times New Roman" w:cs="Times New Roman" w:eastAsia="Times New Roman" w:hAnsi="Times New Roman"/>
          <w:sz w:val="22"/>
          <w:szCs w:val="22"/>
          <w:color w:val="auto"/>
        </w:rPr>
        <w:t>. Notwithstanding anything contained herein to the contrary, the Swingline Lender may, with respect to notices by the Borrower for Optional Currency Swingline Loans or voluntary prepayments of less than the full amount of an Optional Currency Swingline Loan, engage in reasonable rounding of the Optional Currency amounts requested to be loaned or repaid; and, in such event, the Swingline Lender shall promptly notify the Borrower and the Administrative Agent of such rounded amounts and the Borrower’s request or notice shall thereby be deemed to reflect such rounded amounts.</w:t>
      </w:r>
    </w:p>
    <w:p>
      <w:pPr>
        <w:spacing w:after="0" w:line="181"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 xml:space="preserve">SECTION 2.27. </w:t>
      </w:r>
      <w:r>
        <w:rPr>
          <w:rFonts w:ascii="Times New Roman" w:cs="Times New Roman" w:eastAsia="Times New Roman" w:hAnsi="Times New Roman"/>
          <w:sz w:val="22"/>
          <w:szCs w:val="22"/>
          <w:u w:val="single" w:color="auto"/>
          <w:color w:val="auto"/>
        </w:rPr>
        <w:t>Additional Mandatory Prepayments and Commitment Reductions</w:t>
      </w:r>
      <w:r>
        <w:rPr>
          <w:rFonts w:ascii="Times New Roman" w:cs="Times New Roman" w:eastAsia="Times New Roman" w:hAnsi="Times New Roman"/>
          <w:sz w:val="22"/>
          <w:szCs w:val="22"/>
          <w:color w:val="auto"/>
        </w:rPr>
        <w:t>. If on any Computation Date (a) the Aggregate Revolving Exposure is greater than the Aggregate Revolving Commitment,</w:t>
      </w:r>
    </w:p>
    <w:p>
      <w:pPr>
        <w:spacing w:after="0" w:line="2" w:lineRule="exact"/>
        <w:rPr>
          <w:sz w:val="20"/>
          <w:szCs w:val="20"/>
          <w:color w:val="auto"/>
        </w:rPr>
      </w:pPr>
    </w:p>
    <w:p>
      <w:pPr>
        <w:jc w:val="both"/>
        <w:ind w:firstLine="8"/>
        <w:spacing w:after="0" w:line="231" w:lineRule="auto"/>
        <w:tabs>
          <w:tab w:leader="none" w:pos="323"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Swingline Exposure shall exceed the Swingline Loan Commitment, or (c) the LC Exposure shall exceed the Letter of Credit Sublimit, as a result of a change in exchange rates between one (1) or more Optional Currencies and Dollars, then the Administrative Agent shall notify the Borrower of the same. The Borrower shall pay or prepay the Revolving Loans and/or Swingline Loans (subject to the Borrower’s indemnity obligations under Sections 2.16, 2.23 and 2.25) within one (1) Business Day after the Borrower receives such notice such that after giving effect to such payments or prepayments (I) the Aggregate Revolving Exposure shall not exceed the Aggregate Revolving Commitment and (II) the Swingline Exposure shall not exceed the Swingline Loan Commitment. With respect to the circumstance identified in clause (c) of the first sentence of this paragraph, the Borrower shall cash collateralize the LC Exposure to the extent of the amount by which the LC Exposure exceeds the Letter of Credit Sublimit in accordance with Section 2.05(i). All prepayments required pursuant to this Section 2.27 shall first be applied among the Interest Rate Options to the principal amount of the Revolving Loans subject to the Base Rate Option, then to Revolving Loans subject to a LIBO Rate Option and then to Optional Currency Swingline Loans. In accordance with Section 2.16, the Borrower shall indemnify the Lenders for any loss or expense incurred with respect to any such prepayments applied against Loans subject to a LIBO Rate Option on any day other than the last day of the applicable Interest Period.</w:t>
      </w:r>
    </w:p>
    <w:p>
      <w:pPr>
        <w:spacing w:after="0" w:line="18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2.28. </w:t>
      </w:r>
      <w:r>
        <w:rPr>
          <w:rFonts w:ascii="Times New Roman" w:cs="Times New Roman" w:eastAsia="Times New Roman" w:hAnsi="Times New Roman"/>
          <w:sz w:val="22"/>
          <w:szCs w:val="22"/>
          <w:u w:val="single" w:color="auto"/>
          <w:color w:val="auto"/>
        </w:rPr>
        <w:t>Interbank Market Presumption</w:t>
      </w:r>
      <w:r>
        <w:rPr>
          <w:rFonts w:ascii="Times New Roman" w:cs="Times New Roman" w:eastAsia="Times New Roman" w:hAnsi="Times New Roman"/>
          <w:sz w:val="22"/>
          <w:szCs w:val="22"/>
          <w:color w:val="auto"/>
        </w:rPr>
        <w:t>. For all purposes of this Agreement and each Note with respect to any aspects of the LIBO Rate or any Loan under the LIBO Rate Option (including any Optional Currency Swingline Loan), each Lender (including, for the avoidance of doubt, the Swingline Lender) and the Administrative Agent shall be presumed to have obtained rates, funding, currencies, deposits, and the like in the Relevant Interbank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0" w:name="page521"/>
    <w:bookmarkEnd w:id="52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regardless whether it did so or not; and, each Lender’s (including the Swingline Lender’s) and the Administrative Agent’s determination of amounts payable under, and actions required or authorized by, Sections 2.14, 2.16 and 2.23 shall be calculated, at each Lender’s and the Administrative Agent’s option, as though each Lender and the Administrative Agent funded its </w:t>
      </w:r>
      <w:r>
        <w:rPr>
          <w:rFonts w:ascii="Times New Roman" w:cs="Times New Roman" w:eastAsia="Times New Roman" w:hAnsi="Times New Roman"/>
          <w:sz w:val="22"/>
          <w:szCs w:val="22"/>
          <w:u w:val="single" w:color="auto"/>
          <w:color w:val="0000FF"/>
        </w:rPr>
        <w:t>respective portion of</w:t>
      </w:r>
      <w:r>
        <w:rPr>
          <w:rFonts w:ascii="Times New Roman" w:cs="Times New Roman" w:eastAsia="Times New Roman" w:hAnsi="Times New Roman"/>
          <w:sz w:val="22"/>
          <w:szCs w:val="22"/>
          <w:color w:val="auto"/>
        </w:rPr>
        <w:t xml:space="preserve"> each Borrowing Tranche of Loans under the LIBO Rate Option through the purchase of deposits of the types and maturities corresponding to the deposits used as a reference in accordance with the terms hereof in determining the LIBO Rate (and any additional reserves pursuant to Section 2.23(a)) applicable to such Loans, whether in fact that is the case.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2.29.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36" w:lineRule="auto"/>
        <w:tabs>
          <w:tab w:leader="none" w:pos="2024"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the purposes of obtaining judgment in any court it is necessary to convert a sum due hereunder or under a Note in any currency (the “</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into another currency (the “</w:t>
      </w: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the parties hereby agree, to the fullest extent permitted by Law, that the rate of exchange used shall be that at which in accordance with normal banking procedures each Lender could purchase the Original Currency with the Other Currency after any premium and costs of exchange on the Business Day preceding that on which final judgment is given.</w:t>
      </w:r>
    </w:p>
    <w:p>
      <w:pPr>
        <w:spacing w:after="0" w:line="18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89"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the Borrower in respect of any sum due from the Borrower to any Lender (including, for the avoidance of doubt, the Swingline Lender) hereunder shall, notwithstanding any judgment in an Other Currency, whether pursuant to a judgment or otherwise, be discharged only to the extent that, on the Business Day following receipt by any Lender of any sum adjudged to be so due in such Other Currency, such Lender may in accordance with normal banking procedures purchase the Original Currency with such Other Currency. If the amount of the Original Currency so purchased is less than the sum originally due to such Lender in the Original Currency, the Borrower agrees, as a separate obligation and notwithstanding any such judgment or payment, to indemnify such Lender against such loss to the extent of such deficit.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III</w:t>
      </w:r>
    </w:p>
    <w:p>
      <w:pPr>
        <w:spacing w:after="0" w:line="23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Borrower represents and warrants to the Lenders that: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The Borrower and each Subsidiary is duly organized, validly existing and (to the extent the concept is applicable in such jurisdiction) in good standing under the laws of the jurisdiction of its organization, has all power and authority and all material Governmental Approvals required for the ownership and operation of its properties and the conduct of its business as now conducted and as proposed to be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to be entered into by each Loan Party are within such Loan Party’s corporate or other organizational powers and have been duly authorized by all necessary corporate or other organizational and,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1" w:name="page522"/>
    <w:bookmarkEnd w:id="521"/>
    <w:p>
      <w:pPr>
        <w:jc w:val="both"/>
        <w:spacing w:after="0" w:line="235" w:lineRule="auto"/>
        <w:rPr>
          <w:sz w:val="20"/>
          <w:szCs w:val="20"/>
          <w:color w:val="auto"/>
        </w:rPr>
      </w:pPr>
      <w:r>
        <w:rPr>
          <w:rFonts w:ascii="Times New Roman" w:cs="Times New Roman" w:eastAsia="Times New Roman" w:hAnsi="Times New Roman"/>
          <w:sz w:val="22"/>
          <w:szCs w:val="22"/>
          <w:color w:val="auto"/>
        </w:rPr>
        <w:t>stockholder or other equityholder action of each Loan Party. Each of this Agreement, the Collateral Agreement and any IP Security Agreement executed on or before the Restatement Effective Date has been duly executed and delivered by the Borrower and each other Loan Party that is party thereto and constitutes, and each other Loan Document to which any Loan Party is to be a party, when executed and delivered by such Loan Party, will constitute, a legal, valid and binding obligation of the Borrower or such Loan Party, as the case may be, enforceable against it in accordance with its terms, subject to applicable bankruptcy, insolvency, reorganization, moratorium or other Laws affecting creditors’ rights generally and to general principles of equity, regardless of whether considered in a proceeding in equity or at law.</w:t>
      </w:r>
    </w:p>
    <w:p>
      <w:pPr>
        <w:spacing w:after="0" w:line="17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Absence of Conflicts</w:t>
      </w:r>
      <w:r>
        <w:rPr>
          <w:rFonts w:ascii="Times New Roman" w:cs="Times New Roman" w:eastAsia="Times New Roman" w:hAnsi="Times New Roman"/>
          <w:sz w:val="22"/>
          <w:szCs w:val="22"/>
          <w:color w:val="auto"/>
        </w:rPr>
        <w:t>. The Transactions (a) do not require any consent or approval of, registration or filing with or any other action by any Governmental Authority, except (i) such as have been obtained or made and are in full force and effect and (ii) filings necessary to perfect Liens created under the Loan Documents, (b) will not violate any applicable Law, including any order of any Governmental Authority, (c) will not violate the charter, by-laws or other organizational documents of the Borrower or any Subsidiary, (d) will not violate or result (alone or with notice or lapse of time, or both) in a default under any Material Contract of the Borrower or any Subsidiary, or give rise to a right thereunder to require any payment, repurchase or redemption to be made by the Borrower or any Subsidiary, or give rise to a right of, or result in, any termination, cancellation, acceleration or right of renegotiation of any obligation thereunder, and (e) except for Liens created under the Loan Documents, will not result in the creation or imposition of any Lien on any asset of the Borrower or any Subsidiary. There is no default under any Material Agreement and none of the Loan Parties or their Subsidiaries is bound by any contractual obligation, or subject to any restriction in any organization document, or any requirement of Law, which could in any such case reasonably be expected to result in a Material Adverse Effect.</w:t>
      </w:r>
    </w:p>
    <w:p>
      <w:pPr>
        <w:spacing w:after="0" w:line="18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has heretofore furnished to the Lenders its consolidated balance sheet and statements of operations, stockholders’ equity, comprehensive income and cash flows (i) as of and for the fiscal year ended December 31, 2016, audited by and accompanied by the opinion of KPMG LLP, independent registered public accounting firm, (ii) as of and for each of the fiscal quarters and the portion of the fiscal year ended March 31, June 30 and September 30, 2017, in the case of clause (ii) above, certified by its chief financial officer. Such financial statements present fairly, in all material respects, the financial position, results of operations and cash flows of the Borrower and its consolidated Subsidiaries as of such dates and for such periods in accordance with GAAP, subject to normal year-end audit adjustments and the absence of certain footnotes in the case of the statements referred to in clause (ii) above.</w:t>
      </w:r>
    </w:p>
    <w:p>
      <w:pPr>
        <w:spacing w:after="0" w:line="179" w:lineRule="exact"/>
        <w:rPr>
          <w:sz w:val="20"/>
          <w:szCs w:val="20"/>
          <w:color w:val="auto"/>
        </w:rPr>
      </w:pPr>
    </w:p>
    <w:p>
      <w:pPr>
        <w:ind w:left="1980" w:hanging="676"/>
        <w:spacing w:after="0"/>
        <w:tabs>
          <w:tab w:leader="none" w:pos="19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09"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financial statements referred to above or the notes thereto, neither the Borrower nor any Subsidiary has, as of the Restatement Effective Date, any material contingent liabilities, unusual long-term commitments or unrealized losses.</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2041"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2016, there has been no event or condition that has resulted, or could reasonably be expected to result, in a material adverse change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22"/>
          <w:szCs w:val="22"/>
          <w:color w:val="auto"/>
        </w:rPr>
        <w:t>assets, operations or condition (financial or otherwise) of the Borrower and the Subsidiaries, taken as a whole.</w:t>
      </w:r>
    </w:p>
    <w:p>
      <w:pPr>
        <w:spacing w:after="0" w:line="20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The Borrower and each Subsidiary has good title to, or valid leasehold interests in, all its property material to its business, except for minor defects in title that do not interfere with its ability to conduct its business as currently conducted or to utilize such properties for their intended purposes.</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The Borrower and each Subsidiary owns, or is licensed to use, all patents, trademarks, copyrights, licenses, technology, software, domain names and other intellectual property that is necessary for the conduct of their business as currently conducted, and proposed to be conducted, and without conflict with the rights of any other Person, except to the extent any such conflict, individually or in the aggregate, could not reasonably be expected to result in a Material Adverse Effect. No patents, trademarks, copyrights, licenses, technology, software, domain names or other intellectual property used by the Borrower or any Subsidiary in the operation of its business infringes upon the rights of any other Person, except for such infringements that, individually or in the aggregate, could not reasonably be expected to result in a Material Adverse Effect. No claim or litigation regarding patents, trademarks, copyrights, licenses, technology, software, domain names or other intellectual property owned or used by the Borrower or any Subsidiary is pending or, to the knowledge of the Borrower and the Subsidiaries, threatened against the Borrower or any Subsidiary that, individually or in the aggregate, could reasonably be expected to result in a Material Adverse Effect. As of the Restatement Effective Date, each patent, trademark, copyright or other intellectual property that, individually or in the aggregate, is material to the business of the Borrower and the Subsidiaries (or to the business of the Borrower and the Domestic Subsidiaries) is owned by the Borrower or a Domestic Subsidiary.</w:t>
      </w:r>
    </w:p>
    <w:p>
      <w:pPr>
        <w:spacing w:after="0" w:line="178" w:lineRule="exact"/>
        <w:rPr>
          <w:sz w:val="20"/>
          <w:szCs w:val="20"/>
          <w:color w:val="auto"/>
        </w:rPr>
      </w:pPr>
    </w:p>
    <w:p>
      <w:pPr>
        <w:jc w:val="both"/>
        <w:ind w:firstLine="1304"/>
        <w:spacing w:after="0" w:line="239" w:lineRule="auto"/>
        <w:tabs>
          <w:tab w:leader="none" w:pos="199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3.06 sets forth all source code licenses (whether as part of an escrow arrangement or otherwise) granted by the Borrower or any Subsidiary as of the Restatement Effective Date, other than any such licenses to software developers that have entered into use and nondisclosure agreements, and, if applicable, the escrow agent with respect thereto.</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Litigation and Environmental Matters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There are no actions, suits or proceedings by or before any arbitrator or Governmental Authority pending against or, to the knowledge of the Borrower or any Subsidiary, threatened against or affecting the Borrower or any Subsidiary that (i) could reasonably be expected, individually or in the aggregate, to result in a Material Adverse Effect or (ii) involve any of the Loan Documents or the Transactions.</w:t>
      </w:r>
    </w:p>
    <w:p>
      <w:pPr>
        <w:spacing w:after="0" w:line="177" w:lineRule="exact"/>
        <w:rPr>
          <w:sz w:val="20"/>
          <w:szCs w:val="20"/>
          <w:color w:val="auto"/>
        </w:rPr>
      </w:pPr>
    </w:p>
    <w:p>
      <w:pPr>
        <w:jc w:val="both"/>
        <w:ind w:firstLine="1304"/>
        <w:spacing w:after="0" w:line="236" w:lineRule="auto"/>
        <w:tabs>
          <w:tab w:leader="none" w:pos="2294"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could not reasonably be expected to result in a Material Adverse Effect, neither the Borrower nor any Subsidiary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8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Compliance with Laws and Agreements; No Default</w:t>
      </w:r>
      <w:r>
        <w:rPr>
          <w:rFonts w:ascii="Times New Roman" w:cs="Times New Roman" w:eastAsia="Times New Roman" w:hAnsi="Times New Roman"/>
          <w:sz w:val="22"/>
          <w:szCs w:val="22"/>
          <w:color w:val="auto"/>
        </w:rPr>
        <w:t>. The Borrower and each Subsidiary is in compliance with all Laws, including all orders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3" w:name="page524"/>
    <w:bookmarkEnd w:id="523"/>
    <w:p>
      <w:pPr>
        <w:jc w:val="both"/>
        <w:spacing w:after="0" w:line="238" w:lineRule="auto"/>
        <w:rPr>
          <w:sz w:val="20"/>
          <w:szCs w:val="20"/>
          <w:color w:val="auto"/>
        </w:rPr>
      </w:pPr>
      <w:r>
        <w:rPr>
          <w:rFonts w:ascii="Times New Roman" w:cs="Times New Roman" w:eastAsia="Times New Roman" w:hAnsi="Times New Roman"/>
          <w:sz w:val="22"/>
          <w:szCs w:val="22"/>
          <w:color w:val="auto"/>
        </w:rPr>
        <w:t>Governmental Authorities, applicable to it or its property and indentures, loan or credit agreements, mortgages, deeds of trust, contracts, undertakings or other agreements or instruments to which the Borrower or such Subsidiary is a party or by which it or any of its properties is bound, except where the failure to comply, individually or in the aggregate, could not reasonably be expected to result in a Material Adverse Effect. No Default has occurred and is continuing.</w:t>
      </w:r>
    </w:p>
    <w:p>
      <w:pPr>
        <w:spacing w:after="0" w:line="17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Neither the Borrower nor any Subsidiary is an “investment company” as defined in, or subject to regulation under, the Investment Company Act of 1940.</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and each Subsidiary has timely filed or caused to be filed all Tax returns and reports required to have been filed and has paid or caused to be paid all Taxes required to have been paid by it, except where (a) (i) the validity or amount thereof is being contested in good faith by appropriate proceedings, (ii) the Borrower or such Subsidiary has set aside on its books reserves with respect thereto to the extent required by GAAP and (iii) such contest effectively suspends collection of the contested obligation and the enforcement of any Lien securing such obligation or (b) the failure to do so could not, individually or in the aggregate, reasonably be expected to result in a Material Adverse Effect.</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Events have occurred or are reasonably expected to occur that could, in the aggregate, reasonably be expected to result in a Material Adverse Effect. The present value of all accumulated benefit obligations under each Plan (based on the assumptions used for purposes of Accounting Standards Codification Topic 715) did not, as of the date of the most recent financial statements reflecting such amounts, exceed by more than $3,000,000 the fair value of the assets of such Plan, and the present value of all accumulated benefit obligations of all underfunded Plans (based on the assumptions used for purposes of Accounting Standards Codification Topic 715) did not, as of the date or dates of the most recent financial statements reflecting such amounts, exceed by more than $3,000,000 the fair value of the assets of all such underfunded Plans.</w:t>
      </w:r>
    </w:p>
    <w:p>
      <w:pPr>
        <w:spacing w:after="0" w:line="18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Subsidiaries and Joint Ventures; Equity Interests in the Borrower</w:t>
      </w:r>
      <w:r>
        <w:rPr>
          <w:rFonts w:ascii="Times New Roman" w:cs="Times New Roman" w:eastAsia="Times New Roman" w:hAnsi="Times New Roman"/>
          <w:sz w:val="22"/>
          <w:szCs w:val="22"/>
          <w:color w:val="auto"/>
        </w:rPr>
        <w:t>. The Equity Interests in each Subsidiary have been duly authorized and validly issued and are fully paid and non-assessable. Except as set forth on Schedule 3.12, as of the Restatement Effective Date, there is no existing option, warrant, call, right, commitment or other agreement to which the Borrower or any Subsidiary is a party requiring, and there are no Equity Interests in any Subsidiary outstanding that upon conversion or exchange would require, the issuance by any Subsidiary of any additional Equity Interests or other securities convertible into, exchangeable for or evidencing the right to subscribe for or purchase any Equity Interests in any Subsidiary. Schedule 3.12A sets forth, as of the Restatement Effective Date, the name and jurisdiction of organization of, and the percentage of each class of Equity Interests owned by the Borrower or any Subsidiary in, (a) each Subsidiary and (b) each joint venture in which the Borrower or any Subsidiary owns any Equity Interests. Schedule 3.12 sets forth, as of the Restatement Effective Date, the percentage of each class of Equity Interests in the Borrower owned by the Permitted Holders.</w:t>
      </w:r>
    </w:p>
    <w:p>
      <w:pPr>
        <w:spacing w:after="0" w:line="18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Schedule 3.13 sets forth a description of all insurance maintained by or on behalf of the Borrower and the Subsidiaries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4" w:name="page525"/>
    <w:bookmarkEnd w:id="524"/>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Immediately after the consummation of the Transactions to occur on the Restatement Effective Date, including the making of each Loan to be made on the Restatement Effective Date and the application of the proceeds of such Loans, and after giving effect to the rights of subrogation and contribution under the Collateral Agreement, (a) the fair value of the assets of each Loan Party will exceed its debts and liabilities, subordinated, contingent or otherwise, (b) the present fair saleable value of the assets of each Loan Party will be greater than the amount that will be required to pay the probable liability on its debts and other liabilities, subordinated, contingent or otherwise, as such debts and other liabilities become absolute and matured,</w:t>
      </w:r>
    </w:p>
    <w:p>
      <w:pPr>
        <w:spacing w:after="0" w:line="6" w:lineRule="exact"/>
        <w:rPr>
          <w:sz w:val="20"/>
          <w:szCs w:val="20"/>
          <w:color w:val="auto"/>
        </w:rPr>
      </w:pPr>
    </w:p>
    <w:p>
      <w:pPr>
        <w:jc w:val="both"/>
        <w:ind w:firstLine="8"/>
        <w:spacing w:after="0" w:line="234" w:lineRule="auto"/>
        <w:tabs>
          <w:tab w:leader="none" w:pos="319"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be able to pay its debts and liabilities, subordinated, contingent or otherwise, as such debts and liabilities become absolute and matured and (d) each Loan Party will not have unreasonably small capital with which to conduct the business in which it is engaged, as such business is now conducted and is proposed to be conducted following the Restatement Effective Date.</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SECTION 3.15.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The Borrower has disclosed to the Lenders all agreements, instruments and corporate or other restrictions to which the Borrower or any Subsidiary is subject, and all other matters known to the Borrower, that, individually or in the aggregate, could reasonably be expected to result in a Material Adverse Effect. None of the reports, financial statements, certificates or other information furnished by or on behalf of the Borrower or any Subsidiary to the Administrative Agent, any Arranger or any Lender in connection with the negotiation of this Agreement or any other Loan Document, included herein or therein or furnished hereunder or thereunder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forecasts or projected financial information, the Borrower represents only that such information was prepared in good faith based upon assumptions believed by it to be reasonable at the time made and at the time so furnished and, if furnished prior to the Restatement Effective Date, as of the Restatement Effective Date (it being understood that such forecasts and projections may vary from actual results and that such variances may be material).</w:t>
      </w:r>
    </w:p>
    <w:p>
      <w:pPr>
        <w:spacing w:after="0" w:line="18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Collateral Matters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Collateral Agreement creates in favor of the Administrative Agent, for the benefit of the Secured Parties, a valid and enforceable security interest in the Collateral (as defined therein) and (i) in the case of Collateral (as defined therein) constituting certificated securities (as defined in the Uniform Commercial Code) delivered to the Administrative Agent on or prior to the Restatement Effective Date, together with instruments of transfer duly endorsed in blank, the security interest created under the Collateral Agreement constitutes a fully perfected security interest in all right, title and interest of the pledgors thereunder in such Collateral, prior and superior in right to any other Person, (ii) in the case of financing statements filed prior to the Restatement Effective Date in connection with the Existing Credit Agreement, the security interest created under the Collateral Agreement constitutes a fully perfected security interest in all right, title and interest of the Loan Parties in the remaining Collateral (as defined therein) to the extent perfection can be obtained by filing Uniform Commercial Code financing statements, prior and superior to the rights of any other Person, except for rights secured by Liens permitted under Section 6.02, (iii) when any other Collateral (as defined therein) constituting certificated securities (as defined in the Uniform Commercial Code) is delivered to the Administrative Agent after the Restatement Effective Date,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5" w:name="page526"/>
    <w:bookmarkEnd w:id="525"/>
    <w:p>
      <w:pPr>
        <w:jc w:val="both"/>
        <w:spacing w:after="0" w:line="234" w:lineRule="auto"/>
        <w:rPr>
          <w:sz w:val="20"/>
          <w:szCs w:val="20"/>
          <w:color w:val="auto"/>
        </w:rPr>
      </w:pPr>
      <w:r>
        <w:rPr>
          <w:rFonts w:ascii="Times New Roman" w:cs="Times New Roman" w:eastAsia="Times New Roman" w:hAnsi="Times New Roman"/>
          <w:sz w:val="22"/>
          <w:szCs w:val="22"/>
          <w:color w:val="auto"/>
        </w:rPr>
        <w:t>instruments of transfer duly endorsed in blank, the security interest created under the Collateral Agreement will constitute a fully perfected security interest in all right, title and interest of the pledgors thereunder in such Collateral, prior and superior in right to any other Person, and (iv) when financing statements in appropriate form are filed in the applicable filing offices with respect to any Loan Party joined as a Loan Party after the Restatement Effective Date, the security interest created under the Collateral Agreement will constitute a fully perfected security interest in all right, title and interest of such Loan Parties in the Collateral (as defined therein) of such Loan Party to the extent perfection can be obtained by filing Uniform Commercial Code financing statements, in each case prior and superior to the rights of any other Person, except for rights secured by Liens permitted under Section 6.02.</w:t>
      </w:r>
    </w:p>
    <w:p>
      <w:pPr>
        <w:spacing w:after="0" w:line="183" w:lineRule="exact"/>
        <w:rPr>
          <w:sz w:val="20"/>
          <w:szCs w:val="20"/>
          <w:color w:val="auto"/>
        </w:rPr>
      </w:pPr>
    </w:p>
    <w:p>
      <w:pPr>
        <w:ind w:left="1980" w:hanging="676"/>
        <w:spacing w:after="0"/>
        <w:tabs>
          <w:tab w:leader="none" w:pos="1980" w:val="left"/>
        </w:tabs>
        <w:numPr>
          <w:ilvl w:val="1"/>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2020" w:val="left"/>
        </w:tabs>
        <w:numPr>
          <w:ilvl w:val="1"/>
          <w:numId w:val="3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0000FF"/>
        </w:rPr>
        <w:t>(i)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With respect to IP Security Agreements recorded with the United States Patent and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Trademark Office or the United States Copyright Office, as applicable, prior to the Restatement Effective Date, the security interest created under the Collateral Agreement constitutes, effective upon the filing of</w:t>
      </w:r>
    </w:p>
    <w:p>
      <w:pPr>
        <w:spacing w:after="0" w:line="1" w:lineRule="exact"/>
        <w:rPr>
          <w:rFonts w:ascii="Times New Roman" w:cs="Times New Roman" w:eastAsia="Times New Roman" w:hAnsi="Times New Roman"/>
          <w:sz w:val="21"/>
          <w:szCs w:val="21"/>
          <w:color w:val="auto"/>
        </w:rPr>
      </w:pPr>
    </w:p>
    <w:p>
      <w:pPr>
        <w:jc w:val="both"/>
        <w:ind w:left="660" w:hanging="4"/>
        <w:spacing w:after="0" w:line="232" w:lineRule="auto"/>
        <w:tabs>
          <w:tab w:leader="none" w:pos="984" w:val="left"/>
        </w:tabs>
        <w:numPr>
          <w:ilvl w:val="0"/>
          <w:numId w:val="40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 xml:space="preserve">the IP Security Agreement recorded on March 2, 2012, with the United States Patent and Trademark Office at Reel 027794/Frame 0026, and </w:t>
      </w:r>
      <w:r>
        <w:rPr>
          <w:rFonts w:ascii="Times New Roman" w:cs="Times New Roman" w:eastAsia="Times New Roman" w:hAnsi="Times New Roman"/>
          <w:sz w:val="22"/>
          <w:szCs w:val="22"/>
          <w:u w:val="single" w:color="auto"/>
          <w:color w:val="0000FF"/>
        </w:rPr>
        <w:t>(2)</w:t>
      </w:r>
      <w:r>
        <w:rPr>
          <w:rFonts w:ascii="Times New Roman" w:cs="Times New Roman" w:eastAsia="Times New Roman" w:hAnsi="Times New Roman"/>
          <w:sz w:val="22"/>
          <w:szCs w:val="22"/>
          <w:color w:val="auto"/>
        </w:rPr>
        <w:t xml:space="preserve"> the IP Security Agreement recorded on March 2, 2012, with the United States Copyright Office in Volume 3613, Document 384, a fully perfected security interest in all right, title and interest of the Loan Parties in the Intellectual Property (as defined in the Collateral Agreement) covered by such IP Security Agreements in which a security interest may be perfected by filing in the United States of America, in each case prior and superior in right to any other Person, but subject to Liens permitted under Section 6.02 (it being understood that subsequent recordings in the United States Patent and Trademark Office or the United States Copyright Office may be necessary to perfect a security interest in such Intellectual Property acquired by a Loan Party after the date of such prior recording).</w:t>
      </w:r>
    </w:p>
    <w:p>
      <w:pPr>
        <w:spacing w:after="0" w:line="176" w:lineRule="exact"/>
        <w:rPr>
          <w:rFonts w:ascii="Times New Roman" w:cs="Times New Roman" w:eastAsia="Times New Roman" w:hAnsi="Times New Roman"/>
          <w:sz w:val="22"/>
          <w:szCs w:val="22"/>
          <w:u w:val="single" w:color="auto"/>
          <w:color w:val="0000FF"/>
        </w:rPr>
      </w:pPr>
    </w:p>
    <w:p>
      <w:pPr>
        <w:jc w:val="both"/>
        <w:ind w:left="660" w:firstLine="644"/>
        <w:spacing w:after="0" w:line="233" w:lineRule="auto"/>
        <w:tabs>
          <w:tab w:leader="none" w:pos="2021"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recordation of any IP Security Agreements executed on or after the Restatement Effective Date with the United States Patent and Trademark Office or the United States Copyright Office, as applicable, and the filing of the financing statements referred to in paragraph (a) of this Section, the security interest created under the Collateral Agreement will constitute a fully perfected security interest in all right, title and interest of the Loan Parties in the Intellectual Property (as defined in the Collateral Agreement) covered by such IP Security Agreements in which a security interest may be perfected by filing in the United States of America, in each case prior and superior in right to any other Person, but subject to Liens permitted under Section 6.02 (it being understood that subsequent recordings in the United States Patent and Trademark Office or the United States Copyright Office may be necessary to perfect a security interest in such Intellectual Property acquired by the Loan Parties after the Restatement Effective Date).</w:t>
      </w:r>
    </w:p>
    <w:p>
      <w:pPr>
        <w:spacing w:after="0" w:line="187" w:lineRule="exact"/>
        <w:rPr>
          <w:sz w:val="20"/>
          <w:szCs w:val="20"/>
          <w:color w:val="auto"/>
        </w:rPr>
      </w:pPr>
    </w:p>
    <w:p>
      <w:pPr>
        <w:jc w:val="both"/>
        <w:ind w:firstLine="1304"/>
        <w:spacing w:after="0" w:line="238" w:lineRule="auto"/>
        <w:tabs>
          <w:tab w:leader="none" w:pos="2093"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Security Document, other than any Security Document referred to in the preceding paragraphs of this Section, upon execution and delivery thereof by the parties thereto and the making of the filings and taking of the other actions provided for therein, will be effective under applicable Law to create in favor of the Administrative Agent, for the benefit of the Secured Parties, a valid and enforceable security interest in the Collateral subject thereto, and will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6" w:name="page527"/>
    <w:bookmarkEnd w:id="526"/>
    <w:p>
      <w:pPr>
        <w:jc w:val="both"/>
        <w:spacing w:after="0" w:line="244" w:lineRule="auto"/>
        <w:rPr>
          <w:sz w:val="20"/>
          <w:szCs w:val="20"/>
          <w:color w:val="auto"/>
        </w:rPr>
      </w:pPr>
      <w:r>
        <w:rPr>
          <w:rFonts w:ascii="Times New Roman" w:cs="Times New Roman" w:eastAsia="Times New Roman" w:hAnsi="Times New Roman"/>
          <w:sz w:val="22"/>
          <w:szCs w:val="22"/>
          <w:color w:val="auto"/>
        </w:rPr>
        <w:t>a fully perfected security interest in all right, title and interest of the Loan Parties in the Collateral subject thereto, prior and superior to the rights of any other Person, except for rights secured by Liens permitted under Section 6.02.</w:t>
      </w:r>
    </w:p>
    <w:p>
      <w:pPr>
        <w:spacing w:after="0" w:line="17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Neither the Borrower nor any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or any issuance of Letters of Credit will be used, directly or indirectly, for any purpose that entails a violation (including on the part of any Lender) of any of the regulations of the Board of Governors, including Regulations U and X. Not more than 25% of the value of the assets subject to any provision of this Agreement or any other Loan Document that restricts the ability of the Borrower or any Subsidiary to sell, create any Lien on or otherwise dispose of its assets will at any time be represented by margin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3.18. </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No Covered Entity is a Sanctioned Person. No Covered Entity, either in its own right or through any third party (a) has any of its assets in a Sanctioned Country or in the possession, custody or control of a Sanctioned Person in violation of any Anti-Terrorism Law; (b) does business in or with, or derives any of its income from investments in or transactions with, any Sanctioned Country or Sanctioned Person in violation of any Anti-Terrorism Law; or (c) engages in any dealings or transactions prohibited by any Anti-Terrorism Law. The Loan Parties have instituted and maintain policies and procedures designed to promote and achieve continued compliance with Anti-Terrorism Laws.</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Neither the Borrower nor any of its Subsidiaries, nor, to the knowledge of any Financial Officer or other executive officer of any Loan Party, any director, officer, agent, employee or other person acting on behalf of the Borrower or any of its Subsidiaries, has taken any action, directly or indirectly, that would result in a violation by such persons of the FCPA or any other applicable anti-corruption law; and the Loan Parties have instituted and maintain policies and procedures designed to promote and achieve continued compliance therewith.</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3.21. </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No Loan Party is an EEA Financial Institution.</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u w:val="single" w:color="auto"/>
          <w:color w:val="0000FF"/>
        </w:rPr>
        <w:t>SECTION 3.22. Certificate of Beneficial Ownership. The Certificate of Beneficial Ownership executed and delivered to the Administrative Agent and the Lenders for the Borrower on or prior to the First Amendment Effective Date, as updated from time to time in accordance with this Agreement, is accurate, complete and correct as of such date and as of the date any such update is delivered. Each Loan Party acknowledges and agrees that the Certificate of Beneficial Ownership is one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7" w:name="page528"/>
    <w:bookmarkEnd w:id="527"/>
    <w:p>
      <w:pPr>
        <w:jc w:val="center"/>
        <w:spacing w:after="0"/>
        <w:rPr>
          <w:sz w:val="20"/>
          <w:szCs w:val="20"/>
          <w:color w:val="auto"/>
        </w:rPr>
      </w:pPr>
      <w:r>
        <w:rPr>
          <w:rFonts w:ascii="Times New Roman" w:cs="Times New Roman" w:eastAsia="Times New Roman" w:hAnsi="Times New Roman"/>
          <w:sz w:val="22"/>
          <w:szCs w:val="22"/>
          <w:color w:val="010000"/>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33" w:lineRule="exact"/>
        <w:rPr>
          <w:sz w:val="20"/>
          <w:szCs w:val="20"/>
          <w:color w:val="auto"/>
        </w:rPr>
      </w:pPr>
    </w:p>
    <w:p>
      <w:pPr>
        <w:ind w:left="1300"/>
        <w:spacing w:after="0"/>
        <w:tabs>
          <w:tab w:leader="none" w:pos="5920" w:val="left"/>
        </w:tabs>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FF0000"/>
        </w:rPr>
        <w:t>(a)</w:t>
      </w:r>
      <w:r>
        <w:rPr>
          <w:sz w:val="20"/>
          <w:szCs w:val="20"/>
          <w:color w:val="auto"/>
        </w:rPr>
        <w:tab/>
      </w:r>
      <w:r>
        <w:rPr>
          <w:rFonts w:ascii="Times New Roman" w:cs="Times New Roman" w:eastAsia="Times New Roman" w:hAnsi="Times New Roman"/>
          <w:sz w:val="22"/>
          <w:szCs w:val="22"/>
          <w:color w:val="auto"/>
        </w:rPr>
        <w:t>. The Existing Credit Agreement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-65405</wp:posOffset>
            </wp:positionV>
            <wp:extent cx="46101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9">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22"/>
          <w:szCs w:val="22"/>
          <w:color w:val="auto"/>
        </w:rPr>
        <w:t>deemed amended and restated by this Agreement and no Lender (including the Swingline Lender) shall have any obligation to make any Loan under this Agreement and no Issuing Bank shall have any obligation to issue any Letter of Credit under this Agreement, unless and until each of the following conditions precedent shall have been satisfied (or waived in accordance with Section 9.02):</w:t>
      </w:r>
    </w:p>
    <w:p>
      <w:pPr>
        <w:spacing w:after="0" w:line="177" w:lineRule="exact"/>
        <w:rPr>
          <w:sz w:val="20"/>
          <w:szCs w:val="20"/>
          <w:color w:val="auto"/>
        </w:rPr>
      </w:pPr>
    </w:p>
    <w:p>
      <w:pPr>
        <w:jc w:val="both"/>
        <w:ind w:firstLine="1304"/>
        <w:spacing w:after="0" w:line="238" w:lineRule="auto"/>
        <w:tabs>
          <w:tab w:leader="none" w:pos="2363"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each party hereto either (i) a counterpart of this Agreement, the Reaffirmation Agreement and any Notes to be executed on the Restatement Effective Date, each signed on behalf of such party or (ii) evidence satisfactory to the Administrative Agent (which may include a facsimile transmission) that such party has signed a counterpart of this Agreement and such other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35" w:lineRule="auto"/>
        <w:tabs>
          <w:tab w:leader="none" w:pos="2226"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may reasonably request relating to the organization, existence and good standing of the Borrower and each Subsidiary Loan Party, the authorization of the Transactions by the Borrower and each Subsidiary Loan Party, the incumbency of each person signing any Loan Document on behalf of the Borrower or any Subsidiary Loan Party and any other legal matters relating to the Borrower and the Subsidiary Loan Parties, the Credit Agreement, the other Loan Documents or the Transactions, all in form and substance reasonably satisfactory to the Administrative Agent.</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81"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dated the Restatement Effective Date and signed by the chief executive officer or the chief financial officer of the Borrower, confirming that, after giving effect to the provisions hereof (i) the representations and warranties of the Borrower set forth in this Agreement are true and correct (A) in the case of the representations and warranties qualified as to materiality, in all respects and (B) otherwise, in all material respects, in each case on and as of the Restatement Effective Date and (ii) no Default has occurred and is continuing on the Restatement Effective Date.</w:t>
      </w:r>
    </w:p>
    <w:p>
      <w:pPr>
        <w:spacing w:after="0" w:line="170" w:lineRule="exact"/>
        <w:rPr>
          <w:rFonts w:ascii="Times New Roman" w:cs="Times New Roman" w:eastAsia="Times New Roman" w:hAnsi="Times New Roman"/>
          <w:sz w:val="21"/>
          <w:szCs w:val="21"/>
          <w:color w:val="auto"/>
        </w:rPr>
      </w:pPr>
    </w:p>
    <w:p>
      <w:pPr>
        <w:jc w:val="both"/>
        <w:ind w:firstLine="1304"/>
        <w:spacing w:after="0" w:line="244" w:lineRule="auto"/>
        <w:tabs>
          <w:tab w:leader="none" w:pos="2272"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Compliance Certificate signed by a Financial Officer of the Borrower setting forth pro forma compliance with the financial covenants set forth in Sections 6.12 and 6.13.</w:t>
      </w:r>
    </w:p>
    <w:p>
      <w:pPr>
        <w:spacing w:after="0" w:line="173"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79"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Arrangers shall have received all fees and other amounts due and payable on or prior to the Restatement Effective Date, including, to the extent invoiced, payment or reimbursement of all fees and expenses (including fees, charges and disbursements of counsel) required to be paid or reimbursed by any Loan Party under the Engagement Letter, the Fee Letter or the Loan Documents.</w:t>
      </w:r>
    </w:p>
    <w:p>
      <w:pPr>
        <w:spacing w:after="0" w:line="161" w:lineRule="exact"/>
        <w:rPr>
          <w:rFonts w:ascii="Times New Roman" w:cs="Times New Roman" w:eastAsia="Times New Roman" w:hAnsi="Times New Roman"/>
          <w:sz w:val="21"/>
          <w:szCs w:val="21"/>
          <w:color w:val="auto"/>
        </w:rPr>
      </w:pPr>
    </w:p>
    <w:p>
      <w:pPr>
        <w:ind w:left="2000" w:hanging="696"/>
        <w:spacing w:after="0"/>
        <w:tabs>
          <w:tab w:leader="none" w:pos="2000"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shall have received the financial statements, opinions and certificates referred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in Section 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8" w:name="page529"/>
    <w:bookmarkEnd w:id="528"/>
    <w:p>
      <w:pPr>
        <w:jc w:val="both"/>
        <w:ind w:firstLine="1304"/>
        <w:spacing w:after="0" w:line="239" w:lineRule="auto"/>
        <w:tabs>
          <w:tab w:leader="none" w:pos="2209"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annual financial projections for the Borrower and its consolidated Subsidiaries for the years 2018 through 2022, including a balance sheet statement of operations and cash flow (including the assumptions used in preparing such projections), in form and substance reasonably acceptable to the Administrative Agent.</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0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have received all documentation and other information required by bank regulatory authorities under applicable “know your customer” and anti-money laundering rules and regulations, including the USA PATRIOT Act.</w:t>
      </w:r>
    </w:p>
    <w:p>
      <w:pPr>
        <w:spacing w:after="0" w:line="173" w:lineRule="exact"/>
        <w:rPr>
          <w:rFonts w:ascii="Times New Roman" w:cs="Times New Roman" w:eastAsia="Times New Roman" w:hAnsi="Times New Roman"/>
          <w:sz w:val="22"/>
          <w:szCs w:val="22"/>
          <w:color w:val="auto"/>
        </w:rPr>
      </w:pPr>
    </w:p>
    <w:p>
      <w:pPr>
        <w:jc w:val="both"/>
        <w:ind w:firstLine="1304"/>
        <w:spacing w:after="0" w:line="234" w:lineRule="auto"/>
        <w:tabs>
          <w:tab w:leader="none" w:pos="207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Guarantee Requirement shall have been satisfied. The Administrative Agent shall have received a completed Perfection Certificate, dated the Restatement Effective Date and signed by an executive officer or a Financial Officer of the Borrower,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under Section 6.02 or have been, or substantially contemporaneously with the initial funding of Loans on the Restatement Effective Date will be, released.</w:t>
      </w:r>
    </w:p>
    <w:p>
      <w:pPr>
        <w:spacing w:after="0" w:line="18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07"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that the insurance required by Section 5.08 is in effect, together with endorsements naming the Administrative Agent, for the benefit of the Secured Parties, as additional insured and loss payee thereunder to the extent required under Section 5.08.</w:t>
      </w:r>
    </w:p>
    <w:p>
      <w:pPr>
        <w:spacing w:after="0" w:line="17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92"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favorable written opinion (addressed to the Administrative Agent, the Lenders and the Issuing Banks and dated the Restatement Effective Date) of each of (i) Drinker Biddle &amp; Reath LLP, counsel for the Borrower, (ii) if requested by the Administrative Agent, local counsel for the Borrower in each jurisdiction in which any Subsidiary Loan Party is organized, and the laws of which are not covered by the opinion letter referred to in clause (i) above, and (iii) to the extent requested by the Administrative Agent, foreign counsel for the Borrower and/or, to the extent requested by the Administrative Agent and customary in such jurisdiction, the Administrative Agent in each foreign jurisdiction in which Pledged Collateral (as defined in the Collateral Agreement) is located, in each case in form and substance reasonably satisfactory to the Administrative Agent.</w:t>
      </w:r>
    </w:p>
    <w:p>
      <w:pPr>
        <w:spacing w:after="0" w:line="183"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94"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Restatement Effective Date and signed by the chief executive officer or the chief financial officer of the Borrower, confirming compliance with the conditions set forth in the first sentence of paragraph (i) of this Section and in paragraphs (a) and (b) of Section 4.02.</w:t>
      </w:r>
    </w:p>
    <w:p>
      <w:pPr>
        <w:spacing w:after="0" w:line="180" w:lineRule="exact"/>
        <w:rPr>
          <w:rFonts w:ascii="Times New Roman" w:cs="Times New Roman" w:eastAsia="Times New Roman" w:hAnsi="Times New Roman"/>
          <w:sz w:val="22"/>
          <w:szCs w:val="22"/>
          <w:color w:val="auto"/>
        </w:rPr>
      </w:pPr>
    </w:p>
    <w:p>
      <w:pPr>
        <w:jc w:val="both"/>
        <w:ind w:firstLine="1304"/>
        <w:spacing w:after="0" w:line="238" w:lineRule="auto"/>
        <w:tabs>
          <w:tab w:leader="none" w:pos="223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 “Loans” (as defined in the Existing Credit Agreement) outstanding under the Existing Credit Agreement as of the Restatement Effective Date of the Departing Lenders, including any accrued interest and fees thereon, and all other amounts owed to the Departing Lenders under the Existing Credit Agreement and (ii) all </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Term Loans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(as defined in the Existing Credit Agreement) and accrued interest thereon, shall have been paid in full,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29" w:name="page530"/>
    <w:bookmarkEnd w:id="529"/>
    <w:p>
      <w:pPr>
        <w:ind w:right="20"/>
        <w:spacing w:after="0" w:line="258" w:lineRule="auto"/>
        <w:rPr>
          <w:sz w:val="20"/>
          <w:szCs w:val="20"/>
          <w:color w:val="auto"/>
        </w:rPr>
      </w:pPr>
      <w:r>
        <w:rPr>
          <w:rFonts w:ascii="Times New Roman" w:cs="Times New Roman" w:eastAsia="Times New Roman" w:hAnsi="Times New Roman"/>
          <w:sz w:val="22"/>
          <w:szCs w:val="22"/>
          <w:color w:val="auto"/>
        </w:rPr>
        <w:t>understood that such payments may be made from proceeds of Loans hereunder on the Restatement Effective Date.</w:t>
      </w:r>
    </w:p>
    <w:p>
      <w:pPr>
        <w:spacing w:after="0" w:line="158" w:lineRule="exact"/>
        <w:rPr>
          <w:sz w:val="20"/>
          <w:szCs w:val="20"/>
          <w:color w:val="auto"/>
        </w:rPr>
      </w:pPr>
    </w:p>
    <w:p>
      <w:pPr>
        <w:jc w:val="both"/>
        <w:ind w:firstLine="1304"/>
        <w:spacing w:after="0" w:line="239" w:lineRule="auto"/>
        <w:tabs>
          <w:tab w:leader="none" w:pos="1987"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Restatement Effective Date and signed by the chief financial officer of the Borrower, as to the solvency of the Loan Parties on a consolidated basis after giving effect to the Transactions occurring on the Restatement Effective Date, in form and substance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201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Restatement Effective Date and signed by the chief executive officer or the chief financial officer of the Borrower either (i) attaching copies of all consents, licenses and approvals required in connection with the execution, delivery and performance by the Borrower and the other Loan Parties and the validity against the Borrower and the other Loan Parties of the Loan Documents to which they are a party, and such consents, licenses and approvals shall be in full force and effect, or (ii) stating that no such consents, licenses or approvals are so required.</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Administrative Agent shall notify the Borrower and the Lenders of the Restatement Effective Date, and such notice shall be conclusive and binding.</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Each Credit Event</w:t>
      </w:r>
      <w:r>
        <w:rPr>
          <w:rFonts w:ascii="Times New Roman" w:cs="Times New Roman" w:eastAsia="Times New Roman" w:hAnsi="Times New Roman"/>
          <w:sz w:val="21"/>
          <w:szCs w:val="21"/>
          <w:color w:val="auto"/>
        </w:rPr>
        <w:t>. The obligation of each Lender to make a Loan on the occasion of any Borrowing, and of each Issuing Bank to issue, amend, renew or extend any Letter of Credit, is subject to receipt of the request therefor in accordance herewith and to the satisfaction of the following conditions:</w:t>
      </w:r>
    </w:p>
    <w:p>
      <w:pPr>
        <w:spacing w:after="0" w:line="157" w:lineRule="exact"/>
        <w:rPr>
          <w:sz w:val="20"/>
          <w:szCs w:val="20"/>
          <w:color w:val="auto"/>
        </w:rPr>
      </w:pPr>
    </w:p>
    <w:p>
      <w:pPr>
        <w:jc w:val="both"/>
        <w:ind w:firstLine="1304"/>
        <w:spacing w:after="0" w:line="236" w:lineRule="auto"/>
        <w:tabs>
          <w:tab w:leader="none" w:pos="2113"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Loan Party set forth in the Loan Documents shall be true and correct (i) in the case of representations and warranties qualified as to materiality, in all respects and (ii) otherwise, in all material respects, in each case on and as of the date of such Borrowing or the date of issuance, amendment, renewal or extension of such Letter of Credit, as applicable, except in the case of any such representation and warranty that expressly relates to a prior date, in which case such representation and warranty shall be so true and correct on and as of such prior date.</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79"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renewal or extension of such Letter of Credit, as applicable, no Default shall have occurred and be continuing.</w:t>
      </w:r>
    </w:p>
    <w:p>
      <w:pPr>
        <w:spacing w:after="0" w:line="1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On the date of any Borrowing or the issuance, amendment, renewal or extension of any Letter of Credit, the Borrower shall be deemed to have represented and warranted that the conditions specified in paragraphs (a) and</w:t>
      </w:r>
    </w:p>
    <w:p>
      <w:pPr>
        <w:spacing w:after="0" w:line="2" w:lineRule="exact"/>
        <w:rPr>
          <w:sz w:val="20"/>
          <w:szCs w:val="20"/>
          <w:color w:val="auto"/>
        </w:rPr>
      </w:pPr>
    </w:p>
    <w:p>
      <w:pPr>
        <w:jc w:val="both"/>
        <w:ind w:firstLine="8"/>
        <w:spacing w:after="0" w:line="234" w:lineRule="auto"/>
        <w:tabs>
          <w:tab w:leader="none" w:pos="366"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have been satisfied and that, after giving effect to such Borrowing, or such issuance, amendment, renewal or extension of a Letter of Credit, the Aggregate Revolving Exposure (or any component thereof) shall not exceed the maximum amount thereof (or the maximum amount of any such component) specified in Section 2.01, 2.04(a) or 2.05(b).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0" w:name="page531"/>
    <w:bookmarkEnd w:id="530"/>
    <w:p>
      <w:pPr>
        <w:jc w:val="center"/>
        <w:spacing w:after="0"/>
        <w:rPr>
          <w:sz w:val="20"/>
          <w:szCs w:val="20"/>
          <w:color w:val="auto"/>
        </w:rPr>
      </w:pPr>
      <w:r>
        <w:rPr>
          <w:rFonts w:ascii="Times New Roman" w:cs="Times New Roman" w:eastAsia="Times New Roman" w:hAnsi="Times New Roman"/>
          <w:sz w:val="22"/>
          <w:szCs w:val="22"/>
          <w:color w:val="010000"/>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Borrower covenants and agrees with the Lenders, the Issuing Banks and the Administrative Agent that until the Commitments shall have expired or been terminated, the principal of and interest on each Loan and all fees and other amounts payable hereunder shall have been paid in full, all Letters of Credit shall have expired or been terminated and all LC Disbursements shall have been reimbursed: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The Borrower will furnish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distribution to the Lenders:</w:t>
      </w:r>
    </w:p>
    <w:p>
      <w:pPr>
        <w:spacing w:after="0" w:line="182" w:lineRule="exact"/>
        <w:rPr>
          <w:sz w:val="20"/>
          <w:szCs w:val="20"/>
          <w:color w:val="auto"/>
        </w:rPr>
      </w:pPr>
    </w:p>
    <w:p>
      <w:pPr>
        <w:jc w:val="both"/>
        <w:ind w:firstLine="1304"/>
        <w:spacing w:after="0" w:line="244" w:lineRule="auto"/>
        <w:tabs>
          <w:tab w:leader="none" w:pos="1993"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March 31 of each fiscal year of the Borrower (or, if the Borrower is subject to periodic reporting obligations under the Exchange Act, by the date that the Annual Report on Form 10-K of the Borrower for the immediately preceding fiscal year would be required to be filed under the rules and regulations of the SEC, giving effect to any automatic extension available thereunder for the filing of such form but not any other extension that is granted), its audited consolidated balance sheet and related consolidated statements of operations, stockholders’ equity, comprehensive income and cash flows as of the end of and for the immediately preceding fiscal year, setting forth in each case in comparative form the figures for the prior fiscal year, all audited by and accompanied by the opinion of KPMG LLP or another independent registered public accounting firm of recognized national standing (without a “going concern” qualification or exception and without any qualification or exception as to the scope of such audit) to the effect that such consolidated financial statements present fairly, in all material respects, the financial position, results of operations and cash flows of the Borrower and its consolidated Subsidiaries on a consolidated basis as of the end of and for such year in accordance with GAAP and accompanied by a narrative report describing the financial position, results of operations and cash flows of the Borrower and its consolidated Subsidiaries in a form reasonably satisfactory to the Administrative Agent;</w:t>
      </w:r>
    </w:p>
    <w:p>
      <w:pPr>
        <w:spacing w:after="0" w:line="180" w:lineRule="exact"/>
        <w:rPr>
          <w:rFonts w:ascii="Times New Roman" w:cs="Times New Roman" w:eastAsia="Times New Roman" w:hAnsi="Times New Roman"/>
          <w:sz w:val="21"/>
          <w:szCs w:val="21"/>
          <w:color w:val="auto"/>
        </w:rPr>
      </w:pPr>
    </w:p>
    <w:p>
      <w:pPr>
        <w:jc w:val="both"/>
        <w:ind w:firstLine="1304"/>
        <w:spacing w:after="0" w:line="244" w:lineRule="auto"/>
        <w:tabs>
          <w:tab w:leader="none" w:pos="2059" w:val="left"/>
        </w:tabs>
        <w:numPr>
          <w:ilvl w:val="0"/>
          <w:numId w:val="4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45 days after the end of each of the first three fiscal quarters of each fiscal year of the Borrower (or, if the Borrower is subject to periodic reporting obligations under the Exchange Act, by the date that the Quarterly Report on Form 10-Q of the Borrower for such fiscal quarter would be required to be filed under the rules and regulations of the SEC, giving effect to any automatic extension available thereunder for the filing of such form but not any other extension that is granted), its consolidated balance sheet and related consolidated statements of operations, stockholders’ equity, comprehensive income and cash flows as of the end of and for such fiscal quarter and the then elapsed portion of the fiscal year, setting forth in each case in comparative form the figures for the corresponding period or periods of (or, in the case of the balance sheet, as of the end of) the prior fiscal year, all certified by a Financial Officer of the Borrower as presenting fairly, in all material respects, the financial position, results of operations and cash flows of the Borrower and its consolidated Subsidiaries on a consolidated basis as of the end of and for such fiscal quarter and such portion of the fiscal year in accordance with GAAP, subject to normal year-end audit adjustments and the absence of certain footnotes, and accompanied by a narrative report describing the financial position, results of operations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1" w:name="page532"/>
    <w:bookmarkEnd w:id="531"/>
    <w:p>
      <w:pPr>
        <w:spacing w:after="0" w:line="258" w:lineRule="auto"/>
        <w:rPr>
          <w:sz w:val="20"/>
          <w:szCs w:val="20"/>
          <w:color w:val="auto"/>
        </w:rPr>
      </w:pPr>
      <w:r>
        <w:rPr>
          <w:rFonts w:ascii="Times New Roman" w:cs="Times New Roman" w:eastAsia="Times New Roman" w:hAnsi="Times New Roman"/>
          <w:sz w:val="22"/>
          <w:szCs w:val="22"/>
          <w:color w:val="auto"/>
        </w:rPr>
        <w:t>flows of the Borrower and its consolidated Subsidiaries in a form reasonably satisfactory to the Administrative Agent;</w:t>
      </w:r>
    </w:p>
    <w:p>
      <w:pPr>
        <w:spacing w:after="0" w:line="158" w:lineRule="exact"/>
        <w:rPr>
          <w:sz w:val="20"/>
          <w:szCs w:val="20"/>
          <w:color w:val="auto"/>
        </w:rPr>
      </w:pPr>
    </w:p>
    <w:p>
      <w:pPr>
        <w:ind w:left="1980" w:hanging="676"/>
        <w:spacing w:after="0"/>
        <w:tabs>
          <w:tab w:leader="none" w:pos="1980"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color w:val="auto"/>
        </w:rPr>
      </w:pPr>
    </w:p>
    <w:p>
      <w:pPr>
        <w:jc w:val="both"/>
        <w:ind w:firstLine="1304"/>
        <w:spacing w:after="0" w:line="233" w:lineRule="auto"/>
        <w:tabs>
          <w:tab w:leader="none" w:pos="2144"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each delivery of financial statements under clause (a) or (b) above, a completed Compliance Certificate signed by a Financial Officer of the Borrower, (i) certifying as to whether a Default has occurred and, if a Default has occurred, specifying the details thereof and any action taken or proposed to be taken with respect thereto, (ii) setting forth reasonably detailed calculations demonstrating compliance with Sections 6.12 and 6.13, (iii) setting forth a list of Investments made in such period in reliance on Section 6.04(o)-(p) as well as a list of the aggregate amount of all Investments made in reliance on such Sections outstanding on the last day of the period covered by such Compliance Certificate, (iv) stating whether any change in GAAP or in the application thereof has occurred since the date of the consolidated balance sheet of the Borrower most recently theretofore delivered under clause (a) or (b) above (or, prior to the first such delivery, referred to in Section 3.04) and, if any such change has occurred, specifying the effect of such change on the financial statements (including those for the prior periods) accompanying such certificate, and (v) certifying that all notices required to be provided under Sections 5.02, 5.03 and 5.04 have been provided;</w:t>
      </w:r>
    </w:p>
    <w:p>
      <w:pPr>
        <w:spacing w:after="0" w:line="184" w:lineRule="exact"/>
        <w:rPr>
          <w:rFonts w:ascii="Times New Roman" w:cs="Times New Roman" w:eastAsia="Times New Roman" w:hAnsi="Times New Roman"/>
          <w:sz w:val="22"/>
          <w:szCs w:val="22"/>
          <w:color w:val="auto"/>
        </w:rPr>
      </w:pPr>
    </w:p>
    <w:p>
      <w:pPr>
        <w:jc w:val="both"/>
        <w:ind w:firstLine="1304"/>
        <w:spacing w:after="0" w:line="238" w:lineRule="auto"/>
        <w:tabs>
          <w:tab w:leader="none" w:pos="2027"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above, a certificate of the accounting firm that audited such financial statements stating whether it obtained knowledge during the course of its examination of such financial statements of any Default and, in the case it shall have obtained knowledge of any Default, specifying the details thereof (which certificate may be limited to the extent required by accounting rules or guidelines);</w:t>
      </w:r>
    </w:p>
    <w:p>
      <w:pPr>
        <w:spacing w:after="0" w:line="176" w:lineRule="exact"/>
        <w:rPr>
          <w:rFonts w:ascii="Times New Roman" w:cs="Times New Roman" w:eastAsia="Times New Roman" w:hAnsi="Times New Roman"/>
          <w:sz w:val="22"/>
          <w:szCs w:val="22"/>
          <w:color w:val="auto"/>
        </w:rPr>
      </w:pPr>
    </w:p>
    <w:p>
      <w:pPr>
        <w:jc w:val="both"/>
        <w:ind w:firstLine="1304"/>
        <w:spacing w:after="0" w:line="241" w:lineRule="auto"/>
        <w:tabs>
          <w:tab w:leader="none" w:pos="2137" w:val="left"/>
        </w:tabs>
        <w:numPr>
          <w:ilvl w:val="1"/>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March 31 of each fiscal year of the Borrower, a certificate of a Financial Officer or other executive officer of the Borrower setting forth (i) all Equity Interests owned by any Loan Party,</w:t>
      </w:r>
    </w:p>
    <w:p>
      <w:pPr>
        <w:spacing w:after="0" w:line="1" w:lineRule="exact"/>
        <w:rPr>
          <w:rFonts w:ascii="Times New Roman" w:cs="Times New Roman" w:eastAsia="Times New Roman" w:hAnsi="Times New Roman"/>
          <w:sz w:val="22"/>
          <w:szCs w:val="22"/>
          <w:color w:val="auto"/>
        </w:rPr>
      </w:pPr>
    </w:p>
    <w:p>
      <w:pPr>
        <w:jc w:val="both"/>
        <w:ind w:firstLine="8"/>
        <w:spacing w:after="0" w:line="233" w:lineRule="auto"/>
        <w:tabs>
          <w:tab w:leader="none" w:pos="337"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owned by any Loan Party and (iii) all commercial tort claims in respect of which a complaint or a counterclaim has been filed by any Loan Party and that, in each case, (A) if so owned or filed by a Loan Party as of the Restatement Effective Date would have been required to be set forth on the applicable schedule to the Collateral Agreement pursuant to the terms of such agreement and (B) have not been set forth on such schedule or on a certificate previously delivered pursuant to this clause (f);</w:t>
      </w:r>
    </w:p>
    <w:p>
      <w:pPr>
        <w:spacing w:after="0" w:line="179" w:lineRule="exact"/>
        <w:rPr>
          <w:rFonts w:ascii="Times New Roman" w:cs="Times New Roman" w:eastAsia="Times New Roman" w:hAnsi="Times New Roman"/>
          <w:sz w:val="22"/>
          <w:szCs w:val="22"/>
          <w:color w:val="auto"/>
        </w:rPr>
      </w:pPr>
    </w:p>
    <w:p>
      <w:pPr>
        <w:jc w:val="both"/>
        <w:ind w:firstLine="1304"/>
        <w:spacing w:after="0" w:line="238" w:lineRule="auto"/>
        <w:tabs>
          <w:tab w:leader="none" w:pos="2111"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each fiscal year of the Borrower, a detailed consolidated budget for the next two succeeding fiscal years (including a projected consolidated balance sheet and related projected statements of operations and cash flows as of the end of and for each such fiscal year and setting forth the assumptions used for purposes of preparing such budget) and, promptly after the same become available, any significant revisions to such budget;</w:t>
      </w:r>
    </w:p>
    <w:p>
      <w:pPr>
        <w:spacing w:after="0" w:line="176"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00"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Subsidiary with the SEC or with any national securities exchange, or distributed by the Borrower to its shareholders generally,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2" w:name="page533"/>
    <w:bookmarkEnd w:id="532"/>
    <w:p>
      <w:pPr>
        <w:ind w:left="2080" w:hanging="776"/>
        <w:spacing w:after="0"/>
        <w:tabs>
          <w:tab w:leader="none" w:pos="2080" w:val="left"/>
        </w:tabs>
        <w:numPr>
          <w:ilvl w:val="1"/>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any request therefor by the Administrative Agent or any Lender, copies of</w:t>
      </w:r>
    </w:p>
    <w:p>
      <w:pPr>
        <w:spacing w:after="0" w:line="25" w:lineRule="exact"/>
        <w:rPr>
          <w:rFonts w:ascii="Times New Roman" w:cs="Times New Roman" w:eastAsia="Times New Roman" w:hAnsi="Times New Roman"/>
          <w:sz w:val="21"/>
          <w:szCs w:val="21"/>
          <w:color w:val="auto"/>
        </w:rPr>
      </w:pPr>
    </w:p>
    <w:p>
      <w:pPr>
        <w:jc w:val="both"/>
        <w:ind w:firstLine="8"/>
        <w:spacing w:after="0" w:line="232" w:lineRule="auto"/>
        <w:tabs>
          <w:tab w:leader="none" w:pos="264"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documents described in Section 101(k)(1) of ERISA that the Borrower or any of its ERISA Affiliates may request with respect to any Multiemployer Plan and (ii) any notices described in Section 101(l)(1) of ERISA that the Borrower or any of its ERISA Affiliates may request with respect to any Multiemployer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or any of its ERISA Affiliates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65"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request by any Lender, all documentation and other information that such Lender reasonably requests in order to comply with its ongoing obligations under applicable “know your customer” and anti-money laundering rules and regulations, including the USA PATRIOT Act; and</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262"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any request therefor, such other information regarding the operations, business affairs, assets, liabilities (including contingent liabilities) and financial condition of the Borrower or any Subsidiary, or compliance with the terms of any Loan Document, as the Administrative Agent or any Lender may reasonably request, including consolidating financial information.</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Information required to be delivered pursuant to this Section shall be deemed to have been delivered if such information, or one or more annual or quarterly reports containing such information, shall have been posted by the Administrative Agent on Syndtrak or similar site to which the Lenders have been granted access or shall be available on the website of the SEC at http://www.sec.gov. Information required to be delivered pursuant to this Section may also be delivered by electronic communications pursuant to procedures approved by the Administrative Agent. In the event any financial statements delivered under clause (a) or (b) above shall be restated, the Borrower shall deliver, promptly after such restated financial statements become available, revised Compliance Certificates with respect to the periods covered thereby that give effect to such restatement, signed by a Financial Officer of the Borrower.</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if the due date by which any report, document or other information required to be furnished by the Borrower to the Administrative Agent pursuant to this Section 5.01 falls on a date that is not a Business Day, such due date will be the immediately following Business Day.</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for distribution to the Lenders, prompt written notice of the following:</w:t>
      </w:r>
    </w:p>
    <w:p>
      <w:pPr>
        <w:spacing w:after="0" w:line="158" w:lineRule="exact"/>
        <w:rPr>
          <w:sz w:val="20"/>
          <w:szCs w:val="20"/>
          <w:color w:val="auto"/>
        </w:rPr>
      </w:pPr>
    </w:p>
    <w:p>
      <w:pPr>
        <w:ind w:left="2000" w:hanging="696"/>
        <w:spacing w:after="0"/>
        <w:tabs>
          <w:tab w:leader="none" w:pos="2000" w:val="left"/>
        </w:tabs>
        <w:numPr>
          <w:ilvl w:val="0"/>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or receipt by the Borrower of any written notice claiming the occurrence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any Default;</w:t>
      </w:r>
    </w:p>
    <w:p>
      <w:pPr>
        <w:spacing w:after="0" w:line="182" w:lineRule="exact"/>
        <w:rPr>
          <w:rFonts w:ascii="Times New Roman" w:cs="Times New Roman" w:eastAsia="Times New Roman" w:hAnsi="Times New Roman"/>
          <w:sz w:val="21"/>
          <w:szCs w:val="21"/>
          <w:color w:val="auto"/>
        </w:rPr>
      </w:pPr>
    </w:p>
    <w:p>
      <w:pPr>
        <w:jc w:val="both"/>
        <w:ind w:firstLine="1304"/>
        <w:spacing w:after="0" w:line="239" w:lineRule="auto"/>
        <w:tabs>
          <w:tab w:leader="none" w:pos="2003"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Subsidiary, or any adverse development in any such pending action, suit or proceeding not previously disclosed in writing by the Borrower to the Administrative Agent and Lenders, that in each case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3" w:name="page534"/>
    <w:bookmarkEnd w:id="533"/>
    <w:p>
      <w:pPr>
        <w:ind w:right="20"/>
        <w:spacing w:after="0" w:line="258" w:lineRule="auto"/>
        <w:rPr>
          <w:sz w:val="20"/>
          <w:szCs w:val="20"/>
          <w:color w:val="auto"/>
        </w:rPr>
      </w:pPr>
      <w:r>
        <w:rPr>
          <w:rFonts w:ascii="Times New Roman" w:cs="Times New Roman" w:eastAsia="Times New Roman" w:hAnsi="Times New Roman"/>
          <w:sz w:val="22"/>
          <w:szCs w:val="22"/>
          <w:color w:val="auto"/>
        </w:rPr>
        <w:t>reasonably be expected to result in a Material Adverse Effect or that in any manner questions the validity of any Loan Document;</w:t>
      </w:r>
    </w:p>
    <w:p>
      <w:pPr>
        <w:spacing w:after="0" w:line="158" w:lineRule="exact"/>
        <w:rPr>
          <w:sz w:val="20"/>
          <w:szCs w:val="20"/>
          <w:color w:val="auto"/>
        </w:rPr>
      </w:pPr>
    </w:p>
    <w:p>
      <w:pPr>
        <w:jc w:val="both"/>
        <w:ind w:firstLine="1304"/>
        <w:spacing w:after="0" w:line="244" w:lineRule="auto"/>
        <w:tabs>
          <w:tab w:leader="none" w:pos="2066"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Borrower and the Subsidiaries in an aggregate amount of $5,000,000 or more;</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98"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occurrence of </w:t>
      </w:r>
      <w:r>
        <w:rPr>
          <w:rFonts w:ascii="Times New Roman" w:cs="Times New Roman" w:eastAsia="Times New Roman" w:hAnsi="Times New Roman"/>
          <w:sz w:val="22"/>
          <w:szCs w:val="22"/>
          <w:u w:val="single" w:color="auto"/>
          <w:color w:val="0000FF"/>
        </w:rPr>
        <w:t>(i) any Public Offering or (ii)</w:t>
      </w:r>
      <w:r>
        <w:rPr>
          <w:rFonts w:ascii="Times New Roman" w:cs="Times New Roman" w:eastAsia="Times New Roman" w:hAnsi="Times New Roman"/>
          <w:sz w:val="22"/>
          <w:szCs w:val="22"/>
          <w:color w:val="auto"/>
        </w:rPr>
        <w:t xml:space="preserve"> any casualty or other insured damage to any material portion of the Collateral or the commencement of any action or proceeding for the taking or expropriation of any material portion of the Collateral under power of eminent domain or by condemnation or similar proceeding; and</w:t>
      </w:r>
    </w:p>
    <w:p>
      <w:pPr>
        <w:spacing w:after="0" w:line="180" w:lineRule="exact"/>
        <w:rPr>
          <w:rFonts w:ascii="Times New Roman" w:cs="Times New Roman" w:eastAsia="Times New Roman" w:hAnsi="Times New Roman"/>
          <w:sz w:val="22"/>
          <w:szCs w:val="22"/>
          <w:color w:val="auto"/>
        </w:rPr>
      </w:pPr>
    </w:p>
    <w:p>
      <w:pPr>
        <w:ind w:firstLine="1304"/>
        <w:spacing w:after="0" w:line="258" w:lineRule="auto"/>
        <w:tabs>
          <w:tab w:leader="none" w:pos="2125"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has resulted, or could reasonably be expected to result, in a Material Adverse Effect.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Additional Subsidiaries</w:t>
      </w:r>
      <w:r>
        <w:rPr>
          <w:rFonts w:ascii="Times New Roman" w:cs="Times New Roman" w:eastAsia="Times New Roman" w:hAnsi="Times New Roman"/>
          <w:sz w:val="22"/>
          <w:szCs w:val="22"/>
          <w:color w:val="auto"/>
        </w:rPr>
        <w:t>. If any Subsidiary is formed or acquired after the Restatement Effective Date, the Borrower will, as promptly as practicable, and in any event within 30 days (or such longer period as the Administrative Agent may agree to in writing), notify the Administrative Agent thereof and cause the Collateral and Guarantee Requirement to be satisfied with respect to such Subsidiary (if it is a Domestic Subsidiary) and with respect to any Equity Interests in or Indebtedness of such Subsidiary owned by any Loan Party.</w:t>
      </w:r>
    </w:p>
    <w:p>
      <w:pPr>
        <w:spacing w:after="0" w:line="18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Information Regarding Collateral; Deposit and Securities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will furnish to the Administrative Agent prompt written notice of any change in (i) the legal name of any Loan Party, as set forth in its organizational documents, (ii) the jurisdiction of organization or the form of organization of any Loan Party (including as a result of any merger or consolidation), (iii) the location of the chief executive office of any Loan Party or (iv) the organizational identification number, if any, or, with respect to any Loan Party organized under the Laws of a jurisdiction that requires such information to be set forth on the face of a Uniform Commercial Code financing statement, the Federal Taxpayer Identification Number of such Loan Party. The Borrower agrees to promptly provide the Administrative Agent with certified organizational documents reflecting any of the changes described in the first sentence of this paragraph. The Borrower agrees not to effect or permit any change referred to in the first sentence of this paragraph unless all filings have been made under the Uniform Commercial Code or otherwise that are required in order for the Administrative Agent to continue at all times following such change to have a valid, legal and perfected security interest in all the Collateral.</w:t>
      </w:r>
    </w:p>
    <w:p>
      <w:pPr>
        <w:spacing w:after="0" w:line="182" w:lineRule="exact"/>
        <w:rPr>
          <w:sz w:val="20"/>
          <w:szCs w:val="20"/>
          <w:color w:val="auto"/>
        </w:rPr>
      </w:pPr>
    </w:p>
    <w:p>
      <w:pPr>
        <w:jc w:val="both"/>
        <w:ind w:firstLine="1304"/>
        <w:spacing w:after="0" w:line="238" w:lineRule="auto"/>
        <w:tabs>
          <w:tab w:leader="none" w:pos="2257"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furnish to the Administrative Agent prompt written notice of the acquisition by any Loan Party of any material assets after the Restatement Effective Date, other than any assets constituting Collateral under the Security Documents in which the Administrative Agent shall have a valid, legal and perfected security interest (with the priority contemplated by the applicable Security Document) upon the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4" w:name="page535"/>
    <w:bookmarkEnd w:id="534"/>
    <w:p>
      <w:pPr>
        <w:jc w:val="both"/>
        <w:ind w:firstLine="1304"/>
        <w:spacing w:after="0" w:line="239" w:lineRule="auto"/>
        <w:tabs>
          <w:tab w:leader="none" w:pos="2228"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promptly notify the Administrative Agent of the existence of any deposit account or securities account maintained by a Loan Party in respect of which a Control Agreement is required to be in effect pursuant to clause (f) of the definition of the term “Collateral and Guarantee Requirement” but is not yet in effect.</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Existence; Conduct of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The Borrower and each Subsidiary will do or cause to be done all things necessary to preserve, renew and keep in full force and effect its legal existence and the rights, licenses, permits, privileges, franchises, patents, copyrights, trademarks and trade names material to the conduct of its business except, other than in the case of the legal existence of the Borrower, where the failure to do so, individually or in the aggregate, could not reasonably be expected to result in a Material Adverse Effect; provided that the foregoing shall not prohibit any transaction permitted under Section 6.03 or 6.05.</w:t>
      </w:r>
    </w:p>
    <w:p>
      <w:pPr>
        <w:spacing w:after="0" w:line="171" w:lineRule="exact"/>
        <w:rPr>
          <w:sz w:val="20"/>
          <w:szCs w:val="20"/>
          <w:color w:val="auto"/>
        </w:rPr>
      </w:pPr>
    </w:p>
    <w:p>
      <w:pPr>
        <w:jc w:val="both"/>
        <w:ind w:firstLine="1304"/>
        <w:spacing w:after="0" w:line="233" w:lineRule="auto"/>
        <w:tabs>
          <w:tab w:leader="none" w:pos="2033"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Subsidiary will take all actions reasonably necessary to protect all patents, trademarks, copyrights, licenses, technology, software, domain names and other intellectual property necessary to the conduct of their business as currently conducted, and proposed to be conducted, including (i) protecting the secrecy and confidentiality of the Borrower’s and the Subsidiaries’ confidential information and trade secrets by having and enforcing a policy requiring all employees, consultants, licensees, vendors and contractors to execute confidentiality and invention assignment agreements, (ii) taking all actions reasonably necessary to ensure that no trade secrets of the Borrower or the Subsidiaries shall fall or have fallen into the public domain and (iii) protecting the secrecy and confidentiality of the source code of all computer software programs and applications owned or licensed by the Borrower or the Subsidiaries by having and enforcing a policy requiring any licensees of such source code (including any licensees under any source code escrow agreement) to enter into license agreements with appropriate use and nondisclosure restrictions, except in each case where the failure to take any such action, individually or in the aggregate, could not reasonably be expected to result in a Material Adverse Effect.</w:t>
      </w:r>
    </w:p>
    <w:p>
      <w:pPr>
        <w:spacing w:after="0" w:line="18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The Borrower and each Subsidiary will pay its obligations, including Tax liabilities, before the same shall become delinquent or in default, except where (a) (i) the validity or amount thereof is being contested in good faith by appropriate proceedings, (ii) the Borrower or such Subsidiary has set aside on its books reserves with respect thereto to the extent required by GAAP and (iii) such contest effectively suspends collection of the contested obligation and the enforcement of any Lien securing such obligation or (b) the failure to make payment could not, individually or in the aggregate, reasonably be expected to result in a Material Adverse Effect.</w:t>
      </w:r>
    </w:p>
    <w:p>
      <w:pPr>
        <w:spacing w:after="0" w:line="183"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The Borrower and each Subsidiary will keep and maintain all property material to the conduct of its business in good working order and condition, ordinary wear and tear excepted.</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Borrower and each Subsidiary will maintain, with financially sound and reputable insurance companies, insurance in such amounts (with no greater risk retention) and against such risks as are customarily maintained by companies of established repute engaged in the same or similar businesses operating in the same or similar locations. Each such policy of liability, casualty or business interruption insurance maintained by or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5" w:name="page536"/>
    <w:bookmarkEnd w:id="535"/>
    <w:p>
      <w:pPr>
        <w:jc w:val="both"/>
        <w:spacing w:after="0" w:line="236" w:lineRule="auto"/>
        <w:rPr>
          <w:sz w:val="20"/>
          <w:szCs w:val="20"/>
          <w:color w:val="auto"/>
        </w:rPr>
      </w:pPr>
      <w:r>
        <w:rPr>
          <w:rFonts w:ascii="Times New Roman" w:cs="Times New Roman" w:eastAsia="Times New Roman" w:hAnsi="Times New Roman"/>
          <w:sz w:val="22"/>
          <w:szCs w:val="22"/>
          <w:color w:val="auto"/>
        </w:rPr>
        <w:t>Loan Parties shall (a) in the case of each liability insurance policy, name the Administrative Agent, on behalf of the Secured Parties, as an additional insured thereunder, (b) in the case of each casualty or business interruption insurance policy, contain a loss payable clause or endorsement that names the Administrative Agent, on behalf of the Secured Parties, as the loss payee thereunder and (c) provide for at least 30 days’ (or such shorter number of days as may be agreed to by the Administrative Agent) prior written notice to the Administrative Agent of any cancellation of such policy.</w:t>
      </w:r>
    </w:p>
    <w:p>
      <w:pPr>
        <w:spacing w:after="0" w:line="18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Books and Records; Inspection and Audit Rights</w:t>
      </w:r>
      <w:r>
        <w:rPr>
          <w:rFonts w:ascii="Times New Roman" w:cs="Times New Roman" w:eastAsia="Times New Roman" w:hAnsi="Times New Roman"/>
          <w:sz w:val="22"/>
          <w:szCs w:val="22"/>
          <w:color w:val="auto"/>
        </w:rPr>
        <w:t>. The Borrower and each Subsidiary will keep proper books of record and account in which full, true and correct entries in accordance with GAAP and applicable Law are made of all dealings and transactions in relation to its business and activities. The Borrower and each Subsidiary will permit the Administrative Agent or any Lender, and any agent designated by any of the foregoing, upon reasonable prior notice, (a) to visit and inspect its properties, (b) to examine and make extracts from its books and records and (c) to discuss its operations, business affairs, assets, liabilities (including contingent liabilities) and financial condition with its officers and independent accountants, all at such reasonable times and as often as reasonably requested; provided that unless an Event of Default shall have occurred and be continuing, (i) no more than two such visits and inspections may be made during any calendar year and (ii) each such visit and inspection shall be made upon at least three Business Days’ prior notice to the Borrower or such Subsidiary.</w:t>
      </w:r>
    </w:p>
    <w:p>
      <w:pPr>
        <w:spacing w:after="0" w:line="18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and each Subsidiary will comply with (i) all Laws, including all orders of any Governmental Authority, applicable to it or its property (including any applicable Environmental Laws) and (ii) all indentures, agreements and other instruments binding upon it or its property, except in each case where the failure to do so, individually or in the aggregate, could not reasonably be expected to result in a Material Adverse Effect.</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Use of Proceeds and Letters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proceeds of the Revolving Loans will be used solely for (i) the payment of the costs and expenses associated with the Transactions (ii) the payment on the Restatement Effective Date of the “Term Loans” (as defined in the Existing Credit Agreement), the obligations owed to the Departing Lenders under the Existing Credit Agreement and any other loans or obligations owed under the Existing Credit Agreement, if any, that are being paid on the Restatement Effective Date, and (iii) working capital and other general corporate purposes of the Borrower and the Subsidiaries.</w:t>
      </w:r>
    </w:p>
    <w:p>
      <w:pPr>
        <w:spacing w:after="0" w:line="181" w:lineRule="exact"/>
        <w:rPr>
          <w:sz w:val="20"/>
          <w:szCs w:val="20"/>
          <w:color w:val="auto"/>
        </w:rPr>
      </w:pPr>
    </w:p>
    <w:p>
      <w:pPr>
        <w:ind w:right="20" w:firstLine="1304"/>
        <w:spacing w:after="0" w:line="258" w:lineRule="auto"/>
        <w:tabs>
          <w:tab w:leader="none" w:pos="2047" w:val="left"/>
        </w:tabs>
        <w:numPr>
          <w:ilvl w:val="0"/>
          <w:numId w:val="41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proceeds of the Term Loans will be used solely for general corporate purposes of the Borrower and the Subsidiaries, including making Restricted Payments to the extent permitted hereunder.</w:t>
      </w:r>
    </w:p>
    <w:p>
      <w:pPr>
        <w:spacing w:after="0" w:line="158" w:lineRule="exact"/>
        <w:rPr>
          <w:rFonts w:ascii="Times New Roman" w:cs="Times New Roman" w:eastAsia="Times New Roman" w:hAnsi="Times New Roman"/>
          <w:sz w:val="22"/>
          <w:szCs w:val="22"/>
          <w:u w:val="single" w:color="auto"/>
          <w:color w:val="0000FF"/>
        </w:rPr>
      </w:pPr>
    </w:p>
    <w:p>
      <w:pPr>
        <w:jc w:val="both"/>
        <w:ind w:firstLine="1304"/>
        <w:spacing w:after="0" w:line="244" w:lineRule="auto"/>
        <w:tabs>
          <w:tab w:leader="none" w:pos="2143" w:val="left"/>
        </w:tabs>
        <w:numPr>
          <w:ilvl w:val="0"/>
          <w:numId w:val="41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proceeds of Swingline Loans will be used solely for working capital and other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general corporate purposes of the Borrower and the Subsidiaries. Letters of Credit will be issued only to support obligations of the Borrower and the Subsidiaries incurred in the ordinary course of business.</w:t>
      </w:r>
    </w:p>
    <w:p>
      <w:pPr>
        <w:spacing w:after="0" w:line="17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Borrower and each other Loan Party will execute any and all further documents, financing statements, agreements and instruments,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6" w:name="page537"/>
    <w:bookmarkEnd w:id="536"/>
    <w:p>
      <w:pPr>
        <w:jc w:val="both"/>
        <w:spacing w:after="0" w:line="235" w:lineRule="auto"/>
        <w:rPr>
          <w:sz w:val="20"/>
          <w:szCs w:val="20"/>
          <w:color w:val="auto"/>
        </w:rPr>
      </w:pPr>
      <w:r>
        <w:rPr>
          <w:rFonts w:ascii="Times New Roman" w:cs="Times New Roman" w:eastAsia="Times New Roman" w:hAnsi="Times New Roman"/>
          <w:sz w:val="22"/>
          <w:szCs w:val="22"/>
          <w:color w:val="auto"/>
        </w:rPr>
        <w:t>take all such further actions (including the filing and recording of financing statements, fixture filings and other documents), that may be required under any applicable Law, or that the Administrative Agent may reasonably request, to cause the Collateral and Guarantee Requirement to be and remain satisfied at all times or otherwise to effectuate the provisions of the Loan Documents, all at the expense of the Loan Parties. The Borrower will provide to the Administrative Agent, from time to time upon request, evidence reasonably satisfactory to the Administrative Agent as to the perfection and priority of the Liens created or intended to be created by the Security Documents.</w:t>
      </w:r>
    </w:p>
    <w:p>
      <w:pPr>
        <w:spacing w:after="0" w:line="18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u w:val="single" w:color="auto"/>
          <w:color w:val="0000FF"/>
        </w:rPr>
        <w:t>SECTION 5.13. Certificate of Beneficial Ownership and Other Additional Information. The Loan Parties shall provide to the Administrative Agent and the Lenders: (a) at the request of the Administrative Agent, confirmation of the accuracy of the information set forth in the most recent Certificate of Beneficial Ownership provided to the Administrative Agent and Lenders; (b) a new Certificate of Beneficial Ownership, in form and substance acceptable to the Administrative Agent and each Lender, when the individual(s) to be identified as a Beneficial Owner have changed; and (c)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Borrower covenants and agrees with the Lenders that during the period commencing on the Restatement Effective Date and until the Commitments shall have expired or been terminated, the principal of and interest on each Loan and all fees and other amounts payable hereunder shall have been paid in full, all Letters of Credit shall have expired or been terminated and all LC Disbursements shall have been reimbursed:</w:t>
      </w:r>
    </w:p>
    <w:p>
      <w:pPr>
        <w:spacing w:after="0" w:line="180" w:lineRule="exact"/>
        <w:rPr>
          <w:sz w:val="20"/>
          <w:szCs w:val="20"/>
          <w:color w:val="auto"/>
        </w:rPr>
      </w:pPr>
    </w:p>
    <w:p>
      <w:pPr>
        <w:ind w:left="1300"/>
        <w:spacing w:after="0"/>
        <w:tabs>
          <w:tab w:leader="none" w:pos="2940" w:val="left"/>
          <w:tab w:leader="none" w:pos="67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2"/>
          <w:szCs w:val="22"/>
          <w:u w:val="single" w:color="auto"/>
          <w:color w:val="auto"/>
        </w:rPr>
        <w:t>Indebtedness; Certain Equity Securities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ab/>
        <w:t xml:space="preserve">(a) </w:t>
      </w:r>
      <w:r>
        <w:rPr>
          <w:rFonts w:ascii="Times New Roman" w:cs="Times New Roman" w:eastAsia="Times New Roman" w:hAnsi="Times New Roman"/>
          <w:sz w:val="22"/>
          <w:szCs w:val="22"/>
          <w:color w:val="000000"/>
        </w:rPr>
        <w:t>Neither the Borrower nor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Subsidiary will create, incur, assume or permit to exist any Indebtedness, except:</w:t>
      </w:r>
    </w:p>
    <w:p>
      <w:pPr>
        <w:spacing w:after="0" w:line="182" w:lineRule="exact"/>
        <w:rPr>
          <w:sz w:val="20"/>
          <w:szCs w:val="20"/>
          <w:color w:val="auto"/>
        </w:rPr>
      </w:pPr>
    </w:p>
    <w:p>
      <w:pPr>
        <w:ind w:left="2000" w:hanging="696"/>
        <w:spacing w:after="0"/>
        <w:tabs>
          <w:tab w:leader="none" w:pos="2000"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under the Loan Documents;</w:t>
      </w:r>
    </w:p>
    <w:p>
      <w:pPr>
        <w:spacing w:after="0" w:line="206" w:lineRule="exact"/>
        <w:rPr>
          <w:rFonts w:ascii="Times New Roman" w:cs="Times New Roman" w:eastAsia="Times New Roman" w:hAnsi="Times New Roman"/>
          <w:sz w:val="22"/>
          <w:szCs w:val="22"/>
          <w:color w:val="auto"/>
        </w:rPr>
      </w:pPr>
    </w:p>
    <w:p>
      <w:pPr>
        <w:ind w:left="660" w:firstLine="644"/>
        <w:spacing w:after="0" w:line="258" w:lineRule="auto"/>
        <w:tabs>
          <w:tab w:leader="none" w:pos="1964"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Restatement Effective Date and set forth on Schedule 6.01 and Refinancing Indebtedness in respect thereof;</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2208"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Subsidiary to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Indebtedness shall not have been transferred to any Person other than the Borrower or any Subsidiary, (B) any such Indebtedness owing by any Loan Party shall be subordinated to the Loan Document Obligations on terms customary for intercompany subordinated Indebtedness, as reasonably determined by the Administrative Agent, (C) any such Indebtedness owing to any Loan Party shall be evidenced by a promissory note that shall have been pledged pursuant to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7" w:name="page538"/>
    <w:bookmarkEnd w:id="537"/>
    <w:p>
      <w:pPr>
        <w:ind w:left="200"/>
        <w:spacing w:after="0" w:line="258" w:lineRule="auto"/>
        <w:rPr>
          <w:sz w:val="20"/>
          <w:szCs w:val="20"/>
          <w:color w:val="auto"/>
        </w:rPr>
      </w:pPr>
      <w:r>
        <w:rPr>
          <w:rFonts w:ascii="Times New Roman" w:cs="Times New Roman" w:eastAsia="Times New Roman" w:hAnsi="Times New Roman"/>
          <w:sz w:val="22"/>
          <w:szCs w:val="22"/>
          <w:color w:val="auto"/>
        </w:rPr>
        <w:t>Agreement and (D) any such Indebtedness owing by any Subsidiary that is not a Loan Party to any Loan Party shall be incurred in compliance with Section 6.04;</w:t>
      </w:r>
    </w:p>
    <w:p>
      <w:pPr>
        <w:spacing w:after="0" w:line="158" w:lineRule="exact"/>
        <w:rPr>
          <w:sz w:val="20"/>
          <w:szCs w:val="20"/>
          <w:color w:val="auto"/>
        </w:rPr>
      </w:pPr>
    </w:p>
    <w:p>
      <w:pPr>
        <w:ind w:left="1540" w:hanging="696"/>
        <w:spacing w:after="0"/>
        <w:tabs>
          <w:tab w:leader="none" w:pos="1540"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compliance with Section 6.04;</w:t>
      </w:r>
    </w:p>
    <w:p>
      <w:pPr>
        <w:spacing w:after="0" w:line="206" w:lineRule="exact"/>
        <w:rPr>
          <w:rFonts w:ascii="Times New Roman" w:cs="Times New Roman" w:eastAsia="Times New Roman" w:hAnsi="Times New Roman"/>
          <w:sz w:val="22"/>
          <w:szCs w:val="22"/>
          <w:color w:val="auto"/>
        </w:rPr>
      </w:pPr>
    </w:p>
    <w:p>
      <w:pPr>
        <w:jc w:val="both"/>
        <w:ind w:left="200" w:firstLine="644"/>
        <w:spacing w:after="0" w:line="235" w:lineRule="auto"/>
        <w:tabs>
          <w:tab w:leader="none" w:pos="1683"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Borrower or any Subsidiary (A) incurred to finance the acquisition, construction and improvement of any fixed or capital assets, including Capital Lease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is incurred prior to or within 90 days after such acquisition or the completion of such construction or improvement and the principal amount of such Indebtedness does not exceed the cost of acquiring, constructing or improving such fixed or capital assets, or (B) assumed in connection with the acquisition of any fixed or capital assets, and Refinancing Indebtedness in respect of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Indebtedness permitted by this clause (v) shall not exceed $25,000,000 at any time outstanding;</w:t>
      </w:r>
    </w:p>
    <w:p>
      <w:pPr>
        <w:spacing w:after="0" w:line="178" w:lineRule="exact"/>
        <w:rPr>
          <w:rFonts w:ascii="Times New Roman" w:cs="Times New Roman" w:eastAsia="Times New Roman" w:hAnsi="Times New Roman"/>
          <w:sz w:val="22"/>
          <w:szCs w:val="22"/>
          <w:color w:val="auto"/>
        </w:rPr>
      </w:pPr>
    </w:p>
    <w:p>
      <w:pPr>
        <w:jc w:val="both"/>
        <w:ind w:left="200" w:firstLine="644"/>
        <w:spacing w:after="0" w:line="249" w:lineRule="auto"/>
        <w:tabs>
          <w:tab w:leader="none" w:pos="1672"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Borrower or any Subsidiary (A) incurred to finance the acquisition, construction and improvement of any real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is incurred prior to or within 90 days after such acquisition and the principal amount of such Indebtedness does not exceed the cost of acquiring such real property or (B) assumed in connection with the acquisition of any real property, and Refinancing Indebtedness in respect of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principal amount of Indebtedness permitted by this clause (vi) shall not exceed $25,000,000 at any time outstanding;</w:t>
      </w:r>
    </w:p>
    <w:p>
      <w:pPr>
        <w:spacing w:after="0" w:line="170" w:lineRule="exact"/>
        <w:rPr>
          <w:rFonts w:ascii="Times New Roman" w:cs="Times New Roman" w:eastAsia="Times New Roman" w:hAnsi="Times New Roman"/>
          <w:sz w:val="21"/>
          <w:szCs w:val="21"/>
          <w:color w:val="auto"/>
        </w:rPr>
      </w:pPr>
    </w:p>
    <w:p>
      <w:pPr>
        <w:jc w:val="both"/>
        <w:ind w:left="200" w:firstLine="644"/>
        <w:spacing w:after="0" w:line="244" w:lineRule="auto"/>
        <w:tabs>
          <w:tab w:leader="none" w:pos="1565"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any Person that becomes a Subsidiary (or of any Person not previously a Subsidiary that is merged or consolidated with or into a Subsidiary in a transaction permitted hereunder) after the date hereof, or Indebtedness of any Person that is assumed by the Borrower or any Subsidiary in connection with an acquisition of assets by the Borrower or such Subsidiary in a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w:t>
      </w:r>
    </w:p>
    <w:p>
      <w:pPr>
        <w:spacing w:after="0" w:line="6" w:lineRule="exact"/>
        <w:rPr>
          <w:rFonts w:ascii="Times New Roman" w:cs="Times New Roman" w:eastAsia="Times New Roman" w:hAnsi="Times New Roman"/>
          <w:sz w:val="21"/>
          <w:szCs w:val="21"/>
          <w:color w:val="auto"/>
        </w:rPr>
      </w:pPr>
    </w:p>
    <w:p>
      <w:pPr>
        <w:jc w:val="both"/>
        <w:ind w:left="200" w:hanging="4"/>
        <w:spacing w:after="0" w:line="232" w:lineRule="auto"/>
        <w:tabs>
          <w:tab w:leader="none" w:pos="563"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Borrower nor any Subsidiary (other than such Person or the Subsidiary with which such Person is merged or consolidated or the Person that so assumes such Person’s Indebtedness) shall Guarantee or otherwise become liable for the payment of such Indebtedness, and Refinancing Indebtedness in respect of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Indebtedness permitted by this clause (vii) that is secured or is owing by any Subsidiary that is not a Loan Party shall not exceed $10,000,000 at any time outstanding;</w:t>
      </w:r>
    </w:p>
    <w:p>
      <w:pPr>
        <w:spacing w:after="0" w:line="182" w:lineRule="exact"/>
        <w:rPr>
          <w:rFonts w:ascii="Times New Roman" w:cs="Times New Roman" w:eastAsia="Times New Roman" w:hAnsi="Times New Roman"/>
          <w:sz w:val="22"/>
          <w:szCs w:val="22"/>
          <w:color w:val="auto"/>
        </w:rPr>
      </w:pPr>
    </w:p>
    <w:p>
      <w:pPr>
        <w:jc w:val="both"/>
        <w:ind w:left="200" w:firstLine="644"/>
        <w:spacing w:after="0" w:line="239" w:lineRule="auto"/>
        <w:tabs>
          <w:tab w:leader="none" w:pos="1526"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owed in respect of any overdrafts and related liabilities arising from treasury, depository and cash management services or in connection with any automated clearing-house transfers of funds;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shall be repaid in full within five Business Days of the incurrence thereof;</w:t>
      </w:r>
    </w:p>
    <w:p>
      <w:pPr>
        <w:spacing w:after="0" w:line="180" w:lineRule="exact"/>
        <w:rPr>
          <w:rFonts w:ascii="Times New Roman" w:cs="Times New Roman" w:eastAsia="Times New Roman" w:hAnsi="Times New Roman"/>
          <w:sz w:val="22"/>
          <w:szCs w:val="22"/>
          <w:color w:val="auto"/>
        </w:rPr>
      </w:pPr>
    </w:p>
    <w:p>
      <w:pPr>
        <w:ind w:left="200" w:firstLine="644"/>
        <w:spacing w:after="0" w:line="258" w:lineRule="auto"/>
        <w:tabs>
          <w:tab w:leader="none" w:pos="1743"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under bonds securing the performance of bids, tenders, contracts or leases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59" w:right="999" w:bottom="1440" w:gutter="0" w:footer="0" w:header="0"/>
        </w:sectPr>
      </w:pPr>
    </w:p>
    <w:bookmarkStart w:id="538" w:name="page539"/>
    <w:bookmarkEnd w:id="538"/>
    <w:p>
      <w:pPr>
        <w:ind w:left="1980" w:hanging="676"/>
        <w:spacing w:after="0"/>
        <w:tabs>
          <w:tab w:leader="none" w:pos="1980"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instruments and other payment items for deposit; and</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2124" w:val="left"/>
        </w:tabs>
        <w:numPr>
          <w:ilvl w:val="1"/>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in an aggregate principal amount not exceeding $175,000,000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Indebtedness permitted by this clause</w:t>
      </w:r>
    </w:p>
    <w:p>
      <w:pPr>
        <w:spacing w:after="0" w:line="1" w:lineRule="exact"/>
        <w:rPr>
          <w:rFonts w:ascii="Times New Roman" w:cs="Times New Roman" w:eastAsia="Times New Roman" w:hAnsi="Times New Roman"/>
          <w:sz w:val="22"/>
          <w:szCs w:val="22"/>
          <w:color w:val="auto"/>
        </w:rPr>
      </w:pPr>
    </w:p>
    <w:p>
      <w:pPr>
        <w:jc w:val="both"/>
        <w:ind w:left="660" w:hanging="4"/>
        <w:spacing w:after="0" w:line="230" w:lineRule="auto"/>
        <w:tabs>
          <w:tab w:leader="none" w:pos="1039"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 is secured, (B) is owing by any Subsidiary that is not a Loan Party or (C) in the case of any such Indebtedness of the type referred to in clause (a) or (b) of the definition of the term “Indebtedness”,</w:t>
      </w:r>
    </w:p>
    <w:p>
      <w:pPr>
        <w:spacing w:after="0" w:line="1" w:lineRule="exact"/>
        <w:rPr>
          <w:rFonts w:ascii="Times New Roman" w:cs="Times New Roman" w:eastAsia="Times New Roman" w:hAnsi="Times New Roman"/>
          <w:sz w:val="22"/>
          <w:szCs w:val="22"/>
          <w:color w:val="auto"/>
        </w:rPr>
      </w:pPr>
    </w:p>
    <w:p>
      <w:pPr>
        <w:jc w:val="both"/>
        <w:ind w:left="6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(1)</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has the stated final maturity that is, or upon nonsatisfaction of certain conditions could be, earlier than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date 90 days after </w:t>
      </w:r>
      <w:r>
        <w:rPr>
          <w:rFonts w:ascii="Times New Roman" w:cs="Times New Roman" w:eastAsia="Times New Roman" w:hAnsi="Times New Roman"/>
          <w:sz w:val="22"/>
          <w:szCs w:val="22"/>
          <w:u w:val="single" w:color="auto"/>
          <w:color w:val="0000FF"/>
        </w:rPr>
        <w:t>the later of the latest Maturity Date and</w:t>
      </w:r>
      <w:r>
        <w:rPr>
          <w:rFonts w:ascii="Times New Roman" w:cs="Times New Roman" w:eastAsia="Times New Roman" w:hAnsi="Times New Roman"/>
          <w:sz w:val="22"/>
          <w:szCs w:val="22"/>
          <w:color w:val="000000"/>
        </w:rPr>
        <w:t xml:space="preserve"> the latest Revolving Maturity Date in effect on the date of incurrence of such Indebtedness </w:t>
      </w:r>
      <w:r>
        <w:rPr>
          <w:rFonts w:ascii="Times New Roman" w:cs="Times New Roman" w:eastAsia="Times New Roman" w:hAnsi="Times New Roman"/>
          <w:sz w:val="22"/>
          <w:szCs w:val="22"/>
          <w:color w:val="0000FF"/>
        </w:rPr>
        <w:t>or (2) has weighted average life to maturity that is shorter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than the weighted average life to maturity of each Class of the Term Loans remaining as of the date of such incurrence</w:t>
      </w:r>
      <w:r>
        <w:rPr>
          <w:rFonts w:ascii="Times New Roman" w:cs="Times New Roman" w:eastAsia="Times New Roman" w:hAnsi="Times New Roman"/>
          <w:sz w:val="22"/>
          <w:szCs w:val="22"/>
          <w:color w:val="000000"/>
        </w:rPr>
        <w:t>, shall not exceed $35,000,000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-339725</wp:posOffset>
            </wp:positionV>
            <wp:extent cx="3282950" cy="1714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1">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59" w:lineRule="exact"/>
        <w:rPr>
          <w:sz w:val="20"/>
          <w:szCs w:val="20"/>
          <w:color w:val="auto"/>
        </w:rPr>
      </w:pPr>
    </w:p>
    <w:p>
      <w:pPr>
        <w:ind w:left="2180" w:hanging="876"/>
        <w:spacing w:after="0"/>
        <w:tabs>
          <w:tab w:leader="none" w:pos="2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will issue or permit to exist any Disqualified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Interests.</w:t>
      </w:r>
    </w:p>
    <w:p>
      <w:pPr>
        <w:spacing w:after="0" w:line="18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Neither the Borrower nor any Subsidiary will create, incur, assume or permit to exist any Lien on any asset now owned or hereafter acquired by it, or assign or sell any income or revenues (including accounts receivable) or rights in respect of any thereof, except:</w:t>
      </w:r>
    </w:p>
    <w:p>
      <w:pPr>
        <w:spacing w:after="0" w:line="173" w:lineRule="exact"/>
        <w:rPr>
          <w:sz w:val="20"/>
          <w:szCs w:val="20"/>
          <w:color w:val="auto"/>
        </w:rPr>
      </w:pPr>
    </w:p>
    <w:p>
      <w:pPr>
        <w:ind w:left="1980" w:hanging="676"/>
        <w:spacing w:after="0"/>
        <w:tabs>
          <w:tab w:leader="none" w:pos="198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under the Loan Documents;</w:t>
      </w:r>
    </w:p>
    <w:p>
      <w:pPr>
        <w:spacing w:after="0" w:line="206"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85"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asset of the Borrower or any Subsidiary existing on the date hereof and set forth on Schedule 6.02;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shall not apply to any other asset of the Borrower or any Subsidiary and (ii) such Lien shall secure only those obligations that it secures on the date hereof and any extensions, renewals and refinancings thereof that do not increase the outstanding principal amount thereof and, in the case of any such obligations constituting Indebtedness, that are permitted under Section 6.01 as Refinancing Indebtedness in respect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34" w:lineRule="auto"/>
        <w:tabs>
          <w:tab w:leader="none" w:pos="2177"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any asset prior to the acquisition thereof by the Borrower or any Subsidiary or existing on any asset of any Person that becomes a Subsidiary after the date hereof prior to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secures only Indebtedness permitted by clause (vii) of Section 6.01(a) and obligations relating thereto not constituting Indebtedness, (ii) such Lien is not created in contemplation of or in connection with such acquisition or such Person becoming a Subsidiary, as the case may be, (iii) such Lien shall not apply to any other asset of the Borrower or any Subsidiary and (iv) such Lien shall secure only those obligations that it secures on the date of such acquisition or the date such Person becomes a Subsidiary, as the case may be, and any extensions, renewals and refinancings thereof that do not increase the outstanding principal amount thereof and, in the case of any such obligations constituting Indebtedness, that are permitted under Section 6.01 as Refinancing Indebtedness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39" w:name="page540"/>
    <w:bookmarkEnd w:id="539"/>
    <w:p>
      <w:pPr>
        <w:jc w:val="both"/>
        <w:ind w:firstLine="1304"/>
        <w:spacing w:after="0" w:line="249" w:lineRule="auto"/>
        <w:tabs>
          <w:tab w:leader="none" w:pos="2032" w:val="left"/>
        </w:tabs>
        <w:numPr>
          <w:ilvl w:val="0"/>
          <w:numId w:val="4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fixed or capital assets acquired, constructed or improved by the Borrower or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Liens secure only Indebtedness permitted by clause (v) of Section 6.01(a) and obligations relating thereto not constituting Indebtedness and (ii) such Liens shall not apply to any other asset of the Borrower or any Subsidiary;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in the event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spacing w:after="0" w:line="170" w:lineRule="exact"/>
        <w:rPr>
          <w:rFonts w:ascii="Times New Roman" w:cs="Times New Roman" w:eastAsia="Times New Roman" w:hAnsi="Times New Roman"/>
          <w:sz w:val="21"/>
          <w:szCs w:val="21"/>
          <w:color w:val="auto"/>
        </w:rPr>
      </w:pPr>
    </w:p>
    <w:p>
      <w:pPr>
        <w:jc w:val="both"/>
        <w:ind w:firstLine="1304"/>
        <w:spacing w:after="0" w:line="239" w:lineRule="auto"/>
        <w:tabs>
          <w:tab w:leader="none" w:pos="2327"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real property acquired, constructed or improved by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secure only Indebtedness permitted by clause (vi) of Section 6.01(a) and obligations relating thereto not constituting Indebtedness and (ii) such Liens shall not apply to any other property of the Borrower or any Subsidiary;</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221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sale or transfer of all the Equity Interests in a Subsidiary in a transaction permitted under Section 6.05, customary rights and restrictions contained in agreements relating to such sale or transfer pending the completion thereof;</w:t>
      </w:r>
    </w:p>
    <w:p>
      <w:pPr>
        <w:spacing w:after="0" w:line="17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96"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Subsidiary that is not a wholly owned Subsidiary, any put and call arrangements related to its Equity Interests set forth in its organizational documents or any related joint venture or similar agreement;</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07"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assets of any Foreign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shall not apply to any Collateral (including any Equity Interests in any Subsidiary that constitute Collateral) or any other assets of the Borrower or any Domestic Subsidiary and (ii) such Lien shall secure only Indebtedness or other obligations of such Foreign Subsidiary permitted hereunder;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2393"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escrow arrangements or similar arrangements made by the Borrower or any Subsidiary in connection with any letter of intent or purchase agreement for an acquisition or other transaction permitted hereunder; and</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85"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Indebtedness or other obligations in an aggregate principal amount not to exceed $25,000,000 at any time outstanding.</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Fundamental Changes; Business Activities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Neither the Borrower nor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 (i) any Person may merge into the Borrower in a transaction in which the Borrower is the surviving corporation, (ii) any Person (other than the Borrower) may merge or consolidate with any Subsidiary in a transaction in which the surviving entity is a Subsidiary (and, if any party to such merger or consolidation is a Subsidiary Loan Party, is a Subsidiary Loan Party), (iii) any Subsidiary may merge into or consolidate with any Person in a transaction permitted under Section 6.05 in which, after giving effect to such transaction, the surviving entity is not a Subsidiary and (iv) any Subsidiary may liquidate or dissolve if the Borrower determines in good faith that such liquidation or dissolution is in the best interests of the Borrower and is not materially disadvantageous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merger or consolidation involving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0" w:name="page541"/>
    <w:bookmarkEnd w:id="540"/>
    <w:p>
      <w:pPr>
        <w:spacing w:after="0" w:line="258" w:lineRule="auto"/>
        <w:rPr>
          <w:sz w:val="20"/>
          <w:szCs w:val="20"/>
          <w:color w:val="auto"/>
        </w:rPr>
      </w:pPr>
      <w:r>
        <w:rPr>
          <w:rFonts w:ascii="Times New Roman" w:cs="Times New Roman" w:eastAsia="Times New Roman" w:hAnsi="Times New Roman"/>
          <w:sz w:val="22"/>
          <w:szCs w:val="22"/>
          <w:color w:val="auto"/>
        </w:rPr>
        <w:t>that is not a wholly owned Subsidiary immediately prior thereto shall not be permitted unless it is also permitted under Section 6.04.</w:t>
      </w:r>
    </w:p>
    <w:p>
      <w:pPr>
        <w:spacing w:after="0" w:line="158" w:lineRule="exact"/>
        <w:rPr>
          <w:sz w:val="20"/>
          <w:szCs w:val="20"/>
          <w:color w:val="auto"/>
        </w:rPr>
      </w:pPr>
    </w:p>
    <w:p>
      <w:pPr>
        <w:jc w:val="both"/>
        <w:ind w:firstLine="1304"/>
        <w:spacing w:after="0" w:line="244" w:lineRule="auto"/>
        <w:tabs>
          <w:tab w:leader="none" w:pos="199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will engage to any material extent in any business other than businesses of the type conducted by the Borrower and the Subsidiaries on the Restatement Effective Date and businesses reasonably related thereto.</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62"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3.12, the Borrower will not permit any Person other than the Borrower, or one or more of the Domestic Subsidiaries, to own any Equity Interests in any Subsidiary that is incorporated or organized under the Laws of the United States of America, any State thereof or the District of Columbia (other than any such Subsidiary acquired after the Restatement Effective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30" w:val="left"/>
        </w:tabs>
        <w:numPr>
          <w:ilvl w:val="0"/>
          <w:numId w:val="4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not permit any Subsidiary other than any Subsidiary Loan Party or any Material Foreign IP Subsidiary to own any patent, trademark, copyright or other intellectual property that, individually or in the aggregate, is material to the business of the Borrower and the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such patent, trademark, copyright or other intellectual property that is acquired in a Permitted Acquisition after the Restatement Effective Date, the Borrower will not be required to comply with the requirements of this paragraph (i) until the 30th day following the date of the acquisition thereof or (ii) if and for so long as compliance with the requirements of this paragraph shall result, in the reasonable determination of a Financial Officer of the Borrower, in adverse tax consequences to the Borrower and the Subsidiaries that are material in relation to the aggregate consideration (including, in each case, Indebtedness assumed in connection therewith, all obligations in respect of deferred purchase price (including obligations under any purchase price adjustment but excluding earnout and similar payments) and all other consideration payable in connection therewith (including payment obligations in respect of noncompetition agreements or other arrangements representing acquisition consideration)) paid for such Permitted Acquisition (it being understood that nothing in this paragraph shall be deemed to limit the covenants of the Borrower under the final paragraph of Section 6.05).</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Investments, Loans, Advances, Guarantees and Acquisitions</w:t>
      </w:r>
      <w:r>
        <w:rPr>
          <w:rFonts w:ascii="Times New Roman" w:cs="Times New Roman" w:eastAsia="Times New Roman" w:hAnsi="Times New Roman"/>
          <w:sz w:val="22"/>
          <w:szCs w:val="22"/>
          <w:color w:val="auto"/>
        </w:rPr>
        <w:t>. Neither the Borrower nor any Subsidiary will purchase, hold, acquire (including pursuant to any merger or consolidation with any Person that was not a wholly owned Subsidiary prior thereto), make or otherwise permit to exist any Investment in any other Person, or purchase or otherwise acquire (in one transaction or a series of transactions) all or substantially all the assets of any other Person or of a business unit, division, product line or line of business of any other Person, or assets acquired other than in the ordinary course of business that, following the acquisition thereof, would constitute a substantial portion of the assets of the Borrower and the Subsidiaries, taken as a whole, except:</w:t>
      </w:r>
    </w:p>
    <w:p>
      <w:pPr>
        <w:spacing w:after="0" w:line="178" w:lineRule="exact"/>
        <w:rPr>
          <w:sz w:val="20"/>
          <w:szCs w:val="20"/>
          <w:color w:val="auto"/>
        </w:rPr>
      </w:pPr>
    </w:p>
    <w:p>
      <w:pPr>
        <w:ind w:left="1980" w:hanging="676"/>
        <w:spacing w:after="0"/>
        <w:tabs>
          <w:tab w:leader="none" w:pos="198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206"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24"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existing on the date hereof (but not any additions thereto (including any capital contributions) made after the date hereof) or (ii) contemplated to be made pursuant to contractual obligations existing on the date hereof and, in the case of clauses (i) and (ii) above, set forth on Schedule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1" w:name="page542"/>
    <w:bookmarkEnd w:id="541"/>
    <w:p>
      <w:pPr>
        <w:jc w:val="both"/>
        <w:ind w:firstLine="1304"/>
        <w:spacing w:after="0" w:line="248" w:lineRule="auto"/>
        <w:tabs>
          <w:tab w:leader="none" w:pos="2049"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by the Borrower and the Subsidiaries in Equity Interests in their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subsidiaries are Subsidiaries prior to such investments, (ii) any such Equity Interests held by a Loan Party shall be pledged in accordance with the requirements of the definition of the term “Collateral and Guarantee Requirement” and (iii) the aggregate amount of such investments by the Loan Parties in, and loans and advances by the Loan Parties to, and Guarantees by the Loan Parties of Indebtedness and other obligations of, Subsidiaries that are not Loan Parties (excluding all such investments, loans, advances and Guarantees existing on the date hereof and permitted by clause (b) above) shall not exceed $20,000,000 at any time outstanding;</w:t>
      </w:r>
    </w:p>
    <w:p>
      <w:pPr>
        <w:spacing w:after="0" w:line="170" w:lineRule="exact"/>
        <w:rPr>
          <w:rFonts w:ascii="Times New Roman" w:cs="Times New Roman" w:eastAsia="Times New Roman" w:hAnsi="Times New Roman"/>
          <w:sz w:val="21"/>
          <w:szCs w:val="21"/>
          <w:color w:val="auto"/>
        </w:rPr>
      </w:pPr>
    </w:p>
    <w:p>
      <w:pPr>
        <w:jc w:val="both"/>
        <w:ind w:firstLine="1304"/>
        <w:spacing w:after="0" w:line="239" w:lineRule="auto"/>
        <w:tabs>
          <w:tab w:leader="none" w:pos="2270"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or advances made by the Borrower or any Subsidiary to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Indebtedness resulting therefrom is permitted by clause (iii) of Section 6.01(a) and (ii) the amount of such loans and advances made by the Loan Parties to Subsidiaries that are not Loan Parties shall be subject to the limitation set forth in clause (c) above;</w:t>
      </w:r>
    </w:p>
    <w:p>
      <w:pPr>
        <w:spacing w:after="0" w:line="180"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45"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by the Borrower or any Subsidiary of Indebtedness or other obligations of the Borrower or any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 Subsidiary that has not Guaranteed the Secured Obligations pursuant to the Collateral Agreement shall not Guarantee any Indebtedness or other obligations of any Loan Party and (ii) the aggregate amount of Indebtedness and other obligations of Subsidiaries that are not Loan Parties that is Guaranteed by any Loan Party shall be subject to the limitation set forth in clause (c) above;</w:t>
      </w:r>
    </w:p>
    <w:p>
      <w:pPr>
        <w:spacing w:after="0" w:line="183" w:lineRule="exact"/>
        <w:rPr>
          <w:rFonts w:ascii="Times New Roman" w:cs="Times New Roman" w:eastAsia="Times New Roman" w:hAnsi="Times New Roman"/>
          <w:sz w:val="22"/>
          <w:szCs w:val="22"/>
          <w:color w:val="auto"/>
        </w:rPr>
      </w:pPr>
    </w:p>
    <w:p>
      <w:pPr>
        <w:jc w:val="both"/>
        <w:ind w:firstLine="1304"/>
        <w:spacing w:after="0" w:line="244" w:lineRule="auto"/>
        <w:tabs>
          <w:tab w:leader="none" w:pos="2039"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customer indemnification and warranty obligations arising under software license agreements, in each case in the ordinary course of business and consistent with past practices;</w:t>
      </w:r>
    </w:p>
    <w:p>
      <w:pPr>
        <w:spacing w:after="0" w:line="173" w:lineRule="exact"/>
        <w:rPr>
          <w:rFonts w:ascii="Times New Roman" w:cs="Times New Roman" w:eastAsia="Times New Roman" w:hAnsi="Times New Roman"/>
          <w:sz w:val="22"/>
          <w:szCs w:val="22"/>
          <w:color w:val="auto"/>
        </w:rPr>
      </w:pPr>
    </w:p>
    <w:p>
      <w:pPr>
        <w:jc w:val="both"/>
        <w:ind w:firstLine="1304"/>
        <w:spacing w:after="0" w:line="282" w:lineRule="auto"/>
        <w:tabs>
          <w:tab w:leader="none" w:pos="2020" w:val="left"/>
        </w:tabs>
        <w:numPr>
          <w:ilvl w:val="0"/>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connection with the bankruptcy or reorganization of, or settlement of delinquent accounts and disputes with, customers and suppliers, in each case in the ordinary course of business;</w:t>
      </w:r>
    </w:p>
    <w:p>
      <w:pPr>
        <w:spacing w:after="0" w:line="134" w:lineRule="exact"/>
        <w:rPr>
          <w:rFonts w:ascii="Times New Roman" w:cs="Times New Roman" w:eastAsia="Times New Roman" w:hAnsi="Times New Roman"/>
          <w:sz w:val="21"/>
          <w:szCs w:val="21"/>
          <w:color w:val="auto"/>
        </w:rPr>
      </w:pPr>
    </w:p>
    <w:p>
      <w:pPr>
        <w:ind w:right="20" w:firstLine="1304"/>
        <w:spacing w:after="0" w:line="258" w:lineRule="auto"/>
        <w:tabs>
          <w:tab w:leader="none" w:pos="2054"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as a result of the receipt of noncash consideration from a sale, transfer, lease or other disposition of any asset in compliance with Section 6.05;</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2113"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or any Subsidiary that result solely from the receipt by the Borrower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80"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Hedging Agreements permitted under Section 6.07;</w:t>
      </w:r>
    </w:p>
    <w:p>
      <w:pPr>
        <w:spacing w:after="0" w:line="206"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44"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payroll, travel and similar advances to directors and employees of the Borrower or any Subsidiary to cover matters that are expected at the time of such advances to be treated as expenses of the Borrower or such Subsidiary for accounting purposes and that are made in the ordinary course of business and (ii) with respect to any funds representing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2" w:name="page543"/>
    <w:bookmarkEnd w:id="54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compensation of any director or employee of the Borrower or any Subsidiary, any portfolio of investments approved by the board of directors of the Borrower configured to provide investment performance that simulates that which is invested by participants in the Borrower’s Nonqualified Deferred Compensation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portfolio of investments shall not exceed the obligations of such plan;</w:t>
      </w:r>
    </w:p>
    <w:p>
      <w:pPr>
        <w:spacing w:after="0" w:line="180" w:lineRule="exact"/>
        <w:rPr>
          <w:sz w:val="20"/>
          <w:szCs w:val="20"/>
          <w:color w:val="auto"/>
        </w:rPr>
      </w:pPr>
    </w:p>
    <w:p>
      <w:pPr>
        <w:jc w:val="both"/>
        <w:ind w:firstLine="1304"/>
        <w:spacing w:after="0" w:line="239" w:lineRule="auto"/>
        <w:tabs>
          <w:tab w:leader="none" w:pos="2086"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loans or advances to directors and employees of the Borrower or any Subsidiary made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such loans and advances outstanding at any time shall not exceed $1,000,000 and (ii) the proceeds of any such loans or advances shall not be used to purchase Equity Interests in the Borrower;</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2279" w:val="left"/>
        </w:tabs>
        <w:numPr>
          <w:ilvl w:val="0"/>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any Permitted Acquisitions for aggregate consideration not exceeding $35,000,000 (including, in each case,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in the aggregate in any fiscal year of the Borrower</w:t>
      </w:r>
      <w:r>
        <w:rPr>
          <w:rFonts w:ascii="Times New Roman" w:cs="Times New Roman" w:eastAsia="Times New Roman" w:hAnsi="Times New Roman"/>
          <w:sz w:val="22"/>
          <w:szCs w:val="22"/>
          <w:b w:val="1"/>
          <w:bCs w:val="1"/>
          <w:color w:val="auto"/>
        </w:rPr>
        <w:t>;</w:t>
      </w:r>
    </w:p>
    <w:p>
      <w:pPr>
        <w:spacing w:after="0" w:line="181" w:lineRule="exact"/>
        <w:rPr>
          <w:rFonts w:ascii="Times New Roman" w:cs="Times New Roman" w:eastAsia="Times New Roman" w:hAnsi="Times New Roman"/>
          <w:sz w:val="22"/>
          <w:szCs w:val="22"/>
          <w:u w:val="single" w:color="auto"/>
          <w:color w:val="0000FF"/>
        </w:rPr>
      </w:pPr>
    </w:p>
    <w:p>
      <w:pPr>
        <w:jc w:val="both"/>
        <w:ind w:firstLine="1304"/>
        <w:spacing w:after="0" w:line="233" w:lineRule="auto"/>
        <w:tabs>
          <w:tab w:leader="none" w:pos="200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and immediately after giving effect to, such Permitted Acquisition, the Net Leverage Ratio,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shall not exceed the Maximum Permitted Net Leverage Ratio then in effect minus 0.50 to 1.00;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each such Permitted Acquisition, the Borrower shall have delivered to the Administrative Agent a certificate of a Financial Officer of the Borrower, in form and substance reasonably satisfactory to the Administrative Agent, certifying that all the requirements set forth in the definition of the term “Permitted Acquisition” and in this clause (n) have been satisfied with respect to such Permitted Acquisition, together with reasonably detailed calculations in support thereof;</w:t>
      </w:r>
    </w:p>
    <w:p>
      <w:pPr>
        <w:spacing w:after="0" w:line="187" w:lineRule="exact"/>
        <w:rPr>
          <w:rFonts w:ascii="Times New Roman" w:cs="Times New Roman" w:eastAsia="Times New Roman" w:hAnsi="Times New Roman"/>
          <w:sz w:val="22"/>
          <w:szCs w:val="22"/>
          <w:color w:val="auto"/>
        </w:rPr>
      </w:pPr>
    </w:p>
    <w:p>
      <w:pPr>
        <w:jc w:val="both"/>
        <w:ind w:firstLine="1304"/>
        <w:spacing w:after="0" w:line="233" w:lineRule="auto"/>
        <w:tabs>
          <w:tab w:leader="none" w:pos="215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constitute Minority Investments in an aggregate amount not to exceed $20,000,000 in any fiscal year of the Borrower (such amount for any fiscal year being referred to as the “</w:t>
      </w:r>
      <w:r>
        <w:rPr>
          <w:rFonts w:ascii="Times New Roman" w:cs="Times New Roman" w:eastAsia="Times New Roman" w:hAnsi="Times New Roman"/>
          <w:sz w:val="22"/>
          <w:szCs w:val="22"/>
          <w:u w:val="single" w:color="auto"/>
          <w:color w:val="auto"/>
        </w:rPr>
        <w:t>Permitted Minority Investment 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 commencing with the fiscal year ending on December 31, 2018</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portion of the Permitted Minority Investment Amount for any fiscal year that has not been used to make Minority Investments during such fiscal year may be carried over for use in any subsequent fiscal year, (ii) the aggregate amount of all Minority Investments made in reliance on this clause (o) shall not exceed $50,000,000 at any time outstanding and (iii) at the time of, and immediately after giving effect to, any such Investment (x) no Default or Event of Default shall have occurred and be continuing or would result therefrom and (y) without limiting clause (x) immediately above, the Borrower is in compliance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3" w:name="page544"/>
    <w:bookmarkEnd w:id="543"/>
    <w:p>
      <w:pPr>
        <w:ind w:right="20"/>
        <w:spacing w:after="0" w:line="258" w:lineRule="auto"/>
        <w:rPr>
          <w:sz w:val="20"/>
          <w:szCs w:val="20"/>
          <w:color w:val="auto"/>
        </w:rPr>
      </w:pPr>
      <w:r>
        <w:rPr>
          <w:rFonts w:ascii="Times New Roman" w:cs="Times New Roman" w:eastAsia="Times New Roman" w:hAnsi="Times New Roman"/>
          <w:sz w:val="22"/>
          <w:szCs w:val="22"/>
          <w:color w:val="auto"/>
        </w:rPr>
        <w:t>a pro forma basis in accordance with Section 1.04(b)) with the financial covenants contained in Sections 6.12 and 6.13;</w:t>
      </w:r>
    </w:p>
    <w:p>
      <w:pPr>
        <w:spacing w:after="0" w:line="158" w:lineRule="exact"/>
        <w:rPr>
          <w:sz w:val="20"/>
          <w:szCs w:val="20"/>
          <w:color w:val="auto"/>
        </w:rPr>
      </w:pPr>
    </w:p>
    <w:p>
      <w:pPr>
        <w:jc w:val="both"/>
        <w:ind w:firstLine="1304"/>
        <w:spacing w:after="0" w:line="246" w:lineRule="auto"/>
        <w:tabs>
          <w:tab w:leader="none" w:pos="2191"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loans or advances made by the Borrower or any Subsidiary to its directors and senior executive officers for the sole purpose of purchasing Equity Interests in the Borrower;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 at the time of, and immediately after giving effect to, any such loans or advances (x) no Default or Event of Default shall have occurred and be continuing or would result therefrom and (y) without limiting clause (x) immediately above, the Borrower is in compliance (calculated at the end of the last fiscal quarter of the Borrower for which financial statements have been delivered to the Lenders pursuant to Section 5.01(a) and (b) (or, prior to the delivery 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 and (ii) the aggregate amount of all Investments made in reliance on this clause (p) shall not exceed $25,000,000 at any time outstanding; and</w:t>
      </w:r>
    </w:p>
    <w:p>
      <w:pPr>
        <w:spacing w:after="0" w:line="170" w:lineRule="exact"/>
        <w:rPr>
          <w:rFonts w:ascii="Times New Roman" w:cs="Times New Roman" w:eastAsia="Times New Roman" w:hAnsi="Times New Roman"/>
          <w:sz w:val="21"/>
          <w:szCs w:val="21"/>
          <w:color w:val="auto"/>
        </w:rPr>
      </w:pPr>
    </w:p>
    <w:p>
      <w:pPr>
        <w:jc w:val="both"/>
        <w:ind w:firstLine="1304"/>
        <w:spacing w:after="0" w:line="246" w:lineRule="auto"/>
        <w:tabs>
          <w:tab w:leader="none" w:pos="2050" w:val="left"/>
        </w:tabs>
        <w:numPr>
          <w:ilvl w:val="1"/>
          <w:numId w:val="4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Investments (excluding (i) Minority Investments, which may only be made after the Restatement Effective Date to the extent permitted under clause (o) above, and (ii) loans or advances by the Borrower or any Subsidiary to its directors and senior executive officers for the purpose of purchasing Equity Interests in the Borrower, which may only be made after the Restatement Effective Date to the extent permitted under clause (p)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each such Investment is purchased, made or otherwise acquired,</w:t>
      </w:r>
    </w:p>
    <w:p>
      <w:pPr>
        <w:spacing w:after="0" w:line="1" w:lineRule="exact"/>
        <w:rPr>
          <w:rFonts w:ascii="Times New Roman" w:cs="Times New Roman" w:eastAsia="Times New Roman" w:hAnsi="Times New Roman"/>
          <w:sz w:val="21"/>
          <w:szCs w:val="21"/>
          <w:color w:val="auto"/>
        </w:rPr>
      </w:pPr>
    </w:p>
    <w:p>
      <w:pPr>
        <w:jc w:val="both"/>
        <w:ind w:firstLine="8"/>
        <w:spacing w:after="0" w:line="241" w:lineRule="auto"/>
        <w:tabs>
          <w:tab w:leader="none" w:pos="382"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shall have occurred and be continuing or would result therefrom, (B) the Borrower shall be in compliance with the covenants set forth in Sections 6.12 and 6.13 at the end of the last fiscal quarter of the Borrower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on a pro forma basis in accordance with Section 1.04(b) and (C) the aggregate amount of all Investments made in reliance on this clause</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(q) shall not exceed $10,000,000 at any time outstanding.</w:t>
      </w:r>
    </w:p>
    <w:p>
      <w:pPr>
        <w:spacing w:after="0" w:line="18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Asset Sales</w:t>
      </w:r>
      <w:r>
        <w:rPr>
          <w:rFonts w:ascii="Times New Roman" w:cs="Times New Roman" w:eastAsia="Times New Roman" w:hAnsi="Times New Roman"/>
          <w:sz w:val="22"/>
          <w:szCs w:val="22"/>
          <w:color w:val="auto"/>
        </w:rPr>
        <w:t>. Neither the Borrower nor any Subsidiary will sell, transfer, lease or otherwise dispose of any asset, including any Equity Interest owned by it, nor will any Subsidiary issue any additional Equity Interest in such Subsidiary (other than to the Borrower or any Subsidiary in compliance with Section 6.04, and other than directors’ qualifying shares and other nominal amounts of Equity Interests that are required to be held by other Persons under applicable Law), except:</w:t>
      </w:r>
    </w:p>
    <w:p>
      <w:pPr>
        <w:spacing w:after="0" w:line="177" w:lineRule="exact"/>
        <w:rPr>
          <w:sz w:val="20"/>
          <w:szCs w:val="20"/>
          <w:color w:val="auto"/>
        </w:rPr>
      </w:pPr>
    </w:p>
    <w:p>
      <w:pPr>
        <w:ind w:right="20" w:firstLine="1304"/>
        <w:spacing w:after="0" w:line="258" w:lineRule="auto"/>
        <w:tabs>
          <w:tab w:leader="none" w:pos="204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leases and other dispositions of inventory or used or surplus equipment in the ordinary course of business or of cash and Permitted Investments;</w:t>
      </w:r>
    </w:p>
    <w:p>
      <w:pPr>
        <w:spacing w:after="0" w:line="158" w:lineRule="exact"/>
        <w:rPr>
          <w:rFonts w:ascii="Times New Roman" w:cs="Times New Roman" w:eastAsia="Times New Roman" w:hAnsi="Times New Roman"/>
          <w:sz w:val="22"/>
          <w:szCs w:val="22"/>
          <w:color w:val="auto"/>
        </w:rPr>
      </w:pPr>
    </w:p>
    <w:p>
      <w:pPr>
        <w:ind w:firstLine="1304"/>
        <w:spacing w:after="0" w:line="258" w:lineRule="auto"/>
        <w:tabs>
          <w:tab w:leader="none" w:pos="2099"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of outbound term or perpetual licenses of patents, trademarks, copyrights or other intellectual property in the ordinary course of business that are non-exclusive;</w:t>
      </w:r>
    </w:p>
    <w:p>
      <w:pPr>
        <w:spacing w:after="0" w:line="158"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18"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abandonment, cancellation, non-renewal or discontinuance of use or maintenance of non-material intellectual property or failure to maintain in any material respect the integrity and security of the software used in the business of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4" w:name="page545"/>
    <w:bookmarkEnd w:id="544"/>
    <w:p>
      <w:pPr>
        <w:spacing w:after="0" w:line="258" w:lineRule="auto"/>
        <w:rPr>
          <w:sz w:val="20"/>
          <w:szCs w:val="20"/>
          <w:color w:val="auto"/>
        </w:rPr>
      </w:pPr>
      <w:r>
        <w:rPr>
          <w:rFonts w:ascii="Times New Roman" w:cs="Times New Roman" w:eastAsia="Times New Roman" w:hAnsi="Times New Roman"/>
          <w:sz w:val="22"/>
          <w:szCs w:val="22"/>
          <w:color w:val="auto"/>
        </w:rPr>
        <w:t>except in each case to the extent any such abandonment, cancellation, non-renewal, discontinuance or failure, individually or in the aggregate, would reasonably be expected to result in a Material Adverse Effect;</w:t>
      </w:r>
    </w:p>
    <w:p>
      <w:pPr>
        <w:spacing w:after="0" w:line="158" w:lineRule="exact"/>
        <w:rPr>
          <w:sz w:val="20"/>
          <w:szCs w:val="20"/>
          <w:color w:val="auto"/>
        </w:rPr>
      </w:pPr>
    </w:p>
    <w:p>
      <w:pPr>
        <w:jc w:val="both"/>
        <w:ind w:firstLine="1304"/>
        <w:spacing w:after="0" w:line="244" w:lineRule="auto"/>
        <w:tabs>
          <w:tab w:leader="none" w:pos="2061"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transfers, leases and other dispositions to the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sales, transfers, leases or other dispositions involving a Subsidiary that is not a Loan Party shall be made in compliance with Sections 6.04 and 6.09; and</w:t>
      </w:r>
    </w:p>
    <w:p>
      <w:pPr>
        <w:spacing w:after="0" w:line="173" w:lineRule="exact"/>
        <w:rPr>
          <w:rFonts w:ascii="Times New Roman" w:cs="Times New Roman" w:eastAsia="Times New Roman" w:hAnsi="Times New Roman"/>
          <w:sz w:val="22"/>
          <w:szCs w:val="22"/>
          <w:color w:val="auto"/>
        </w:rPr>
      </w:pPr>
    </w:p>
    <w:p>
      <w:pPr>
        <w:jc w:val="both"/>
        <w:ind w:firstLine="1304"/>
        <w:spacing w:after="0" w:line="236" w:lineRule="auto"/>
        <w:tabs>
          <w:tab w:leader="none" w:pos="2061"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transfers, leases and other dispositions of assets that are not permitted by any other clause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fair value of all assets sold, transferred, leased or otherwise disposed of in reliance on this clause shall not exceed $20,000,000 during any fiscal year of the Borrower, (ii) all sales, transfers, leases and other dispositions made in reliance on this clause shall be made for fair value and at least 90% cash consideration, and (iii) at the time of such sale, transfer, lease or other disposition, no Default shall have occurred and be continuing.</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Notwithstanding the foregoing, (i) no such sale or transfer of any Equity Interests in any Subsidiary shall be permitted unless (A) such Equity Interests constitute all the Equity Interests in such Subsidiary held by the Borrower and the Subsidiaries and (B) immediately after giving effect to such transaction, the Borrower and the Subsidiaries shall otherwise be in compliance with Section 6.04, (ii) neither the Borrower nor any Subsidiary shall enter into any exclusive license of any patent, trademark, copyright or other intellectual property that, individually or in the aggregate with all other such licensed items of intellectual property, is material to the business of the Borrower and the Subsidiaries and (iii) neither the Borrower nor any Domestic Subsidiary shall sell, transfer, lease or otherwise dispose of (other than pursuant to non-exclusive licenses held by any Foreign Subsidiary, including licenses under the Technology License Agreement) to any Foreign Subsidiary any patent, trademark, copyright or other intellectual property that, individually or in the aggregate with all other such disposed items of intellectual property, is material to the business of the Borrower and the Subsidiaries (or to the business of the Borrower and the Domestic Subsidiaries).</w:t>
      </w:r>
    </w:p>
    <w:p>
      <w:pPr>
        <w:spacing w:after="0" w:line="18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Sale/Leaseback Transactions</w:t>
      </w:r>
      <w:r>
        <w:rPr>
          <w:rFonts w:ascii="Times New Roman" w:cs="Times New Roman" w:eastAsia="Times New Roman" w:hAnsi="Times New Roman"/>
          <w:sz w:val="22"/>
          <w:szCs w:val="22"/>
          <w:color w:val="auto"/>
        </w:rPr>
        <w:t>. Neither the Borrower nor any Subsidiary will enter into any Sale/Leaseback Transaction unless (a) the sale or transfer of the property thereunder is permitted under Section 6.05, (b) any Capital Lease Obligations arising in connection therewith are permitted under Section 6.01 and (c) any Liens arising in connection therewith (including Liens deemed to arise in connection with any such Capital Lease Obligations) are permitted under Section 6.02.</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Hedging Agreements</w:t>
      </w:r>
      <w:r>
        <w:rPr>
          <w:rFonts w:ascii="Times New Roman" w:cs="Times New Roman" w:eastAsia="Times New Roman" w:hAnsi="Times New Roman"/>
          <w:sz w:val="22"/>
          <w:szCs w:val="22"/>
          <w:color w:val="auto"/>
        </w:rPr>
        <w:t>. Neither the Borrower nor any Subsidiary will enter into any Hedging Agreement, except (a) Hedging Agreements entered into to hedge or mitigate risks to which the Borrower or any Subsidiary has actual exposure (other than in respect of Equity Interests or Indebtedness of the Borrower or any Subsidiary) and not for speculative purposes and (b) Hedging Agreements entered into in order to effectively cap, collar or exchange interest rates (from fixed to floating rates, from one floating rate to another floating rate or otherwise) with respect to any interest-bearing liability or investment of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5" w:name="page546"/>
    <w:bookmarkEnd w:id="545"/>
    <w:p>
      <w:pPr>
        <w:ind w:left="1300"/>
        <w:spacing w:after="0"/>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Restricted Payments; Certain Payments of Indebtedness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304"/>
        <w:spacing w:after="0" w:line="244" w:lineRule="auto"/>
        <w:tabs>
          <w:tab w:leader="none" w:pos="2099"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will declare or make, or agree to pay or make, directly or indirectly, any Restricted Payment, or incur any obligation (contingent or otherwise) to do so, except that:</w:t>
      </w:r>
    </w:p>
    <w:p>
      <w:pPr>
        <w:spacing w:after="0" w:line="173" w:lineRule="exact"/>
        <w:rPr>
          <w:sz w:val="20"/>
          <w:szCs w:val="20"/>
          <w:color w:val="auto"/>
        </w:rPr>
      </w:pPr>
    </w:p>
    <w:p>
      <w:pPr>
        <w:ind w:left="660" w:firstLine="644"/>
        <w:spacing w:after="0" w:line="258" w:lineRule="auto"/>
        <w:tabs>
          <w:tab w:leader="none" w:pos="2011"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may declare and pay dividends with respect to its Equity Interests payable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solely in additional Equity Interests that are not Disqualified Equity Interests;</w:t>
      </w:r>
    </w:p>
    <w:p>
      <w:pPr>
        <w:spacing w:after="0" w:line="158" w:lineRule="exact"/>
        <w:rPr>
          <w:rFonts w:ascii="Times New Roman" w:cs="Times New Roman" w:eastAsia="Times New Roman" w:hAnsi="Times New Roman"/>
          <w:sz w:val="22"/>
          <w:szCs w:val="22"/>
          <w:u w:val="single" w:color="auto"/>
          <w:color w:val="0000FF"/>
        </w:rPr>
      </w:pPr>
    </w:p>
    <w:p>
      <w:pPr>
        <w:jc w:val="both"/>
        <w:ind w:left="660" w:firstLine="644"/>
        <w:spacing w:after="0" w:line="244" w:lineRule="auto"/>
        <w:tabs>
          <w:tab w:leader="none" w:pos="1990"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Subsidiary may declare and pay dividends or make other distributions with respect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to its capital stock, partnership or membership interests or other similar Equity Interests, ratably to the holders of such Equity Interests;</w:t>
      </w:r>
    </w:p>
    <w:p>
      <w:pPr>
        <w:spacing w:after="0" w:line="173" w:lineRule="exact"/>
        <w:rPr>
          <w:rFonts w:ascii="Times New Roman" w:cs="Times New Roman" w:eastAsia="Times New Roman" w:hAnsi="Times New Roman"/>
          <w:sz w:val="22"/>
          <w:szCs w:val="22"/>
          <w:u w:val="single" w:color="auto"/>
          <w:color w:val="0000FF"/>
        </w:rPr>
      </w:pPr>
    </w:p>
    <w:p>
      <w:pPr>
        <w:jc w:val="both"/>
        <w:ind w:left="660" w:firstLine="644"/>
        <w:spacing w:after="0" w:line="244" w:lineRule="auto"/>
        <w:tabs>
          <w:tab w:leader="none" w:pos="2131"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may repurchase Equity Interests upon the cashless exercise of stock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options if such Equity Interests represent a portion of the exercise price of such options and applicable withholding Taxes;</w:t>
      </w:r>
    </w:p>
    <w:p>
      <w:pPr>
        <w:spacing w:after="0" w:line="173" w:lineRule="exact"/>
        <w:rPr>
          <w:rFonts w:ascii="Times New Roman" w:cs="Times New Roman" w:eastAsia="Times New Roman" w:hAnsi="Times New Roman"/>
          <w:sz w:val="22"/>
          <w:szCs w:val="22"/>
          <w:u w:val="single" w:color="auto"/>
          <w:color w:val="0000FF"/>
        </w:rPr>
      </w:pPr>
    </w:p>
    <w:p>
      <w:pPr>
        <w:jc w:val="both"/>
        <w:ind w:left="660" w:firstLine="644"/>
        <w:spacing w:after="0" w:line="244" w:lineRule="auto"/>
        <w:tabs>
          <w:tab w:leader="none" w:pos="2160"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may make cash payments in lieu of the issuance of fractional shares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representing insignificant interests in the Borrower in connection with the exercise of warrants, options or other securities convertible into or exchangeable for capital stock in the Borrower;</w:t>
      </w:r>
    </w:p>
    <w:p>
      <w:pPr>
        <w:spacing w:after="0" w:line="173" w:lineRule="exact"/>
        <w:rPr>
          <w:rFonts w:ascii="Times New Roman" w:cs="Times New Roman" w:eastAsia="Times New Roman" w:hAnsi="Times New Roman"/>
          <w:sz w:val="22"/>
          <w:szCs w:val="22"/>
          <w:u w:val="single" w:color="auto"/>
          <w:color w:val="0000FF"/>
        </w:rPr>
      </w:pPr>
    </w:p>
    <w:p>
      <w:pPr>
        <w:jc w:val="both"/>
        <w:ind w:left="660" w:firstLine="644"/>
        <w:spacing w:after="0" w:line="235" w:lineRule="auto"/>
        <w:tabs>
          <w:tab w:leader="none" w:pos="2262"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so long as no Default shall have occurred and be continuing, the Borrower may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purchase its common stock (A) upon the exercise of “Put Rights” by the holders of such common stock and (B) in the case of termination of any employee’s (other than any employee that is a Significant Equity Holder) employment with the Borrower or any Subsidiary (including as a result of death and disability of such employee), upon the exercise of “Continuing Repurchase Rights” or “Call Rights” by the Borrower with respect to shares of common stock held by such employee, in each case pursuant to and in accordance with the Stock Option Plan;</w:t>
      </w:r>
    </w:p>
    <w:p>
      <w:pPr>
        <w:spacing w:after="0" w:line="183" w:lineRule="exact"/>
        <w:rPr>
          <w:rFonts w:ascii="Times New Roman" w:cs="Times New Roman" w:eastAsia="Times New Roman" w:hAnsi="Times New Roman"/>
          <w:sz w:val="22"/>
          <w:szCs w:val="22"/>
          <w:u w:val="single" w:color="auto"/>
          <w:color w:val="0000FF"/>
        </w:rPr>
      </w:pPr>
    </w:p>
    <w:p>
      <w:pPr>
        <w:jc w:val="both"/>
        <w:ind w:left="660" w:firstLine="644"/>
        <w:spacing w:after="0" w:line="234" w:lineRule="auto"/>
        <w:tabs>
          <w:tab w:leader="none" w:pos="2065"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(vi)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may make Restricted Payments without limitation as to amount so long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as (I) the Borrower satisfies each of the conditions described in clauses (I) and (II) of clause (vii) immediately below and (II) at the end the last fiscal quarter of the Borrower preceding the time that any such additional Restricted Payment is paid for which financial statements have been delivered to the Lenders pursuant to Section 5.01(a) or (b) (or, prior to the delivery of any such financial statements, at the end of the last fiscal quarter of the Borrower included in the financial statements referred to in Section 3.04(a)), both on an actual basis and after giving pro forma effect to the payment of such additional Restricted Payment, the Net Leverage Ratio (calculated on a pro forma basis in accordance with Section 1.04(b)) shall be less than 3.00 to 1.00; and</w:t>
      </w:r>
    </w:p>
    <w:p>
      <w:pPr>
        <w:spacing w:after="0" w:line="183" w:lineRule="exact"/>
        <w:rPr>
          <w:rFonts w:ascii="Times New Roman" w:cs="Times New Roman" w:eastAsia="Times New Roman" w:hAnsi="Times New Roman"/>
          <w:sz w:val="22"/>
          <w:szCs w:val="22"/>
          <w:u w:val="single" w:color="auto"/>
          <w:color w:val="0000FF"/>
        </w:rPr>
      </w:pPr>
    </w:p>
    <w:p>
      <w:pPr>
        <w:jc w:val="both"/>
        <w:ind w:left="660" w:firstLine="644"/>
        <w:spacing w:after="0" w:line="238" w:lineRule="auto"/>
        <w:tabs>
          <w:tab w:leader="none" w:pos="1977" w:val="left"/>
        </w:tabs>
        <w:numPr>
          <w:ilvl w:val="0"/>
          <w:numId w:val="43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(vii)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Borrower may make additional Restricted Payments not exceeding $35,000,000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aggregate in any fiscal year of the Borrower so long as (I) no Default shall have occurred and be continuing and (II) the Borrower is in compliance (calculated at the end of the last fiscal quarter of the Borrower for which financial statements have been delivered to the Lenders pursuant to Section 5.01(a) and (b) (or, prior to the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6" w:name="page547"/>
    <w:bookmarkEnd w:id="546"/>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of any such financial statements, at the end of the last fiscal quarter of the Borrower included in the financial statements referred to in Section 3.04(a)), both on an actual basis and on a pro forma basis in accordance with Section 1.04(b)), with the financial covenants contained in Sections 6.12 and 6.13.</w:t>
      </w:r>
    </w:p>
    <w:p>
      <w:pPr>
        <w:spacing w:after="0" w:line="173" w:lineRule="exact"/>
        <w:rPr>
          <w:sz w:val="20"/>
          <w:szCs w:val="20"/>
          <w:color w:val="auto"/>
        </w:rPr>
      </w:pPr>
    </w:p>
    <w:p>
      <w:pPr>
        <w:jc w:val="both"/>
        <w:ind w:firstLine="1304"/>
        <w:spacing w:after="0" w:line="238" w:lineRule="auto"/>
        <w:tabs>
          <w:tab w:leader="none" w:pos="2111"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Borrower nor any Subsidiary will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defeasance, cancelation or termination of any Indebtedness, except:</w:t>
      </w:r>
    </w:p>
    <w:p>
      <w:pPr>
        <w:spacing w:after="0" w:line="177" w:lineRule="exact"/>
        <w:rPr>
          <w:sz w:val="20"/>
          <w:szCs w:val="20"/>
          <w:color w:val="auto"/>
        </w:rPr>
      </w:pPr>
    </w:p>
    <w:p>
      <w:pPr>
        <w:ind w:left="2000" w:hanging="696"/>
        <w:spacing w:after="0"/>
        <w:tabs>
          <w:tab w:leader="none" w:pos="200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or in respect of Indebtedness created under the Loan Documents;</w:t>
      </w:r>
    </w:p>
    <w:p>
      <w:pPr>
        <w:spacing w:after="0" w:line="206" w:lineRule="exact"/>
        <w:rPr>
          <w:rFonts w:ascii="Times New Roman" w:cs="Times New Roman" w:eastAsia="Times New Roman" w:hAnsi="Times New Roman"/>
          <w:sz w:val="22"/>
          <w:szCs w:val="22"/>
          <w:color w:val="auto"/>
        </w:rPr>
      </w:pPr>
    </w:p>
    <w:p>
      <w:pPr>
        <w:ind w:left="2140" w:hanging="836"/>
        <w:spacing w:after="0"/>
        <w:tabs>
          <w:tab w:leader="none" w:pos="214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regularly scheduled interest and principal payments as and when due in respect of any</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w:t>
      </w:r>
    </w:p>
    <w:p>
      <w:pPr>
        <w:spacing w:after="0" w:line="182" w:lineRule="exact"/>
        <w:rPr>
          <w:rFonts w:ascii="Times New Roman" w:cs="Times New Roman" w:eastAsia="Times New Roman" w:hAnsi="Times New Roman"/>
          <w:sz w:val="22"/>
          <w:szCs w:val="22"/>
          <w:color w:val="auto"/>
        </w:rPr>
      </w:pPr>
    </w:p>
    <w:p>
      <w:pPr>
        <w:ind w:left="2160" w:hanging="856"/>
        <w:spacing w:after="0"/>
        <w:tabs>
          <w:tab w:leader="none" w:pos="2160"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refinancings of Indebtedness with the proceeds of other Indebtedness permitted under</w:t>
      </w:r>
    </w:p>
    <w:p>
      <w:pPr>
        <w:spacing w:after="0" w:line="14"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6.01;</w:t>
      </w:r>
    </w:p>
    <w:p>
      <w:pPr>
        <w:spacing w:after="0" w:line="182" w:lineRule="exact"/>
        <w:rPr>
          <w:rFonts w:ascii="Times New Roman" w:cs="Times New Roman" w:eastAsia="Times New Roman" w:hAnsi="Times New Roman"/>
          <w:sz w:val="22"/>
          <w:szCs w:val="22"/>
          <w:color w:val="auto"/>
        </w:rPr>
      </w:pPr>
    </w:p>
    <w:p>
      <w:pPr>
        <w:ind w:left="660" w:firstLine="644"/>
        <w:spacing w:after="0" w:line="258" w:lineRule="auto"/>
        <w:tabs>
          <w:tab w:leader="none" w:pos="2142"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secured Indebtedness that becomes due as a result of the voluntary sale or transfer of the assets securing such Indebtedness in transactions permitted hereunder; and</w:t>
      </w:r>
    </w:p>
    <w:p>
      <w:pPr>
        <w:spacing w:after="0" w:line="158" w:lineRule="exact"/>
        <w:rPr>
          <w:rFonts w:ascii="Times New Roman" w:cs="Times New Roman" w:eastAsia="Times New Roman" w:hAnsi="Times New Roman"/>
          <w:sz w:val="22"/>
          <w:szCs w:val="22"/>
          <w:color w:val="auto"/>
        </w:rPr>
      </w:pPr>
    </w:p>
    <w:p>
      <w:pPr>
        <w:ind w:left="660" w:right="20" w:firstLine="644"/>
        <w:spacing w:after="0" w:line="258" w:lineRule="auto"/>
        <w:tabs>
          <w:tab w:leader="none" w:pos="2311"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or in respect of Indebtedness made solely with Equity Interests in the Borrower (other than Disqualified Equity Interests).</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 xml:space="preserve">. Neither the Borrower nor any Subsidiary will sell, lease, license or otherwise transfer any assets to, or purchase, lease, license or otherwise acquire any assets from, or otherwise engage in any other transactions with, any of its Affiliates, except (a) transactions in the ordinary course of business that are at prices and on terms and conditions not less favorable to the Borrower or such Subsidiary than those that would prevail in arm’s-length transactions with unrelated third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payments under the Executive Bonus Plan shall not be permitted under this clause (a) unless also permitted under clause (f) below, (b) transactions between or among the Loan Parties not involving any other Affiliate, (c) any Restricted Payment permitted under Section 6.08, (d) issuances by the Borrower of Equity Interests (other than Disqualified Equity Interests), and receipt by the Borrower of capital contributions, (e) compensation and indemnification of, and other employment arrangements with, directors, officers and employees of the Borrower or any Subsidiary entered in the ordinary course of business, (f) bonus payments pursuant to and in accordance with the Executive Bonus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Default shall have occurred and be continuing or would result therefrom, (g) loans and advances permitted under clauses (k), (l) and (p) of Section 6.04 and (h) licenses and other transactions pursuant to the Technology License Agreement and the Cost Sharing Agreement.</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Neither the Borrower nor any Subsidiary will, directly or indirectly, enter into or permit to exist any agreement or other arrangement that restricts or imposes any condition upon (a) the ability of the Borrower or any Subsidiary to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7" w:name="page548"/>
    <w:bookmarkEnd w:id="547"/>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incur or permit to exist any Lien upon any of its assets to secure any Secured Obligations or (b) the ability of any Subsidiary to pay dividends or other distributions with respect to its Equity Interests or to make or repay loans or advances to the Borrower or any Domestic Subsidiary or to Guarantee Indebtedness of the Borrower or any Domestic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foregoing shall not apply to (A) restrictions and conditions imposed by Law or by any Loan Document, (B) restrictions and conditions existing on the date hereof identified on Schedule 6.10 (but shall apply to any extension or renewal of, or any amendment or modification expanding the scope of, any such restriction or condition), and (C) in the case of any Subsidiary that is not a wholly owned Subsidiary, restrictions and conditions imposed by its organizational documents or any related joint venture or similar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restrictions and conditions apply only to such Subsidiary and to any Equity Interests in such Subsidiary, (ii) clause (a) of the foregoing shall not apply to (A) restrictions or conditions imposed by any agreement relating to secured Indebtedness permitted by clause (v), (vi), (vii), (viii) or (xi) of Section 6.01(a) if such restrictions or conditions apply only to the property or assets securing such Indebtedness or</w:t>
      </w:r>
    </w:p>
    <w:p>
      <w:pPr>
        <w:spacing w:after="0" w:line="6" w:lineRule="exact"/>
        <w:rPr>
          <w:sz w:val="20"/>
          <w:szCs w:val="20"/>
          <w:color w:val="auto"/>
        </w:rPr>
      </w:pPr>
    </w:p>
    <w:p>
      <w:pPr>
        <w:jc w:val="both"/>
        <w:ind w:firstLine="8"/>
        <w:spacing w:after="0" w:line="231" w:lineRule="auto"/>
        <w:tabs>
          <w:tab w:leader="none" w:pos="355" w:val="left"/>
        </w:tabs>
        <w:numPr>
          <w:ilvl w:val="0"/>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customary provisions in leases and other agreements restricting the assignment thereof and (iii) clause (b) of the foregoing shall not apply to (A) customary restrictions and conditions contained in agreements relating to the sale of a Subsidiary, or a business unit, division, product line or line of business, that are applicable solely pending such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the Subsidiary, or the business unit, division, product line or line of business, that is to be sold and such sale is permitted hereunder, or (B) restrictions and conditions imposed by agreements relating to Indebtedness of any Subsidiary in existence at the time such Subsidiary became a Subsidiary and otherwise permitted by clause (vii) of Section 6.01(a) (but shall apply to any extension or renewal of, or any amendment or modification expanding the scope of, any such restriction or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such Subsidiary, and (C) restrictions and conditions imposed by agreements relating to Indebtedness of Foreign Subsidiaries permitted under Section 6.01(a),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Foreign Subsidiaries. Nothing in this Section shall be deemed to modify the requirements set forth in the definition of the term “Collateral and Guarantee Requirement” or the obligations of the Loan Parties under Sections 5.03, 5.04 or 5.12 or under the Security Documents.</w:t>
      </w:r>
    </w:p>
    <w:p>
      <w:pPr>
        <w:spacing w:after="0" w:line="18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Amendment of Material Documents; Technology License Agreements;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Neither the Borrower nor any Subsidiary will amend, modify or waive any of its rights under (i) its certificate of incorporation, bylaws or other organizational documents to the extent that such amendment, modification or waiver shall be materially adverse to the Lenders when taken as a whole (as determined in good faith by the Borrower), or (ii) the Technology License Agreement or the Cost Sharing Agreement, in each case under this clause (ii) to the extent such amendment, modification or waiver could reasonably be expected to result in a Material Adverse Effect.</w:t>
      </w:r>
    </w:p>
    <w:p>
      <w:pPr>
        <w:spacing w:after="0" w:line="183" w:lineRule="exact"/>
        <w:rPr>
          <w:sz w:val="20"/>
          <w:szCs w:val="20"/>
          <w:color w:val="auto"/>
        </w:rPr>
      </w:pPr>
    </w:p>
    <w:p>
      <w:pPr>
        <w:jc w:val="both"/>
        <w:ind w:firstLine="1304"/>
        <w:spacing w:after="0" w:line="238" w:lineRule="auto"/>
        <w:tabs>
          <w:tab w:leader="none" w:pos="1981"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permit the licensee under the Technology License Agreement or the counterparty to the Cost Sharing Agreement, or the licensee or counterparty to any similar technology license or cost sharing agreement (including any replacement or extension of the Technology License Agreement or the Cost Sharing Agreement, as the case may be) entered into by the Borrower or any Subsidiary, to be any Person other than the Borrower or a wholly owned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8" w:name="page549"/>
    <w:bookmarkEnd w:id="548"/>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Net Leverage Ratio</w:t>
      </w:r>
      <w:r>
        <w:rPr>
          <w:rFonts w:ascii="Times New Roman" w:cs="Times New Roman" w:eastAsia="Times New Roman" w:hAnsi="Times New Roman"/>
          <w:sz w:val="22"/>
          <w:szCs w:val="22"/>
          <w:color w:val="auto"/>
        </w:rPr>
        <w:t xml:space="preserve">. The Borrower will not permit the Net Leverage Ratio to exceed 3.50 to 1.00 determined as at the end of each fiscal quarter;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Loan Parties shall have the right, exercisable not more than two (2) times during the term of this Agreement by giving written notice to the Administrative Agent, to increase the maximum Net Leverage Ratio permitted hereunder to 4.00 to 1.0, calculated as of the end of each fiscal quarter during the twelve month period commencing on the date immediately preceding the date of a Material Acquisition.</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Minimum Interest Coverage Ratio</w:t>
      </w:r>
      <w:r>
        <w:rPr>
          <w:rFonts w:ascii="Times New Roman" w:cs="Times New Roman" w:eastAsia="Times New Roman" w:hAnsi="Times New Roman"/>
          <w:sz w:val="22"/>
          <w:szCs w:val="22"/>
          <w:color w:val="auto"/>
        </w:rPr>
        <w:t>. The Borrower will not permit the Interest Coverage Ratio to be less than 3.00 to 1.00 determined as at the end of each fiscal quarter.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Borrower will not, and the Borrower will not permit any other Loan Party to, change its fiscal year to end on a date other than December 31.</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6.16. </w:t>
      </w:r>
      <w:r>
        <w:rPr>
          <w:rFonts w:ascii="Times New Roman" w:cs="Times New Roman" w:eastAsia="Times New Roman" w:hAnsi="Times New Roman"/>
          <w:sz w:val="22"/>
          <w:szCs w:val="22"/>
          <w:u w:val="single" w:color="auto"/>
          <w:color w:val="auto"/>
        </w:rPr>
        <w:t>Anti-Money Laundering/International Trade Law Compliance</w:t>
      </w:r>
      <w:r>
        <w:rPr>
          <w:rFonts w:ascii="Times New Roman" w:cs="Times New Roman" w:eastAsia="Times New Roman" w:hAnsi="Times New Roman"/>
          <w:sz w:val="22"/>
          <w:szCs w:val="22"/>
          <w:color w:val="auto"/>
        </w:rPr>
        <w:t>. (a) No Covered Entity will become a Sanctioned Person, (b) no Covered Entity, either in its own right or through any third party, will (i) have any of its assets in a Sanctioned Country or in the possession, custody or control of a Sanctioned Person in violation of any Anti-Terrorism Law; (ii) do business in or with, or derive any of its income from investments in or transactions with, any Sanctioned Country or Sanctioned Person in violation of any Anti-Terrorism Law; (iii) engage in any dealings or transactions prohibited by any Anti-Terrorism Law or (iv) use any part of the proceeds of the Loans or any Letter of Credit to fund any operation in, finance any investments or activities in, or, make any payments to, a Sanctioned Country or Sanctioned Person in violation of any Anti-Terrorism Law, (c) the funds used to repay the Obligations will not be derived from any unlawful activity, (d) each Covered Entity shall comply with all Anti-Terrorism Laws, and (e) the Borrower shall promptly notify the Administrative Agent in writing upon the occurrence of a Reportable Compliance Event.</w:t>
      </w:r>
    </w:p>
    <w:p>
      <w:pPr>
        <w:spacing w:after="0" w:line="18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The Borrower shall not permit any part of the proceeds of the Loans or any Letter of Credit to be used, directly or indirectly, in furtherance of an offer, payment, promise to pay, or authorization of the payment or giving of money, or anything else of value, to any Person in violation of the FCPA or any other applicable anti-corruption law. The Borrower shall maintain in effect policies and procedures designed to promote compliance by the Borrower, its Subsidiaries, and their respective directors, officers, employees and agents with the FCPA and any other applicable anti-corruption laws.</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SECTION 6.18. Division/Series Transaction. The Borrower shall not permit, without the written consent of the Administrative Agent in its sole discretion, any Division/Series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49" w:name="page550"/>
    <w:bookmarkEnd w:id="549"/>
    <w:p>
      <w:pPr>
        <w:jc w:val="center"/>
        <w:spacing w:after="0"/>
        <w:rPr>
          <w:sz w:val="20"/>
          <w:szCs w:val="20"/>
          <w:color w:val="auto"/>
        </w:rPr>
      </w:pPr>
      <w:r>
        <w:rPr>
          <w:rFonts w:ascii="Times New Roman" w:cs="Times New Roman" w:eastAsia="Times New Roman" w:hAnsi="Times New Roman"/>
          <w:sz w:val="22"/>
          <w:szCs w:val="22"/>
          <w:color w:val="010000"/>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w:t>
      </w:r>
    </w:p>
    <w:p>
      <w:pPr>
        <w:spacing w:after="0" w:line="206" w:lineRule="exact"/>
        <w:rPr>
          <w:sz w:val="20"/>
          <w:szCs w:val="20"/>
          <w:color w:val="auto"/>
        </w:rPr>
      </w:pPr>
    </w:p>
    <w:p>
      <w:pPr>
        <w:jc w:val="both"/>
        <w:ind w:firstLine="1304"/>
        <w:spacing w:after="0" w:line="244" w:lineRule="auto"/>
        <w:tabs>
          <w:tab w:leader="none" w:pos="1972"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3" w:lineRule="exact"/>
        <w:rPr>
          <w:rFonts w:ascii="Times New Roman" w:cs="Times New Roman" w:eastAsia="Times New Roman" w:hAnsi="Times New Roman"/>
          <w:sz w:val="22"/>
          <w:szCs w:val="22"/>
          <w:color w:val="auto"/>
        </w:rPr>
      </w:pPr>
    </w:p>
    <w:p>
      <w:pPr>
        <w:jc w:val="both"/>
        <w:ind w:firstLine="1304"/>
        <w:spacing w:after="0" w:line="239" w:lineRule="auto"/>
        <w:tabs>
          <w:tab w:leader="none" w:pos="2135"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Business Days;</w:t>
      </w:r>
    </w:p>
    <w:p>
      <w:pPr>
        <w:spacing w:after="0" w:line="180" w:lineRule="exact"/>
        <w:rPr>
          <w:rFonts w:ascii="Times New Roman" w:cs="Times New Roman" w:eastAsia="Times New Roman" w:hAnsi="Times New Roman"/>
          <w:sz w:val="22"/>
          <w:szCs w:val="22"/>
          <w:color w:val="auto"/>
        </w:rPr>
      </w:pPr>
    </w:p>
    <w:p>
      <w:pPr>
        <w:jc w:val="both"/>
        <w:ind w:firstLine="1304"/>
        <w:spacing w:after="0" w:line="236" w:lineRule="auto"/>
        <w:tabs>
          <w:tab w:leader="none" w:pos="2125"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statement made or deemed made by or on behalf of the Borrower or any Subsidiary in any Loan Document or in any report, certificate, financial statement or other information provided pursuant to or in connection with any Loan Document or any amendment or modification thereof or waiver thereunder shall prove to have been false or misleading in any material respect (or, in the case of any such representation or warranty qualified as to the materiality, in any respect) as of the time it was made or furnished;</w:t>
      </w:r>
    </w:p>
    <w:p>
      <w:pPr>
        <w:spacing w:after="0" w:line="181" w:lineRule="exact"/>
        <w:rPr>
          <w:rFonts w:ascii="Times New Roman" w:cs="Times New Roman" w:eastAsia="Times New Roman" w:hAnsi="Times New Roman"/>
          <w:sz w:val="22"/>
          <w:szCs w:val="22"/>
          <w:color w:val="auto"/>
        </w:rPr>
      </w:pPr>
    </w:p>
    <w:p>
      <w:pPr>
        <w:jc w:val="both"/>
        <w:ind w:right="20" w:firstLine="1304"/>
        <w:spacing w:after="0" w:line="282" w:lineRule="auto"/>
        <w:tabs>
          <w:tab w:leader="none" w:pos="2271" w:val="left"/>
        </w:tabs>
        <w:numPr>
          <w:ilvl w:val="0"/>
          <w:numId w:val="4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fail to observe or perform any covenant, condition or agreement contained in Section 5.02, 5.05(a) (with respect to the existence of the Borrower), 5.05(b) or 5.11 or in Article VI;</w:t>
      </w:r>
    </w:p>
    <w:p>
      <w:pPr>
        <w:spacing w:after="0" w:line="134" w:lineRule="exact"/>
        <w:rPr>
          <w:rFonts w:ascii="Times New Roman" w:cs="Times New Roman" w:eastAsia="Times New Roman" w:hAnsi="Times New Roman"/>
          <w:sz w:val="21"/>
          <w:szCs w:val="21"/>
          <w:color w:val="auto"/>
        </w:rPr>
      </w:pPr>
    </w:p>
    <w:p>
      <w:pPr>
        <w:jc w:val="both"/>
        <w:ind w:firstLine="1304"/>
        <w:spacing w:after="0" w:line="236" w:lineRule="auto"/>
        <w:tabs>
          <w:tab w:leader="none" w:pos="2184"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observe or perform any covenant, condition or agreement contained in any Loan Document (other than those specified in clause (a), (b) or (d) of this Article), and such failure shall continue unremedied for a period of 30 days after the earlier of (i) notice thereof from the Administrative Agent or any Lender to the Borrower (with a copy to the Administrative Agent in the case of any such notice from a Lender) and (ii) a Financial Officer or any other senior officer of the Borrower becoming aware of such failure;</w:t>
      </w:r>
    </w:p>
    <w:p>
      <w:pPr>
        <w:spacing w:after="0" w:line="181" w:lineRule="exact"/>
        <w:rPr>
          <w:rFonts w:ascii="Times New Roman" w:cs="Times New Roman" w:eastAsia="Times New Roman" w:hAnsi="Times New Roman"/>
          <w:sz w:val="22"/>
          <w:szCs w:val="22"/>
          <w:color w:val="auto"/>
        </w:rPr>
      </w:pPr>
    </w:p>
    <w:p>
      <w:pPr>
        <w:jc w:val="both"/>
        <w:ind w:firstLine="1304"/>
        <w:spacing w:after="0" w:line="244" w:lineRule="auto"/>
        <w:tabs>
          <w:tab w:leader="none" w:pos="217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shall fail to make any payment (whether of principal, interest, termination payment or other payment obligation and regardless of amount) in respect of any Material Indebtedness, when and as the same shall become due and payable;</w:t>
      </w:r>
    </w:p>
    <w:p>
      <w:pPr>
        <w:spacing w:after="0" w:line="173" w:lineRule="exact"/>
        <w:rPr>
          <w:rFonts w:ascii="Times New Roman" w:cs="Times New Roman" w:eastAsia="Times New Roman" w:hAnsi="Times New Roman"/>
          <w:sz w:val="22"/>
          <w:szCs w:val="22"/>
          <w:color w:val="auto"/>
        </w:rPr>
      </w:pPr>
    </w:p>
    <w:p>
      <w:pPr>
        <w:jc w:val="both"/>
        <w:ind w:firstLine="1304"/>
        <w:spacing w:after="0" w:line="235" w:lineRule="auto"/>
        <w:tabs>
          <w:tab w:leader="none" w:pos="2006"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or, in the case of any Hedging Agreement, to cause the termination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(g) shall not apply to secured Indebtedness that becomes due as a result of the voluntary sale or transfer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0" w:name="page551"/>
    <w:bookmarkEnd w:id="550"/>
    <w:p>
      <w:pPr>
        <w:jc w:val="both"/>
        <w:ind w:firstLine="1304"/>
        <w:spacing w:after="0" w:line="235" w:lineRule="auto"/>
        <w:tabs>
          <w:tab w:leader="none" w:pos="2147"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the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Subsidiary or for a substantial part of its assets, and, in any such case, such proceeding or petition shall continue undismissed for 60 days or an order or decree approving or ordering any of the foregoing shall be entered;</w:t>
      </w:r>
    </w:p>
    <w:p>
      <w:pPr>
        <w:spacing w:after="0" w:line="183" w:lineRule="exact"/>
        <w:rPr>
          <w:rFonts w:ascii="Times New Roman" w:cs="Times New Roman" w:eastAsia="Times New Roman" w:hAnsi="Times New Roman"/>
          <w:sz w:val="22"/>
          <w:szCs w:val="22"/>
          <w:color w:val="auto"/>
        </w:rPr>
      </w:pPr>
    </w:p>
    <w:p>
      <w:pPr>
        <w:jc w:val="both"/>
        <w:ind w:firstLine="1304"/>
        <w:spacing w:after="0" w:line="233" w:lineRule="auto"/>
        <w:tabs>
          <w:tab w:leader="none" w:pos="2052"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shall (i) voluntarily commence any proceeding or file any petition seeking liquidation (other than any liquidation permitted by clause (iv) of Section 6.03(a)),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Subsidiary or for a substantial part of its assets, (iv) file an answer admitting the material allegations of a petition filed against it in any such proceeding, (v) make a general assignment for the benefit of creditors or (vi) the board of directors (or similar governing body) of the Borrower or any Subsidiary (or any committee thereof) shall adopt any resolution or otherwise authorize any action to approve any of the actions referred to in this clause (i) or in clause (h) of this Article;</w:t>
      </w:r>
    </w:p>
    <w:p>
      <w:pPr>
        <w:spacing w:after="0" w:line="187" w:lineRule="exact"/>
        <w:rPr>
          <w:rFonts w:ascii="Times New Roman" w:cs="Times New Roman" w:eastAsia="Times New Roman" w:hAnsi="Times New Roman"/>
          <w:sz w:val="22"/>
          <w:szCs w:val="22"/>
          <w:color w:val="auto"/>
        </w:rPr>
      </w:pPr>
    </w:p>
    <w:p>
      <w:pPr>
        <w:ind w:firstLine="1304"/>
        <w:spacing w:after="0" w:line="258" w:lineRule="auto"/>
        <w:tabs>
          <w:tab w:leader="none" w:pos="2092"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Subsidiary shall become unable,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firstLine="1304"/>
        <w:spacing w:after="0" w:line="235" w:lineRule="auto"/>
        <w:tabs>
          <w:tab w:leader="none" w:pos="2149"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$10,000,000 (other than any such judgment covered by insurance (other than under a self-insurance program) to the extent a claim therefor has been made in writing and liability therefor has not been denied by the insurer, so long as, in the opinion of the Required Lenders, such insurer is financially sound), shall be rendered against the Borrower, any Subsidiary or any combination thereof and the same shall remain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178"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214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injunctive relief shall be rendered against the Borrower, any Subsidiary or any combination thereof that could, individually or in the aggregate,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2233"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ERISA Events shall have occurred that, in the opinion of the Required Lenders, could, individually or in the aggregate, reasonably be expected to result in a Material Adverse Effect;</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purported to be created under any Security Document shall cease to be, or shall be asserted by any Loan Party not to be, a valid and perfected Lien on any material Collateral, with the priority required by the applicable Security Document, except as a result of (i) a sale or transfer of the applicable Collateral in a transaction permitted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1" w:name="page552"/>
    <w:bookmarkEnd w:id="551"/>
    <w:p>
      <w:pPr>
        <w:spacing w:after="0" w:line="258" w:lineRule="auto"/>
        <w:rPr>
          <w:sz w:val="20"/>
          <w:szCs w:val="20"/>
          <w:color w:val="auto"/>
        </w:rPr>
      </w:pPr>
      <w:r>
        <w:rPr>
          <w:rFonts w:ascii="Times New Roman" w:cs="Times New Roman" w:eastAsia="Times New Roman" w:hAnsi="Times New Roman"/>
          <w:sz w:val="22"/>
          <w:szCs w:val="22"/>
          <w:color w:val="auto"/>
        </w:rPr>
        <w:t>or (ii) the Administrative Agent’s failure to maintain possession of any stock certificate, promissory note or other instrument delivered to it under the Collateral Agreement;</w:t>
      </w:r>
    </w:p>
    <w:p>
      <w:pPr>
        <w:spacing w:after="0" w:line="158" w:lineRule="exact"/>
        <w:rPr>
          <w:sz w:val="20"/>
          <w:szCs w:val="20"/>
          <w:color w:val="auto"/>
        </w:rPr>
      </w:pPr>
    </w:p>
    <w:p>
      <w:pPr>
        <w:jc w:val="both"/>
        <w:ind w:firstLine="1304"/>
        <w:spacing w:after="0" w:line="255" w:lineRule="auto"/>
        <w:tabs>
          <w:tab w:leader="none" w:pos="1994" w:val="left"/>
        </w:tabs>
        <w:numPr>
          <w:ilvl w:val="0"/>
          <w:numId w:val="4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Guarantee purported to be created under any Loan Document shall cease to be, or shall be asserted by any Loan Party not to be, in full force and effect, except upon the consummation of any transaction permitted under this Agreement as a result of which the Subsidiary Loan Party providing such Guarantee ceases to be a Subsidiary or upon the termination of such Loan Document in accordance with its terms; or</w:t>
      </w:r>
    </w:p>
    <w:p>
      <w:pPr>
        <w:spacing w:after="0" w:line="161" w:lineRule="exact"/>
        <w:rPr>
          <w:rFonts w:ascii="Times New Roman" w:cs="Times New Roman" w:eastAsia="Times New Roman" w:hAnsi="Times New Roman"/>
          <w:sz w:val="21"/>
          <w:szCs w:val="21"/>
          <w:color w:val="auto"/>
        </w:rPr>
      </w:pPr>
    </w:p>
    <w:p>
      <w:pPr>
        <w:ind w:left="1980" w:hanging="676"/>
        <w:spacing w:after="0"/>
        <w:tabs>
          <w:tab w:leader="none" w:pos="19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Restatement Effective Date, a Change in Control shall occur;</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hereunder, shall become due and payable immediately, and (iii) require the deposit of cash collateral in respect of LC Exposure as provided in Section 2.05(i), in each case without presentment, demand, protest or other notice of any kind, all of which are hereby waived by the Borrower; and in the case of any event with respect to the Borrower described in clause (h) or (i) of this Article, the Commitments shall automatically terminate, the principal of the Loans then outstanding, together with accrued interest thereon and all fees and other obligations of the Borrower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3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Each of the Lenders and the Issuing Banks hereby irrevocably appoints (and each other Secured Party, whether or not a party hereto, by its acceptance of the benefits of the Collateral and of the Guarantees of the Secured Obligations provided under the Loan Documents, will be deemed to hereby appoint) the entity named as Administrative Agent in the heading of this Agreement to serve as administrative agent and collateral agent under the Loan Documents, and authorizes (and each other Secured Party, whether or not a party hereto, by its acceptance of the benefits of the Collateral and of the Guarantees of the Secured Obligations provided under the Loan Documents, will be deemed to hereby authorize) the Administrative Agent to take such actions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and the Issuing Banks hereby grants (and each other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2" w:name="page553"/>
    <w:bookmarkEnd w:id="552"/>
    <w:p>
      <w:pPr>
        <w:jc w:val="both"/>
        <w:spacing w:after="0" w:line="239" w:lineRule="auto"/>
        <w:rPr>
          <w:sz w:val="20"/>
          <w:szCs w:val="20"/>
          <w:color w:val="auto"/>
        </w:rPr>
      </w:pPr>
      <w:r>
        <w:rPr>
          <w:rFonts w:ascii="Times New Roman" w:cs="Times New Roman" w:eastAsia="Times New Roman" w:hAnsi="Times New Roman"/>
          <w:sz w:val="22"/>
          <w:szCs w:val="22"/>
          <w:color w:val="auto"/>
        </w:rPr>
        <w:t>Party, whether or not a party hereto, by its acceptance of the benefits of the Collateral and of the Guarantees of the Secured Obligations provided under the Loan Documents, will be deemed to hereby grant) to the Administrative Agent any required powers of attorney to execute any Security Document governed by the Laws of such jurisdiction on such Lender’s or Issuing Bank’s behalf.</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w:t>
      </w:r>
    </w:p>
    <w:p>
      <w:pPr>
        <w:spacing w:after="0" w:line="1" w:lineRule="exact"/>
        <w:rPr>
          <w:sz w:val="20"/>
          <w:szCs w:val="20"/>
          <w:color w:val="auto"/>
        </w:rPr>
      </w:pPr>
    </w:p>
    <w:p>
      <w:pPr>
        <w:ind w:firstLine="8"/>
        <w:spacing w:after="0" w:line="242" w:lineRule="auto"/>
        <w:tabs>
          <w:tab w:leader="none" w:pos="365" w:val="left"/>
        </w:tabs>
        <w:numPr>
          <w:ilvl w:val="0"/>
          <w:numId w:val="4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not be required to take any action that, in its opinion, could expose the Administrative Agent to liability or be contrary to any Loan Document or applicable Law, and (c) except as expressly set forth in the Loan Documents, the Administrative Agent shall not have any duty to disclose, and shall not be liable for the failure to disclose, any information relating to the Borrower, any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Section 9.02) or in the absence of its own gross negligence or willful misconduct, as determined by a court of competent jurisdiction by a final and non-appealable judgment. The Administrative Agent shall be deemed not to have knowledge of any Default unless and until written notice thereof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 Notwithstanding anything herein to the contrary, the Administrative Agent shall not have any liability arising from any confirmation of the Revolving Exposure or the component amounts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3" w:name="page554"/>
    <w:bookmarkEnd w:id="553"/>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 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of a Letter of Credit, that by its terms must be fulfilled to the satisfaction of a Lender or Issuing Bank, the Administrative Agent may presume that such condition is satisfactory to such Lender or Issuing Bank unless the Administrative Agent shall have received written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Subject to the terms of this paragraph, the Administrative Agent may resign at any time from its capacity as such. In connection with such resignation, the Administrative Agent shall give notice of its intent to resign to the Lenders, the Issuing Banks and the Borrower. Upon receipt of any such notice of resignation, the Required Lenders shall have the right, in consultation (so long as no Event of Default has occurred and is continuing) with the Borrower, to appoint a successor. If no successor shall have been so appointed by the Required Lenders and shall have accepted such appointment within 30 days after the retiring Administrative Agent gives notice of its intent to resign, then the retiring Administrative Agent may, on behalf of the Lenders and the Issuing Banks, appoint a successor Administrative Agent, which shall be a financial institution or an Affiliate of a financial institution.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4" w:name="page555"/>
    <w:bookmarkEnd w:id="55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may give notice of the effectiveness of its resignation to the Lenders, the Issuing Banks and the Borrower, whereupon, on the date of effectiveness of such resignation stated in such notice, (a) the retiring Administrative Agent shall be discharged from its duties and obligations hereunder and under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solely for purposes of maintaining any security interest granted to the Administrative Agent under any Security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duty or obligation to take any further action under any Security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until such time as the Required Lenders appoint a successor Administrative Agent as provided for above in this Article VIII.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w:t>
      </w:r>
    </w:p>
    <w:p>
      <w:pPr>
        <w:spacing w:after="0" w:line="182"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To the extent required by any applicable law, the Administrative Agent may withhold from any payment to any Lender or other Secured Party (which terms include, for purposes of this Article VIII, any Issuing Bank) an amount equivalent to any applicable withholding Tax. If any payment has been made to any Lender or other Secured Party by the Administrative Agent without the applicable withholding Tax being withheld from such payment and the Administrative Agent has paid over the applicable withholding Tax to the Internal Revenue Service or any other Governmental Authority, or the Internal Revenue Service or any other Governmental Authority asserts a claim that the Administrative Agent did not properly withhold Tax from amounts paid to or for the account of any Lender or any other Secured Party because the appropriate form was not delivered or was not properly executed or because such Lender or other Secured Party failed to notify the Administrative Agent of a change in circumstance which rendered the exemption from, or reduction of, withholding Tax ineffective or for any other reason, such Lender or other Secured Party, as the case may be,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Each Lender and Issuing Bank acknowledges that it has, independently and without reliance upon the Administrative Agent, any Arranger or any other Lender or Issuing Bank, or any of the Related Parties of any of the foregoing, and based on such documents and information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5" w:name="page556"/>
    <w:bookmarkEnd w:id="555"/>
    <w:p>
      <w:pPr>
        <w:jc w:val="both"/>
        <w:spacing w:after="0" w:line="236" w:lineRule="auto"/>
        <w:rPr>
          <w:sz w:val="20"/>
          <w:szCs w:val="20"/>
          <w:color w:val="auto"/>
        </w:rPr>
      </w:pPr>
      <w:r>
        <w:rPr>
          <w:rFonts w:ascii="Times New Roman" w:cs="Times New Roman" w:eastAsia="Times New Roman" w:hAnsi="Times New Roman"/>
          <w:sz w:val="22"/>
          <w:szCs w:val="22"/>
          <w:color w:val="auto"/>
        </w:rPr>
        <w:t>has deemed appropriate, made its own credit analysis and decision to enter into this Agreement. Each Lender and Issuing Bank also acknowledges that it will, independently and without reliance upon the Administrative Agent, any Arranger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and funding its Loans on the Restatement Effective Date, or delivering its signature page to an Assignment and Assumption or an Incremental Facility Agreement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w:t>
      </w:r>
    </w:p>
    <w:p>
      <w:pPr>
        <w:spacing w:after="0" w:line="18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at the direction of the Required Lenders,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provided under the Loan Documents, to have agreed to the foregoing provisions.</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Notwithstanding anything herein to the contrary, neither any Arranger nor any Person named on the cover page of this Agreement as a Syndication Agent or a Documentation Agent shall have any duties or obligations under this Agreement or any other Loan Document (except in its capacity, as applicable, as a Lender or an Issuing Bank), but all such Persons shall have the benefit of the indemnities provided for hereunder.</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The provisions of this Article are solely for the benefit of the Administrative Agent, the Lenders and the Issuing Banks, and neither the Borrower nor any other Loan Party shall have any rights as a third party beneficiary of any such provisions.</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6" w:name="page557"/>
    <w:bookmarkEnd w:id="556"/>
    <w:p>
      <w:pPr>
        <w:jc w:val="both"/>
        <w:spacing w:after="0" w:line="236" w:lineRule="auto"/>
        <w:rPr>
          <w:sz w:val="20"/>
          <w:szCs w:val="20"/>
          <w:color w:val="auto"/>
        </w:rPr>
      </w:pPr>
      <w:r>
        <w:rPr>
          <w:rFonts w:ascii="Times New Roman" w:cs="Times New Roman" w:eastAsia="Times New Roman" w:hAnsi="Times New Roman"/>
          <w:sz w:val="22"/>
          <w:szCs w:val="22"/>
          <w:color w:val="auto"/>
        </w:rPr>
        <w:t>thereunder, including the regulations contained in 31 CFR 103.121 (as hereafter amended or replaced, the “</w:t>
      </w:r>
      <w:r>
        <w:rPr>
          <w:rFonts w:ascii="Times New Roman" w:cs="Times New Roman" w:eastAsia="Times New Roman" w:hAnsi="Times New Roman"/>
          <w:sz w:val="22"/>
          <w:szCs w:val="22"/>
          <w:u w:val="single" w:color="auto"/>
          <w:color w:val="auto"/>
        </w:rPr>
        <w:t>CIP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or any other Anti-Terrorism Law, including any programs involving any of the following items relating to or in connection with any of the Loan Parties, their Affiliates or their agents, the Loan Documents or the transactions hereunder or contemplated hereby: (a) any identity verification procedures, (b) any recordkeeping, (c) comparisons with government lists, (d) customer notices or (e) other procedures required under the CIP Regulations or such other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180" w:lineRule="exact"/>
        <w:rPr>
          <w:sz w:val="20"/>
          <w:szCs w:val="20"/>
          <w:color w:val="auto"/>
        </w:rPr>
      </w:pPr>
    </w:p>
    <w:p>
      <w:pPr>
        <w:jc w:val="both"/>
        <w:ind w:left="660" w:firstLine="644"/>
        <w:spacing w:after="0" w:line="244" w:lineRule="auto"/>
        <w:tabs>
          <w:tab w:leader="none" w:pos="225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 685 Stockton Drive, Exton, PA 19341, Attention of Chief Financial Officer (Tel. No. (610) 458-5000; Fax No. (610) 458-3025), with a copy to the General Counsel (Tel. No. (610) 458-5000; Fax No. (610) 458-3181);</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90"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PNC Bank, National Association, 1000 Westlakes Drive, Suite 300, Berwyn, PA 19312, Attention of Domenic D’Ginto (Tel. No. (610) 699-5548; Fax No. (610) 725-5799), with a copy to PNC Bank, National Association, Agency Services, Mail Stop: P7-PFSC-04-I, PNC Firstside Center, 500 First Avenue,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 Pittsburgh, PA 15219, Attention of Agency Services (Tel. No. (412) 762-6442; Fax No. (412) 762-8672);</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2147" w:val="left"/>
        </w:tabs>
        <w:numPr>
          <w:ilvl w:val="0"/>
          <w:numId w:val="4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Issuing Bank, to it at its address (or telephone number or fax number) most recently specified by it in a notice delivered to the Administrative Agent and the Borrower (or, in the absence of any such notice, to the address (or telephone number or fax number) set forth in the Administrative Questionnaire of the Lender that is serving as such Issuing Bank or is an Affiliate thereof);</w:t>
      </w:r>
    </w:p>
    <w:p>
      <w:pPr>
        <w:spacing w:after="0" w:line="161" w:lineRule="exact"/>
        <w:rPr>
          <w:rFonts w:ascii="Times New Roman" w:cs="Times New Roman" w:eastAsia="Times New Roman" w:hAnsi="Times New Roman"/>
          <w:sz w:val="21"/>
          <w:szCs w:val="21"/>
          <w:color w:val="auto"/>
        </w:rPr>
      </w:pPr>
    </w:p>
    <w:p>
      <w:pPr>
        <w:jc w:val="both"/>
        <w:ind w:left="660" w:firstLine="644"/>
        <w:spacing w:after="0" w:line="238" w:lineRule="auto"/>
        <w:tabs>
          <w:tab w:leader="none" w:pos="2147"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Swingline Lender, to PNC Bank, National Association, 1000 Westlakes Drive, Suite 300, Berwyn, PA 19312, Attention of Domenic D’Ginto (Tel. No. (610) 699-5548; Fax No. (610) 725-5799), with a copy to PNC Bank, National Association, Agency Services, Mail Stop: P7-PFSC-04-I, PNC Firstside Center, 500 First Avenue,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 Pittsburgh, PA 15219, Attention of Agency Services (Tel. No. (412) 762-6442; Fax No. (412) 762-8672); and</w:t>
      </w:r>
    </w:p>
    <w:p>
      <w:pPr>
        <w:spacing w:after="0" w:line="176" w:lineRule="exact"/>
        <w:rPr>
          <w:rFonts w:ascii="Times New Roman" w:cs="Times New Roman" w:eastAsia="Times New Roman" w:hAnsi="Times New Roman"/>
          <w:sz w:val="22"/>
          <w:szCs w:val="22"/>
          <w:color w:val="auto"/>
        </w:rPr>
      </w:pPr>
    </w:p>
    <w:p>
      <w:pPr>
        <w:ind w:left="660" w:firstLine="644"/>
        <w:spacing w:after="0" w:line="258" w:lineRule="auto"/>
        <w:tabs>
          <w:tab w:leader="none" w:pos="204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it at its address (or telephone number or fax number) set forth in its Administrative Questionnaire.</w:t>
      </w:r>
    </w:p>
    <w:p>
      <w:pPr>
        <w:spacing w:after="0" w:line="15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fax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7" w:name="page558"/>
    <w:bookmarkEnd w:id="557"/>
    <w:p>
      <w:pPr>
        <w:jc w:val="both"/>
        <w:spacing w:after="0" w:line="235" w:lineRule="auto"/>
        <w:rPr>
          <w:sz w:val="20"/>
          <w:szCs w:val="20"/>
          <w:color w:val="auto"/>
        </w:rPr>
      </w:pPr>
      <w:r>
        <w:rPr>
          <w:rFonts w:ascii="Times New Roman" w:cs="Times New Roman" w:eastAsia="Times New Roman" w:hAnsi="Times New Roman"/>
          <w:sz w:val="22"/>
          <w:szCs w:val="22"/>
          <w:color w:val="auto"/>
        </w:rPr>
        <w:t>deemed to have been given when sent (except that, if not given during normal business hours for the recipient, shall be deemed to have been given at the opening of business on the next business day for the recipient); and notices delivered through electronic communications to the extent provided in paragraph (b) below shall be effective as provided in such paragraph. Notices delivered through electronic communications to the extent provided in Section 9.01(b) shall be effective as provided in such Section. Notwithstanding the foregoing, notice by the Administrative Agent and/or the Lenders of the existence of a Default or Event of Default shall not be effective if only sent by fax.</w:t>
      </w:r>
    </w:p>
    <w:p>
      <w:pPr>
        <w:spacing w:after="0" w:line="183" w:lineRule="exact"/>
        <w:rPr>
          <w:sz w:val="20"/>
          <w:szCs w:val="20"/>
          <w:color w:val="auto"/>
        </w:rPr>
      </w:pPr>
    </w:p>
    <w:p>
      <w:pPr>
        <w:jc w:val="both"/>
        <w:ind w:firstLine="1304"/>
        <w:spacing w:after="0" w:line="232" w:lineRule="auto"/>
        <w:tabs>
          <w:tab w:leader="none" w:pos="2136"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to the Lenders and Issuing Banks hereunder may be delivered or furnished by electronic communications (including email and Internet and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under Article II to any Lender or Issuing Bank if such Lender or Issuing Bank, as applicable, has notified the Administrative Agent that it is incapable of receiving notices under such Article by electronic communication. Any notices or other communications to the Administrative Agent or the Borrower may be delivered or furnished by electronic communications pursuant to procedures approved by the recipient thereof prior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or rescinded by any such Person by notice to each other such Person.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Times New Roman" w:cs="Times New Roman" w:eastAsia="Times New Roman" w:hAnsi="Times New Roman"/>
          <w:sz w:val="22"/>
          <w:szCs w:val="22"/>
          <w:color w:val="auto"/>
        </w:rPr>
      </w:pPr>
    </w:p>
    <w:p>
      <w:pPr>
        <w:ind w:firstLine="1304"/>
        <w:spacing w:after="0" w:line="258" w:lineRule="auto"/>
        <w:tabs>
          <w:tab w:leader="none" w:pos="2460"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 or fax number for notices and other communications hereunder by notice to the other parties hereto.</w:t>
      </w:r>
    </w:p>
    <w:p>
      <w:pPr>
        <w:spacing w:after="0" w:line="15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execution and delivery of this Agreement, the making of a Loan or the issuance of a Letter of Credit shall not be construed as a waiver of any Default, regardless of whether the Administrative Agent, any Lender or any Issuing Bank may have had notice or knowledge of such Default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8" w:name="page559"/>
    <w:bookmarkEnd w:id="558"/>
    <w:p>
      <w:pPr>
        <w:jc w:val="both"/>
        <w:ind w:firstLine="1304"/>
        <w:spacing w:after="0" w:line="242" w:lineRule="auto"/>
        <w:tabs>
          <w:tab w:leader="none" w:pos="2139" w:val="left"/>
        </w:tabs>
        <w:numPr>
          <w:ilvl w:val="0"/>
          <w:numId w:val="4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Sections 2.14(b), 2.21 and 2.22 and in the Collateral Agreement, none of this Agreement, any other Loan Document or any provision hereof or thereof may be waived, amended or modified except, in the case of this Agreement, pursuant to an agreement or agreements in writing entered into by the Borrower, the Administrative Agent and the Required Lenders and, in the case of any other Loan Document, pursuant to an agreement or agreements in writing entered into by the Administrative Agent and the Loan Party or Loan Parties that are parties thereto, in each case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any provision of this Agreement or any other Loan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or LC Disbursement or reduce the rate of interest thereon (other than as a result of any waiver of any increase in the interest rate applicable to any Loan pursuant to Section 2.13(d) or any change in the definition, or in any components thereof, of the term “Net Leverage Ratio”), or reduce any fees payable hereunder, without the written consent of each Lender directly affected thereby, (C) postpone the scheduled maturity date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directly affected thereby, (D) change Section 2.18(b), 2.18(c) or clause SECOND of Section 5.02 of the Collateral Agreement in a manner that would alter the pro rata sharing of payments required thereby without the written consent of each Lender, (E) change any of the provisions of this Section or the percentage set forth in the definition of the term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the consent of the Required Lenders, the provisions of this Section and the definition of the term “Required Lenders” may be amended to include references to any new class of loans created under this Agreement (or to lenders extending such loans), (F) release any Subsidiary Loan Party from its Guarantee under the Collateral Agreement (except as expressly provided in Section 9.14 or the Collateral Agreement), or limit its liability in respect of such Guarantee, without the written consent of each Lender, (G) release all or substantially all the Collateral from the Liens of the Security Documents, without the written consent of each Lender (except as expressly provided in Section 9.14 or the applicable Security Document (including any such release by the Administrative Agent in connection with any sale or other disposition of the Collateral upon the exercise of remedies under the Security Documents), it being understood that an amendment or other modification of the type of obligations secured by the Security Documents shall not be deemed to be a release of the Collateral from the Liens of the Security Documents), (H) amend the definition of Optional Currency or Section 2.23(e) without the written consent of the Administrative Agent, the Swingline Lender and each Issuing Bank and (I) change any provisions of any Loan Document in a manner that by its terms adversely affects the rights in respect of payments due to Lenders holding Loans of any Class differently than those holding Loans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59" w:name="page560"/>
    <w:bookmarkEnd w:id="55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other Class, without the written consent of Lenders representing a Majority in Interest of each affected Class;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(1) no such agreement shall amend, modify, extend or otherwise affect the rights or obligations of the Administrative Agent, any Issuing Bank or the Swingline Lender without the prior written consent of the Administrative Agent, such Issuing Bank or the Swingline Lender, as the case may be, and (2) any waiver, amendment or modification of this Agreement that by its terms affects the rights or duties under this Agreement of the Lenders of a particular Class (but not the Lenders of any other Class), may be effected by an agreement or agreements in writing entered into by the Borrower and the requisite number or percentage in interest of the affected Class of Lenders that would be required to consent thereto under this Section if such Class of Lenders were the only Class of Lenders hereunder at the time. Notwithstanding the foregoing, no consent of any Defaulting Lender shall be required with respect to any amendment, waiver or other modification of this Agreement or any other Loan Document, except with respect to those referred to in clauses (B), (C) and (D) of the first proviso of this paragraph and then only in the event such Defaulting Lender shall be directly affected by such amendment, waiver or other modification.</w:t>
      </w:r>
    </w:p>
    <w:p>
      <w:pPr>
        <w:spacing w:after="0" w:line="18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Borrower shall pay (i) all reasonable out-of-pocket expenses incurred by the Administrative Agent, PNC Capital Markets LLC (as an Arranger) and their Affiliates, including the reasonable fees, charges and disbursements of counsel for any of the foregoing, in connection with the structuring, arrangement and syndication of the credit facilities provided for herein and any credit or similar facility refinancing or replacing, in whole or in part, any of the credit facilities provided for herein, including the preparation, execution and delivery of the Engagement Letter and the Fee Letter, as well as the preparation, execution, delivery and administration of this Agreement,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Arranger, any Issuing Bank or any Lender, including the reasonable fees, charges and disbursements of any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91" w:lineRule="exact"/>
        <w:rPr>
          <w:sz w:val="20"/>
          <w:szCs w:val="20"/>
          <w:color w:val="auto"/>
        </w:rPr>
      </w:pPr>
    </w:p>
    <w:p>
      <w:pPr>
        <w:jc w:val="both"/>
        <w:ind w:firstLine="1304"/>
        <w:spacing w:after="0" w:line="234" w:lineRule="auto"/>
        <w:tabs>
          <w:tab w:leader="none" w:pos="2027"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indemnify the Administrative Agent (and any sub-agent thereof), each Arranger, the Syndication Agent, the Documentation Agent, each Lender and Issuing Bank,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penalties, liabilities and related expenses, including the reasonable fees, charges and disbursements of any counsel for any Indemnitee, incurred by or asserted against any Indemnitee arising out of, in connection with, or as a result of (i) the structuring, arrangement and the syndication of the credit facilities provided for herein, the preparation, execution, delivery and administration of the Engagement Letter, the Fee Letter, this Agreement, the other Loan Documents or any other agreement or instrument contemplated hereby or thereby, the performance by the parties to the Engagement Letter, the Fee Letter, this Agreement or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0" w:name="page561"/>
    <w:bookmarkEnd w:id="56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Documents of their obligations thereunder or the consummation of the Transactions or any other transactions contemplated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and whether initiated against or by any party to the Engagement Letter, the Fee Letter, this Agreement or any other Loan Document, any Affiliate of any of the foregoing or any third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w:t>
      </w:r>
    </w:p>
    <w:p>
      <w:pPr>
        <w:spacing w:after="0" w:line="177" w:lineRule="exact"/>
        <w:rPr>
          <w:sz w:val="20"/>
          <w:szCs w:val="20"/>
          <w:color w:val="auto"/>
        </w:rPr>
      </w:pPr>
    </w:p>
    <w:p>
      <w:pPr>
        <w:jc w:val="both"/>
        <w:ind w:firstLine="1304"/>
        <w:spacing w:after="0" w:line="245" w:lineRule="auto"/>
        <w:tabs>
          <w:tab w:leader="none" w:pos="1997" w:val="left"/>
        </w:tabs>
        <w:numPr>
          <w:ilvl w:val="0"/>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Borrower shall fail to pay any amount required to be paid by it under paragraph (a) or (b) of this Section to the Administrative Agent (or any sub-agent thereof), any Issuing Bank, the Swingline Lender or any Related Party of any of the foregoing, each Lender severally agrees to pay to the Administrative Agent (or any such sub-agent), such Issuing Bank, the Swingline Lender or such Related Party,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 incurred by or asserted against the Administrative Agent (or such sub-agent), such Issuing Bank or the Swingline Lender in its capacity as such, or against any Related Party of any of the foregoing acting for the Administrative Agent (or any such sub-agent), any Issuing Bank or the Swingline Lender in connection with such capacity. For purposes of this Section, a Lender’s “pro rata share” shall be determined based upon its share of the sum of the total Revolving Exposures</w:t>
      </w:r>
      <w:r>
        <w:rPr>
          <w:rFonts w:ascii="Times New Roman" w:cs="Times New Roman" w:eastAsia="Times New Roman" w:hAnsi="Times New Roman"/>
          <w:sz w:val="21"/>
          <w:szCs w:val="21"/>
          <w:u w:val="single" w:color="auto"/>
          <w:color w:val="0000FF"/>
        </w:rPr>
        <w:t>, outstanding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Term Loans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and unused Commitments at the time (or most recently outstanding and in effect).</w:t>
      </w:r>
    </w:p>
    <w:p>
      <w:pPr>
        <w:spacing w:after="0" w:line="173" w:lineRule="exact"/>
        <w:rPr>
          <w:rFonts w:ascii="Times New Roman" w:cs="Times New Roman" w:eastAsia="Times New Roman" w:hAnsi="Times New Roman"/>
          <w:sz w:val="21"/>
          <w:szCs w:val="21"/>
          <w:color w:val="auto"/>
        </w:rPr>
      </w:pPr>
    </w:p>
    <w:p>
      <w:pPr>
        <w:jc w:val="both"/>
        <w:ind w:firstLine="1304"/>
        <w:spacing w:after="0" w:line="248" w:lineRule="auto"/>
        <w:tabs>
          <w:tab w:leader="none" w:pos="2042" w:val="left"/>
        </w:tabs>
        <w:numPr>
          <w:ilvl w:val="0"/>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the Borrower shall not assert, or permit any of their Affiliates or Related Parties to assert, and each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70" w:lineRule="exact"/>
        <w:rPr>
          <w:rFonts w:ascii="Times New Roman" w:cs="Times New Roman" w:eastAsia="Times New Roman" w:hAnsi="Times New Roman"/>
          <w:sz w:val="21"/>
          <w:szCs w:val="21"/>
          <w:color w:val="auto"/>
        </w:rPr>
      </w:pPr>
    </w:p>
    <w:p>
      <w:pPr>
        <w:ind w:left="2280" w:hanging="976"/>
        <w:spacing w:after="0"/>
        <w:tabs>
          <w:tab w:leader="none" w:pos="228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therefor.</w:t>
      </w:r>
    </w:p>
    <w:p>
      <w:pPr>
        <w:spacing w:after="0" w:line="18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1" w:name="page562"/>
    <w:bookmarkEnd w:id="561"/>
    <w:p>
      <w:pPr>
        <w:jc w:val="both"/>
        <w:spacing w:after="0" w:line="246" w:lineRule="auto"/>
        <w:rPr>
          <w:sz w:val="20"/>
          <w:szCs w:val="20"/>
          <w:color w:val="auto"/>
        </w:rPr>
      </w:pPr>
      <w:r>
        <w:rPr>
          <w:rFonts w:ascii="Times New Roman" w:cs="Times New Roman" w:eastAsia="Times New Roman" w:hAnsi="Times New Roman"/>
          <w:sz w:val="21"/>
          <w:szCs w:val="21"/>
          <w:color w:val="auto"/>
        </w:rPr>
        <w:t>and assigns permitted hereby (including any Affiliate of any Issuing Bank that issues any Letter of Credit),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the Arrangers and, to the extent expressly contemplated hereby, the Related Parties of any of the Administrative Agent, any Arranger, any Issuing Bank and any Lender) any legal or equitable right, remedy or claim under or by reason of this Agreement.</w:t>
      </w:r>
    </w:p>
    <w:p>
      <w:pPr>
        <w:spacing w:after="0" w:line="171" w:lineRule="exact"/>
        <w:rPr>
          <w:sz w:val="20"/>
          <w:szCs w:val="20"/>
          <w:color w:val="auto"/>
        </w:rPr>
      </w:pPr>
    </w:p>
    <w:p>
      <w:pPr>
        <w:jc w:val="both"/>
        <w:ind w:left="660" w:firstLine="644"/>
        <w:spacing w:after="0" w:line="239" w:lineRule="auto"/>
        <w:tabs>
          <w:tab w:leader="none" w:pos="1992"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Subject to the conditions set forth in paragraph (b)(ii) below, any Lender may assign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one or more Eligible Assignees all or a portion of its rights and obligations under this Agreement (including all or a portion of its Commitment and Loans of any Class) with the prior written consent (such consent not to be unreasonably withheld) of:</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653" w:val="left"/>
        </w:tabs>
        <w:numPr>
          <w:ilvl w:val="1"/>
          <w:numId w:val="4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(1) for an assignment to a Lender, an Affiliate of a Lender or an Approved Fund, and (2) if an Event of Default has occurred and is continuing, for any other assignment;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Borrower shall be deemed to have consented to any such assignment unless it shall object thereto by written notice to the Administrative Agent within five Business Days after having received notice thereof;</w:t>
      </w:r>
    </w:p>
    <w:p>
      <w:pPr>
        <w:spacing w:after="0" w:line="181" w:lineRule="exact"/>
        <w:rPr>
          <w:rFonts w:ascii="Times New Roman" w:cs="Times New Roman" w:eastAsia="Times New Roman" w:hAnsi="Times New Roman"/>
          <w:sz w:val="22"/>
          <w:szCs w:val="22"/>
          <w:color w:val="010000"/>
        </w:rPr>
      </w:pPr>
    </w:p>
    <w:p>
      <w:pPr>
        <w:ind w:left="2620" w:hanging="668"/>
        <w:spacing w:after="0"/>
        <w:tabs>
          <w:tab w:leader="none" w:pos="2620" w:val="left"/>
        </w:tabs>
        <w:numPr>
          <w:ilvl w:val="1"/>
          <w:numId w:val="4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Administrative Agent;</w:t>
      </w:r>
    </w:p>
    <w:p>
      <w:pPr>
        <w:spacing w:after="0" w:line="206" w:lineRule="exact"/>
        <w:rPr>
          <w:rFonts w:ascii="Times New Roman" w:cs="Times New Roman" w:eastAsia="Times New Roman" w:hAnsi="Times New Roman"/>
          <w:sz w:val="22"/>
          <w:szCs w:val="22"/>
          <w:color w:val="010000"/>
        </w:rPr>
      </w:pPr>
    </w:p>
    <w:p>
      <w:pPr>
        <w:ind w:left="1300" w:firstLine="652"/>
        <w:spacing w:after="0" w:line="258" w:lineRule="auto"/>
        <w:tabs>
          <w:tab w:leader="none" w:pos="2654" w:val="left"/>
        </w:tabs>
        <w:numPr>
          <w:ilvl w:val="1"/>
          <w:numId w:val="4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Issuing Bank, in the case of any assignment of all or a portion of a Revolving Commitment or any Lender’s obligations in respect of its LC Exposure; and</w:t>
      </w:r>
    </w:p>
    <w:p>
      <w:pPr>
        <w:spacing w:after="0" w:line="158" w:lineRule="exact"/>
        <w:rPr>
          <w:rFonts w:ascii="Times New Roman" w:cs="Times New Roman" w:eastAsia="Times New Roman" w:hAnsi="Times New Roman"/>
          <w:sz w:val="22"/>
          <w:szCs w:val="22"/>
          <w:color w:val="010000"/>
        </w:rPr>
      </w:pPr>
    </w:p>
    <w:p>
      <w:pPr>
        <w:ind w:left="1300" w:firstLine="652"/>
        <w:spacing w:after="0" w:line="258" w:lineRule="auto"/>
        <w:tabs>
          <w:tab w:leader="none" w:pos="2882" w:val="left"/>
        </w:tabs>
        <w:numPr>
          <w:ilvl w:val="1"/>
          <w:numId w:val="4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Swingline Lender, in the case of any assignment of all or a portion of a Revolving Commitment or any Lender’s obligations in respect of its Swingline Exposure.</w:t>
      </w:r>
    </w:p>
    <w:p>
      <w:pPr>
        <w:spacing w:after="0" w:line="158" w:lineRule="exact"/>
        <w:rPr>
          <w:sz w:val="20"/>
          <w:szCs w:val="20"/>
          <w:color w:val="auto"/>
        </w:rPr>
      </w:pPr>
    </w:p>
    <w:p>
      <w:pPr>
        <w:ind w:left="1940" w:hanging="636"/>
        <w:spacing w:after="0"/>
        <w:tabs>
          <w:tab w:leader="none" w:pos="1940"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801" w:val="left"/>
        </w:tabs>
        <w:numPr>
          <w:ilvl w:val="1"/>
          <w:numId w:val="4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2" w:name="page563"/>
    <w:bookmarkEnd w:id="562"/>
    <w:p>
      <w:pPr>
        <w:ind w:left="1300"/>
        <w:spacing w:after="0" w:line="258" w:lineRule="auto"/>
        <w:rPr>
          <w:sz w:val="20"/>
          <w:szCs w:val="20"/>
          <w:color w:val="auto"/>
        </w:rPr>
      </w:pPr>
      <w:r>
        <w:rPr>
          <w:rFonts w:ascii="Times New Roman" w:cs="Times New Roman" w:eastAsia="Times New Roman" w:hAnsi="Times New Roman"/>
          <w:sz w:val="22"/>
          <w:szCs w:val="22"/>
          <w:color w:val="auto"/>
        </w:rPr>
        <w:t xml:space="preserve">consents;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58" w:lineRule="exact"/>
        <w:rPr>
          <w:sz w:val="20"/>
          <w:szCs w:val="20"/>
          <w:color w:val="auto"/>
        </w:rPr>
      </w:pPr>
    </w:p>
    <w:p>
      <w:pPr>
        <w:jc w:val="both"/>
        <w:ind w:left="1300" w:firstLine="652"/>
        <w:spacing w:after="0" w:line="239" w:lineRule="auto"/>
        <w:tabs>
          <w:tab w:leader="none" w:pos="2614" w:val="left"/>
        </w:tabs>
        <w:numPr>
          <w:ilvl w:val="1"/>
          <w:numId w:val="4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(B) shall not be construed to prohibit the assignment of a proportionate part of all the assigning Lender’s rights and obligations in respect of one Class of Commitments or Loans;</w:t>
      </w:r>
    </w:p>
    <w:p>
      <w:pPr>
        <w:spacing w:after="0" w:line="180" w:lineRule="exact"/>
        <w:rPr>
          <w:rFonts w:ascii="Times New Roman" w:cs="Times New Roman" w:eastAsia="Times New Roman" w:hAnsi="Times New Roman"/>
          <w:sz w:val="22"/>
          <w:szCs w:val="22"/>
          <w:color w:val="010000"/>
        </w:rPr>
      </w:pPr>
    </w:p>
    <w:p>
      <w:pPr>
        <w:jc w:val="both"/>
        <w:ind w:left="1300" w:firstLine="652"/>
        <w:spacing w:after="0" w:line="238" w:lineRule="auto"/>
        <w:tabs>
          <w:tab w:leader="none" w:pos="2627" w:val="left"/>
        </w:tabs>
        <w:numPr>
          <w:ilvl w:val="1"/>
          <w:numId w:val="4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one such processing and recordation fee shall be payable in the event of simultaneous assignments from any Lender or its Approved Funds to one or more other Approved Funds of such Lender; and</w:t>
      </w:r>
    </w:p>
    <w:p>
      <w:pPr>
        <w:spacing w:after="0" w:line="176" w:lineRule="exact"/>
        <w:rPr>
          <w:rFonts w:ascii="Times New Roman" w:cs="Times New Roman" w:eastAsia="Times New Roman" w:hAnsi="Times New Roman"/>
          <w:sz w:val="22"/>
          <w:szCs w:val="22"/>
          <w:color w:val="010000"/>
        </w:rPr>
      </w:pPr>
    </w:p>
    <w:p>
      <w:pPr>
        <w:ind w:left="1300" w:firstLine="652"/>
        <w:spacing w:after="0" w:line="258" w:lineRule="auto"/>
        <w:tabs>
          <w:tab w:leader="none" w:pos="2639" w:val="left"/>
        </w:tabs>
        <w:numPr>
          <w:ilvl w:val="1"/>
          <w:numId w:val="4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assignee, if it shall not be a Lender, shall deliver to the Administrative Agent an Administrative Questionnaire.</w:t>
      </w:r>
    </w:p>
    <w:p>
      <w:pPr>
        <w:spacing w:after="0" w:line="158" w:lineRule="exact"/>
        <w:rPr>
          <w:rFonts w:ascii="Times New Roman" w:cs="Times New Roman" w:eastAsia="Times New Roman" w:hAnsi="Times New Roman"/>
          <w:sz w:val="22"/>
          <w:szCs w:val="22"/>
          <w:color w:val="010000"/>
        </w:rPr>
      </w:pPr>
    </w:p>
    <w:p>
      <w:pPr>
        <w:jc w:val="both"/>
        <w:ind w:left="660" w:firstLine="644"/>
        <w:spacing w:after="0" w:line="235" w:lineRule="auto"/>
        <w:tabs>
          <w:tab w:leader="none" w:pos="2064"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w:t>
      </w:r>
    </w:p>
    <w:p>
      <w:pPr>
        <w:spacing w:after="0" w:line="178" w:lineRule="exact"/>
        <w:rPr>
          <w:rFonts w:ascii="Times New Roman" w:cs="Times New Roman" w:eastAsia="Times New Roman" w:hAnsi="Times New Roman"/>
          <w:sz w:val="22"/>
          <w:szCs w:val="22"/>
          <w:color w:val="auto"/>
        </w:rPr>
      </w:pPr>
    </w:p>
    <w:p>
      <w:pPr>
        <w:jc w:val="both"/>
        <w:ind w:firstLine="1304"/>
        <w:spacing w:after="0" w:line="234" w:lineRule="auto"/>
        <w:tabs>
          <w:tab w:leader="none" w:pos="2077"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one of its offices a copy of each Assignment and Assumption delivered to it and records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or Lender, at any reasonable time and from time to time upon reasonable prior notice.</w:t>
      </w:r>
    </w:p>
    <w:p>
      <w:pPr>
        <w:spacing w:after="0" w:line="183"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8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this Section and any written consent to such assignment required by this Section, the Administrative Agent shall accept such Assignment and Assumption and record the information contained therein in the Register. No assignment shall be effective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3" w:name="page564"/>
    <w:bookmarkEnd w:id="563"/>
    <w:p>
      <w:pPr>
        <w:jc w:val="both"/>
        <w:spacing w:after="0" w:line="244" w:lineRule="auto"/>
        <w:rPr>
          <w:sz w:val="20"/>
          <w:szCs w:val="20"/>
          <w:color w:val="auto"/>
        </w:rPr>
      </w:pPr>
      <w:r>
        <w:rPr>
          <w:rFonts w:ascii="Times New Roman" w:cs="Times New Roman" w:eastAsia="Times New Roman" w:hAnsi="Times New Roman"/>
          <w:sz w:val="22"/>
          <w:szCs w:val="22"/>
          <w:color w:val="auto"/>
        </w:rPr>
        <w:t>unless it has been recorded in the Register as provided in this paragraph. Each assignee, by its execution and delivery of an Assignment and Assumption, shall be deemed to have represented to the assigning Lender and the Administrative Agent that such assignee is an Eligible Assignee.</w:t>
      </w:r>
    </w:p>
    <w:p>
      <w:pPr>
        <w:spacing w:after="0" w:line="173" w:lineRule="exact"/>
        <w:rPr>
          <w:sz w:val="20"/>
          <w:szCs w:val="20"/>
          <w:color w:val="auto"/>
        </w:rPr>
      </w:pPr>
    </w:p>
    <w:p>
      <w:pPr>
        <w:jc w:val="both"/>
        <w:ind w:firstLine="1304"/>
        <w:spacing w:after="0" w:line="243" w:lineRule="auto"/>
        <w:tabs>
          <w:tab w:leader="none" w:pos="2007" w:val="left"/>
        </w:tabs>
        <w:numPr>
          <w:ilvl w:val="0"/>
          <w:numId w:val="4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may, without the consent of the Borrower, the Administrative Agent or any Issuing Bank, sell participations to one or more Eligible Assignees (“</w:t>
      </w:r>
      <w:r>
        <w:rPr>
          <w:rFonts w:ascii="Times New Roman" w:cs="Times New Roman" w:eastAsia="Times New Roman" w:hAnsi="Times New Roman"/>
          <w:sz w:val="21"/>
          <w:szCs w:val="21"/>
          <w:u w:val="single" w:color="auto"/>
          <w:color w:val="auto"/>
        </w:rPr>
        <w:t>Participants</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Commitments and Loans of any Class);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Section 9.02(b) that directly affects such Participant or requires the approval of all the Lenders. The Borrower agrees that each Participant shall be entitled to the benefits of Sections 2.15, 2.16 and 2.17 (subject to the requirements and limitations therein, including the requirements under Section</w:t>
      </w:r>
    </w:p>
    <w:p>
      <w:pPr>
        <w:spacing w:after="0" w:line="2" w:lineRule="exact"/>
        <w:rPr>
          <w:rFonts w:ascii="Times New Roman" w:cs="Times New Roman" w:eastAsia="Times New Roman" w:hAnsi="Times New Roman"/>
          <w:sz w:val="21"/>
          <w:szCs w:val="21"/>
          <w:color w:val="auto"/>
        </w:rPr>
      </w:pPr>
    </w:p>
    <w:p>
      <w:pPr>
        <w:jc w:val="both"/>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(x) agrees to be subject to the provisions of Sections 2.18 and 2.19 as if it were an assignee under paragraph (b) of this Section and (y)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Section 2.18(c) as though it were a Lender. Each Lender that sells a participation shall, acting solely for this purpose as an agent of the Borrower, maintain a register on which it enters the name and address of each Participant to which it has sold a participation and the principal amounts (and stated interest) of each such Participant’s interest in the Loans or other rights and obligations of such Lender under this Agreement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 information relating to a Participant’s interest in any Loans or other rights and obligations under this Agreement)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2" w:lineRule="exact"/>
        <w:rPr>
          <w:rFonts w:ascii="Times New Roman" w:cs="Times New Roman" w:eastAsia="Times New Roman" w:hAnsi="Times New Roman"/>
          <w:sz w:val="21"/>
          <w:szCs w:val="21"/>
          <w:color w:val="auto"/>
        </w:rPr>
      </w:pPr>
    </w:p>
    <w:p>
      <w:pPr>
        <w:jc w:val="both"/>
        <w:ind w:firstLine="1304"/>
        <w:spacing w:after="0" w:line="244" w:lineRule="auto"/>
        <w:tabs>
          <w:tab w:leader="none" w:pos="2018"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at any time pledge or assign a security interest in all or any portion of its rights under this Agreement to secure obligations of such Lender, including any pledge or assignment to secure obligations to a Federal Reserve Bank, and this Section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4" w:name="page565"/>
    <w:bookmarkEnd w:id="56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Arranger, the Syndication Agent, the Documentation Agent, any Issuing Bank or any Lender may have had notice or knowledge of any Default or incorrect representation or warranty at the time any Loan Document is executed and delivered or any credit is extended hereunder, and shall continue in full force and effect as long as the principal of or any accrued interest on any Loan or any fee or any other amount payable under this Agreement is outstanding and unpaid or any Letter of Credit or LC Exposure is outstanding and so long as the Commitments have not expired or terminated.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Lenders shall be deemed to have no participations in such Letter of Credit, and no obligations with respect thereto, under Section 2.05(d) or 2.05(f). The provisions of Sections 2.15, 2.16, 2.17, 2.18(e)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including the commitments of the Lenders and, if applicable, their Affiliates under any commitment advices submitted by them (but do not supersede any provisions of the Engagement Letter or the Fee Letter (or any separate letter agreements with respect to fees payable to the Administrative Agent) that do not by the terms of such documents terminate upon the effectiveness of this Agreement, all of which provisions shall remain in full force and effect). Except as provided in Section 4.01,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5" w:name="page566"/>
    <w:bookmarkEnd w:id="565"/>
    <w:p>
      <w:pPr>
        <w:jc w:val="both"/>
        <w:spacing w:after="0" w:line="244" w:lineRule="auto"/>
        <w:rPr>
          <w:sz w:val="20"/>
          <w:szCs w:val="20"/>
          <w:color w:val="auto"/>
        </w:rPr>
      </w:pPr>
      <w:r>
        <w:rPr>
          <w:rFonts w:ascii="Times New Roman" w:cs="Times New Roman" w:eastAsia="Times New Roman" w:hAnsi="Times New Roman"/>
          <w:sz w:val="22"/>
          <w:szCs w:val="22"/>
          <w:color w:val="auto"/>
        </w:rPr>
        <w:t>benefit of the parties hereto and their respective successors and assigns. Delivery of an executed counterpart of a signature page of this Agreement by facsimile or other electronic imaging shall be effective as delivery of a manually executed counterpart of this Agreement.</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 credit or the account of the Borrower against any of and all the obligations then due of the Borrower now or hereafter existing under this Agreement or any other Loan Document held by such Lender or Issuing Bank, irrespective of whether or not such Lender or Issuing Bank shall have made any demand under this Agreement or any other Loan Document. The rights of each Lender and Issuing Bank, and each Affiliate of any of the foregoing, under this Section are in addition to other rights and remedies (including other rights of setoff) that such Lender, Issuing Bank or Affiliate may have.</w:t>
      </w:r>
    </w:p>
    <w:p>
      <w:pPr>
        <w:spacing w:after="0" w:line="18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SECTION 9.09. </w:t>
      </w:r>
      <w:r>
        <w:rPr>
          <w:rFonts w:ascii="Times New Roman" w:cs="Times New Roman" w:eastAsia="Times New Roman" w:hAnsi="Times New Roman"/>
          <w:sz w:val="21"/>
          <w:szCs w:val="21"/>
          <w:u w:val="single" w:color="auto"/>
          <w:color w:val="auto"/>
        </w:rPr>
        <w:t>Governing Law; Jurisdiction; Consent to Service of Process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This Agreement shall be deemed to be a contract under the Laws of the Commonwealth of Pennsylvania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Times New Roman" w:cs="Times New Roman" w:eastAsia="Times New Roman" w:hAnsi="Times New Roman"/>
          <w:sz w:val="21"/>
          <w:szCs w:val="21"/>
          <w:u w:val="single" w:color="auto"/>
          <w:color w:val="auto"/>
        </w:rPr>
        <w:t>ICC</w:t>
      </w:r>
      <w:r>
        <w:rPr>
          <w:rFonts w:ascii="Times New Roman" w:cs="Times New Roman" w:eastAsia="Times New Roman" w:hAnsi="Times New Roman"/>
          <w:sz w:val="21"/>
          <w:szCs w:val="21"/>
          <w:color w:val="auto"/>
        </w:rPr>
        <w:t>”) at the time of issuance (“</w:t>
      </w:r>
      <w:r>
        <w:rPr>
          <w:rFonts w:ascii="Times New Roman" w:cs="Times New Roman" w:eastAsia="Times New Roman" w:hAnsi="Times New Roman"/>
          <w:sz w:val="21"/>
          <w:szCs w:val="21"/>
          <w:u w:val="single" w:color="auto"/>
          <w:color w:val="auto"/>
        </w:rPr>
        <w:t>UCP</w:t>
      </w:r>
      <w:r>
        <w:rPr>
          <w:rFonts w:ascii="Times New Roman" w:cs="Times New Roman" w:eastAsia="Times New Roman" w:hAnsi="Times New Roman"/>
          <w:sz w:val="21"/>
          <w:szCs w:val="21"/>
          <w:color w:val="auto"/>
        </w:rPr>
        <w:t xml:space="preserve"> ”) or the rules of the International Standby Practices (ICC Publication Number 590) (“</w:t>
      </w:r>
      <w:r>
        <w:rPr>
          <w:rFonts w:ascii="Times New Roman" w:cs="Times New Roman" w:eastAsia="Times New Roman" w:hAnsi="Times New Roman"/>
          <w:sz w:val="21"/>
          <w:szCs w:val="21"/>
          <w:u w:val="single" w:color="auto"/>
          <w:color w:val="auto"/>
        </w:rPr>
        <w:t>ISP98</w:t>
      </w:r>
      <w:r>
        <w:rPr>
          <w:rFonts w:ascii="Times New Roman" w:cs="Times New Roman" w:eastAsia="Times New Roman" w:hAnsi="Times New Roman"/>
          <w:sz w:val="21"/>
          <w:szCs w:val="21"/>
          <w:color w:val="auto"/>
        </w:rPr>
        <w:t xml:space="preserve"> ”), as determined by the applicable Issuing Bank, and each trade Letter of Credit shall be subject to UCP, and in each case to the extent not inconsistent therewith, the Laws of the Commonwealth of Pennsylvania without regard to its conflict of laws principles.</w:t>
      </w:r>
    </w:p>
    <w:p>
      <w:pPr>
        <w:spacing w:after="0" w:line="172" w:lineRule="exact"/>
        <w:rPr>
          <w:sz w:val="20"/>
          <w:szCs w:val="20"/>
          <w:color w:val="auto"/>
        </w:rPr>
      </w:pPr>
    </w:p>
    <w:p>
      <w:pPr>
        <w:jc w:val="both"/>
        <w:ind w:firstLine="1304"/>
        <w:spacing w:after="0" w:line="233" w:lineRule="auto"/>
        <w:tabs>
          <w:tab w:leader="none" w:pos="2261"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IRREVOCABLY AND UNCONDITIONALLY SUBMITS, FOR ITSELF AND ITS PROPERTY, TO THE NONEXCLUSIVE JURISDICTION OF THE COURTS OF THE COMMONWEALTH OF PENNSYLVANIA SITTING IN PHILADELPHIA COUNTY AND OF THE UNITED STATES DISTRICT COURT FOR THE EASTERN DISTRICT OF PENNSYLVANIA,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COMMONWEALTH OF PENNSYLVANIA COURT OR, TO THE FULLEST EXTENT PERMITTED BY APPLICABLE LAW, IN SUCH FEDERAL COURT. EACH OF THE PARTIES HERETO AGREES THAT A FINAL JUDGMENT IN ANY SUCH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6" w:name="page567"/>
    <w:bookmarkEnd w:id="566"/>
    <w:p>
      <w:pPr>
        <w:jc w:val="both"/>
        <w:spacing w:after="0" w:line="235" w:lineRule="auto"/>
        <w:rPr>
          <w:sz w:val="20"/>
          <w:szCs w:val="20"/>
          <w:color w:val="auto"/>
        </w:rPr>
      </w:pPr>
      <w:r>
        <w:rPr>
          <w:rFonts w:ascii="Times New Roman" w:cs="Times New Roman" w:eastAsia="Times New Roman" w:hAnsi="Times New Roman"/>
          <w:sz w:val="22"/>
          <w:szCs w:val="22"/>
          <w:color w:val="auto"/>
        </w:rPr>
        <w:t>PROCEEDING SHALL BE CONCLUSIVE AND MAY BE ENFORCED IN OTHER JURISDICTIONS BY SUIT ON THE JUDGMENT OR IN ANY OTHER MANNER PROVIDED BY LAW. NOTHING IN THIS AGREEMENT OR IN ANY OTHER LOAN DOCUMENT SHALL AFFECT ANY RIGHT THAT THE ADMINISTRATIVE AGENT, ANY LENDER OR ANY ISSUING BANK (OR ANY AFFILIATE THEREOF) MAY OTHERWISE HAVE TO BRING ANY ACTION OR PROCEEDING RELATING TO THIS AGREEMENT OR ANY OTHER LOAN DOCUMENT AGAINST THE BORROWER OR ANY OTHER LOAN PARTY OR ITS PROPERTIES IN THE COURTS OF ANY JURISDICTION.</w:t>
      </w:r>
    </w:p>
    <w:p>
      <w:pPr>
        <w:spacing w:after="0" w:line="183" w:lineRule="exact"/>
        <w:rPr>
          <w:sz w:val="20"/>
          <w:szCs w:val="20"/>
          <w:color w:val="auto"/>
        </w:rPr>
      </w:pPr>
    </w:p>
    <w:p>
      <w:pPr>
        <w:jc w:val="both"/>
        <w:ind w:firstLine="1304"/>
        <w:spacing w:after="0" w:line="235" w:lineRule="auto"/>
        <w:tabs>
          <w:tab w:leader="none" w:pos="2122"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SECTION 9.09(b) ABOVE.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178" w:lineRule="exact"/>
        <w:rPr>
          <w:rFonts w:ascii="Times New Roman" w:cs="Times New Roman" w:eastAsia="Times New Roman" w:hAnsi="Times New Roman"/>
          <w:sz w:val="22"/>
          <w:szCs w:val="22"/>
          <w:color w:val="auto"/>
        </w:rPr>
      </w:pPr>
    </w:p>
    <w:p>
      <w:pPr>
        <w:jc w:val="both"/>
        <w:ind w:firstLine="1304"/>
        <w:spacing w:after="0" w:line="239" w:lineRule="auto"/>
        <w:tabs>
          <w:tab w:leader="none" w:pos="2024"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CONSENTS TO SERVICE OF PROCESS IN THE MANNER PROVIDED FOR NOTICES IN SECTION 9.01. NOTHING IN THIS AGREEMENT WILL AFFECT THE RIGHT OF ANY PARTY HERETO TO SERVE PROCESS IN ANY OTHER MANNER PERMITTED BY APPLICABLE LAW.</w:t>
      </w:r>
    </w:p>
    <w:p>
      <w:pPr>
        <w:spacing w:after="0" w:line="18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 xml:space="preserve">SECTION 9.10.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of the Administrative Agent, the Lenders and the Issuing Banks agrees to maintain the confidentiality of the Information (as defined below), except that Information may be disclosed (a) to its Related Parties, including accountants,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7" w:name="page568"/>
    <w:bookmarkEnd w:id="567"/>
    <w:p>
      <w:pPr>
        <w:jc w:val="both"/>
        <w:spacing w:after="0" w:line="253" w:lineRule="auto"/>
        <w:rPr>
          <w:sz w:val="20"/>
          <w:szCs w:val="20"/>
          <w:color w:val="auto"/>
        </w:rPr>
      </w:pPr>
      <w:r>
        <w:rPr>
          <w:rFonts w:ascii="Times New Roman" w:cs="Times New Roman" w:eastAsia="Times New Roman" w:hAnsi="Times New Roman"/>
          <w:sz w:val="21"/>
          <w:szCs w:val="21"/>
          <w:color w:val="auto"/>
        </w:rPr>
        <w:t>counsel and other agents and advisors, it being understood that the Persons to whom such disclosure is made will be informed of the confidential nature of such Information and instructed to keep such Information confidential,</w:t>
      </w:r>
    </w:p>
    <w:p>
      <w:pPr>
        <w:spacing w:after="0" w:line="1" w:lineRule="exact"/>
        <w:rPr>
          <w:sz w:val="20"/>
          <w:szCs w:val="20"/>
          <w:color w:val="auto"/>
        </w:rPr>
      </w:pPr>
    </w:p>
    <w:p>
      <w:pPr>
        <w:jc w:val="right"/>
        <w:ind w:firstLine="8"/>
        <w:spacing w:after="0" w:line="242" w:lineRule="auto"/>
        <w:tabs>
          <w:tab w:leader="none" w:pos="317" w:val="left"/>
        </w:tabs>
        <w:numPr>
          <w:ilvl w:val="0"/>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requested by any regulatory authority purporting to have jurisdiction over it (including any self-regulatory authority, such as the National Association of Insurance Commissioners), (c) to the extent required by applicable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Section, to (i) any assignee of or Participant in, or any prospective assignee of or Participant in, any of its rights or obligations under this Agreement or (ii) any actual or prospective counterparty (or its Related Parties) to any swap or derivative transaction relating to the Borrower or any Subsidiary and its obligations, (g) with the consent of the Borrower or (h) to the extent such Information (i) becomes publicly available other than as a result of a breach of this Section or (ii) becomes available to the Administrative Agent, any Lender, any Issuing Bank or any Affiliate of any of the foregoing on a nonconfidential basis from a source other than the Borrower. 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relating to the Borrower or any Subsidiary or its or their businesses, other than any such information that is available to the Administrative Agent, any Lender or any Issuing Bank on a nonconfidential basis prior to disclosure by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Release of Liens and Guarantees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A Subsidiary Loan Party shall automatically be released from its obligations under the Loan Documents, and all security interests created by the Security Documents in Collateral owned by such Subsidiary Loan Party shall be automatically released, upon the consummation of any transaction permitted by this Agreement as a result of which such Subsidiary Loan Party ceases to be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so required by this Agreement, the Required Lenders shall have consented to such transaction and the terms of such consent shall not have provided otherwise. Upon any sale or other transfer by any Loan Party (other than to the Borrower or any Subsidiary) of any Collateral in a transaction permitted under this Agreement, or upon the effectiveness of any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8" w:name="page569"/>
    <w:bookmarkEnd w:id="568"/>
    <w:p>
      <w:pPr>
        <w:spacing w:after="0" w:line="258" w:lineRule="auto"/>
        <w:rPr>
          <w:sz w:val="20"/>
          <w:szCs w:val="20"/>
          <w:color w:val="auto"/>
        </w:rPr>
      </w:pPr>
      <w:r>
        <w:rPr>
          <w:rFonts w:ascii="Times New Roman" w:cs="Times New Roman" w:eastAsia="Times New Roman" w:hAnsi="Times New Roman"/>
          <w:sz w:val="22"/>
          <w:szCs w:val="22"/>
          <w:color w:val="auto"/>
        </w:rPr>
        <w:t>to the release of the security interest created under any Security Document in any Collateral pursuant to Section 9.02, the security interests in such Collateral created by the Security Documents shall be automatically released.</w:t>
      </w:r>
    </w:p>
    <w:p>
      <w:pPr>
        <w:spacing w:after="0" w:line="158" w:lineRule="exact"/>
        <w:rPr>
          <w:sz w:val="20"/>
          <w:szCs w:val="20"/>
          <w:color w:val="auto"/>
        </w:rPr>
      </w:pPr>
    </w:p>
    <w:p>
      <w:pPr>
        <w:jc w:val="both"/>
        <w:ind w:firstLine="1304"/>
        <w:spacing w:after="0" w:line="244" w:lineRule="auto"/>
        <w:tabs>
          <w:tab w:leader="none" w:pos="2033"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Guarantees made in the Collateral Agreement and the security interests granted in the Collateral Agreement shall terminate and be released to the extent provided in, and subject to the terms of, Section 7.12(a) of the Collateral Agreement.</w:t>
      </w:r>
    </w:p>
    <w:p>
      <w:pPr>
        <w:spacing w:after="0" w:line="173" w:lineRule="exact"/>
        <w:rPr>
          <w:rFonts w:ascii="Times New Roman" w:cs="Times New Roman" w:eastAsia="Times New Roman" w:hAnsi="Times New Roman"/>
          <w:sz w:val="22"/>
          <w:szCs w:val="22"/>
          <w:color w:val="auto"/>
        </w:rPr>
      </w:pPr>
    </w:p>
    <w:p>
      <w:pPr>
        <w:jc w:val="both"/>
        <w:ind w:firstLine="1304"/>
        <w:spacing w:after="0" w:line="255" w:lineRule="auto"/>
        <w:tabs>
          <w:tab w:leader="none" w:pos="2049" w:val="left"/>
        </w:tabs>
        <w:numPr>
          <w:ilvl w:val="0"/>
          <w:numId w:val="4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termination or release pursuant to this Section,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6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such Act.</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No Fiduciary Relationship</w:t>
      </w:r>
      <w:r>
        <w:rPr>
          <w:rFonts w:ascii="Times New Roman" w:cs="Times New Roman" w:eastAsia="Times New Roman" w:hAnsi="Times New Roman"/>
          <w:sz w:val="22"/>
          <w:szCs w:val="22"/>
          <w:color w:val="auto"/>
        </w:rPr>
        <w:t>. The Borrower, on behalf of itself and the Subsidiaries, agrees that in connection with all aspects of the transactions contemplated hereby and any communications in connection herewith or therewith, the Borrower, the Subsidiaries and their Affiliates, on the one hand, and the Administrative Agent, the Lenders, the Issuing Banks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9.17. </w:t>
      </w:r>
      <w:r>
        <w:rPr>
          <w:rFonts w:ascii="Times New Roman" w:cs="Times New Roman" w:eastAsia="Times New Roman" w:hAnsi="Times New Roman"/>
          <w:sz w:val="22"/>
          <w:szCs w:val="22"/>
          <w:u w:val="single" w:color="auto"/>
          <w:color w:val="auto"/>
        </w:rPr>
        <w:t>Acknowledgement and Consent to Bail-In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 Institutions.</w:t>
      </w:r>
      <w:r>
        <w:rPr>
          <w:rFonts w:ascii="Times New Roman" w:cs="Times New Roman" w:eastAsia="Times New Roman" w:hAnsi="Times New Roman"/>
          <w:sz w:val="22"/>
          <w:szCs w:val="22"/>
          <w:color w:val="auto"/>
        </w:rPr>
        <w:t xml:space="preserve"> Notwithstanding anything to the contrary in any Loan Document or in any other agreement, arrangement or understanding among any such parties, each party hereto acknowledges that any liability of any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auto"/>
        </w:rPr>
        <w:t xml:space="preserve"> Financial Institution arising under any Loan Document, to the extent such liability is unsecured, may be subject to the write-down and conversion powers of </w:t>
      </w:r>
      <w:r>
        <w:rPr>
          <w:rFonts w:ascii="Times New Roman" w:cs="Times New Roman" w:eastAsia="Times New Roman" w:hAnsi="Times New Roman"/>
          <w:sz w:val="22"/>
          <w:szCs w:val="22"/>
          <w:color w:val="FF0000"/>
          <w:strike w:val="1"/>
        </w:rPr>
        <w:t>an EEA</w:t>
      </w:r>
      <w:r>
        <w:rPr>
          <w:rFonts w:ascii="Times New Roman" w:cs="Times New Roman" w:eastAsia="Times New Roman" w:hAnsi="Times New Roman"/>
          <w:sz w:val="22"/>
          <w:szCs w:val="22"/>
          <w:u w:val="single" w:color="auto"/>
          <w:color w:val="0000FF"/>
        </w:rPr>
        <w:t>the applicable</w:t>
      </w:r>
      <w:r>
        <w:rPr>
          <w:rFonts w:ascii="Times New Roman" w:cs="Times New Roman" w:eastAsia="Times New Roman" w:hAnsi="Times New Roman"/>
          <w:sz w:val="22"/>
          <w:szCs w:val="22"/>
          <w:color w:val="auto"/>
        </w:rPr>
        <w:t xml:space="preserve"> Resolution Authority and agrees and consents to, and acknowledges and agrees to be bound by:</w:t>
      </w:r>
    </w:p>
    <w:p>
      <w:pPr>
        <w:spacing w:after="0" w:line="181" w:lineRule="exact"/>
        <w:rPr>
          <w:sz w:val="20"/>
          <w:szCs w:val="20"/>
          <w:color w:val="auto"/>
        </w:rPr>
      </w:pPr>
    </w:p>
    <w:p>
      <w:pPr>
        <w:jc w:val="both"/>
        <w:ind w:firstLine="1304"/>
        <w:spacing w:after="0" w:line="244" w:lineRule="auto"/>
        <w:tabs>
          <w:tab w:leader="none" w:pos="2222"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application of any Write-Down and Conversion Powers by </w:t>
      </w:r>
      <w:r>
        <w:rPr>
          <w:rFonts w:ascii="Times New Roman" w:cs="Times New Roman" w:eastAsia="Times New Roman" w:hAnsi="Times New Roman"/>
          <w:sz w:val="22"/>
          <w:szCs w:val="22"/>
          <w:color w:val="FF0000"/>
          <w:strike w:val="1"/>
        </w:rPr>
        <w:t>an EEA</w:t>
      </w:r>
      <w:r>
        <w:rPr>
          <w:rFonts w:ascii="Times New Roman" w:cs="Times New Roman" w:eastAsia="Times New Roman" w:hAnsi="Times New Roman"/>
          <w:sz w:val="22"/>
          <w:szCs w:val="22"/>
          <w:u w:val="single" w:color="auto"/>
          <w:color w:val="0000FF"/>
        </w:rPr>
        <w:t>the applicable</w:t>
      </w:r>
      <w:r>
        <w:rPr>
          <w:rFonts w:ascii="Times New Roman" w:cs="Times New Roman" w:eastAsia="Times New Roman" w:hAnsi="Times New Roman"/>
          <w:sz w:val="22"/>
          <w:szCs w:val="22"/>
          <w:color w:val="auto"/>
        </w:rPr>
        <w:t xml:space="preserve"> Resolution Authority to any such liabilities arising hereunder which may be payable to it by any party hereto that is an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auto"/>
        </w:rPr>
        <w:t xml:space="preserve"> Financial Institution; and</w:t>
      </w:r>
    </w:p>
    <w:p>
      <w:pPr>
        <w:spacing w:after="0" w:line="173"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w:t>
      </w:r>
      <w:r>
        <w:rPr>
          <w:rFonts w:ascii="Times New Roman" w:cs="Times New Roman" w:eastAsia="Times New Roman" w:hAnsi="Times New Roman"/>
          <w:sz w:val="22"/>
          <w:szCs w:val="22"/>
          <w:color w:val="FF0000"/>
          <w:strike w:val="1"/>
        </w:rPr>
        <w:t>In</w:t>
      </w:r>
      <w:r>
        <w:rPr>
          <w:rFonts w:ascii="Times New Roman" w:cs="Times New Roman" w:eastAsia="Times New Roman" w:hAnsi="Times New Roman"/>
          <w:sz w:val="22"/>
          <w:szCs w:val="22"/>
          <w:u w:val="single" w:color="auto"/>
          <w:color w:val="0000FF"/>
        </w:rPr>
        <w:t>in</w:t>
      </w:r>
      <w:r>
        <w:rPr>
          <w:rFonts w:ascii="Times New Roman" w:cs="Times New Roman" w:eastAsia="Times New Roman" w:hAnsi="Times New Roman"/>
          <w:sz w:val="22"/>
          <w:szCs w:val="22"/>
          <w:color w:val="auto"/>
        </w:rPr>
        <w:t xml:space="preserve">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640" w:hanging="688"/>
        <w:spacing w:after="0"/>
        <w:tabs>
          <w:tab w:leader="none" w:pos="2640" w:val="left"/>
        </w:tabs>
        <w:numPr>
          <w:ilvl w:val="1"/>
          <w:numId w:val="45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69" w:name="page570"/>
    <w:bookmarkEnd w:id="569"/>
    <w:p>
      <w:pPr>
        <w:jc w:val="both"/>
        <w:ind w:left="660" w:firstLine="1292"/>
        <w:spacing w:after="0" w:line="238" w:lineRule="auto"/>
        <w:tabs>
          <w:tab w:leader="none" w:pos="2611" w:val="left"/>
        </w:tabs>
        <w:numPr>
          <w:ilvl w:val="0"/>
          <w:numId w:val="45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 conversion of all, or a portion of, such liability into shares or other instruments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of ownership in such </w:t>
      </w:r>
      <w:r>
        <w:rPr>
          <w:rFonts w:ascii="Times New Roman" w:cs="Times New Roman" w:eastAsia="Times New Roman" w:hAnsi="Times New Roman"/>
          <w:sz w:val="22"/>
          <w:szCs w:val="22"/>
          <w:color w:val="FF0000"/>
          <w:strike w:val="1"/>
        </w:rPr>
        <w:t>EEA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Affected</w:t>
      </w:r>
      <w:r>
        <w:rPr>
          <w:rFonts w:ascii="Times New Roman" w:cs="Times New Roman" w:eastAsia="Times New Roman" w:hAnsi="Times New Roman"/>
          <w:sz w:val="22"/>
          <w:szCs w:val="22"/>
          <w:color w:val="000000"/>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u w:val="single" w:color="auto"/>
          <w:color w:val="0000FF"/>
        </w:rPr>
      </w:pPr>
    </w:p>
    <w:p>
      <w:pPr>
        <w:ind w:left="660" w:firstLine="1292"/>
        <w:spacing w:after="0" w:line="258" w:lineRule="auto"/>
        <w:tabs>
          <w:tab w:leader="none" w:pos="2631" w:val="left"/>
        </w:tabs>
        <w:numPr>
          <w:ilvl w:val="0"/>
          <w:numId w:val="45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variation of the terms of such liability in connection with the exercise of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write-down and conversion powers of </w:t>
      </w:r>
      <w:r>
        <w:rPr>
          <w:rFonts w:ascii="Times New Roman" w:cs="Times New Roman" w:eastAsia="Times New Roman" w:hAnsi="Times New Roman"/>
          <w:sz w:val="22"/>
          <w:szCs w:val="22"/>
          <w:color w:val="FF0000"/>
          <w:strike w:val="1"/>
        </w:rPr>
        <w:t>any EEA</w:t>
      </w:r>
      <w:r>
        <w:rPr>
          <w:rFonts w:ascii="Times New Roman" w:cs="Times New Roman" w:eastAsia="Times New Roman" w:hAnsi="Times New Roman"/>
          <w:sz w:val="22"/>
          <w:szCs w:val="22"/>
          <w:u w:val="single" w:color="auto"/>
          <w:color w:val="0000FF"/>
        </w:rPr>
        <w:t>the applicable</w:t>
      </w:r>
      <w:r>
        <w:rPr>
          <w:rFonts w:ascii="Times New Roman" w:cs="Times New Roman" w:eastAsia="Times New Roman" w:hAnsi="Times New Roman"/>
          <w:sz w:val="22"/>
          <w:szCs w:val="22"/>
          <w:color w:val="000000"/>
        </w:rPr>
        <w:t xml:space="preserve"> Resolution Authority.</w:t>
      </w:r>
    </w:p>
    <w:p>
      <w:pPr>
        <w:spacing w:after="0" w:line="158"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u w:val="single" w:color="auto"/>
          <w:color w:val="0000FF"/>
        </w:rPr>
        <w:t>SECTION 9.18. Acknowledgement Regarding Any Supported QFCs. To the extent that the Loan Documents provide support, through a guarantee or otherwise, for hedge 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Commonwealth of Pennsylvania and/or of the United States or any other state of the United States):</w:t>
      </w:r>
    </w:p>
    <w:p>
      <w:pPr>
        <w:spacing w:after="0" w:line="175" w:lineRule="exact"/>
        <w:rPr>
          <w:sz w:val="20"/>
          <w:szCs w:val="20"/>
          <w:color w:val="auto"/>
        </w:rPr>
      </w:pPr>
    </w:p>
    <w:p>
      <w:pPr>
        <w:jc w:val="both"/>
        <w:ind w:firstLine="1304"/>
        <w:spacing w:after="0" w:line="233" w:lineRule="auto"/>
        <w:tabs>
          <w:tab w:leader="none" w:pos="2049" w:val="left"/>
        </w:tabs>
        <w:numPr>
          <w:ilvl w:val="0"/>
          <w:numId w:val="46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7" w:lineRule="exact"/>
        <w:rPr>
          <w:rFonts w:ascii="Times New Roman" w:cs="Times New Roman" w:eastAsia="Times New Roman" w:hAnsi="Times New Roman"/>
          <w:sz w:val="22"/>
          <w:szCs w:val="22"/>
          <w:u w:val="single" w:color="auto"/>
          <w:color w:val="0000FF"/>
        </w:rPr>
      </w:pPr>
    </w:p>
    <w:p>
      <w:pPr>
        <w:ind w:left="1980" w:hanging="676"/>
        <w:spacing w:after="0"/>
        <w:tabs>
          <w:tab w:leader="none" w:pos="1980" w:val="left"/>
        </w:tabs>
        <w:numPr>
          <w:ilvl w:val="0"/>
          <w:numId w:val="46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As used in this Section 9.18, the following terms have the following meanings:</w:t>
      </w:r>
    </w:p>
    <w:p>
      <w:pPr>
        <w:spacing w:after="0" w:line="20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“BHC Act Affiliate” of a party means an “affiliate” (as such term is defined under, and interpreted in accordance with, 12 U.S.C. 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70" w:name="page571"/>
    <w:bookmarkEnd w:id="570"/>
    <w:p>
      <w:pPr>
        <w:ind w:left="1300"/>
        <w:spacing w:after="0"/>
        <w:rPr>
          <w:sz w:val="20"/>
          <w:szCs w:val="20"/>
          <w:color w:val="auto"/>
        </w:rPr>
      </w:pPr>
      <w:r>
        <w:rPr>
          <w:rFonts w:ascii="Times New Roman" w:cs="Times New Roman" w:eastAsia="Times New Roman" w:hAnsi="Times New Roman"/>
          <w:sz w:val="22"/>
          <w:szCs w:val="22"/>
          <w:u w:val="single" w:color="auto"/>
          <w:color w:val="0000FF"/>
        </w:rPr>
        <w:t>“Covered Entity” means any of the following:</w:t>
      </w:r>
    </w:p>
    <w:p>
      <w:pPr>
        <w:spacing w:after="0" w:line="206" w:lineRule="exact"/>
        <w:rPr>
          <w:sz w:val="20"/>
          <w:szCs w:val="20"/>
          <w:color w:val="auto"/>
        </w:rPr>
      </w:pPr>
    </w:p>
    <w:p>
      <w:pPr>
        <w:ind w:left="2040" w:hanging="736"/>
        <w:spacing w:after="0"/>
        <w:tabs>
          <w:tab w:leader="none" w:pos="2040" w:val="left"/>
        </w:tabs>
        <w:numPr>
          <w:ilvl w:val="1"/>
          <w:numId w:val="46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 “covered entity” as that term is defined in, and interpreted in accordance with, 12 C.F.R.</w:t>
      </w:r>
    </w:p>
    <w:p>
      <w:pPr>
        <w:spacing w:after="0" w:line="25" w:lineRule="exact"/>
        <w:rPr>
          <w:rFonts w:ascii="Times New Roman" w:cs="Times New Roman" w:eastAsia="Times New Roman" w:hAnsi="Times New Roman"/>
          <w:sz w:val="21"/>
          <w:szCs w:val="21"/>
          <w:u w:val="single" w:color="auto"/>
          <w:color w:val="0000FF"/>
        </w:rPr>
      </w:pPr>
    </w:p>
    <w:p>
      <w:pPr>
        <w:ind w:left="820" w:hanging="164"/>
        <w:spacing w:after="0"/>
        <w:tabs>
          <w:tab w:leader="none" w:pos="820" w:val="left"/>
        </w:tabs>
        <w:numPr>
          <w:ilvl w:val="0"/>
          <w:numId w:val="46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252.82(b);</w:t>
      </w:r>
    </w:p>
    <w:p>
      <w:pPr>
        <w:spacing w:after="0" w:line="182" w:lineRule="exact"/>
        <w:rPr>
          <w:rFonts w:ascii="Times New Roman" w:cs="Times New Roman" w:eastAsia="Times New Roman" w:hAnsi="Times New Roman"/>
          <w:sz w:val="22"/>
          <w:szCs w:val="22"/>
          <w:u w:val="single" w:color="auto"/>
          <w:color w:val="0000FF"/>
        </w:rPr>
      </w:pPr>
    </w:p>
    <w:p>
      <w:pPr>
        <w:ind w:left="1980" w:hanging="676"/>
        <w:spacing w:after="0"/>
        <w:tabs>
          <w:tab w:leader="none" w:pos="1980" w:val="left"/>
        </w:tabs>
        <w:numPr>
          <w:ilvl w:val="1"/>
          <w:numId w:val="46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 “covered bank” as that term is defined in, and interpreted in accordance with, 12 C.F.R. §</w:t>
      </w:r>
    </w:p>
    <w:p>
      <w:pPr>
        <w:spacing w:after="0" w:line="25" w:lineRule="exact"/>
        <w:rPr>
          <w:rFonts w:ascii="Times New Roman" w:cs="Times New Roman" w:eastAsia="Times New Roman" w:hAnsi="Times New Roman"/>
          <w:sz w:val="21"/>
          <w:szCs w:val="21"/>
          <w:u w:val="single" w:color="auto"/>
          <w:color w:val="0000FF"/>
        </w:rPr>
      </w:pPr>
    </w:p>
    <w:p>
      <w:pPr>
        <w:ind w:left="660"/>
        <w:spacing w:after="0"/>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u w:val="single" w:color="auto"/>
          <w:color w:val="0000FF"/>
        </w:rPr>
        <w:t>47.3(b); or</w:t>
      </w:r>
    </w:p>
    <w:p>
      <w:pPr>
        <w:spacing w:after="0" w:line="182" w:lineRule="exact"/>
        <w:rPr>
          <w:rFonts w:ascii="Times New Roman" w:cs="Times New Roman" w:eastAsia="Times New Roman" w:hAnsi="Times New Roman"/>
          <w:sz w:val="21"/>
          <w:szCs w:val="21"/>
          <w:u w:val="single" w:color="auto"/>
          <w:color w:val="0000FF"/>
        </w:rPr>
      </w:pPr>
    </w:p>
    <w:p>
      <w:pPr>
        <w:ind w:left="2000" w:hanging="696"/>
        <w:spacing w:after="0"/>
        <w:tabs>
          <w:tab w:leader="none" w:pos="2000" w:val="left"/>
        </w:tabs>
        <w:numPr>
          <w:ilvl w:val="1"/>
          <w:numId w:val="462"/>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 “covered FSI” as that term is defined in, and interpreted in accordance with, 12 C.F.R. §</w:t>
      </w:r>
    </w:p>
    <w:p>
      <w:pPr>
        <w:spacing w:after="0" w:line="25" w:lineRule="exact"/>
        <w:rPr>
          <w:rFonts w:ascii="Times New Roman" w:cs="Times New Roman" w:eastAsia="Times New Roman" w:hAnsi="Times New Roman"/>
          <w:sz w:val="21"/>
          <w:szCs w:val="21"/>
          <w:u w:val="single" w:color="auto"/>
          <w:color w:val="0000FF"/>
        </w:rPr>
      </w:pPr>
    </w:p>
    <w:p>
      <w:pPr>
        <w:ind w:left="660"/>
        <w:spacing w:after="0"/>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u w:val="single" w:color="auto"/>
          <w:color w:val="0000FF"/>
        </w:rPr>
        <w:t>382.2(b).</w:t>
      </w:r>
    </w:p>
    <w:p>
      <w:pPr>
        <w:spacing w:after="0" w:line="18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“Default Right” has the meaning assigned to that term in, and shall be interpreted in accordance with, 12 C.F.R. §§ 252.81, 47.2 or 382.1, as applicable.</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“QFC” has the meaning assigned to the term “qualified financial contract” in, and shall be interpreted in accordance with, 12 U.S.C. 5390(c)(8)(D).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71" w:name="page572"/>
    <w:bookmarkEnd w:id="571"/>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-151130</wp:posOffset>
            </wp:positionV>
            <wp:extent cx="298323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individually and as Administrative Agent,</w:t>
      </w:r>
    </w:p>
    <w:p>
      <w:pPr>
        <w:spacing w:after="0" w:line="2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-151130</wp:posOffset>
            </wp:positionV>
            <wp:extent cx="298323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5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u w:val="single" w:color="auto"/>
          <w:color w:val="0000FF"/>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03" w:right="1019" w:bottom="1440" w:gutter="0" w:footer="0" w:header="0"/>
        </w:sectPr>
      </w:pPr>
    </w:p>
    <w:bookmarkStart w:id="572" w:name="page573"/>
    <w:bookmarkEnd w:id="572"/>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CITIZENS BANK, N.A.</w:t>
      </w:r>
    </w:p>
    <w:p>
      <w:pPr>
        <w:spacing w:after="0" w:line="200" w:lineRule="exact"/>
        <w:rPr>
          <w:sz w:val="20"/>
          <w:szCs w:val="20"/>
          <w:color w:val="auto"/>
        </w:rPr>
      </w:pPr>
    </w:p>
    <w:p>
      <w:pPr>
        <w:spacing w:after="0" w:line="2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540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3" w:name="page574"/>
    <w:bookmarkEnd w:id="573"/>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22"/>
          <w:szCs w:val="22"/>
          <w:color w:val="auto"/>
        </w:rPr>
        <w:t>WELLS FARGO CAPITAL FINANCE, LLC</w:t>
      </w:r>
    </w:p>
    <w:p>
      <w:pPr>
        <w:spacing w:after="0" w:line="200" w:lineRule="exact"/>
        <w:rPr>
          <w:sz w:val="20"/>
          <w:szCs w:val="20"/>
          <w:color w:val="auto"/>
        </w:rPr>
      </w:pPr>
    </w:p>
    <w:p>
      <w:pPr>
        <w:spacing w:after="0" w:line="2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603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4" w:name="page575"/>
    <w:bookmarkEnd w:id="574"/>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00" w:lineRule="exact"/>
        <w:rPr>
          <w:sz w:val="20"/>
          <w:szCs w:val="20"/>
          <w:color w:val="auto"/>
        </w:rPr>
      </w:pPr>
    </w:p>
    <w:p>
      <w:pPr>
        <w:spacing w:after="0" w:line="2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603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5" w:name="page576"/>
    <w:bookmarkEnd w:id="575"/>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TD BANK, N.A.</w:t>
      </w:r>
    </w:p>
    <w:p>
      <w:pPr>
        <w:spacing w:after="0" w:line="200" w:lineRule="exact"/>
        <w:rPr>
          <w:sz w:val="20"/>
          <w:szCs w:val="20"/>
          <w:color w:val="auto"/>
        </w:rPr>
      </w:pPr>
    </w:p>
    <w:p>
      <w:pPr>
        <w:spacing w:after="0" w:line="2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540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6" w:name="page577"/>
    <w:bookmarkEnd w:id="576"/>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HSBC BANK USA, N.A.</w:t>
      </w:r>
    </w:p>
    <w:p>
      <w:pPr>
        <w:spacing w:after="0" w:line="200" w:lineRule="exact"/>
        <w:rPr>
          <w:sz w:val="20"/>
          <w:szCs w:val="20"/>
          <w:color w:val="auto"/>
        </w:rPr>
      </w:pPr>
    </w:p>
    <w:p>
      <w:pPr>
        <w:spacing w:after="0" w:line="2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603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7" w:name="page578"/>
    <w:bookmarkEnd w:id="577"/>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22"/>
          <w:szCs w:val="22"/>
          <w:color w:val="auto"/>
        </w:rPr>
        <w:t>J.P. MORGAN CHASE BANK, N.A.</w:t>
      </w:r>
    </w:p>
    <w:p>
      <w:pPr>
        <w:spacing w:after="0" w:line="200" w:lineRule="exact"/>
        <w:rPr>
          <w:sz w:val="20"/>
          <w:szCs w:val="20"/>
          <w:color w:val="auto"/>
        </w:rPr>
      </w:pPr>
    </w:p>
    <w:p>
      <w:pPr>
        <w:spacing w:after="0" w:line="2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540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8" w:name="page579"/>
    <w:bookmarkEnd w:id="578"/>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MANUFACTURERS and TRADERS TRUST</w:t>
      </w:r>
    </w:p>
    <w:p>
      <w:pPr>
        <w:spacing w:after="0" w:line="2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540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9" w:right="1440" w:bottom="1440" w:gutter="0" w:footer="0" w:header="0"/>
        </w:sectPr>
      </w:pPr>
    </w:p>
    <w:bookmarkStart w:id="579" w:name="page580"/>
    <w:bookmarkEnd w:id="579"/>
    <w:p>
      <w:pPr>
        <w:jc w:val="center"/>
        <w:ind w:right="120"/>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THE AMENDED AND RESTATED CREDIT AGREEMENT</w:t>
      </w:r>
    </w:p>
    <w:p>
      <w:pPr>
        <w:spacing w:after="0" w:line="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ind w:left="4480"/>
        <w:spacing w:after="0" w:line="258" w:lineRule="auto"/>
        <w:rPr>
          <w:sz w:val="20"/>
          <w:szCs w:val="20"/>
          <w:color w:val="auto"/>
        </w:rPr>
      </w:pPr>
      <w:r>
        <w:rPr>
          <w:rFonts w:ascii="Times New Roman" w:cs="Times New Roman" w:eastAsia="Times New Roman" w:hAnsi="Times New Roman"/>
          <w:sz w:val="22"/>
          <w:szCs w:val="22"/>
          <w:color w:val="auto"/>
        </w:rPr>
        <w:t>WILMINGTON SAVINGS FUND SOCIETY, FSB, a Federal savings bank</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10795</wp:posOffset>
            </wp:positionV>
            <wp:extent cx="295719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22"/>
          <w:szCs w:val="22"/>
          <w:color w:val="auto"/>
        </w:rPr>
        <w:t>Name:</w:t>
      </w:r>
    </w:p>
    <w:p>
      <w:pPr>
        <w:ind w:left="48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869950</wp:posOffset>
            </wp:positionV>
            <wp:extent cx="6292215" cy="2603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40"/>
          </w:cols>
          <w:pgMar w:left="1440" w:top="1259" w:right="1319" w:bottom="1440" w:gutter="0" w:footer="0" w:header="0"/>
        </w:sectPr>
      </w:pPr>
    </w:p>
    <w:bookmarkStart w:id="580" w:name="page581"/>
    <w:bookmarkEnd w:id="580"/>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AMENDED AND RESTATED CREDIT AGREEMENT</w:t>
      </w: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is executing this signature page solely as a Departing Lender in its acceptance of the termination of its commitments and obligations under the Existing Credit Agreement as a “Lender” thereunder, and not as a Lender party hereto. The undersigned hereby acknowledges that the Existing Credit Agreement shall be amended and restated in its entirety by this Agreement to which this signature page is attached and the undersigned shall not constitute a party thereto as Lender other than for purposes of effectuating the amendment and restatement of the Existing Credit Agreement.</w:t>
      </w:r>
    </w:p>
    <w:p>
      <w:pPr>
        <w:spacing w:after="0" w:line="1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SANTANDER BANK, N.A., as a Departing Lender</w:t>
      </w:r>
    </w:p>
    <w:p>
      <w:pPr>
        <w:spacing w:after="0" w:line="200" w:lineRule="exact"/>
        <w:rPr>
          <w:sz w:val="20"/>
          <w:szCs w:val="20"/>
          <w:color w:val="auto"/>
        </w:rPr>
      </w:pPr>
    </w:p>
    <w:p>
      <w:pPr>
        <w:spacing w:after="0" w:line="2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-151765</wp:posOffset>
            </wp:positionV>
            <wp:extent cx="295719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869950</wp:posOffset>
            </wp:positionV>
            <wp:extent cx="6292215" cy="2540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81" w:name="page582"/>
    <w:bookmarkEnd w:id="581"/>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AMENDED AND RESTATED CREDIT AGREEMENT</w:t>
      </w: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is executing this signature page solely as a Departing Lender in its acceptance of the termination of its commitments and obligations under the Existing Credit Agreement as a “Lender” thereunder, and not as a Lender party hereto. The undersigned hereby acknowledges that the Existing Credit Agreement shall be amended and restated in its entirety by this Agreement to which this signature page is attached and the undersigned shall not constitute a party thereto as Lender other than for purposes of effectuating the amendment and restatement of the Existing Credit Agreement.</w:t>
      </w:r>
    </w:p>
    <w:p>
      <w:pPr>
        <w:spacing w:after="0" w:line="1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KEYBANK NATIONAL ASSOCIATION, as a</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Departing Lender</w:t>
      </w: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-151765</wp:posOffset>
            </wp:positionV>
            <wp:extent cx="2957195"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869950</wp:posOffset>
            </wp:positionV>
            <wp:extent cx="6292215" cy="2540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82" w:name="page583"/>
    <w:bookmarkEnd w:id="582"/>
    <w:p>
      <w:pPr>
        <w:jc w:val="center"/>
        <w:spacing w:after="0"/>
        <w:rPr>
          <w:sz w:val="20"/>
          <w:szCs w:val="20"/>
          <w:color w:val="auto"/>
        </w:rPr>
      </w:pPr>
      <w:r>
        <w:rPr>
          <w:rFonts w:ascii="Times New Roman" w:cs="Times New Roman" w:eastAsia="Times New Roman" w:hAnsi="Times New Roman"/>
          <w:sz w:val="22"/>
          <w:szCs w:val="22"/>
          <w:color w:val="auto"/>
        </w:rPr>
        <w:t>SIGNATURE PAGE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AMENDED AND RESTATED CREDIT AGREEMENT</w:t>
      </w:r>
    </w:p>
    <w:p>
      <w:pPr>
        <w:jc w:val="center"/>
        <w:spacing w:after="0"/>
        <w:rPr>
          <w:sz w:val="20"/>
          <w:szCs w:val="20"/>
          <w:color w:val="auto"/>
        </w:rPr>
      </w:pPr>
      <w:r>
        <w:rPr>
          <w:rFonts w:ascii="Times New Roman" w:cs="Times New Roman" w:eastAsia="Times New Roman" w:hAnsi="Times New Roman"/>
          <w:sz w:val="22"/>
          <w:szCs w:val="22"/>
          <w:color w:val="auto"/>
        </w:rPr>
        <w:t>OF BENTLEY SYSTEMS, INCORPORATED</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is executing this signature page solely as a Departing Lender in its acceptance of the termination of its commitments and obligations under the Existing Credit Agreement as a “Lender” thereunder, and not as a Lender party hereto. The undersigned hereby acknowledges that the Existing Credit Agreement shall be amended and restated in its entirety by this Agreement to which this signature page is attached and the undersigned shall not constitute a party thereto as Lender other than for purposes of effectuating the amendment and restatement of the Existing Credit Agreement.</w:t>
      </w:r>
    </w:p>
    <w:p>
      <w:pPr>
        <w:spacing w:after="0" w:line="1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BRANCH BANKING AND TRUST COMPANY, as a</w:t>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Departing Lender</w:t>
      </w: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-151765</wp:posOffset>
            </wp:positionV>
            <wp:extent cx="295719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869950</wp:posOffset>
            </wp:positionV>
            <wp:extent cx="6292215" cy="2603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9" w:right="999" w:bottom="1440" w:gutter="0" w:footer="0" w:header="0"/>
        </w:sectPr>
      </w:pPr>
    </w:p>
    <w:bookmarkStart w:id="583" w:name="page584"/>
    <w:bookmarkEnd w:id="583"/>
    <w:p>
      <w:pPr>
        <w:ind w:left="4340"/>
        <w:spacing w:after="0"/>
        <w:rPr>
          <w:sz w:val="20"/>
          <w:szCs w:val="20"/>
          <w:color w:val="auto"/>
        </w:rPr>
      </w:pPr>
      <w:r>
        <w:rPr>
          <w:rFonts w:ascii="Times New Roman" w:cs="Times New Roman" w:eastAsia="Times New Roman" w:hAnsi="Times New Roman"/>
          <w:sz w:val="22"/>
          <w:szCs w:val="22"/>
          <w:b w:val="1"/>
          <w:bCs w:val="1"/>
          <w:color w:val="auto"/>
        </w:rPr>
        <w:t>Schedule 2.01</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u w:val="single" w:color="auto"/>
          <w:color w:val="auto"/>
        </w:rPr>
        <w:t>Commitments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180" w:type="dxa"/>
            <w:vAlign w:val="bottom"/>
            <w:tcBorders>
              <w:top w:val="single" w:sz="8" w:color="auto"/>
              <w:left w:val="single" w:sz="8" w:color="auto"/>
              <w:bottom w:val="single" w:sz="8" w:color="D9D9D9"/>
              <w:right w:val="single" w:sz="8" w:color="auto"/>
            </w:tcBorders>
            <w:shd w:val="clear" w:color="auto" w:fill="D9D9D9"/>
          </w:tcPr>
          <w:p>
            <w:pPr>
              <w:ind w:left="2260"/>
              <w:spacing w:after="0" w:line="243" w:lineRule="exact"/>
              <w:rPr>
                <w:sz w:val="20"/>
                <w:szCs w:val="20"/>
                <w:color w:val="auto"/>
              </w:rPr>
            </w:pPr>
            <w:r>
              <w:rPr>
                <w:rFonts w:ascii="Times New Roman" w:cs="Times New Roman" w:eastAsia="Times New Roman" w:hAnsi="Times New Roman"/>
                <w:sz w:val="22"/>
                <w:szCs w:val="22"/>
                <w:b w:val="1"/>
                <w:bCs w:val="1"/>
                <w:color w:val="auto"/>
              </w:rPr>
              <w:t>Lender</w:t>
            </w:r>
          </w:p>
        </w:tc>
        <w:tc>
          <w:tcPr>
            <w:tcW w:w="2380" w:type="dxa"/>
            <w:vAlign w:val="bottom"/>
            <w:tcBorders>
              <w:top w:val="single" w:sz="8" w:color="auto"/>
              <w:bottom w:val="single" w:sz="8" w:color="D9D9D9"/>
              <w:right w:val="single" w:sz="8" w:color="auto"/>
            </w:tcBorders>
            <w:shd w:val="clear" w:color="auto" w:fill="D9D9D9"/>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Revolving</w:t>
            </w:r>
          </w:p>
        </w:tc>
        <w:tc>
          <w:tcPr>
            <w:tcW w:w="56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bottom w:val="single" w:sz="8" w:color="D9D9D9"/>
            </w:tcBorders>
            <w:shd w:val="clear" w:color="auto" w:fill="D9D9D9"/>
          </w:tcPr>
          <w:p>
            <w:pPr>
              <w:spacing w:after="0"/>
              <w:rPr>
                <w:sz w:val="24"/>
                <w:szCs w:val="24"/>
                <w:color w:val="auto"/>
              </w:rPr>
            </w:pPr>
          </w:p>
        </w:tc>
        <w:tc>
          <w:tcPr>
            <w:tcW w:w="320" w:type="dxa"/>
            <w:vAlign w:val="bottom"/>
            <w:tcBorders>
              <w:top w:val="single" w:sz="8" w:color="auto"/>
              <w:bottom w:val="single" w:sz="8" w:color="D9D9D9"/>
            </w:tcBorders>
            <w:shd w:val="clear" w:color="auto" w:fill="D9D9D9"/>
          </w:tcPr>
          <w:p>
            <w:pPr>
              <w:spacing w:after="0"/>
              <w:rPr>
                <w:sz w:val="24"/>
                <w:szCs w:val="24"/>
                <w:color w:val="auto"/>
              </w:rPr>
            </w:pPr>
          </w:p>
        </w:tc>
        <w:tc>
          <w:tcPr>
            <w:tcW w:w="560" w:type="dxa"/>
            <w:vAlign w:val="bottom"/>
            <w:tcBorders>
              <w:top w:val="single" w:sz="8" w:color="auto"/>
              <w:bottom w:val="single" w:sz="8" w:color="0000FF"/>
            </w:tcBorders>
            <w:gridSpan w:val="3"/>
            <w:shd w:val="clear" w:color="auto" w:fill="D9D9D9"/>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0000FF"/>
                <w:w w:val="95"/>
              </w:rPr>
              <w:t>Term</w:t>
            </w:r>
          </w:p>
        </w:tc>
        <w:tc>
          <w:tcPr>
            <w:tcW w:w="920" w:type="dxa"/>
            <w:vAlign w:val="bottom"/>
            <w:tcBorders>
              <w:top w:val="single" w:sz="8" w:color="auto"/>
              <w:bottom w:val="single" w:sz="8" w:color="D9D9D9"/>
              <w:right w:val="single" w:sz="8" w:color="auto"/>
            </w:tcBorders>
            <w:gridSpan w:val="4"/>
            <w:shd w:val="clear" w:color="auto" w:fill="D9D9D9"/>
          </w:tcPr>
          <w:p>
            <w:pPr>
              <w:spacing w:after="0"/>
              <w:rPr>
                <w:sz w:val="24"/>
                <w:szCs w:val="24"/>
                <w:color w:val="auto"/>
              </w:rPr>
            </w:pPr>
          </w:p>
        </w:tc>
      </w:tr>
      <w:tr>
        <w:trPr>
          <w:trHeight w:val="264"/>
        </w:trPr>
        <w:tc>
          <w:tcPr>
            <w:tcW w:w="5180" w:type="dxa"/>
            <w:vAlign w:val="bottom"/>
            <w:tcBorders>
              <w:left w:val="single" w:sz="8" w:color="auto"/>
              <w:bottom w:val="single" w:sz="8" w:color="auto"/>
              <w:right w:val="single" w:sz="8" w:color="auto"/>
            </w:tcBorders>
            <w:shd w:val="clear" w:color="auto" w:fill="D9D9D9"/>
          </w:tcPr>
          <w:p>
            <w:pPr>
              <w:spacing w:after="0"/>
              <w:rPr>
                <w:sz w:val="22"/>
                <w:szCs w:val="22"/>
                <w:color w:val="auto"/>
              </w:rPr>
            </w:pPr>
          </w:p>
        </w:tc>
        <w:tc>
          <w:tcPr>
            <w:tcW w:w="2380" w:type="dxa"/>
            <w:vAlign w:val="bottom"/>
            <w:tcBorders>
              <w:bottom w:val="single" w:sz="8" w:color="auto"/>
              <w:right w:val="single" w:sz="8" w:color="auto"/>
            </w:tcBorders>
            <w:shd w:val="clear" w:color="auto" w:fill="D9D9D9"/>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rPr>
              <w:t>Commitment</w:t>
            </w:r>
          </w:p>
        </w:tc>
        <w:tc>
          <w:tcPr>
            <w:tcW w:w="560" w:type="dxa"/>
            <w:vAlign w:val="bottom"/>
            <w:tcBorders>
              <w:bottom w:val="single" w:sz="8" w:color="auto"/>
            </w:tcBorders>
            <w:shd w:val="clear" w:color="auto" w:fill="D9D9D9"/>
          </w:tcPr>
          <w:p>
            <w:pPr>
              <w:spacing w:after="0"/>
              <w:rPr>
                <w:sz w:val="22"/>
                <w:szCs w:val="22"/>
                <w:color w:val="auto"/>
              </w:rPr>
            </w:pPr>
          </w:p>
        </w:tc>
        <w:tc>
          <w:tcPr>
            <w:tcW w:w="1820" w:type="dxa"/>
            <w:vAlign w:val="bottom"/>
            <w:tcBorders>
              <w:bottom w:val="single" w:sz="8" w:color="auto"/>
              <w:right w:val="single" w:sz="8" w:color="auto"/>
            </w:tcBorders>
            <w:gridSpan w:val="9"/>
            <w:shd w:val="clear" w:color="auto" w:fill="D9D9D9"/>
          </w:tcPr>
          <w:p>
            <w:pPr>
              <w:jc w:val="center"/>
              <w:ind w:right="600"/>
              <w:spacing w:after="0" w:line="183" w:lineRule="exact"/>
              <w:rPr>
                <w:sz w:val="20"/>
                <w:szCs w:val="20"/>
                <w:color w:val="auto"/>
              </w:rPr>
            </w:pPr>
            <w:r>
              <w:rPr>
                <w:rFonts w:ascii="Times New Roman" w:cs="Times New Roman" w:eastAsia="Times New Roman" w:hAnsi="Times New Roman"/>
                <w:sz w:val="21"/>
                <w:szCs w:val="21"/>
                <w:b w:val="1"/>
                <w:bCs w:val="1"/>
                <w:color w:val="0000FF"/>
              </w:rPr>
              <w:t>Commitment</w:t>
            </w: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PNC Bank, National Association</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$100,000,000</w:t>
            </w:r>
          </w:p>
        </w:tc>
        <w:tc>
          <w:tcPr>
            <w:tcW w:w="1780" w:type="dxa"/>
            <w:vAlign w:val="bottom"/>
            <w:tcBorders>
              <w:bottom w:val="single" w:sz="8" w:color="auto"/>
            </w:tcBorders>
            <w:gridSpan w:val="8"/>
            <w:shd w:val="clear" w:color="auto" w:fill="CCCCFF"/>
          </w:tcPr>
          <w:p>
            <w:pPr>
              <w:jc w:val="center"/>
              <w:ind w:left="472"/>
              <w:spacing w:after="0" w:line="223" w:lineRule="exact"/>
              <w:rPr>
                <w:sz w:val="20"/>
                <w:szCs w:val="20"/>
                <w:color w:val="auto"/>
              </w:rPr>
            </w:pPr>
            <w:r>
              <w:rPr>
                <w:rFonts w:ascii="Times New Roman" w:cs="Times New Roman" w:eastAsia="Times New Roman" w:hAnsi="Times New Roman"/>
                <w:sz w:val="22"/>
                <w:szCs w:val="22"/>
                <w:u w:val="single" w:color="auto"/>
                <w:color w:val="0000FF"/>
                <w:w w:val="99"/>
              </w:rPr>
              <w:t>$</w:t>
            </w:r>
            <w:r>
              <w:rPr>
                <w:rFonts w:ascii="Times New Roman" w:cs="Times New Roman" w:eastAsia="Times New Roman" w:hAnsi="Times New Roman"/>
                <w:sz w:val="22"/>
                <w:szCs w:val="22"/>
                <w:color w:val="0000FF"/>
                <w:w w:val="99"/>
              </w:rPr>
              <w:t>125,000,000</w:t>
            </w: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Citizens Bank, N.A.</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$ 75,000,000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Wells Fargo Capital Finance, LLC</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$ 75,000,000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Bank of America, N.A.</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$ 60,000,000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TD Bank, N.A.</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$ 60,000,000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HSBC Bank USA, N.A.</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$ 50,000,000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JPMorgan Chase Bank, N.A.</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$ 30,000,000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Manufacturers and Traders Trust Company</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$ 25,000,000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Wilmington Savings Fund Society, FSB</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$ 25,000,000</w:t>
            </w:r>
          </w:p>
        </w:tc>
        <w:tc>
          <w:tcPr>
            <w:tcW w:w="1360" w:type="dxa"/>
            <w:vAlign w:val="bottom"/>
            <w:tcBorders>
              <w:bottom w:val="single" w:sz="8" w:color="auto"/>
            </w:tcBorders>
            <w:gridSpan w:val="5"/>
            <w:shd w:val="clear" w:color="auto" w:fill="CCCCFF"/>
          </w:tcPr>
          <w:p>
            <w:pPr>
              <w:jc w:val="center"/>
              <w:ind w:left="892"/>
              <w:spacing w:after="0" w:line="223" w:lineRule="exact"/>
              <w:rPr>
                <w:sz w:val="20"/>
                <w:szCs w:val="20"/>
                <w:color w:val="auto"/>
              </w:rPr>
            </w:pPr>
            <w:r>
              <w:rPr>
                <w:rFonts w:ascii="Times New Roman" w:cs="Times New Roman" w:eastAsia="Times New Roman" w:hAnsi="Times New Roman"/>
                <w:sz w:val="22"/>
                <w:szCs w:val="22"/>
                <w:color w:val="0000FF"/>
                <w:w w:val="98"/>
              </w:rPr>
              <w:t>$-0-</w:t>
            </w:r>
          </w:p>
        </w:tc>
        <w:tc>
          <w:tcPr>
            <w:tcW w:w="100" w:type="dxa"/>
            <w:vAlign w:val="bottom"/>
            <w:tcBorders>
              <w:bottom w:val="single" w:sz="8" w:color="auto"/>
            </w:tcBorders>
            <w:shd w:val="clear" w:color="auto" w:fill="CCCCFF"/>
          </w:tcPr>
          <w:p>
            <w:pPr>
              <w:spacing w:after="0"/>
              <w:rPr>
                <w:sz w:val="24"/>
                <w:szCs w:val="24"/>
                <w:color w:val="auto"/>
              </w:rPr>
            </w:pPr>
          </w:p>
        </w:tc>
        <w:tc>
          <w:tcPr>
            <w:tcW w:w="30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04"/>
        </w:trPr>
        <w:tc>
          <w:tcPr>
            <w:tcW w:w="5180" w:type="dxa"/>
            <w:vAlign w:val="bottom"/>
            <w:tcBorders>
              <w:left w:val="single" w:sz="8" w:color="auto"/>
              <w:bottom w:val="single" w:sz="8" w:color="auto"/>
              <w:right w:val="single" w:sz="8" w:color="auto"/>
            </w:tcBorders>
          </w:tcPr>
          <w:p>
            <w:pPr>
              <w:ind w:left="760"/>
              <w:spacing w:after="0" w:line="223" w:lineRule="exact"/>
              <w:rPr>
                <w:sz w:val="20"/>
                <w:szCs w:val="20"/>
                <w:color w:val="auto"/>
              </w:rPr>
            </w:pPr>
            <w:r>
              <w:rPr>
                <w:rFonts w:ascii="Times New Roman" w:cs="Times New Roman" w:eastAsia="Times New Roman" w:hAnsi="Times New Roman"/>
                <w:sz w:val="22"/>
                <w:szCs w:val="22"/>
                <w:b w:val="1"/>
                <w:bCs w:val="1"/>
                <w:color w:val="auto"/>
              </w:rPr>
              <w:t>Total</w:t>
            </w:r>
          </w:p>
        </w:tc>
        <w:tc>
          <w:tcPr>
            <w:tcW w:w="23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b w:val="1"/>
                <w:bCs w:val="1"/>
                <w:color w:val="auto"/>
                <w:w w:val="98"/>
              </w:rPr>
              <w:t>$500,000,000.00</w:t>
            </w:r>
          </w:p>
        </w:tc>
        <w:tc>
          <w:tcPr>
            <w:tcW w:w="1780" w:type="dxa"/>
            <w:vAlign w:val="bottom"/>
            <w:tcBorders>
              <w:bottom w:val="single" w:sz="8" w:color="auto"/>
            </w:tcBorders>
            <w:gridSpan w:val="8"/>
            <w:shd w:val="clear" w:color="auto" w:fill="CCCCFF"/>
          </w:tcPr>
          <w:p>
            <w:pPr>
              <w:jc w:val="center"/>
              <w:ind w:left="472"/>
              <w:spacing w:after="0" w:line="223" w:lineRule="exact"/>
              <w:rPr>
                <w:sz w:val="20"/>
                <w:szCs w:val="20"/>
                <w:color w:val="auto"/>
              </w:rPr>
            </w:pPr>
            <w:r>
              <w:rPr>
                <w:rFonts w:ascii="Times New Roman" w:cs="Times New Roman" w:eastAsia="Times New Roman" w:hAnsi="Times New Roman"/>
                <w:sz w:val="22"/>
                <w:szCs w:val="22"/>
                <w:b w:val="1"/>
                <w:bCs w:val="1"/>
                <w:u w:val="single" w:color="auto"/>
                <w:color w:val="0000FF"/>
                <w:w w:val="99"/>
              </w:rPr>
              <w:t>$</w:t>
            </w:r>
            <w:r>
              <w:rPr>
                <w:rFonts w:ascii="Times New Roman" w:cs="Times New Roman" w:eastAsia="Times New Roman" w:hAnsi="Times New Roman"/>
                <w:sz w:val="22"/>
                <w:szCs w:val="22"/>
                <w:b w:val="1"/>
                <w:bCs w:val="1"/>
                <w:color w:val="0000FF"/>
                <w:w w:val="99"/>
              </w:rPr>
              <w:t>125,000,000</w:t>
            </w:r>
          </w:p>
        </w:tc>
        <w:tc>
          <w:tcPr>
            <w:tcW w:w="20" w:type="dxa"/>
            <w:vAlign w:val="bottom"/>
            <w:tcBorders>
              <w:bottom w:val="single" w:sz="8" w:color="auto"/>
            </w:tcBorders>
            <w:shd w:val="clear" w:color="auto" w:fill="CCCCFF"/>
          </w:tcPr>
          <w:p>
            <w:pPr>
              <w:spacing w:after="0"/>
              <w:rPr>
                <w:sz w:val="24"/>
                <w:szCs w:val="24"/>
                <w:color w:val="auto"/>
              </w:rPr>
            </w:pPr>
          </w:p>
        </w:tc>
        <w:tc>
          <w:tcPr>
            <w:tcW w:w="58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1216"/>
        </w:trPr>
        <w:tc>
          <w:tcPr>
            <w:tcW w:w="5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55" w:right="979" w:bottom="1440" w:gutter="0" w:footer="0" w:header="0"/>
        </w:sectPr>
      </w:pPr>
    </w:p>
    <w:bookmarkStart w:id="584" w:name="page585"/>
    <w:bookmarkEnd w:id="584"/>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Conformed Exhibits to Credit Agreement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 and Exhibit 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645160</wp:posOffset>
            </wp:positionV>
            <wp:extent cx="6292215" cy="2603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85" w:name="page586"/>
    <w:bookmarkEnd w:id="585"/>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ASSUMPTION</w:t>
      </w:r>
    </w:p>
    <w:p>
      <w:pPr>
        <w:spacing w:after="0" w:line="20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This Assignment and Assumption (the “</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is dated as of the Effective Date set forth below and is entered into by and between the Assignor (as defined below) and the Assignee (as defined below). Capitalized terms used but not defined herein shall have the meanings given to them in the Credit Agreement identified below (as amended, restated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21"/>
          <w:szCs w:val="21"/>
          <w:u w:val="single" w:color="auto"/>
          <w:color w:val="auto"/>
        </w:rPr>
        <w:t>Assigned Interest</w:t>
      </w:r>
      <w:r>
        <w:rPr>
          <w:rFonts w:ascii="Times New Roman" w:cs="Times New Roman" w:eastAsia="Times New Roman" w:hAnsi="Times New Roman"/>
          <w:sz w:val="21"/>
          <w:szCs w:val="21"/>
          <w:color w:val="auto"/>
        </w:rPr>
        <w:t>”). Such sale and assignment is without recourse to the Assignor and, except as expressly provided in this Assignment and Assumption, without representation or warranty by the Assignor.</w:t>
      </w:r>
    </w:p>
    <w:p>
      <w:pPr>
        <w:spacing w:after="0" w:line="176" w:lineRule="exact"/>
        <w:rPr>
          <w:sz w:val="20"/>
          <w:szCs w:val="20"/>
          <w:color w:val="auto"/>
        </w:rPr>
      </w:pPr>
    </w:p>
    <w:p>
      <w:pPr>
        <w:ind w:left="1300" w:hanging="644"/>
        <w:spacing w:after="0"/>
        <w:tabs>
          <w:tab w:leader="none" w:pos="130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w:t>
      </w:r>
    </w:p>
    <w:p>
      <w:pPr>
        <w:spacing w:after="0" w:line="14"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is an Affiliate/Approved Fund of [Identify Lender]]</w:t>
      </w:r>
      <w:r>
        <w:rPr>
          <w:rFonts w:ascii="Times New Roman" w:cs="Times New Roman" w:eastAsia="Times New Roman" w:hAnsi="Times New Roman"/>
          <w:sz w:val="16"/>
          <w:szCs w:val="16"/>
          <w:color w:val="auto"/>
        </w:rPr>
        <w:t>1</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Bentley Systems, Incorporated</w:t>
      </w:r>
    </w:p>
    <w:p>
      <w:pPr>
        <w:spacing w:after="0" w:line="206" w:lineRule="exact"/>
        <w:rPr>
          <w:rFonts w:ascii="Times New Roman" w:cs="Times New Roman" w:eastAsia="Times New Roman" w:hAnsi="Times New Roman"/>
          <w:sz w:val="22"/>
          <w:szCs w:val="22"/>
          <w:color w:val="auto"/>
        </w:rPr>
      </w:pPr>
    </w:p>
    <w:p>
      <w:pPr>
        <w:ind w:left="1300" w:right="380" w:hanging="644"/>
        <w:spacing w:after="0" w:line="258" w:lineRule="auto"/>
        <w:tabs>
          <w:tab w:leader="none" w:pos="1288"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PNC Bank, National Association,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1422400</wp:posOffset>
            </wp:positionH>
            <wp:positionV relativeFrom="paragraph">
              <wp:posOffset>-1227455</wp:posOffset>
            </wp:positionV>
            <wp:extent cx="394335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1">
                      <a:extLst>
                        <a:ext uri="{28A0092B-C50C-407E-A947-70E740481C1C}"/>
                      </a:extLst>
                    </a:blip>
                    <a:srcRect/>
                    <a:stretch>
                      <a:fillRect/>
                    </a:stretch>
                  </pic:blipFill>
                  <pic:spPr bwMode="auto">
                    <a:xfrm>
                      <a:off x="0" y="0"/>
                      <a:ext cx="3943350" cy="8890"/>
                    </a:xfrm>
                    <a:prstGeom prst="rect">
                      <a:avLst/>
                    </a:prstGeom>
                    <a:noFill/>
                  </pic:spPr>
                </pic:pic>
              </a:graphicData>
            </a:graphic>
          </wp:anchor>
        </w:drawing>
        <w:drawing>
          <wp:anchor simplePos="0" relativeHeight="251657728" behindDoc="1" locked="0" layoutInCell="0" allowOverlap="1">
            <wp:simplePos x="0" y="0"/>
            <wp:positionH relativeFrom="column">
              <wp:posOffset>1430020</wp:posOffset>
            </wp:positionH>
            <wp:positionV relativeFrom="paragraph">
              <wp:posOffset>-935990</wp:posOffset>
            </wp:positionV>
            <wp:extent cx="394335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42">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340995</wp:posOffset>
            </wp:positionV>
            <wp:extent cx="156845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0" w:hanging="732"/>
        <w:spacing w:after="0"/>
        <w:tabs>
          <w:tab w:leader="none" w:pos="74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540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86" w:name="page587"/>
    <w:bookmarkEnd w:id="586"/>
    <w:p>
      <w:pPr>
        <w:ind w:left="1300" w:right="120" w:hanging="644"/>
        <w:spacing w:after="0" w:line="244" w:lineRule="auto"/>
        <w:tabs>
          <w:tab w:leader="none" w:pos="1300"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The Amended and Restated Credit Agreement dated as of December 19, 2017, among Bentley Systems, Incorporated, the Lenders parties thereto and PNC Bank, National Association, as Administrative Agent</w:t>
      </w:r>
    </w:p>
    <w:p>
      <w:pPr>
        <w:spacing w:after="0" w:line="173" w:lineRule="exact"/>
        <w:rPr>
          <w:sz w:val="20"/>
          <w:szCs w:val="20"/>
          <w:color w:val="auto"/>
        </w:rPr>
      </w:pPr>
    </w:p>
    <w:p>
      <w:pPr>
        <w:ind w:left="1300" w:hanging="644"/>
        <w:spacing w:after="0"/>
        <w:tabs>
          <w:tab w:leader="none" w:pos="1300"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Assigned Interest:</w:t>
      </w:r>
      <w:r>
        <w:rPr>
          <w:rFonts w:ascii="Times New Roman" w:cs="Times New Roman" w:eastAsia="Times New Roman" w:hAnsi="Times New Roman"/>
          <w:sz w:val="16"/>
          <w:szCs w:val="16"/>
          <w:color w:val="auto"/>
        </w:rPr>
        <w:t>2</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right w:val="single" w:sz="8" w:color="auto"/>
            </w:tcBorders>
          </w:tcPr>
          <w:p>
            <w:pPr>
              <w:ind w:left="500"/>
              <w:spacing w:after="0" w:line="229" w:lineRule="exact"/>
              <w:rPr>
                <w:sz w:val="20"/>
                <w:szCs w:val="20"/>
                <w:color w:val="auto"/>
              </w:rPr>
            </w:pPr>
            <w:r>
              <w:rPr>
                <w:rFonts w:ascii="Times New Roman" w:cs="Times New Roman" w:eastAsia="Times New Roman" w:hAnsi="Times New Roman"/>
                <w:sz w:val="22"/>
                <w:szCs w:val="22"/>
                <w:color w:val="auto"/>
              </w:rPr>
              <w:t>Facility Assigned</w:t>
            </w:r>
          </w:p>
        </w:tc>
        <w:tc>
          <w:tcPr>
            <w:tcW w:w="248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Aggregate Amount of</w:t>
            </w:r>
          </w:p>
        </w:tc>
        <w:tc>
          <w:tcPr>
            <w:tcW w:w="246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rPr>
              <w:t>Amount of</w:t>
            </w:r>
          </w:p>
        </w:tc>
        <w:tc>
          <w:tcPr>
            <w:tcW w:w="2480" w:type="dxa"/>
            <w:vAlign w:val="bottom"/>
            <w:tcBorders>
              <w:top w:val="single" w:sz="8" w:color="auto"/>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8"/>
              </w:rPr>
              <w:t>Percentage Assigned</w:t>
            </w:r>
          </w:p>
        </w:tc>
      </w:tr>
      <w:tr>
        <w:trPr>
          <w:trHeight w:val="243"/>
        </w:trPr>
        <w:tc>
          <w:tcPr>
            <w:tcW w:w="2520" w:type="dxa"/>
            <w:vAlign w:val="bottom"/>
            <w:tcBorders>
              <w:left w:val="single" w:sz="8" w:color="auto"/>
              <w:right w:val="single" w:sz="8" w:color="auto"/>
            </w:tcBorders>
          </w:tcPr>
          <w:p>
            <w:pPr>
              <w:spacing w:after="0"/>
              <w:rPr>
                <w:sz w:val="21"/>
                <w:szCs w:val="21"/>
                <w:color w:val="auto"/>
              </w:rPr>
            </w:pPr>
          </w:p>
        </w:tc>
        <w:tc>
          <w:tcPr>
            <w:tcW w:w="24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Commitment/Loans</w:t>
            </w:r>
          </w:p>
        </w:tc>
        <w:tc>
          <w:tcPr>
            <w:tcW w:w="2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Commitment/Loans</w:t>
            </w:r>
          </w:p>
        </w:tc>
        <w:tc>
          <w:tcPr>
            <w:tcW w:w="24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of Commitment/</w:t>
            </w:r>
          </w:p>
        </w:tc>
      </w:tr>
      <w:tr>
        <w:trPr>
          <w:trHeight w:val="282"/>
        </w:trPr>
        <w:tc>
          <w:tcPr>
            <w:tcW w:w="2520" w:type="dxa"/>
            <w:vAlign w:val="bottom"/>
            <w:tcBorders>
              <w:left w:val="single" w:sz="8" w:color="auto"/>
              <w:right w:val="single" w:sz="8" w:color="auto"/>
            </w:tcBorders>
          </w:tcPr>
          <w:p>
            <w:pPr>
              <w:spacing w:after="0"/>
              <w:rPr>
                <w:sz w:val="24"/>
                <w:szCs w:val="24"/>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for all Lenders</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Assigned</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Loans</w:t>
            </w:r>
            <w:r>
              <w:rPr>
                <w:rFonts w:ascii="Times New Roman" w:cs="Times New Roman" w:eastAsia="Times New Roman" w:hAnsi="Times New Roman"/>
                <w:sz w:val="16"/>
                <w:szCs w:val="16"/>
                <w:color w:val="auto"/>
              </w:rPr>
              <w:t>3</w:t>
            </w:r>
          </w:p>
        </w:tc>
      </w:tr>
      <w:tr>
        <w:trPr>
          <w:trHeight w:val="204"/>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r>
      <w:tr>
        <w:trPr>
          <w:trHeight w:val="209"/>
        </w:trPr>
        <w:tc>
          <w:tcPr>
            <w:tcW w:w="2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Revolving</w:t>
            </w:r>
          </w:p>
        </w:tc>
        <w:tc>
          <w:tcPr>
            <w:tcW w:w="2480" w:type="dxa"/>
            <w:vAlign w:val="bottom"/>
            <w:tcBorders>
              <w:right w:val="single" w:sz="8" w:color="auto"/>
            </w:tcBorders>
          </w:tcPr>
          <w:p>
            <w:pPr>
              <w:jc w:val="right"/>
              <w:ind w:right="2192"/>
              <w:spacing w:after="0" w:line="209" w:lineRule="exact"/>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jc w:val="right"/>
              <w:ind w:right="2152"/>
              <w:spacing w:after="0" w:line="209" w:lineRule="exact"/>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w:t>
            </w:r>
          </w:p>
        </w:tc>
      </w:tr>
      <w:tr>
        <w:trPr>
          <w:trHeight w:val="282"/>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Commitment/Loans</w:t>
            </w:r>
          </w:p>
        </w:tc>
        <w:tc>
          <w:tcPr>
            <w:tcW w:w="248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spacing w:after="0"/>
              <w:rPr>
                <w:sz w:val="24"/>
                <w:szCs w:val="24"/>
                <w:color w:val="auto"/>
              </w:rPr>
            </w:pPr>
          </w:p>
        </w:tc>
      </w:tr>
      <w:tr>
        <w:trPr>
          <w:trHeight w:val="204"/>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r>
      <w:tr>
        <w:trPr>
          <w:trHeight w:val="276"/>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Term Loans</w:t>
            </w:r>
          </w:p>
        </w:tc>
        <w:tc>
          <w:tcPr>
            <w:tcW w:w="248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2460" w:type="dxa"/>
            <w:vAlign w:val="bottom"/>
            <w:tcBorders>
              <w:right w:val="single" w:sz="8" w:color="auto"/>
            </w:tcBorders>
          </w:tcPr>
          <w:p>
            <w:pPr>
              <w:jc w:val="right"/>
              <w:ind w:right="2152"/>
              <w:spacing w:after="0"/>
              <w:rPr>
                <w:sz w:val="20"/>
                <w:szCs w:val="20"/>
                <w:color w:val="auto"/>
              </w:rPr>
            </w:pPr>
            <w:r>
              <w:rPr>
                <w:rFonts w:ascii="Times New Roman" w:cs="Times New Roman" w:eastAsia="Times New Roman" w:hAnsi="Times New Roman"/>
                <w:sz w:val="22"/>
                <w:szCs w:val="22"/>
                <w:color w:val="auto"/>
              </w:rPr>
              <w:t>$</w:t>
            </w: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w:t>
            </w:r>
          </w:p>
        </w:tc>
      </w:tr>
      <w:tr>
        <w:trPr>
          <w:trHeight w:val="177"/>
        </w:trPr>
        <w:tc>
          <w:tcPr>
            <w:tcW w:w="2520" w:type="dxa"/>
            <w:vAlign w:val="bottom"/>
            <w:tcBorders>
              <w:left w:val="single" w:sz="8" w:color="auto"/>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_____________ ___, 20__ [TO BE INSERTED BY ADMINISTRATIVE AGENT AND WHICH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156845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500" w:hanging="652"/>
        <w:spacing w:after="0" w:line="258" w:lineRule="auto"/>
        <w:tabs>
          <w:tab w:leader="none" w:pos="741" w:val="left"/>
        </w:tabs>
        <w:numPr>
          <w:ilvl w:val="0"/>
          <w:numId w:val="467"/>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Must comply with the minimum assignment amounts set forth in Section 9.04(b)(ii)(A) of the Credit Agreement, to the extent such minimum assignment amounts are applicable.</w:t>
      </w:r>
    </w:p>
    <w:p>
      <w:pPr>
        <w:spacing w:after="0" w:line="158" w:lineRule="exact"/>
        <w:rPr>
          <w:sz w:val="20"/>
          <w:szCs w:val="20"/>
          <w:color w:val="auto"/>
        </w:rPr>
      </w:pPr>
    </w:p>
    <w:p>
      <w:pPr>
        <w:ind w:left="660" w:right="780" w:hanging="652"/>
        <w:spacing w:after="0" w:line="258" w:lineRule="auto"/>
        <w:tabs>
          <w:tab w:leader="none" w:pos="741"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Set forth, to at least 9 decimals, as a percentage of the Commitment/Loans of all Term Lenders or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68" w:right="979" w:bottom="1440" w:gutter="0" w:footer="0" w:header="0"/>
        </w:sectPr>
      </w:pPr>
    </w:p>
    <w:bookmarkStart w:id="587" w:name="page588"/>
    <w:bookmarkEnd w:id="587"/>
    <w:p>
      <w:pPr>
        <w:ind w:left="840"/>
        <w:spacing w:after="0"/>
        <w:rPr>
          <w:sz w:val="20"/>
          <w:szCs w:val="20"/>
          <w:color w:val="auto"/>
        </w:rPr>
      </w:pPr>
      <w:r>
        <w:rPr>
          <w:rFonts w:ascii="Times New Roman" w:cs="Times New Roman" w:eastAsia="Times New Roman" w:hAnsi="Times New Roman"/>
          <w:sz w:val="22"/>
          <w:szCs w:val="22"/>
          <w:color w:val="auto"/>
        </w:rPr>
        <w:t>The terms set forth in this Assignment and Assumption are hereby agreed to:</w:t>
      </w:r>
    </w:p>
    <w:p>
      <w:pPr>
        <w:spacing w:after="0" w:line="200" w:lineRule="exact"/>
        <w:rPr>
          <w:sz w:val="20"/>
          <w:szCs w:val="20"/>
          <w:color w:val="auto"/>
        </w:rPr>
      </w:pPr>
    </w:p>
    <w:p>
      <w:pPr>
        <w:spacing w:after="0" w:line="2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 OF ASSIGNOR], as Assignor,</w:t>
      </w: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165100</wp:posOffset>
            </wp:positionV>
            <wp:extent cx="30943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 OF ASSIGNEE], as Assignee, by</w:t>
      </w: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165100</wp:posOffset>
            </wp:positionV>
            <wp:extent cx="30943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22"/>
          <w:szCs w:val="22"/>
          <w:color w:val="auto"/>
        </w:rPr>
        <w:t>[Consented to and]</w:t>
      </w:r>
      <w:r>
        <w:rPr>
          <w:rFonts w:ascii="Times New Roman" w:cs="Times New Roman" w:eastAsia="Times New Roman" w:hAnsi="Times New Roman"/>
          <w:sz w:val="16"/>
          <w:szCs w:val="16"/>
          <w:color w:val="auto"/>
        </w:rPr>
        <w:t>4</w:t>
      </w:r>
      <w:r>
        <w:rPr>
          <w:rFonts w:ascii="Times New Roman" w:cs="Times New Roman" w:eastAsia="Times New Roman" w:hAnsi="Times New Roman"/>
          <w:sz w:val="22"/>
          <w:szCs w:val="22"/>
          <w:color w:val="auto"/>
        </w:rPr>
        <w:t xml:space="preserve"> Accepted: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 ,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-151130</wp:posOffset>
            </wp:positionV>
            <wp:extent cx="24599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w:t>
      </w:r>
      <w:r>
        <w:rPr>
          <w:rFonts w:ascii="Times New Roman" w:cs="Times New Roman" w:eastAsia="Times New Roman" w:hAnsi="Times New Roman"/>
          <w:sz w:val="16"/>
          <w:szCs w:val="16"/>
          <w:color w:val="auto"/>
        </w:rPr>
        <w:t>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-151130</wp:posOffset>
            </wp:positionV>
            <wp:extent cx="24599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w:t>
      </w:r>
      <w:r>
        <w:rPr>
          <w:rFonts w:ascii="Times New Roman" w:cs="Times New Roman" w:eastAsia="Times New Roman" w:hAnsi="Times New Roman"/>
          <w:sz w:val="16"/>
          <w:szCs w:val="16"/>
          <w:color w:val="auto"/>
        </w:rPr>
        <w:t>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[ISSUING BANK,]</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-151130</wp:posOffset>
            </wp:positionV>
            <wp:extent cx="24599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156845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line="258" w:lineRule="auto"/>
        <w:tabs>
          <w:tab w:leader="none" w:pos="741" w:val="left"/>
        </w:tabs>
        <w:numPr>
          <w:ilvl w:val="0"/>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To be included only if the consent of the Administrative Agent is required by Section 9.04(b)(i)(B) of the Credit Agreement.</w:t>
      </w:r>
    </w:p>
    <w:p>
      <w:pPr>
        <w:spacing w:after="0" w:line="158" w:lineRule="exact"/>
        <w:rPr>
          <w:sz w:val="20"/>
          <w:szCs w:val="20"/>
          <w:color w:val="auto"/>
        </w:rPr>
      </w:pPr>
    </w:p>
    <w:p>
      <w:pPr>
        <w:ind w:left="660" w:right="440" w:hanging="652"/>
        <w:spacing w:after="0" w:line="258" w:lineRule="auto"/>
        <w:tabs>
          <w:tab w:leader="none" w:pos="741" w:val="left"/>
        </w:tabs>
        <w:numPr>
          <w:ilvl w:val="0"/>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To be included only if the consent of the Borrower is required by Section 9.04(b)(i)(A) of the Credit Agreement.</w:t>
      </w:r>
    </w:p>
    <w:p>
      <w:pPr>
        <w:spacing w:after="0" w:line="158" w:lineRule="exact"/>
        <w:rPr>
          <w:sz w:val="20"/>
          <w:szCs w:val="20"/>
          <w:color w:val="auto"/>
        </w:rPr>
      </w:pPr>
    </w:p>
    <w:p>
      <w:pPr>
        <w:ind w:left="660" w:right="100" w:hanging="652"/>
        <w:spacing w:after="0" w:line="258" w:lineRule="auto"/>
        <w:tabs>
          <w:tab w:leader="none" w:pos="741"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To be included only if the consent of any Issuing Bank is required by Section 9.04(b)(i)(C) of the Credit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084" w:right="109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22"/>
          <w:szCs w:val="22"/>
          <w:color w:val="auto"/>
        </w:rPr>
        <w:t>[Consented to:]</w:t>
      </w:r>
      <w:r>
        <w:rPr>
          <w:rFonts w:ascii="Times New Roman" w:cs="Times New Roman" w:eastAsia="Times New Roman" w:hAnsi="Times New Roman"/>
          <w:sz w:val="16"/>
          <w:szCs w:val="16"/>
          <w:color w:val="auto"/>
        </w:rPr>
        <w:t>7</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PNC BANK, NATIONAL ASSOCIATION,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Swingline Lender,</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-151130</wp:posOffset>
            </wp:positionV>
            <wp:extent cx="233172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156845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line="258" w:lineRule="auto"/>
        <w:tabs>
          <w:tab w:leader="none" w:pos="741"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22"/>
          <w:szCs w:val="22"/>
          <w:color w:val="auto"/>
        </w:rPr>
        <w:t>To be included only if the consent of the Swingline Lender is required by Section 9.04(b)(i)(D) of the Credit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00"/>
          </w:cols>
          <w:pgMar w:left="980" w:top="1084" w:right="1419" w:bottom="1440" w:gutter="0" w:footer="0" w:header="0"/>
        </w:sectPr>
      </w:pPr>
    </w:p>
    <w:bookmarkStart w:id="590" w:name="page591"/>
    <w:bookmarkEnd w:id="590"/>
    <w:p>
      <w:pPr>
        <w:jc w:val="right"/>
        <w:spacing w:after="0"/>
        <w:rPr>
          <w:sz w:val="20"/>
          <w:szCs w:val="20"/>
          <w:color w:val="auto"/>
        </w:rPr>
      </w:pPr>
      <w:r>
        <w:rPr>
          <w:rFonts w:ascii="Times New Roman" w:cs="Times New Roman" w:eastAsia="Times New Roman" w:hAnsi="Times New Roman"/>
          <w:sz w:val="22"/>
          <w:szCs w:val="22"/>
          <w:color w:val="auto"/>
        </w:rPr>
        <w:t>ANNEX 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ind w:left="1960" w:hanging="656"/>
        <w:spacing w:after="0"/>
        <w:tabs>
          <w:tab w:leader="none" w:pos="196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1"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(or, prior to the first such delivery, the financial statements referred to in Section 3.04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Lender, and (v) if it is a Lender that is a U.S. Person, attached to this Assignment and Assumption is IRS Form W-9 certifying that such Lender is exempt from U.S. Federal backup withholding tax, (vi) if it is a Foreign Lender, attached to this Assignment and Assumption is any documentation required to be delivered by it pursuant to Section 2.17 of the Credit Agreement, duly completed and executed by the Assignee, and (vii) it does not bear a relationship to Borrower described in Section 108(e)(4) of the Code;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91" w:name="page592"/>
    <w:bookmarkEnd w:id="591"/>
    <w:p>
      <w:pPr>
        <w:jc w:val="both"/>
        <w:ind w:firstLine="1304"/>
        <w:spacing w:after="0" w:line="239" w:lineRule="auto"/>
        <w:tabs>
          <w:tab w:leader="none" w:pos="2147"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0" w:lineRule="exact"/>
        <w:rPr>
          <w:rFonts w:ascii="Times New Roman" w:cs="Times New Roman" w:eastAsia="Times New Roman" w:hAnsi="Times New Roman"/>
          <w:sz w:val="22"/>
          <w:szCs w:val="22"/>
          <w:color w:val="auto"/>
        </w:rPr>
      </w:pPr>
    </w:p>
    <w:p>
      <w:pPr>
        <w:ind w:firstLine="1304"/>
        <w:spacing w:after="0" w:line="235" w:lineRule="auto"/>
        <w:tabs>
          <w:tab w:leader="none" w:pos="2012"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Assignment and Assumption shall be binding upon, and inure to the benefit of, the parties hereto and their respective successors and assigns. This Assignment and Assumption may be executed in counterparts (and by different parties hereto on different counterparts), each of which shall constitute an original, but all of which when taken together shall constitute a single contract. Delivery of an executed counterpart of a signature page of this Assignment and Assumption by facsimile or other electronic imaging shall be effective as delivery of a manually executed counterpart of this Assignment and Assumption. This Assignment and Assumption shall be construed in accordance with and governed by the law of the Commonwealth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92" w:name="page593"/>
    <w:bookmarkEnd w:id="592"/>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INTEREST ELECTION REQUEST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2"/>
          <w:szCs w:val="22"/>
          <w:color w:val="auto"/>
        </w:rPr>
        <w:t>PNC Bank, National Association</w:t>
      </w:r>
    </w:p>
    <w:p>
      <w:pPr>
        <w:spacing w:after="0" w:line="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as Administrative Agent</w:t>
      </w:r>
    </w:p>
    <w:p>
      <w:pPr>
        <w:ind w:left="1300"/>
        <w:spacing w:after="0" w:line="230" w:lineRule="auto"/>
        <w:rPr>
          <w:sz w:val="20"/>
          <w:szCs w:val="20"/>
          <w:color w:val="auto"/>
        </w:rPr>
      </w:pPr>
      <w:r>
        <w:rPr>
          <w:rFonts w:ascii="Times New Roman" w:cs="Times New Roman" w:eastAsia="Times New Roman" w:hAnsi="Times New Roman"/>
          <w:sz w:val="22"/>
          <w:szCs w:val="22"/>
          <w:color w:val="auto"/>
        </w:rPr>
        <w:t>PNC Firstside Center</w:t>
      </w:r>
    </w:p>
    <w:p>
      <w:pPr>
        <w:ind w:left="1300"/>
        <w:spacing w:after="0" w:line="231" w:lineRule="auto"/>
        <w:rPr>
          <w:sz w:val="20"/>
          <w:szCs w:val="20"/>
          <w:color w:val="auto"/>
        </w:rPr>
      </w:pPr>
      <w:r>
        <w:rPr>
          <w:rFonts w:ascii="Times New Roman" w:cs="Times New Roman" w:eastAsia="Times New Roman" w:hAnsi="Times New Roman"/>
          <w:sz w:val="22"/>
          <w:szCs w:val="22"/>
          <w:color w:val="auto"/>
        </w:rPr>
        <w:t>500 First Avenue</w:t>
      </w:r>
    </w:p>
    <w:p>
      <w:pPr>
        <w:ind w:left="1300"/>
        <w:spacing w:after="0" w:line="230" w:lineRule="auto"/>
        <w:rPr>
          <w:sz w:val="20"/>
          <w:szCs w:val="20"/>
          <w:color w:val="auto"/>
        </w:rPr>
      </w:pPr>
      <w:r>
        <w:rPr>
          <w:rFonts w:ascii="Times New Roman" w:cs="Times New Roman" w:eastAsia="Times New Roman" w:hAnsi="Times New Roman"/>
          <w:sz w:val="22"/>
          <w:szCs w:val="22"/>
          <w:color w:val="auto"/>
        </w:rPr>
        <w:t>Pittsburgh, PA 15219</w:t>
      </w:r>
    </w:p>
    <w:p>
      <w:pPr>
        <w:ind w:left="1300"/>
        <w:spacing w:after="0" w:line="231" w:lineRule="auto"/>
        <w:rPr>
          <w:sz w:val="20"/>
          <w:szCs w:val="20"/>
          <w:color w:val="auto"/>
        </w:rPr>
      </w:pPr>
      <w:r>
        <w:rPr>
          <w:rFonts w:ascii="Times New Roman" w:cs="Times New Roman" w:eastAsia="Times New Roman" w:hAnsi="Times New Roman"/>
          <w:sz w:val="22"/>
          <w:szCs w:val="22"/>
          <w:color w:val="auto"/>
        </w:rPr>
        <w:t>Telephone No.: (412) 762-6442</w:t>
      </w:r>
    </w:p>
    <w:p>
      <w:pPr>
        <w:ind w:left="1300"/>
        <w:spacing w:after="0" w:line="230" w:lineRule="auto"/>
        <w:rPr>
          <w:sz w:val="20"/>
          <w:szCs w:val="20"/>
          <w:color w:val="auto"/>
        </w:rPr>
      </w:pPr>
      <w:r>
        <w:rPr>
          <w:rFonts w:ascii="Times New Roman" w:cs="Times New Roman" w:eastAsia="Times New Roman" w:hAnsi="Times New Roman"/>
          <w:sz w:val="22"/>
          <w:szCs w:val="22"/>
          <w:color w:val="auto"/>
        </w:rPr>
        <w:t>Telecopier No.: (412) 762-8672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Agency Services</w:t>
      </w:r>
    </w:p>
    <w:p>
      <w:pPr>
        <w:spacing w:after="0" w:line="20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FROM:</w:t>
      </w:r>
      <w:r>
        <w:rPr>
          <w:sz w:val="20"/>
          <w:szCs w:val="20"/>
          <w:color w:val="auto"/>
        </w:rPr>
        <w:tab/>
      </w:r>
      <w:r>
        <w:rPr>
          <w:rFonts w:ascii="Times New Roman" w:cs="Times New Roman" w:eastAsia="Times New Roman" w:hAnsi="Times New Roman"/>
          <w:sz w:val="22"/>
          <w:szCs w:val="22"/>
          <w:color w:val="auto"/>
        </w:rPr>
        <w:t>Bentley Systems, Incorporated</w:t>
      </w:r>
    </w:p>
    <w:p>
      <w:pPr>
        <w:spacing w:after="0" w:line="206" w:lineRule="exact"/>
        <w:rPr>
          <w:sz w:val="20"/>
          <w:szCs w:val="20"/>
          <w:color w:val="auto"/>
        </w:rPr>
      </w:pPr>
    </w:p>
    <w:p>
      <w:pPr>
        <w:ind w:left="1300" w:right="140" w:hanging="1295"/>
        <w:spacing w:after="0" w:line="239"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2"/>
          <w:szCs w:val="22"/>
          <w:color w:val="auto"/>
        </w:rPr>
        <w:t>Amended and Restated Credit Agreement, dated as of December 19, 2017 (as it may be amended, restated, modified or supplemented,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Bentley Systems, Incorporated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 the Lenders party thereto and PNC Bank, National Association, as the administrative agent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-27940</wp:posOffset>
            </wp:positionV>
            <wp:extent cx="2868295"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60">
                      <a:extLst>
                        <a:ext uri="{28A0092B-C50C-407E-A947-70E740481C1C}"/>
                      </a:extLst>
                    </a:blip>
                    <a:srcRect/>
                    <a:stretch>
                      <a:fillRect/>
                    </a:stretch>
                  </pic:blipFill>
                  <pic:spPr bwMode="auto">
                    <a:xfrm>
                      <a:off x="0" y="0"/>
                      <a:ext cx="2868295" cy="8890"/>
                    </a:xfrm>
                    <a:prstGeom prst="rect">
                      <a:avLst/>
                    </a:prstGeom>
                    <a:noFill/>
                  </pic:spPr>
                </pic:pic>
              </a:graphicData>
            </a:graphic>
          </wp:anchor>
        </w:drawing>
      </w:r>
    </w:p>
    <w:p>
      <w:pPr>
        <w:spacing w:after="0" w:line="16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Capitalized terms not otherwise defined herein shall have the respective meanings ascribed to them by the Credit Agreement. This notice constitutes an Interest Election Request. Pursuant to Section 2.07 of the Credit Agreement, the undersigned Borrower irrevocably requests:</w:t>
      </w:r>
    </w:p>
    <w:p>
      <w:pPr>
        <w:spacing w:after="0" w:line="16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1.(a)</w:t>
      </w:r>
      <w:r>
        <w:rPr>
          <w:sz w:val="20"/>
          <w:szCs w:val="20"/>
          <w:color w:val="auto"/>
        </w:rPr>
        <w:tab/>
      </w:r>
      <w:r>
        <w:rPr>
          <w:rFonts w:ascii="Times New Roman" w:cs="Times New Roman" w:eastAsia="Times New Roman" w:hAnsi="Times New Roman"/>
          <w:sz w:val="21"/>
          <w:szCs w:val="21"/>
          <w:color w:val="auto"/>
        </w:rPr>
        <w:t xml:space="preserve">Renewal of a Eurocurrency Borrowing applicable to an outstanding ________________ </w:t>
      </w:r>
      <w:r>
        <w:rPr>
          <w:rFonts w:ascii="Times New Roman" w:cs="Times New Roman" w:eastAsia="Times New Roman" w:hAnsi="Times New Roman"/>
          <w:sz w:val="21"/>
          <w:szCs w:val="21"/>
          <w:i w:val="1"/>
          <w:iCs w:val="1"/>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-11430</wp:posOffset>
            </wp:positionV>
            <wp:extent cx="13716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i w:val="1"/>
          <w:iCs w:val="1"/>
          <w:color w:val="auto"/>
        </w:rPr>
        <w:t xml:space="preserve">Class of Loan -- Revolving Loan or Term Loan] </w:t>
      </w:r>
      <w:r>
        <w:rPr>
          <w:rFonts w:ascii="Times New Roman" w:cs="Times New Roman" w:eastAsia="Times New Roman" w:hAnsi="Times New Roman"/>
          <w:sz w:val="21"/>
          <w:szCs w:val="21"/>
          <w:color w:val="auto"/>
        </w:rPr>
        <w:t>originally made on __________ __, ____ OR</w:t>
      </w:r>
    </w:p>
    <w:p>
      <w:pPr>
        <w:spacing w:after="0" w:line="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 xml:space="preserve">Conversion of an ABR Borrowing applicable to an outstanding ________________ </w:t>
      </w:r>
      <w:r>
        <w:rPr>
          <w:rFonts w:ascii="Times New Roman" w:cs="Times New Roman" w:eastAsia="Times New Roman" w:hAnsi="Times New Roman"/>
          <w:sz w:val="22"/>
          <w:szCs w:val="22"/>
          <w:i w:val="1"/>
          <w:iCs w:val="1"/>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-29210</wp:posOffset>
            </wp:positionV>
            <wp:extent cx="13716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6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700"/>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Class of Loan -- Revolving Loan or Term Loan] </w:t>
      </w:r>
      <w:r>
        <w:rPr>
          <w:rFonts w:ascii="Times New Roman" w:cs="Times New Roman" w:eastAsia="Times New Roman" w:hAnsi="Times New Roman"/>
          <w:sz w:val="22"/>
          <w:szCs w:val="22"/>
          <w:color w:val="auto"/>
        </w:rPr>
        <w:t>originally made on _____________ to a</w:t>
      </w:r>
    </w:p>
    <w:p>
      <w:pPr>
        <w:ind w:left="1700"/>
        <w:spacing w:after="0" w:line="231" w:lineRule="auto"/>
        <w:rPr>
          <w:sz w:val="20"/>
          <w:szCs w:val="20"/>
          <w:color w:val="auto"/>
        </w:rPr>
      </w:pPr>
      <w:r>
        <w:rPr>
          <w:rFonts w:ascii="Times New Roman" w:cs="Times New Roman" w:eastAsia="Times New Roman" w:hAnsi="Times New Roman"/>
          <w:sz w:val="22"/>
          <w:szCs w:val="22"/>
          <w:color w:val="auto"/>
        </w:rPr>
        <w:t>Eurocurrency Borrowing, OR</w:t>
      </w:r>
    </w:p>
    <w:p>
      <w:pPr>
        <w:ind w:left="1760"/>
        <w:spacing w:after="0"/>
        <w:rPr>
          <w:sz w:val="20"/>
          <w:szCs w:val="20"/>
          <w:color w:val="auto"/>
        </w:rPr>
      </w:pPr>
      <w:r>
        <w:rPr>
          <w:rFonts w:ascii="Times New Roman" w:cs="Times New Roman" w:eastAsia="Times New Roman" w:hAnsi="Times New Roman"/>
          <w:sz w:val="22"/>
          <w:szCs w:val="22"/>
          <w:color w:val="auto"/>
        </w:rPr>
        <w:t>Conversion of a Eurocurrency Borrowing applicable to an outstanding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-29210</wp:posOffset>
            </wp:positionV>
            <wp:extent cx="13716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700"/>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[specify Class of Loan -- Revolving Loan or Term Loan] </w:t>
      </w:r>
      <w:r>
        <w:rPr>
          <w:rFonts w:ascii="Times New Roman" w:cs="Times New Roman" w:eastAsia="Times New Roman" w:hAnsi="Times New Roman"/>
          <w:sz w:val="22"/>
          <w:szCs w:val="22"/>
          <w:color w:val="auto"/>
        </w:rPr>
        <w:t>originally made on __________ __,</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____ to an ABR Loan.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SUCH RENEWED OR CONVERTED LOAN SHALL BEAR INTEREST:</w:t>
            </w:r>
          </w:p>
        </w:tc>
      </w:tr>
      <w:tr>
        <w:trPr>
          <w:trHeight w:val="459"/>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80" w:type="dxa"/>
            <w:vAlign w:val="bottom"/>
          </w:tcPr>
          <w:p>
            <w:pPr>
              <w:ind w:left="60"/>
              <w:spacing w:after="0"/>
              <w:rPr>
                <w:sz w:val="20"/>
                <w:szCs w:val="20"/>
                <w:color w:val="auto"/>
              </w:rPr>
            </w:pPr>
            <w:r>
              <w:rPr>
                <w:rFonts w:ascii="Times New Roman" w:cs="Times New Roman" w:eastAsia="Times New Roman" w:hAnsi="Times New Roman"/>
                <w:sz w:val="22"/>
                <w:szCs w:val="22"/>
                <w:i w:val="1"/>
                <w:iCs w:val="1"/>
                <w:color w:val="auto"/>
              </w:rPr>
              <w:t>[Check one line under 1(b) below and fill in blank spaces in line next to line]:</w:t>
            </w:r>
          </w:p>
        </w:tc>
      </w:tr>
      <w:tr>
        <w:trPr>
          <w:trHeight w:val="407"/>
        </w:trPr>
        <w:tc>
          <w:tcPr>
            <w:tcW w:w="13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1.(b)(i)</w:t>
            </w:r>
          </w:p>
        </w:tc>
        <w:tc>
          <w:tcPr>
            <w:tcW w:w="200" w:type="dxa"/>
            <w:vAlign w:val="bottom"/>
            <w:tcBorders>
              <w:bottom w:val="single" w:sz="8" w:color="auto"/>
            </w:tcBorders>
          </w:tcPr>
          <w:p>
            <w:pPr>
              <w:spacing w:after="0"/>
              <w:rPr>
                <w:sz w:val="24"/>
                <w:szCs w:val="24"/>
                <w:color w:val="auto"/>
              </w:rPr>
            </w:pPr>
          </w:p>
        </w:tc>
        <w:tc>
          <w:tcPr>
            <w:tcW w:w="8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Conversion to ABR Borrowing. Such Eurocurrency Borrowing shall convert to an ABR</w:t>
            </w:r>
          </w:p>
        </w:tc>
      </w:tr>
      <w:tr>
        <w:trPr>
          <w:trHeight w:val="250"/>
        </w:trPr>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380" w:type="dxa"/>
            <w:vAlign w:val="bottom"/>
          </w:tcPr>
          <w:p>
            <w:pPr>
              <w:ind w:left="160"/>
              <w:spacing w:after="0" w:line="249" w:lineRule="exact"/>
              <w:rPr>
                <w:sz w:val="20"/>
                <w:szCs w:val="20"/>
                <w:color w:val="auto"/>
              </w:rPr>
            </w:pPr>
            <w:r>
              <w:rPr>
                <w:rFonts w:ascii="Times New Roman" w:cs="Times New Roman" w:eastAsia="Times New Roman" w:hAnsi="Times New Roman"/>
                <w:sz w:val="22"/>
                <w:szCs w:val="22"/>
                <w:color w:val="auto"/>
              </w:rPr>
              <w:t>Borrowing on _____________, __ (which date shall be the last day of the preceding Interest</w:t>
            </w:r>
          </w:p>
        </w:tc>
      </w:tr>
      <w:tr>
        <w:trPr>
          <w:trHeight w:val="282"/>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Period for the Eurocurrency Loans being converted).</w:t>
            </w:r>
          </w:p>
        </w:tc>
      </w:tr>
      <w:tr>
        <w:trPr>
          <w:trHeight w:val="459"/>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8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OR</w:t>
            </w:r>
          </w:p>
        </w:tc>
      </w:tr>
      <w:tr>
        <w:trPr>
          <w:trHeight w:val="1683"/>
        </w:trPr>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593" w:name="page594"/>
    <w:bookmarkEnd w:id="593"/>
    <w:p>
      <w:pPr>
        <w:ind w:left="1240" w:hanging="876"/>
        <w:spacing w:after="0"/>
        <w:tabs>
          <w:tab w:leader="none" w:pos="1076" w:val="left"/>
        </w:tabs>
        <w:numPr>
          <w:ilvl w:val="1"/>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Eurocurrency Borrowing. Such Loan shall continue as a Eurocurrency Borrowing or convert to a Eurocurrency Borrowing on _____________ (which date shall be three (3) Business Days subsequent to the Business Day of receipt by the Administrative Agent by 11:00 a.m. Pittsburgh time of this Interest Election Request for renewing a Eurocurrency Borrowing or converting an ABR Borrowing to a Eurocurrency Borrowing).</w:t>
      </w:r>
    </w:p>
    <w:p>
      <w:pPr>
        <w:spacing w:after="0" w:line="179"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the Loan to be renewed or converted is U.S. $_____________.</w:t>
      </w:r>
    </w:p>
    <w:p>
      <w:pPr>
        <w:spacing w:after="0" w:line="229" w:lineRule="exact"/>
        <w:rPr>
          <w:rFonts w:ascii="Times New Roman" w:cs="Times New Roman" w:eastAsia="Times New Roman" w:hAnsi="Times New Roman"/>
          <w:sz w:val="22"/>
          <w:szCs w:val="22"/>
          <w:color w:val="auto"/>
        </w:rPr>
      </w:pPr>
    </w:p>
    <w:p>
      <w:pPr>
        <w:ind w:left="840" w:right="80" w:hanging="644"/>
        <w:spacing w:after="0" w:line="243" w:lineRule="auto"/>
        <w:tabs>
          <w:tab w:leader="none" w:pos="84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[Complete blank below if the Borrower is continuing a Eurocurrency Borrowing or converting an ABR Borrowing to a Eurocurrency Borrowing]:</w:t>
      </w:r>
    </w:p>
    <w:p>
      <w:pPr>
        <w:spacing w:after="0" w:line="1" w:lineRule="exact"/>
        <w:rPr>
          <w:rFonts w:ascii="Times New Roman" w:cs="Times New Roman" w:eastAsia="Times New Roman" w:hAnsi="Times New Roman"/>
          <w:sz w:val="22"/>
          <w:szCs w:val="22"/>
          <w:color w:val="auto"/>
        </w:rPr>
      </w:pPr>
    </w:p>
    <w:p>
      <w:pPr>
        <w:ind w:left="8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Loan shall have an Interest Period of [one month][two, three, or six months] [twelve months, if agreed to by each Lender participating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-1720215</wp:posOffset>
            </wp:positionV>
            <wp:extent cx="13716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-31750</wp:posOffset>
            </wp:positionV>
            <wp:extent cx="140589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BENTLEY SYSTEMS,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10795</wp:posOffset>
            </wp:positionV>
            <wp:extent cx="293179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2"/>
          <w:szCs w:val="22"/>
          <w:color w:val="auto"/>
        </w:rPr>
        <w:t>Name:</w:t>
      </w:r>
    </w:p>
    <w:p>
      <w:pPr>
        <w:ind w:left="51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904240</wp:posOffset>
            </wp:positionV>
            <wp:extent cx="6292215" cy="2540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60"/>
          </w:cols>
          <w:pgMar w:left="1440" w:top="1111" w:right="1099" w:bottom="1440" w:gutter="0" w:footer="0" w:header="0"/>
        </w:sectPr>
      </w:pPr>
    </w:p>
    <w:bookmarkStart w:id="594" w:name="page595"/>
    <w:bookmarkEnd w:id="594"/>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6160" w:type="dxa"/>
            <w:vAlign w:val="bottom"/>
          </w:tcPr>
          <w:p>
            <w:pPr>
              <w:ind w:left="3780"/>
              <w:spacing w:after="0"/>
              <w:rPr>
                <w:sz w:val="20"/>
                <w:szCs w:val="20"/>
                <w:color w:val="auto"/>
              </w:rPr>
            </w:pPr>
            <w:r>
              <w:rPr>
                <w:rFonts w:ascii="Times New Roman" w:cs="Times New Roman" w:eastAsia="Times New Roman" w:hAnsi="Times New Roman"/>
                <w:sz w:val="18"/>
                <w:szCs w:val="18"/>
                <w:color w:val="auto"/>
                <w:w w:val="99"/>
              </w:rPr>
              <w:t>List of Subsidiaries of Registrant</w:t>
            </w: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4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Acute 3D</w:t>
            </w:r>
          </w:p>
        </w:tc>
        <w:tc>
          <w:tcPr>
            <w:tcW w:w="2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Canada Inc.</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Ontario</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Engineering Software Systems (Shanghai) Co. Ltd.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Engineering Software Systems (Shanghai) Co. Ltd.-Dalian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Engineering Software Systems (Shanghai) Co., Limited - Xi'an Branch</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Engineering Software Systems (Shanghai) Co., Ltd.-Beijing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Software International, Ltd.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Software Solutions Philippines Inc.</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Software, Inc.</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(Beijing) Co.,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(Beijing) Co., Ltd-Guangzhou Branch</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(Malaysia) Sdn. Bhd.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(New Zealand) Limited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(UK)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AG</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Austria Gmbh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Aviation, LLC</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Brasil Ltda.</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Co. Ltd.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Coop Holdings, LLC</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CR s.r.o.</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de Mexico SA de CV</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Europe B.V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Europe B.V. Filialas</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Europe B.V. Jordan</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Jordan</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Europe B.V.-Dubai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Dubai</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Finland Oy</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France S.a.r.l.</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Germany GmbH</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Hong Kong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Iberica S.A.</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India Private Limited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International Development Limited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International Holdings, Inc.</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International Limited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International Limited - Portuguese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International Limited - Slovakia Branch</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International Limited-Chilean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International Limited-Qatar Branch</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Qatar</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International Limited-Saudi Branch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Italia S.r.l.</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Korea Inc.</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Korea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Netherlands B.V.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Pakistan (Pvt.)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Pakistan</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Polska Sp z o.o.</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Poland</w:t>
            </w:r>
          </w:p>
        </w:tc>
      </w:tr>
      <w:tr>
        <w:trPr>
          <w:trHeight w:val="776"/>
        </w:trPr>
        <w:tc>
          <w:tcPr>
            <w:tcW w:w="6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95" w:name="page596"/>
    <w:bookmarkEnd w:id="595"/>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Name of Subsidiary</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Pty. Ltd.</w:t>
            </w:r>
          </w:p>
        </w:tc>
        <w:tc>
          <w:tcPr>
            <w:tcW w:w="2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Romania S.R.L.</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Russia (OOO)</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Scandinavia A/S</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Scandinavia NUF</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Singapore Pte.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198"/>
        </w:trPr>
        <w:tc>
          <w:tcPr>
            <w:tcW w:w="6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Bentley Systems Software Solutions LLC Turkey (Bentley Systems Yazılım</w:t>
            </w:r>
          </w:p>
        </w:tc>
        <w:tc>
          <w:tcPr>
            <w:tcW w:w="37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Turkey</w:t>
            </w:r>
          </w:p>
        </w:tc>
      </w:tr>
      <w:tr>
        <w:trPr>
          <w:trHeight w:val="234"/>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Çözümleri Limited Şirketi)</w:t>
            </w:r>
          </w:p>
        </w:tc>
        <w:tc>
          <w:tcPr>
            <w:tcW w:w="20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Solutions B.V.B.A</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South Africa (Pty) Ltd.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Bentley Systems Sweden AB</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Bentley Systems, Incorporated, Taiwan</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BSI Holding GmbH</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BSI Holdings B.V.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BSI Holdings Pty.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BSI International Holdings Coöperatief U.A.</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Business Collaborator Limited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England</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C3 Global Ltd.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Citilabs Asia PTE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Citilabs Inc.</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Citilabs Technologies Limited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Cohesive Solutions, LLC,</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Digital Water Works Incorporated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E-ON Software SARL</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Keynetix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Orbit Geospatial Technologies NV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Orbit GT Asia PTE.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Plaxinvest BV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Plaxis bv</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Plaxis Services bv</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Synchro Global Holdings Ltd</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Synchro Software Limited</w:t>
            </w:r>
          </w:p>
        </w:tc>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USAssets bv</w:t>
            </w: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Netherlands</w:t>
            </w:r>
          </w:p>
        </w:tc>
      </w:tr>
      <w:tr>
        <w:trPr>
          <w:trHeight w:val="758"/>
        </w:trPr>
        <w:tc>
          <w:tcPr>
            <w:tcW w:w="6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596" w:name="page597"/>
    <w:bookmarkEnd w:id="596"/>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Bentley Systems, Incorporated:</w:t>
      </w:r>
    </w:p>
    <w:p>
      <w:pPr>
        <w:spacing w:after="0" w:line="194" w:lineRule="exact"/>
        <w:rPr>
          <w:sz w:val="20"/>
          <w:szCs w:val="20"/>
          <w:color w:val="auto"/>
        </w:rPr>
      </w:pPr>
    </w:p>
    <w:p>
      <w:pPr>
        <w:ind w:left="60" w:right="259"/>
        <w:spacing w:after="0" w:line="246" w:lineRule="auto"/>
        <w:rPr>
          <w:sz w:val="20"/>
          <w:szCs w:val="20"/>
          <w:color w:val="auto"/>
        </w:rPr>
      </w:pPr>
      <w:r>
        <w:rPr>
          <w:rFonts w:ascii="Times New Roman" w:cs="Times New Roman" w:eastAsia="Times New Roman" w:hAnsi="Times New Roman"/>
          <w:sz w:val="20"/>
          <w:szCs w:val="20"/>
          <w:color w:val="auto"/>
        </w:rPr>
        <w:t>We consent to the use of our report dated March 6, 2020, with respect to the consolidated balance sheets of Bentley Systems, Incorporated as of December 31, 2019 and 2018, the related consolidated statements of operations, comprehensive income, stockholders’ equity, and cash flows for each of the years in the two-year period ended December 31, 2019, and the related notes, included herein and to the reference to our firm under the heading ‘Experts’ in the prospectus.</w:t>
      </w:r>
    </w:p>
    <w:p>
      <w:pPr>
        <w:spacing w:after="0" w:line="185" w:lineRule="exact"/>
        <w:rPr>
          <w:sz w:val="20"/>
          <w:szCs w:val="20"/>
          <w:color w:val="auto"/>
        </w:rPr>
      </w:pPr>
    </w:p>
    <w:p>
      <w:pPr>
        <w:ind w:left="60" w:right="699"/>
        <w:spacing w:after="0" w:line="269" w:lineRule="auto"/>
        <w:rPr>
          <w:sz w:val="20"/>
          <w:szCs w:val="20"/>
          <w:color w:val="auto"/>
        </w:rPr>
      </w:pPr>
      <w:r>
        <w:rPr>
          <w:rFonts w:ascii="Times New Roman" w:cs="Times New Roman" w:eastAsia="Times New Roman" w:hAnsi="Times New Roman"/>
          <w:sz w:val="20"/>
          <w:szCs w:val="20"/>
          <w:color w:val="auto"/>
        </w:rPr>
        <w:t>Our report refers to changes in accounting principle for revenue from contracts with customers and sales commissions due to the adoption of new accounting standards as of January 1, 2019.</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KPMG LLP</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September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603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916F2D"/>
    <w:multiLevelType w:val="hybridMultilevel"/>
    <w:lvl w:ilvl="0">
      <w:lvlJc w:val="left"/>
      <w:lvlText w:val="(%1)"/>
      <w:numFmt w:val="decimal"/>
      <w:start w:val="1"/>
    </w:lvl>
  </w:abstractNum>
  <w:abstractNum w:abstractNumId="1">
    <w:nsid w:val="435D38D"/>
    <w:multiLevelType w:val="hybridMultilevel"/>
    <w:lvl w:ilvl="0">
      <w:lvlJc w:val="left"/>
      <w:lvlText w:val="(%1)"/>
      <w:numFmt w:val="decimal"/>
      <w:start w:val="1"/>
    </w:lvl>
  </w:abstractNum>
  <w:abstractNum w:abstractNumId="2">
    <w:nsid w:val="822C0EF"/>
    <w:multiLevelType w:val="hybridMultilevel"/>
    <w:lvl w:ilvl="0">
      <w:lvlJc w:val="left"/>
      <w:lvlText w:val="●"/>
      <w:numFmt w:val="bullet"/>
      <w:start w:val="1"/>
    </w:lvl>
  </w:abstractNum>
  <w:abstractNum w:abstractNumId="3">
    <w:nsid w:val="57C5BB4F"/>
    <w:multiLevelType w:val="hybridMultilevel"/>
    <w:lvl w:ilvl="0">
      <w:lvlJc w:val="left"/>
      <w:lvlText w:val="●"/>
      <w:numFmt w:val="bullet"/>
      <w:start w:val="1"/>
    </w:lvl>
  </w:abstractNum>
  <w:abstractNum w:abstractNumId="4">
    <w:nsid w:val="1803D089"/>
    <w:multiLevelType w:val="hybridMultilevel"/>
    <w:lvl w:ilvl="0">
      <w:lvlJc w:val="left"/>
      <w:lvlText w:val="*"/>
      <w:numFmt w:val="bullet"/>
      <w:start w:val="1"/>
    </w:lvl>
  </w:abstractNum>
  <w:abstractNum w:abstractNumId="5">
    <w:nsid w:val="4F3A06D4"/>
    <w:multiLevelType w:val="hybridMultilevel"/>
    <w:lvl w:ilvl="0">
      <w:lvlJc w:val="left"/>
      <w:lvlText w:val="●"/>
      <w:numFmt w:val="bullet"/>
      <w:start w:val="1"/>
    </w:lvl>
  </w:abstractNum>
  <w:abstractNum w:abstractNumId="6">
    <w:nsid w:val="59A377B6"/>
    <w:multiLevelType w:val="hybridMultilevel"/>
    <w:lvl w:ilvl="0">
      <w:lvlJc w:val="left"/>
      <w:lvlText w:val="●"/>
      <w:numFmt w:val="bullet"/>
      <w:start w:val="1"/>
    </w:lvl>
  </w:abstractNum>
  <w:abstractNum w:abstractNumId="7">
    <w:nsid w:val="48AEB063"/>
    <w:multiLevelType w:val="hybridMultilevel"/>
    <w:lvl w:ilvl="0">
      <w:lvlJc w:val="left"/>
      <w:lvlText w:val="●"/>
      <w:numFmt w:val="bullet"/>
      <w:start w:val="1"/>
    </w:lvl>
  </w:abstractNum>
  <w:abstractNum w:abstractNumId="8">
    <w:nsid w:val="24E135"/>
    <w:multiLevelType w:val="hybridMultilevel"/>
    <w:lvl w:ilvl="0">
      <w:lvlJc w:val="left"/>
      <w:lvlText w:val="●"/>
      <w:numFmt w:val="bullet"/>
      <w:start w:val="1"/>
    </w:lvl>
  </w:abstractNum>
  <w:abstractNum w:abstractNumId="9">
    <w:nsid w:val="BB13C1"/>
    <w:multiLevelType w:val="hybridMultilevel"/>
    <w:lvl w:ilvl="0">
      <w:lvlJc w:val="left"/>
      <w:lvlText w:val="●"/>
      <w:numFmt w:val="bullet"/>
      <w:start w:val="1"/>
    </w:lvl>
  </w:abstractNum>
  <w:abstractNum w:abstractNumId="10">
    <w:nsid w:val="271210C7"/>
    <w:multiLevelType w:val="hybridMultilevel"/>
    <w:lvl w:ilvl="0">
      <w:lvlJc w:val="left"/>
      <w:lvlText w:val="●"/>
      <w:numFmt w:val="bullet"/>
      <w:start w:val="1"/>
    </w:lvl>
  </w:abstractNum>
  <w:abstractNum w:abstractNumId="11">
    <w:nsid w:val="217B22E4"/>
    <w:multiLevelType w:val="hybridMultilevel"/>
    <w:lvl w:ilvl="0">
      <w:lvlJc w:val="left"/>
      <w:lvlText w:val="●"/>
      <w:numFmt w:val="bullet"/>
      <w:start w:val="1"/>
    </w:lvl>
    <w:lvl w:ilvl="1">
      <w:lvlJc w:val="left"/>
      <w:lvlText w:val="●"/>
      <w:numFmt w:val="bullet"/>
      <w:start w:val="1"/>
    </w:lvl>
  </w:abstractNum>
  <w:abstractNum w:abstractNumId="12">
    <w:nsid w:val="53E31A24"/>
    <w:multiLevelType w:val="hybridMultilevel"/>
    <w:lvl w:ilvl="0">
      <w:lvlJc w:val="left"/>
      <w:lvlText w:val="●"/>
      <w:numFmt w:val="bullet"/>
      <w:start w:val="1"/>
    </w:lvl>
  </w:abstractNum>
  <w:abstractNum w:abstractNumId="13">
    <w:nsid w:val="6DC45E83"/>
    <w:multiLevelType w:val="hybridMultilevel"/>
    <w:lvl w:ilvl="0">
      <w:lvlJc w:val="left"/>
      <w:lvlText w:val="●"/>
      <w:numFmt w:val="bullet"/>
      <w:start w:val="1"/>
    </w:lvl>
  </w:abstractNum>
  <w:abstractNum w:abstractNumId="14">
    <w:nsid w:val="17304A67"/>
    <w:multiLevelType w:val="hybridMultilevel"/>
    <w:lvl w:ilvl="0">
      <w:lvlJc w:val="left"/>
      <w:lvlText w:val="●"/>
      <w:numFmt w:val="bullet"/>
      <w:start w:val="1"/>
    </w:lvl>
  </w:abstractNum>
  <w:abstractNum w:abstractNumId="15">
    <w:nsid w:val="2BB180D8"/>
    <w:multiLevelType w:val="hybridMultilevel"/>
    <w:lvl w:ilvl="0">
      <w:lvlJc w:val="left"/>
      <w:lvlText w:val="●"/>
      <w:numFmt w:val="bullet"/>
      <w:start w:val="1"/>
    </w:lvl>
  </w:abstractNum>
  <w:abstractNum w:abstractNumId="16">
    <w:nsid w:val="556B69ED"/>
    <w:multiLevelType w:val="hybridMultilevel"/>
    <w:lvl w:ilvl="0">
      <w:lvlJc w:val="left"/>
      <w:lvlText w:val="●"/>
      <w:numFmt w:val="bullet"/>
      <w:start w:val="1"/>
    </w:lvl>
  </w:abstractNum>
  <w:abstractNum w:abstractNumId="17">
    <w:nsid w:val="70836196"/>
    <w:multiLevelType w:val="hybridMultilevel"/>
    <w:lvl w:ilvl="0">
      <w:lvlJc w:val="left"/>
      <w:lvlText w:val="●"/>
      <w:numFmt w:val="bullet"/>
      <w:start w:val="1"/>
    </w:lvl>
  </w:abstractNum>
  <w:abstractNum w:abstractNumId="18">
    <w:nsid w:val="539F7F12"/>
    <w:multiLevelType w:val="hybridMultilevel"/>
    <w:lvl w:ilvl="0">
      <w:lvlJc w:val="left"/>
      <w:lvlText w:val="●"/>
      <w:numFmt w:val="bullet"/>
      <w:start w:val="1"/>
    </w:lvl>
  </w:abstractNum>
  <w:abstractNum w:abstractNumId="19">
    <w:nsid w:val="2817E7EC"/>
    <w:multiLevelType w:val="hybridMultilevel"/>
    <w:lvl w:ilvl="0">
      <w:lvlJc w:val="left"/>
      <w:lvlText w:val="(%1)"/>
      <w:numFmt w:val="decimal"/>
      <w:start w:val="1"/>
    </w:lvl>
  </w:abstractNum>
  <w:abstractNum w:abstractNumId="20">
    <w:nsid w:val="71482545"/>
    <w:multiLevelType w:val="hybridMultilevel"/>
    <w:lvl w:ilvl="0">
      <w:lvlJc w:val="left"/>
      <w:lvlText w:val="(%1)"/>
      <w:numFmt w:val="decimal"/>
      <w:start w:val="1"/>
    </w:lvl>
  </w:abstractNum>
  <w:abstractNum w:abstractNumId="21">
    <w:nsid w:val="17D78639"/>
    <w:multiLevelType w:val="hybridMultilevel"/>
    <w:lvl w:ilvl="0">
      <w:lvlJc w:val="left"/>
      <w:lvlText w:val="(%1)"/>
      <w:numFmt w:val="decimal"/>
      <w:start w:val="1"/>
    </w:lvl>
  </w:abstractNum>
  <w:abstractNum w:abstractNumId="22">
    <w:nsid w:val="141D2302"/>
    <w:multiLevelType w:val="hybridMultilevel"/>
    <w:lvl w:ilvl="0">
      <w:lvlJc w:val="left"/>
      <w:lvlText w:val="●"/>
      <w:numFmt w:val="bullet"/>
      <w:start w:val="1"/>
    </w:lvl>
  </w:abstractNum>
  <w:abstractNum w:abstractNumId="23">
    <w:nsid w:val="407168D8"/>
    <w:multiLevelType w:val="hybridMultilevel"/>
    <w:lvl w:ilvl="0">
      <w:lvlJc w:val="left"/>
      <w:lvlText w:val="$"/>
      <w:numFmt w:val="bullet"/>
      <w:start w:val="1"/>
    </w:lvl>
  </w:abstractNum>
  <w:abstractNum w:abstractNumId="24">
    <w:nsid w:val="6A1B45E5"/>
    <w:multiLevelType w:val="hybridMultilevel"/>
    <w:lvl w:ilvl="0">
      <w:lvlJc w:val="left"/>
      <w:lvlText w:val="(%1)"/>
      <w:numFmt w:val="lowerRoman"/>
      <w:start w:val="1"/>
    </w:lvl>
  </w:abstractNum>
  <w:abstractNum w:abstractNumId="25">
    <w:nsid w:val="567BD50A"/>
    <w:multiLevelType w:val="hybridMultilevel"/>
    <w:lvl w:ilvl="0">
      <w:lvlJc w:val="left"/>
      <w:lvlText w:val="●"/>
      <w:numFmt w:val="bullet"/>
      <w:start w:val="1"/>
    </w:lvl>
  </w:abstractNum>
  <w:abstractNum w:abstractNumId="26">
    <w:nsid w:val="73BBD7F8"/>
    <w:multiLevelType w:val="hybridMultilevel"/>
    <w:lvl w:ilvl="0">
      <w:lvlJc w:val="left"/>
      <w:lvlText w:val="●"/>
      <w:numFmt w:val="bullet"/>
      <w:start w:val="1"/>
    </w:lvl>
  </w:abstractNum>
  <w:abstractNum w:abstractNumId="27">
    <w:nsid w:val="1876589D"/>
    <w:multiLevelType w:val="hybridMultilevel"/>
    <w:lvl w:ilvl="0">
      <w:lvlJc w:val="left"/>
      <w:lvlText w:val="●"/>
      <w:numFmt w:val="bullet"/>
      <w:start w:val="1"/>
    </w:lvl>
  </w:abstractNum>
  <w:abstractNum w:abstractNumId="28">
    <w:nsid w:val="327FAC77"/>
    <w:multiLevelType w:val="hybridMultilevel"/>
    <w:lvl w:ilvl="0">
      <w:lvlJc w:val="left"/>
      <w:lvlText w:val="●"/>
      <w:numFmt w:val="bullet"/>
      <w:start w:val="1"/>
    </w:lvl>
  </w:abstractNum>
  <w:abstractNum w:abstractNumId="29">
    <w:nsid w:val="5A606509"/>
    <w:multiLevelType w:val="hybridMultilevel"/>
    <w:lvl w:ilvl="0">
      <w:lvlJc w:val="left"/>
      <w:lvlText w:val="●"/>
      <w:numFmt w:val="bullet"/>
      <w:start w:val="1"/>
    </w:lvl>
  </w:abstractNum>
  <w:abstractNum w:abstractNumId="30">
    <w:nsid w:val="6F38E6D1"/>
    <w:multiLevelType w:val="hybridMultilevel"/>
    <w:lvl w:ilvl="0">
      <w:lvlJc w:val="left"/>
      <w:lvlText w:val="●"/>
      <w:numFmt w:val="bullet"/>
      <w:start w:val="1"/>
    </w:lvl>
  </w:abstractNum>
  <w:abstractNum w:abstractNumId="31">
    <w:nsid w:val="46111BA5"/>
    <w:multiLevelType w:val="hybridMultilevel"/>
    <w:lvl w:ilvl="0">
      <w:lvlJc w:val="left"/>
      <w:lvlText w:val="●"/>
      <w:numFmt w:val="bullet"/>
      <w:start w:val="1"/>
    </w:lvl>
  </w:abstractNum>
  <w:abstractNum w:abstractNumId="32">
    <w:nsid w:val="5E963896"/>
    <w:multiLevelType w:val="hybridMultilevel"/>
    <w:lvl w:ilvl="0">
      <w:lvlJc w:val="left"/>
      <w:lvlText w:val="●"/>
      <w:numFmt w:val="bullet"/>
      <w:start w:val="1"/>
    </w:lvl>
  </w:abstractNum>
  <w:abstractNum w:abstractNumId="33">
    <w:nsid w:val="775BA7C1"/>
    <w:multiLevelType w:val="hybridMultilevel"/>
    <w:lvl w:ilvl="0">
      <w:lvlJc w:val="left"/>
      <w:lvlText w:val="●"/>
      <w:numFmt w:val="bullet"/>
      <w:start w:val="1"/>
    </w:lvl>
  </w:abstractNum>
  <w:abstractNum w:abstractNumId="34">
    <w:nsid w:val="1DD6D6F4"/>
    <w:multiLevelType w:val="hybridMultilevel"/>
    <w:lvl w:ilvl="0">
      <w:lvlJc w:val="left"/>
      <w:lvlText w:val="●"/>
      <w:numFmt w:val="bullet"/>
      <w:start w:val="1"/>
    </w:lvl>
  </w:abstractNum>
  <w:abstractNum w:abstractNumId="35">
    <w:nsid w:val="769A091F"/>
    <w:multiLevelType w:val="hybridMultilevel"/>
    <w:lvl w:ilvl="0">
      <w:lvlJc w:val="left"/>
      <w:lvlText w:val="●"/>
      <w:numFmt w:val="bullet"/>
      <w:start w:val="1"/>
    </w:lvl>
  </w:abstractNum>
  <w:abstractNum w:abstractNumId="36">
    <w:nsid w:val="4695AE95"/>
    <w:multiLevelType w:val="hybridMultilevel"/>
    <w:lvl w:ilvl="0">
      <w:lvlJc w:val="left"/>
      <w:lvlText w:val="●"/>
      <w:numFmt w:val="bullet"/>
      <w:start w:val="1"/>
    </w:lvl>
  </w:abstractNum>
  <w:abstractNum w:abstractNumId="37">
    <w:nsid w:val="777A4EAA"/>
    <w:multiLevelType w:val="hybridMultilevel"/>
    <w:lvl w:ilvl="0">
      <w:lvlJc w:val="left"/>
      <w:lvlText w:val="●"/>
      <w:numFmt w:val="bullet"/>
      <w:start w:val="1"/>
    </w:lvl>
  </w:abstractNum>
  <w:abstractNum w:abstractNumId="38">
    <w:nsid w:val="3F48B982"/>
    <w:multiLevelType w:val="hybridMultilevel"/>
    <w:lvl w:ilvl="0">
      <w:lvlJc w:val="left"/>
      <w:lvlText w:val="(%1)"/>
      <w:numFmt w:val="decimal"/>
      <w:start w:val="1"/>
    </w:lvl>
  </w:abstractNum>
  <w:abstractNum w:abstractNumId="39">
    <w:nsid w:val="46BA8FCA"/>
    <w:multiLevelType w:val="hybridMultilevel"/>
    <w:lvl w:ilvl="0">
      <w:lvlJc w:val="left"/>
      <w:lvlText w:val="●"/>
      <w:numFmt w:val="bullet"/>
      <w:start w:val="1"/>
    </w:lvl>
  </w:abstractNum>
  <w:abstractNum w:abstractNumId="40">
    <w:nsid w:val="7835626C"/>
    <w:multiLevelType w:val="hybridMultilevel"/>
    <w:lvl w:ilvl="0">
      <w:lvlJc w:val="left"/>
      <w:lvlText w:val="(%1)"/>
      <w:numFmt w:val="decimal"/>
      <w:start w:val="1"/>
    </w:lvl>
  </w:abstractNum>
  <w:abstractNum w:abstractNumId="41">
    <w:nsid w:val="665ACA49"/>
    <w:multiLevelType w:val="hybridMultilevel"/>
    <w:lvl w:ilvl="0">
      <w:lvlJc w:val="left"/>
      <w:lvlText w:val="(%1)"/>
      <w:numFmt w:val="decimal"/>
      <w:start w:val="1"/>
    </w:lvl>
  </w:abstractNum>
  <w:abstractNum w:abstractNumId="42">
    <w:nsid w:val="6835B2AE"/>
    <w:multiLevelType w:val="hybridMultilevel"/>
    <w:lvl w:ilvl="0">
      <w:lvlJc w:val="left"/>
      <w:lvlText w:val="(%1)"/>
      <w:numFmt w:val="decimal"/>
      <w:start w:val="1"/>
    </w:lvl>
  </w:abstractNum>
  <w:abstractNum w:abstractNumId="43">
    <w:nsid w:val="4C187C90"/>
    <w:multiLevelType w:val="hybridMultilevel"/>
    <w:lvl w:ilvl="0">
      <w:lvlJc w:val="left"/>
      <w:lvlText w:val="(%1)"/>
      <w:numFmt w:val="decimal"/>
      <w:start w:val="2"/>
    </w:lvl>
  </w:abstractNum>
  <w:abstractNum w:abstractNumId="44">
    <w:nsid w:val="541F28CD"/>
    <w:multiLevelType w:val="hybridMultilevel"/>
    <w:lvl w:ilvl="0">
      <w:lvlJc w:val="left"/>
      <w:lvlText w:val="(%1)"/>
      <w:numFmt w:val="decimal"/>
      <w:start w:val="1"/>
    </w:lvl>
  </w:abstractNum>
  <w:abstractNum w:abstractNumId="45">
    <w:nsid w:val="7F65FD16"/>
    <w:multiLevelType w:val="hybridMultilevel"/>
    <w:lvl w:ilvl="0">
      <w:lvlJc w:val="left"/>
      <w:lvlText w:val="(%1)"/>
      <w:numFmt w:val="decimal"/>
      <w:start w:val="3"/>
    </w:lvl>
    <w:lvl w:ilvl="1">
      <w:lvlJc w:val="left"/>
      <w:lvlText w:val="(%2)"/>
      <w:numFmt w:val="lowerLetter"/>
      <w:start w:val="1"/>
    </w:lvl>
  </w:abstractNum>
  <w:abstractNum w:abstractNumId="46">
    <w:nsid w:val="77C9FD68"/>
    <w:multiLevelType w:val="hybridMultilevel"/>
    <w:lvl w:ilvl="0">
      <w:lvlJc w:val="left"/>
      <w:lvlText w:val="(%1)"/>
      <w:numFmt w:val="lowerLetter"/>
      <w:start w:val="3"/>
    </w:lvl>
  </w:abstractNum>
  <w:abstractNum w:abstractNumId="47">
    <w:nsid w:val="298A92BA"/>
    <w:multiLevelType w:val="hybridMultilevel"/>
    <w:lvl w:ilvl="0">
      <w:lvlJc w:val="left"/>
      <w:lvlText w:val="●"/>
      <w:numFmt w:val="bullet"/>
      <w:start w:val="1"/>
    </w:lvl>
  </w:abstractNum>
  <w:abstractNum w:abstractNumId="48">
    <w:nsid w:val="6FE95EAC"/>
    <w:multiLevelType w:val="hybridMultilevel"/>
    <w:lvl w:ilvl="0">
      <w:lvlJc w:val="left"/>
      <w:lvlText w:val="●"/>
      <w:numFmt w:val="bullet"/>
      <w:start w:val="1"/>
    </w:lvl>
  </w:abstractNum>
  <w:abstractNum w:abstractNumId="49">
    <w:nsid w:val="4B697C7A"/>
    <w:multiLevelType w:val="hybridMultilevel"/>
    <w:lvl w:ilvl="0">
      <w:lvlJc w:val="left"/>
      <w:lvlText w:val="●"/>
      <w:numFmt w:val="bullet"/>
      <w:start w:val="1"/>
    </w:lvl>
  </w:abstractNum>
  <w:abstractNum w:abstractNumId="50">
    <w:nsid w:val="51A27AA6"/>
    <w:multiLevelType w:val="hybridMultilevel"/>
    <w:lvl w:ilvl="0">
      <w:lvlJc w:val="left"/>
      <w:lvlText w:val="●"/>
      <w:numFmt w:val="bullet"/>
      <w:start w:val="1"/>
    </w:lvl>
  </w:abstractNum>
  <w:abstractNum w:abstractNumId="51">
    <w:nsid w:val="613183F2"/>
    <w:multiLevelType w:val="hybridMultilevel"/>
    <w:lvl w:ilvl="0">
      <w:lvlJc w:val="left"/>
      <w:lvlText w:val="●"/>
      <w:numFmt w:val="bullet"/>
      <w:start w:val="1"/>
    </w:lvl>
  </w:abstractNum>
  <w:abstractNum w:abstractNumId="52">
    <w:nsid w:val="634102B4"/>
    <w:multiLevelType w:val="hybridMultilevel"/>
    <w:lvl w:ilvl="0">
      <w:lvlJc w:val="left"/>
      <w:lvlText w:val="●"/>
      <w:numFmt w:val="bullet"/>
      <w:start w:val="1"/>
    </w:lvl>
  </w:abstractNum>
  <w:abstractNum w:abstractNumId="53">
    <w:nsid w:val="65BF9DA8"/>
    <w:multiLevelType w:val="hybridMultilevel"/>
    <w:lvl w:ilvl="0">
      <w:lvlJc w:val="left"/>
      <w:lvlText w:val="●"/>
      <w:numFmt w:val="bullet"/>
      <w:start w:val="1"/>
    </w:lvl>
  </w:abstractNum>
  <w:abstractNum w:abstractNumId="54">
    <w:nsid w:val="21A2ECCA"/>
    <w:multiLevelType w:val="hybridMultilevel"/>
    <w:lvl w:ilvl="0">
      <w:lvlJc w:val="left"/>
      <w:lvlText w:val="●"/>
      <w:numFmt w:val="bullet"/>
      <w:start w:val="1"/>
    </w:lvl>
  </w:abstractNum>
  <w:abstractNum w:abstractNumId="55">
    <w:nsid w:val="4D5C4899"/>
    <w:multiLevelType w:val="hybridMultilevel"/>
    <w:lvl w:ilvl="0">
      <w:lvlJc w:val="left"/>
      <w:lvlText w:val="●"/>
      <w:numFmt w:val="bullet"/>
      <w:start w:val="1"/>
    </w:lvl>
  </w:abstractNum>
  <w:abstractNum w:abstractNumId="56">
    <w:nsid w:val="3C3B72B2"/>
    <w:multiLevelType w:val="hybridMultilevel"/>
    <w:lvl w:ilvl="0">
      <w:lvlJc w:val="left"/>
      <w:lvlText w:val="●"/>
      <w:numFmt w:val="bullet"/>
      <w:start w:val="1"/>
    </w:lvl>
  </w:abstractNum>
  <w:abstractNum w:abstractNumId="57">
    <w:nsid w:val="155EC4C2"/>
    <w:multiLevelType w:val="hybridMultilevel"/>
    <w:lvl w:ilvl="0">
      <w:lvlJc w:val="left"/>
      <w:lvlText w:val="●"/>
      <w:numFmt w:val="bullet"/>
      <w:start w:val="1"/>
    </w:lvl>
  </w:abstractNum>
  <w:abstractNum w:abstractNumId="58">
    <w:nsid w:val="65D2A137"/>
    <w:multiLevelType w:val="hybridMultilevel"/>
    <w:lvl w:ilvl="0">
      <w:lvlJc w:val="left"/>
      <w:lvlText w:val="(%1)"/>
      <w:numFmt w:val="decimal"/>
      <w:start w:val="1"/>
    </w:lvl>
  </w:abstractNum>
  <w:abstractNum w:abstractNumId="59">
    <w:nsid w:val="6EBB1F2A"/>
    <w:multiLevelType w:val="hybridMultilevel"/>
    <w:lvl w:ilvl="0">
      <w:lvlJc w:val="left"/>
      <w:lvlText w:val="(%1)"/>
      <w:numFmt w:val="decimal"/>
      <w:start w:val="2"/>
    </w:lvl>
  </w:abstractNum>
  <w:abstractNum w:abstractNumId="60">
    <w:nsid w:val="6FBF29CB"/>
    <w:multiLevelType w:val="hybridMultilevel"/>
    <w:lvl w:ilvl="0">
      <w:lvlJc w:val="left"/>
      <w:lvlText w:val="(%1)"/>
      <w:numFmt w:val="decimal"/>
      <w:start w:val="1"/>
    </w:lvl>
  </w:abstractNum>
  <w:abstractNum w:abstractNumId="61">
    <w:nsid w:val="550B8808"/>
    <w:multiLevelType w:val="hybridMultilevel"/>
    <w:lvl w:ilvl="0">
      <w:lvlJc w:val="left"/>
      <w:lvlText w:val="●"/>
      <w:numFmt w:val="bullet"/>
      <w:start w:val="1"/>
    </w:lvl>
  </w:abstractNum>
  <w:abstractNum w:abstractNumId="62">
    <w:nsid w:val="34CC3ACF"/>
    <w:multiLevelType w:val="hybridMultilevel"/>
    <w:lvl w:ilvl="0">
      <w:lvlJc w:val="left"/>
      <w:lvlText w:val="●"/>
      <w:numFmt w:val="bullet"/>
      <w:start w:val="1"/>
    </w:lvl>
  </w:abstractNum>
  <w:abstractNum w:abstractNumId="63">
    <w:nsid w:val="4E556261"/>
    <w:multiLevelType w:val="hybridMultilevel"/>
    <w:lvl w:ilvl="0">
      <w:lvlJc w:val="left"/>
      <w:lvlText w:val="(%1)"/>
      <w:numFmt w:val="lowerRoman"/>
      <w:start w:val="2"/>
    </w:lvl>
  </w:abstractNum>
  <w:abstractNum w:abstractNumId="64">
    <w:nsid w:val="4C672FC9"/>
    <w:multiLevelType w:val="hybridMultilevel"/>
    <w:lvl w:ilvl="0">
      <w:lvlJc w:val="left"/>
      <w:lvlText w:val="●"/>
      <w:numFmt w:val="bullet"/>
      <w:start w:val="1"/>
    </w:lvl>
  </w:abstractNum>
  <w:abstractNum w:abstractNumId="65">
    <w:nsid w:val="52A311C3"/>
    <w:multiLevelType w:val="hybridMultilevel"/>
    <w:lvl w:ilvl="0">
      <w:lvlJc w:val="left"/>
      <w:lvlText w:val="*"/>
      <w:numFmt w:val="bullet"/>
      <w:start w:val="1"/>
    </w:lvl>
  </w:abstractNum>
  <w:abstractNum w:abstractNumId="66">
    <w:nsid w:val="44EF6B80"/>
    <w:multiLevelType w:val="hybridMultilevel"/>
    <w:lvl w:ilvl="0">
      <w:lvlJc w:val="left"/>
      <w:lvlText w:val="*"/>
      <w:numFmt w:val="bullet"/>
      <w:start w:val="1"/>
    </w:lvl>
  </w:abstractNum>
  <w:abstractNum w:abstractNumId="67">
    <w:nsid w:val="12FCDE5E"/>
    <w:multiLevelType w:val="hybridMultilevel"/>
    <w:lvl w:ilvl="0">
      <w:lvlJc w:val="left"/>
      <w:lvlText w:val="●"/>
      <w:numFmt w:val="bullet"/>
      <w:start w:val="1"/>
    </w:lvl>
    <w:lvl w:ilvl="1">
      <w:lvlJc w:val="left"/>
      <w:lvlText w:val="●"/>
      <w:numFmt w:val="bullet"/>
      <w:start w:val="1"/>
    </w:lvl>
  </w:abstractNum>
  <w:abstractNum w:abstractNumId="68">
    <w:nsid w:val="4A1D606E"/>
    <w:multiLevelType w:val="hybridMultilevel"/>
    <w:lvl w:ilvl="0">
      <w:lvlJc w:val="left"/>
      <w:lvlText w:val="●"/>
      <w:numFmt w:val="bullet"/>
      <w:start w:val="1"/>
    </w:lvl>
  </w:abstractNum>
  <w:abstractNum w:abstractNumId="69">
    <w:nsid w:val="4382503"/>
    <w:multiLevelType w:val="hybridMultilevel"/>
    <w:lvl w:ilvl="0">
      <w:lvlJc w:val="left"/>
      <w:lvlText w:val="●"/>
      <w:numFmt w:val="bullet"/>
      <w:start w:val="1"/>
    </w:lvl>
  </w:abstractNum>
  <w:abstractNum w:abstractNumId="70">
    <w:nsid w:val="59B76E28"/>
    <w:multiLevelType w:val="hybridMultilevel"/>
    <w:lvl w:ilvl="0">
      <w:lvlJc w:val="left"/>
      <w:lvlText w:val="●"/>
      <w:numFmt w:val="bullet"/>
      <w:start w:val="1"/>
    </w:lvl>
  </w:abstractNum>
  <w:abstractNum w:abstractNumId="71">
    <w:nsid w:val="4252C2DA"/>
    <w:multiLevelType w:val="hybridMultilevel"/>
    <w:lvl w:ilvl="0">
      <w:lvlJc w:val="left"/>
      <w:lvlText w:val="●"/>
      <w:numFmt w:val="bullet"/>
      <w:start w:val="1"/>
    </w:lvl>
  </w:abstractNum>
  <w:abstractNum w:abstractNumId="72">
    <w:nsid w:val="6A92EF4C"/>
    <w:multiLevelType w:val="hybridMultilevel"/>
    <w:lvl w:ilvl="0">
      <w:lvlJc w:val="left"/>
      <w:lvlText w:val="●"/>
      <w:numFmt w:val="bullet"/>
      <w:start w:val="1"/>
    </w:lvl>
  </w:abstractNum>
  <w:abstractNum w:abstractNumId="73">
    <w:nsid w:val="41ED20D7"/>
    <w:multiLevelType w:val="hybridMultilevel"/>
    <w:lvl w:ilvl="0">
      <w:lvlJc w:val="left"/>
      <w:lvlText w:val="●"/>
      <w:numFmt w:val="bullet"/>
      <w:start w:val="1"/>
    </w:lvl>
  </w:abstractNum>
  <w:abstractNum w:abstractNumId="74">
    <w:nsid w:val="E6B3F6A"/>
    <w:multiLevelType w:val="hybridMultilevel"/>
    <w:lvl w:ilvl="0">
      <w:lvlJc w:val="left"/>
      <w:lvlText w:val="●"/>
      <w:numFmt w:val="bullet"/>
      <w:start w:val="1"/>
    </w:lvl>
    <w:lvl w:ilvl="1">
      <w:lvlJc w:val="left"/>
      <w:lvlText w:val="●"/>
      <w:numFmt w:val="bullet"/>
      <w:start w:val="1"/>
    </w:lvl>
  </w:abstractNum>
  <w:abstractNum w:abstractNumId="75">
    <w:nsid w:val="3EB21819"/>
    <w:multiLevelType w:val="hybridMultilevel"/>
    <w:lvl w:ilvl="0">
      <w:lvlJc w:val="left"/>
      <w:lvlText w:val="●"/>
      <w:numFmt w:val="bullet"/>
      <w:start w:val="1"/>
    </w:lvl>
  </w:abstractNum>
  <w:abstractNum w:abstractNumId="76">
    <w:nsid w:val="41531DED"/>
    <w:multiLevelType w:val="hybridMultilevel"/>
    <w:lvl w:ilvl="0">
      <w:lvlJc w:val="left"/>
      <w:lvlText w:val="●"/>
      <w:numFmt w:val="bullet"/>
      <w:start w:val="1"/>
    </w:lvl>
  </w:abstractNum>
  <w:abstractNum w:abstractNumId="77">
    <w:nsid w:val="6353CD2"/>
    <w:multiLevelType w:val="hybridMultilevel"/>
    <w:lvl w:ilvl="0">
      <w:lvlJc w:val="left"/>
      <w:lvlText w:val="●"/>
      <w:numFmt w:val="bullet"/>
      <w:start w:val="1"/>
    </w:lvl>
  </w:abstractNum>
  <w:abstractNum w:abstractNumId="78">
    <w:nsid w:val="683CAAD3"/>
    <w:multiLevelType w:val="hybridMultilevel"/>
    <w:lvl w:ilvl="0">
      <w:lvlJc w:val="left"/>
      <w:lvlText w:val="●"/>
      <w:numFmt w:val="bullet"/>
      <w:start w:val="1"/>
    </w:lvl>
  </w:abstractNum>
  <w:abstractNum w:abstractNumId="79">
    <w:nsid w:val="313C7C99"/>
    <w:multiLevelType w:val="hybridMultilevel"/>
    <w:lvl w:ilvl="0">
      <w:lvlJc w:val="left"/>
      <w:lvlText w:val="●"/>
      <w:numFmt w:val="bullet"/>
      <w:start w:val="1"/>
    </w:lvl>
    <w:lvl w:ilvl="1">
      <w:lvlJc w:val="left"/>
      <w:lvlText w:val="●"/>
      <w:numFmt w:val="bullet"/>
      <w:start w:val="1"/>
    </w:lvl>
  </w:abstractNum>
  <w:abstractNum w:abstractNumId="80">
    <w:nsid w:val="519EB94C"/>
    <w:multiLevelType w:val="hybridMultilevel"/>
    <w:lvl w:ilvl="0">
      <w:lvlJc w:val="left"/>
      <w:lvlText w:val="●"/>
      <w:numFmt w:val="bullet"/>
      <w:start w:val="1"/>
    </w:lvl>
    <w:lvl w:ilvl="1">
      <w:lvlJc w:val="left"/>
      <w:lvlText w:val="●"/>
      <w:numFmt w:val="bullet"/>
      <w:start w:val="1"/>
    </w:lvl>
  </w:abstractNum>
  <w:abstractNum w:abstractNumId="81">
    <w:nsid w:val="39DF2579"/>
    <w:multiLevelType w:val="hybridMultilevel"/>
    <w:lvl w:ilvl="0">
      <w:lvlJc w:val="left"/>
      <w:lvlText w:val="●"/>
      <w:numFmt w:val="bullet"/>
      <w:start w:val="1"/>
    </w:lvl>
    <w:lvl w:ilvl="1">
      <w:lvlJc w:val="left"/>
      <w:lvlText w:val="●"/>
      <w:numFmt w:val="bullet"/>
      <w:start w:val="1"/>
    </w:lvl>
  </w:abstractNum>
  <w:abstractNum w:abstractNumId="82">
    <w:nsid w:val="126E008B"/>
    <w:multiLevelType w:val="hybridMultilevel"/>
    <w:lvl w:ilvl="0">
      <w:lvlJc w:val="left"/>
      <w:lvlText w:val="●"/>
      <w:numFmt w:val="bullet"/>
      <w:start w:val="1"/>
    </w:lvl>
  </w:abstractNum>
  <w:abstractNum w:abstractNumId="83">
    <w:nsid w:val="34DFBC00"/>
    <w:multiLevelType w:val="hybridMultilevel"/>
    <w:lvl w:ilvl="0">
      <w:lvlJc w:val="left"/>
      <w:lvlText w:val="●"/>
      <w:numFmt w:val="bullet"/>
      <w:start w:val="1"/>
    </w:lvl>
  </w:abstractNum>
  <w:abstractNum w:abstractNumId="84">
    <w:nsid w:val="1F9EC322"/>
    <w:multiLevelType w:val="hybridMultilevel"/>
    <w:lvl w:ilvl="0">
      <w:lvlJc w:val="left"/>
      <w:lvlText w:val="●"/>
      <w:numFmt w:val="bullet"/>
      <w:start w:val="1"/>
    </w:lvl>
  </w:abstractNum>
  <w:abstractNum w:abstractNumId="85">
    <w:nsid w:val="3410ED56"/>
    <w:multiLevelType w:val="hybridMultilevel"/>
    <w:lvl w:ilvl="0">
      <w:lvlJc w:val="left"/>
      <w:lvlText w:val="●"/>
      <w:numFmt w:val="bullet"/>
      <w:start w:val="1"/>
    </w:lvl>
  </w:abstractNum>
  <w:abstractNum w:abstractNumId="86">
    <w:nsid w:val="23C049A"/>
    <w:multiLevelType w:val="hybridMultilevel"/>
    <w:lvl w:ilvl="0">
      <w:lvlJc w:val="left"/>
      <w:lvlText w:val="●"/>
      <w:numFmt w:val="bullet"/>
      <w:start w:val="1"/>
    </w:lvl>
  </w:abstractNum>
  <w:abstractNum w:abstractNumId="87">
    <w:nsid w:val="5BDA35D4"/>
    <w:multiLevelType w:val="hybridMultilevel"/>
    <w:lvl w:ilvl="0">
      <w:lvlJc w:val="left"/>
      <w:lvlText w:val="●"/>
      <w:numFmt w:val="bullet"/>
      <w:start w:val="1"/>
    </w:lvl>
  </w:abstractNum>
  <w:abstractNum w:abstractNumId="88">
    <w:nsid w:val="496FB218"/>
    <w:multiLevelType w:val="hybridMultilevel"/>
    <w:lvl w:ilvl="0">
      <w:lvlJc w:val="left"/>
      <w:lvlText w:val="*"/>
      <w:numFmt w:val="bullet"/>
      <w:start w:val="1"/>
    </w:lvl>
  </w:abstractNum>
  <w:abstractNum w:abstractNumId="89">
    <w:nsid w:val="680EA5D1"/>
    <w:multiLevelType w:val="hybridMultilevel"/>
    <w:lvl w:ilvl="0">
      <w:lvlJc w:val="left"/>
      <w:lvlText w:val="●"/>
      <w:numFmt w:val="bullet"/>
      <w:start w:val="1"/>
    </w:lvl>
  </w:abstractNum>
  <w:abstractNum w:abstractNumId="90">
    <w:nsid w:val="4A9554FE"/>
    <w:multiLevelType w:val="hybridMultilevel"/>
    <w:lvl w:ilvl="0">
      <w:lvlJc w:val="left"/>
      <w:lvlText w:val="*"/>
      <w:numFmt w:val="bullet"/>
      <w:start w:val="1"/>
    </w:lvl>
  </w:abstractNum>
  <w:abstractNum w:abstractNumId="91">
    <w:nsid w:val="392EDBE4"/>
    <w:multiLevelType w:val="hybridMultilevel"/>
    <w:lvl w:ilvl="0">
      <w:lvlJc w:val="left"/>
      <w:lvlText w:val="●"/>
      <w:numFmt w:val="bullet"/>
      <w:start w:val="1"/>
    </w:lvl>
  </w:abstractNum>
  <w:abstractNum w:abstractNumId="92">
    <w:nsid w:val="3D1A2DD9"/>
    <w:multiLevelType w:val="hybridMultilevel"/>
    <w:lvl w:ilvl="0">
      <w:lvlJc w:val="left"/>
      <w:lvlText w:val="●"/>
      <w:numFmt w:val="bullet"/>
      <w:start w:val="1"/>
    </w:lvl>
  </w:abstractNum>
  <w:abstractNum w:abstractNumId="93">
    <w:nsid w:val="7F618FCD"/>
    <w:multiLevelType w:val="hybridMultilevel"/>
    <w:lvl w:ilvl="0">
      <w:lvlJc w:val="left"/>
      <w:lvlText w:val="●"/>
      <w:numFmt w:val="bullet"/>
      <w:start w:val="1"/>
    </w:lvl>
  </w:abstractNum>
  <w:abstractNum w:abstractNumId="94">
    <w:nsid w:val="7843E45"/>
    <w:multiLevelType w:val="hybridMultilevel"/>
    <w:lvl w:ilvl="0">
      <w:lvlJc w:val="left"/>
      <w:lvlText w:val="●"/>
      <w:numFmt w:val="bullet"/>
      <w:start w:val="1"/>
    </w:lvl>
  </w:abstractNum>
  <w:abstractNum w:abstractNumId="95">
    <w:nsid w:val="9815DA3"/>
    <w:multiLevelType w:val="hybridMultilevel"/>
    <w:lvl w:ilvl="0">
      <w:lvlJc w:val="left"/>
      <w:lvlText w:val="●"/>
      <w:numFmt w:val="bullet"/>
      <w:start w:val="1"/>
    </w:lvl>
  </w:abstractNum>
  <w:abstractNum w:abstractNumId="96">
    <w:nsid w:val="5204A191"/>
    <w:multiLevelType w:val="hybridMultilevel"/>
    <w:lvl w:ilvl="0">
      <w:lvlJc w:val="left"/>
      <w:lvlText w:val="●"/>
      <w:numFmt w:val="bullet"/>
      <w:start w:val="1"/>
    </w:lvl>
  </w:abstractNum>
  <w:abstractNum w:abstractNumId="97">
    <w:nsid w:val="4C73A9C6"/>
    <w:multiLevelType w:val="hybridMultilevel"/>
    <w:lvl w:ilvl="0">
      <w:lvlJc w:val="left"/>
      <w:lvlText w:val="●"/>
      <w:numFmt w:val="bullet"/>
      <w:start w:val="1"/>
    </w:lvl>
  </w:abstractNum>
  <w:abstractNum w:abstractNumId="98">
    <w:nsid w:val="1C7E3C01"/>
    <w:multiLevelType w:val="hybridMultilevel"/>
    <w:lvl w:ilvl="0">
      <w:lvlJc w:val="left"/>
      <w:lvlText w:val="●"/>
      <w:numFmt w:val="bullet"/>
      <w:start w:val="1"/>
    </w:lvl>
  </w:abstractNum>
  <w:abstractNum w:abstractNumId="99">
    <w:nsid w:val="1C2201FF"/>
    <w:multiLevelType w:val="hybridMultilevel"/>
    <w:lvl w:ilvl="0">
      <w:lvlJc w:val="left"/>
      <w:lvlText w:val="●"/>
      <w:numFmt w:val="bullet"/>
      <w:start w:val="1"/>
    </w:lvl>
  </w:abstractNum>
  <w:abstractNum w:abstractNumId="100">
    <w:nsid w:val="50ABCEC9"/>
    <w:multiLevelType w:val="hybridMultilevel"/>
    <w:lvl w:ilvl="0">
      <w:lvlJc w:val="left"/>
      <w:lvlText w:val="●"/>
      <w:numFmt w:val="bullet"/>
      <w:start w:val="1"/>
    </w:lvl>
  </w:abstractNum>
  <w:abstractNum w:abstractNumId="101">
    <w:nsid w:val="7635AA2A"/>
    <w:multiLevelType w:val="hybridMultilevel"/>
    <w:lvl w:ilvl="0">
      <w:lvlJc w:val="left"/>
      <w:lvlText w:val="●"/>
      <w:numFmt w:val="bullet"/>
      <w:start w:val="1"/>
    </w:lvl>
  </w:abstractNum>
  <w:abstractNum w:abstractNumId="102">
    <w:nsid w:val="5E74C4D9"/>
    <w:multiLevelType w:val="hybridMultilevel"/>
    <w:lvl w:ilvl="0">
      <w:lvlJc w:val="left"/>
      <w:lvlText w:val="(%1)"/>
      <w:numFmt w:val="decimal"/>
      <w:start w:val="1"/>
    </w:lvl>
  </w:abstractNum>
  <w:abstractNum w:abstractNumId="103">
    <w:nsid w:val="3B3EBE15"/>
    <w:multiLevelType w:val="hybridMultilevel"/>
    <w:lvl w:ilvl="0">
      <w:lvlJc w:val="left"/>
      <w:lvlText w:val="●"/>
      <w:numFmt w:val="bullet"/>
      <w:start w:val="1"/>
    </w:lvl>
  </w:abstractNum>
  <w:abstractNum w:abstractNumId="104">
    <w:nsid w:val="3822CB01"/>
    <w:multiLevelType w:val="hybridMultilevel"/>
    <w:lvl w:ilvl="0">
      <w:lvlJc w:val="left"/>
      <w:lvlText w:val="●"/>
      <w:numFmt w:val="bullet"/>
      <w:start w:val="1"/>
    </w:lvl>
  </w:abstractNum>
  <w:abstractNum w:abstractNumId="105">
    <w:nsid w:val="6CE00443"/>
    <w:multiLevelType w:val="hybridMultilevel"/>
    <w:lvl w:ilvl="0">
      <w:lvlJc w:val="left"/>
      <w:lvlText w:val="●"/>
      <w:numFmt w:val="bullet"/>
      <w:start w:val="1"/>
    </w:lvl>
  </w:abstractNum>
  <w:abstractNum w:abstractNumId="106">
    <w:nsid w:val="79F0D62F"/>
    <w:multiLevelType w:val="hybridMultilevel"/>
    <w:lvl w:ilvl="0">
      <w:lvlJc w:val="left"/>
      <w:lvlText w:val="(%1)"/>
      <w:numFmt w:val="decimal"/>
      <w:start w:val="1"/>
    </w:lvl>
  </w:abstractNum>
  <w:abstractNum w:abstractNumId="107">
    <w:nsid w:val="7975E8EE"/>
    <w:multiLevelType w:val="hybridMultilevel"/>
    <w:lvl w:ilvl="0">
      <w:lvlJc w:val="left"/>
      <w:lvlText w:val="●"/>
      <w:numFmt w:val="bullet"/>
      <w:start w:val="1"/>
    </w:lvl>
  </w:abstractNum>
  <w:abstractNum w:abstractNumId="108">
    <w:nsid w:val="73154115"/>
    <w:multiLevelType w:val="hybridMultilevel"/>
    <w:lvl w:ilvl="0">
      <w:lvlJc w:val="left"/>
      <w:lvlText w:val="(%1)"/>
      <w:numFmt w:val="decimal"/>
      <w:start w:val="1"/>
    </w:lvl>
  </w:abstractNum>
  <w:abstractNum w:abstractNumId="109">
    <w:nsid w:val="622D8102"/>
    <w:multiLevelType w:val="hybridMultilevel"/>
    <w:lvl w:ilvl="0">
      <w:lvlJc w:val="left"/>
      <w:lvlText w:val="(%1)"/>
      <w:numFmt w:val="decimal"/>
      <w:start w:val="2"/>
    </w:lvl>
  </w:abstractNum>
  <w:abstractNum w:abstractNumId="110">
    <w:nsid w:val="2AB26587"/>
    <w:multiLevelType w:val="hybridMultilevel"/>
    <w:lvl w:ilvl="0">
      <w:lvlJc w:val="left"/>
      <w:lvlText w:val="(%1)"/>
      <w:numFmt w:val="decimal"/>
      <w:start w:val="1"/>
    </w:lvl>
  </w:abstractNum>
  <w:abstractNum w:abstractNumId="111">
    <w:nsid w:val="44B3FA61"/>
    <w:multiLevelType w:val="hybridMultilevel"/>
    <w:lvl w:ilvl="0">
      <w:lvlJc w:val="left"/>
      <w:lvlText w:val="(%1)"/>
      <w:numFmt w:val="decimal"/>
      <w:start w:val="3"/>
    </w:lvl>
  </w:abstractNum>
  <w:abstractNum w:abstractNumId="112">
    <w:nsid w:val="1C0CA67C"/>
    <w:multiLevelType w:val="hybridMultilevel"/>
    <w:lvl w:ilvl="0">
      <w:lvlJc w:val="left"/>
      <w:lvlText w:val="(%1)"/>
      <w:numFmt w:val="decimal"/>
      <w:start w:val="1"/>
    </w:lvl>
  </w:abstractNum>
  <w:abstractNum w:abstractNumId="113">
    <w:nsid w:val="3D206613"/>
    <w:multiLevelType w:val="hybridMultilevel"/>
    <w:lvl w:ilvl="0">
      <w:lvlJc w:val="left"/>
      <w:lvlText w:val="●"/>
      <w:numFmt w:val="bullet"/>
      <w:start w:val="1"/>
    </w:lvl>
  </w:abstractNum>
  <w:abstractNum w:abstractNumId="114">
    <w:nsid w:val="7993B662"/>
    <w:multiLevelType w:val="hybridMultilevel"/>
    <w:lvl w:ilvl="0">
      <w:lvlJc w:val="left"/>
      <w:lvlText w:val="(%1)"/>
      <w:numFmt w:val="lowerRoman"/>
      <w:start w:val="1"/>
    </w:lvl>
  </w:abstractNum>
  <w:abstractNum w:abstractNumId="115">
    <w:nsid w:val="3BAB699E"/>
    <w:multiLevelType w:val="hybridMultilevel"/>
    <w:lvl w:ilvl="0">
      <w:lvlJc w:val="left"/>
      <w:lvlText w:val="●"/>
      <w:numFmt w:val="bullet"/>
      <w:start w:val="1"/>
    </w:lvl>
  </w:abstractNum>
  <w:abstractNum w:abstractNumId="116">
    <w:nsid w:val="71315369"/>
    <w:multiLevelType w:val="hybridMultilevel"/>
    <w:lvl w:ilvl="0">
      <w:lvlJc w:val="left"/>
      <w:lvlText w:val="*"/>
      <w:numFmt w:val="bullet"/>
      <w:start w:val="1"/>
    </w:lvl>
  </w:abstractNum>
  <w:abstractNum w:abstractNumId="117">
    <w:nsid w:val="7BCFBAFC"/>
    <w:multiLevelType w:val="hybridMultilevel"/>
    <w:lvl w:ilvl="0">
      <w:lvlJc w:val="left"/>
      <w:lvlText w:val="(%1)"/>
      <w:numFmt w:val="decimal"/>
      <w:start w:val="1"/>
    </w:lvl>
  </w:abstractNum>
  <w:abstractNum w:abstractNumId="118">
    <w:nsid w:val="17859F72"/>
    <w:multiLevelType w:val="hybridMultilevel"/>
    <w:lvl w:ilvl="0">
      <w:lvlJc w:val="left"/>
      <w:lvlText w:val="(%1)"/>
      <w:numFmt w:val="decimal"/>
      <w:start w:val="5"/>
    </w:lvl>
  </w:abstractNum>
  <w:abstractNum w:abstractNumId="119">
    <w:nsid w:val="3AA10581"/>
    <w:multiLevelType w:val="hybridMultilevel"/>
    <w:lvl w:ilvl="0">
      <w:lvlJc w:val="left"/>
      <w:lvlText w:val="●"/>
      <w:numFmt w:val="bullet"/>
      <w:start w:val="1"/>
    </w:lvl>
  </w:abstractNum>
  <w:abstractNum w:abstractNumId="120">
    <w:nsid w:val="63DE60CD"/>
    <w:multiLevelType w:val="hybridMultilevel"/>
    <w:lvl w:ilvl="0">
      <w:lvlJc w:val="left"/>
      <w:lvlText w:val="●"/>
      <w:numFmt w:val="bullet"/>
      <w:start w:val="1"/>
    </w:lvl>
  </w:abstractNum>
  <w:abstractNum w:abstractNumId="121">
    <w:nsid w:val="621AF471"/>
    <w:multiLevelType w:val="hybridMultilevel"/>
    <w:lvl w:ilvl="0">
      <w:lvlJc w:val="left"/>
      <w:lvlText w:val="●"/>
      <w:numFmt w:val="bullet"/>
      <w:start w:val="1"/>
    </w:lvl>
  </w:abstractNum>
  <w:abstractNum w:abstractNumId="122">
    <w:nsid w:val="73CFE165"/>
    <w:multiLevelType w:val="hybridMultilevel"/>
    <w:lvl w:ilvl="0">
      <w:lvlJc w:val="left"/>
      <w:lvlText w:val="●"/>
      <w:numFmt w:val="bullet"/>
      <w:start w:val="1"/>
    </w:lvl>
  </w:abstractNum>
  <w:abstractNum w:abstractNumId="123">
    <w:nsid w:val="20F88EA6"/>
    <w:multiLevelType w:val="hybridMultilevel"/>
    <w:lvl w:ilvl="0">
      <w:lvlJc w:val="left"/>
      <w:lvlText w:val="●"/>
      <w:numFmt w:val="bullet"/>
      <w:start w:val="1"/>
    </w:lvl>
  </w:abstractNum>
  <w:abstractNum w:abstractNumId="124">
    <w:nsid w:val="617C843E"/>
    <w:multiLevelType w:val="hybridMultilevel"/>
    <w:lvl w:ilvl="0">
      <w:lvlJc w:val="left"/>
      <w:lvlText w:val="●"/>
      <w:numFmt w:val="bullet"/>
      <w:start w:val="1"/>
    </w:lvl>
  </w:abstractNum>
  <w:abstractNum w:abstractNumId="125">
    <w:nsid w:val="7B541FAB"/>
    <w:multiLevelType w:val="hybridMultilevel"/>
    <w:lvl w:ilvl="0">
      <w:lvlJc w:val="left"/>
      <w:lvlText w:val="●"/>
      <w:numFmt w:val="bullet"/>
      <w:start w:val="1"/>
    </w:lvl>
  </w:abstractNum>
  <w:abstractNum w:abstractNumId="126">
    <w:nsid w:val="2A79EC49"/>
    <w:multiLevelType w:val="hybridMultilevel"/>
    <w:lvl w:ilvl="0">
      <w:lvlJc w:val="left"/>
      <w:lvlText w:val="●"/>
      <w:numFmt w:val="bullet"/>
      <w:start w:val="1"/>
    </w:lvl>
  </w:abstractNum>
  <w:abstractNum w:abstractNumId="127">
    <w:nsid w:val="338125CF"/>
    <w:multiLevelType w:val="hybridMultilevel"/>
    <w:lvl w:ilvl="0">
      <w:lvlJc w:val="left"/>
      <w:lvlText w:val="●"/>
      <w:numFmt w:val="bullet"/>
      <w:start w:val="1"/>
    </w:lvl>
  </w:abstractNum>
  <w:abstractNum w:abstractNumId="128">
    <w:nsid w:val="47C7C971"/>
    <w:multiLevelType w:val="hybridMultilevel"/>
    <w:lvl w:ilvl="0">
      <w:lvlJc w:val="left"/>
      <w:lvlText w:val="●"/>
      <w:numFmt w:val="bullet"/>
      <w:start w:val="1"/>
    </w:lvl>
  </w:abstractNum>
  <w:abstractNum w:abstractNumId="129">
    <w:nsid w:val="46F8284B"/>
    <w:multiLevelType w:val="hybridMultilevel"/>
    <w:lvl w:ilvl="0">
      <w:lvlJc w:val="left"/>
      <w:lvlText w:val="(%1)"/>
      <w:numFmt w:val="lowerRoman"/>
      <w:start w:val="1"/>
    </w:lvl>
  </w:abstractNum>
  <w:abstractNum w:abstractNumId="130">
    <w:nsid w:val="4FA327CE"/>
    <w:multiLevelType w:val="hybridMultilevel"/>
    <w:lvl w:ilvl="0">
      <w:lvlJc w:val="left"/>
      <w:lvlText w:val="(%1)"/>
      <w:numFmt w:val="decimal"/>
      <w:start w:val="4"/>
    </w:lvl>
  </w:abstractNum>
  <w:abstractNum w:abstractNumId="131">
    <w:nsid w:val="1873983A"/>
    <w:multiLevelType w:val="hybridMultilevel"/>
    <w:lvl w:ilvl="0">
      <w:lvlJc w:val="left"/>
      <w:lvlText w:val="(%1)"/>
      <w:numFmt w:val="decimal"/>
      <w:start w:val="1"/>
    </w:lvl>
  </w:abstractNum>
  <w:abstractNum w:abstractNumId="132">
    <w:nsid w:val="3D2DD275"/>
    <w:multiLevelType w:val="hybridMultilevel"/>
    <w:lvl w:ilvl="0">
      <w:lvlJc w:val="left"/>
      <w:lvlText w:val="(%1)"/>
      <w:numFmt w:val="decimal"/>
      <w:start w:val="1"/>
    </w:lvl>
  </w:abstractNum>
  <w:abstractNum w:abstractNumId="133">
    <w:nsid w:val="2E17ECA7"/>
    <w:multiLevelType w:val="hybridMultilevel"/>
    <w:lvl w:ilvl="0">
      <w:lvlJc w:val="left"/>
      <w:lvlText w:val="(%1)"/>
      <w:numFmt w:val="lowerRoman"/>
      <w:start w:val="1"/>
    </w:lvl>
  </w:abstractNum>
  <w:abstractNum w:abstractNumId="134">
    <w:nsid w:val="53B2564F"/>
    <w:multiLevelType w:val="hybridMultilevel"/>
    <w:lvl w:ilvl="0">
      <w:lvlJc w:val="left"/>
      <w:lvlText w:val="(%1)"/>
      <w:numFmt w:val="decimal"/>
      <w:start w:val="1"/>
    </w:lvl>
  </w:abstractNum>
  <w:abstractNum w:abstractNumId="135">
    <w:nsid w:val="75509D76"/>
    <w:multiLevelType w:val="hybridMultilevel"/>
    <w:lvl w:ilvl="0">
      <w:lvlJc w:val="left"/>
      <w:lvlText w:val="(%1)"/>
      <w:numFmt w:val="decimal"/>
      <w:start w:val="1"/>
    </w:lvl>
  </w:abstractNum>
  <w:abstractNum w:abstractNumId="136">
    <w:nsid w:val="1AF7F0EA"/>
    <w:multiLevelType w:val="hybridMultilevel"/>
    <w:lvl w:ilvl="0">
      <w:lvlJc w:val="left"/>
      <w:lvlText w:val="(%1)"/>
      <w:numFmt w:val="decimal"/>
      <w:start w:val="1"/>
    </w:lvl>
  </w:abstractNum>
  <w:abstractNum w:abstractNumId="137">
    <w:nsid w:val="4DA32C7E"/>
    <w:multiLevelType w:val="hybridMultilevel"/>
    <w:lvl w:ilvl="0">
      <w:lvlJc w:val="left"/>
      <w:lvlText w:val="%1."/>
      <w:numFmt w:val="decimal"/>
      <w:start w:val="2"/>
    </w:lvl>
  </w:abstractNum>
  <w:abstractNum w:abstractNumId="138">
    <w:nsid w:val="6EC68664"/>
    <w:multiLevelType w:val="hybridMultilevel"/>
    <w:lvl w:ilvl="0">
      <w:lvlJc w:val="left"/>
      <w:lvlText w:val="(%1)"/>
      <w:numFmt w:val="decimal"/>
      <w:start w:val="1"/>
    </w:lvl>
  </w:abstractNum>
  <w:abstractNum w:abstractNumId="139">
    <w:nsid w:val="E0D31FF"/>
    <w:multiLevelType w:val="hybridMultilevel"/>
    <w:lvl w:ilvl="0">
      <w:lvlJc w:val="left"/>
      <w:lvlText w:val="(%1)"/>
      <w:numFmt w:val="decimal"/>
      <w:start w:val="1"/>
    </w:lvl>
  </w:abstractNum>
  <w:abstractNum w:abstractNumId="140">
    <w:nsid w:val="2FD0AD81"/>
    <w:multiLevelType w:val="hybridMultilevel"/>
    <w:lvl w:ilvl="0">
      <w:lvlJc w:val="left"/>
      <w:lvlText w:val="$"/>
      <w:numFmt w:val="bullet"/>
      <w:start w:val="1"/>
    </w:lvl>
  </w:abstractNum>
  <w:abstractNum w:abstractNumId="141">
    <w:nsid w:val="1978EBEB"/>
    <w:multiLevelType w:val="hybridMultilevel"/>
    <w:lvl w:ilvl="0">
      <w:lvlJc w:val="left"/>
      <w:lvlText w:val="$"/>
      <w:numFmt w:val="bullet"/>
      <w:start w:val="1"/>
    </w:lvl>
  </w:abstractNum>
  <w:abstractNum w:abstractNumId="142">
    <w:nsid w:val="52C12C61"/>
    <w:multiLevelType w:val="hybridMultilevel"/>
    <w:lvl w:ilvl="0">
      <w:lvlJc w:val="left"/>
      <w:lvlText w:val="(%1)"/>
      <w:numFmt w:val="decimal"/>
      <w:start w:val="1"/>
    </w:lvl>
  </w:abstractNum>
  <w:abstractNum w:abstractNumId="143">
    <w:nsid w:val="4BDD53FD"/>
    <w:multiLevelType w:val="hybridMultilevel"/>
    <w:lvl w:ilvl="0">
      <w:lvlJc w:val="left"/>
      <w:lvlText w:val="(%1)"/>
      <w:numFmt w:val="decimal"/>
      <w:start w:val="1"/>
    </w:lvl>
  </w:abstractNum>
  <w:abstractNum w:abstractNumId="144">
    <w:nsid w:val="569951FE"/>
    <w:multiLevelType w:val="hybridMultilevel"/>
    <w:lvl w:ilvl="0">
      <w:lvlJc w:val="left"/>
      <w:lvlText w:val="(%1)"/>
      <w:numFmt w:val="decimal"/>
      <w:start w:val="1"/>
    </w:lvl>
  </w:abstractNum>
  <w:abstractNum w:abstractNumId="145">
    <w:nsid w:val="4C54E2C3"/>
    <w:multiLevelType w:val="hybridMultilevel"/>
    <w:lvl w:ilvl="0">
      <w:lvlJc w:val="left"/>
      <w:lvlText w:val="(%1)"/>
      <w:numFmt w:val="decimal"/>
      <w:start w:val="1"/>
    </w:lvl>
  </w:abstractNum>
  <w:abstractNum w:abstractNumId="146">
    <w:nsid w:val="788BD9B"/>
    <w:multiLevelType w:val="hybridMultilevel"/>
    <w:lvl w:ilvl="0">
      <w:lvlJc w:val="left"/>
      <w:lvlText w:val="(%1)"/>
      <w:numFmt w:val="lowerLetter"/>
      <w:start w:val="1"/>
    </w:lvl>
    <w:lvl w:ilvl="1">
      <w:lvlJc w:val="left"/>
      <w:lvlText w:val="●"/>
      <w:numFmt w:val="bullet"/>
      <w:start w:val="1"/>
    </w:lvl>
  </w:abstractNum>
  <w:abstractNum w:abstractNumId="147">
    <w:nsid w:val="47CAA567"/>
    <w:multiLevelType w:val="hybridMultilevel"/>
    <w:lvl w:ilvl="0">
      <w:lvlJc w:val="left"/>
      <w:lvlText w:val="(%1)"/>
      <w:numFmt w:val="lowerLetter"/>
      <w:start w:val="1"/>
    </w:lvl>
    <w:lvl w:ilvl="1">
      <w:lvlJc w:val="left"/>
      <w:lvlText w:val="●"/>
      <w:numFmt w:val="bullet"/>
      <w:start w:val="1"/>
    </w:lvl>
  </w:abstractNum>
  <w:abstractNum w:abstractNumId="148">
    <w:nsid w:val="48249DBF"/>
    <w:multiLevelType w:val="hybridMultilevel"/>
    <w:lvl w:ilvl="0">
      <w:lvlJc w:val="left"/>
      <w:lvlText w:val="(%1)"/>
      <w:numFmt w:val="lowerLetter"/>
      <w:start w:val="5"/>
    </w:lvl>
    <w:lvl w:ilvl="1">
      <w:lvlJc w:val="left"/>
      <w:lvlText w:val="●"/>
      <w:numFmt w:val="bullet"/>
      <w:start w:val="1"/>
    </w:lvl>
  </w:abstractNum>
  <w:abstractNum w:abstractNumId="149">
    <w:nsid w:val="1F0E5D0D"/>
    <w:multiLevelType w:val="hybridMultilevel"/>
    <w:lvl w:ilvl="0">
      <w:lvlJc w:val="left"/>
      <w:lvlText w:val="*"/>
      <w:numFmt w:val="bullet"/>
      <w:start w:val="1"/>
    </w:lvl>
    <w:lvl w:ilvl="1">
      <w:lvlJc w:val="left"/>
      <w:lvlText w:val="(%2)"/>
      <w:numFmt w:val="lowerLetter"/>
      <w:start w:val="2"/>
    </w:lvl>
  </w:abstractNum>
  <w:abstractNum w:abstractNumId="150">
    <w:nsid w:val="26BAAE9"/>
    <w:multiLevelType w:val="hybridMultilevel"/>
    <w:lvl w:ilvl="0">
      <w:lvlJc w:val="left"/>
      <w:lvlText w:val="(%1)"/>
      <w:numFmt w:val="decimal"/>
      <w:start w:val="1"/>
    </w:lvl>
  </w:abstractNum>
  <w:abstractNum w:abstractNumId="151">
    <w:nsid w:val="2C02FE8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2">
    <w:nsid w:val="129517E"/>
    <w:multiLevelType w:val="hybridMultilevel"/>
    <w:lvl w:ilvl="0">
      <w:lvlJc w:val="left"/>
      <w:lvlText w:val="(%1)"/>
      <w:numFmt w:val="decimal"/>
      <w:start w:val="7"/>
    </w:lvl>
    <w:lvl w:ilvl="1">
      <w:lvlJc w:val="left"/>
      <w:lvlText w:val="(%2)"/>
      <w:numFmt w:val="upperLetter"/>
      <w:start w:val="1"/>
    </w:lvl>
  </w:abstractNum>
  <w:abstractNum w:abstractNumId="153">
    <w:nsid w:val="763B8C4E"/>
    <w:multiLevelType w:val="hybridMultilevel"/>
    <w:lvl w:ilvl="0">
      <w:lvlJc w:val="left"/>
      <w:lvlText w:val="(%1)"/>
      <w:numFmt w:val="decimal"/>
      <w:start w:val="18"/>
    </w:lvl>
  </w:abstractNum>
  <w:abstractNum w:abstractNumId="154">
    <w:nsid w:val="4CFB8D3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5">
    <w:nsid w:val="62A5D5BD"/>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156">
    <w:nsid w:val="718FABF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57">
    <w:nsid w:val="7775797C"/>
    <w:multiLevelType w:val="hybridMultilevel"/>
    <w:lvl w:ilvl="0">
      <w:lvlJc w:val="left"/>
      <w:lvlText w:val="(%1)"/>
      <w:numFmt w:val="lowerLetter"/>
      <w:start w:val="4"/>
    </w:lvl>
  </w:abstractNum>
  <w:abstractNum w:abstractNumId="158">
    <w:nsid w:val="1626FB8C"/>
    <w:multiLevelType w:val="hybridMultilevel"/>
    <w:lvl w:ilvl="0">
      <w:lvlJc w:val="left"/>
      <w:lvlText w:val="%1."/>
      <w:numFmt w:val="decimal"/>
      <w:start w:val="4"/>
    </w:lvl>
    <w:lvl w:ilvl="1">
      <w:lvlJc w:val="left"/>
      <w:lvlText w:val="(%2)"/>
      <w:numFmt w:val="lowerLetter"/>
      <w:start w:val="1"/>
    </w:lvl>
  </w:abstractNum>
  <w:abstractNum w:abstractNumId="159">
    <w:nsid w:val="3957756A"/>
    <w:multiLevelType w:val="hybridMultilevel"/>
    <w:lvl w:ilvl="0">
      <w:lvlJc w:val="left"/>
      <w:lvlText w:val="(%1)"/>
      <w:numFmt w:val="lowerLetter"/>
      <w:start w:val="5"/>
    </w:lvl>
  </w:abstractNum>
  <w:abstractNum w:abstractNumId="160">
    <w:nsid w:val="3E6DA1C7"/>
    <w:multiLevelType w:val="hybridMultilevel"/>
    <w:lvl w:ilvl="0">
      <w:lvlJc w:val="left"/>
      <w:lvlText w:val="*"/>
      <w:numFmt w:val="bullet"/>
      <w:start w:val="1"/>
    </w:lvl>
  </w:abstractNum>
  <w:abstractNum w:abstractNumId="161">
    <w:nsid w:val="65CA235B"/>
    <w:multiLevelType w:val="hybridMultilevel"/>
    <w:lvl w:ilvl="0">
      <w:lvlJc w:val="left"/>
      <w:lvlText w:val="(%1)"/>
      <w:numFmt w:val="lowerLetter"/>
      <w:start w:val="1"/>
    </w:lvl>
    <w:lvl w:ilvl="1">
      <w:lvlJc w:val="left"/>
      <w:lvlText w:val="(%2)"/>
      <w:numFmt w:val="decimal"/>
      <w:start w:val="1"/>
    </w:lvl>
  </w:abstractNum>
  <w:abstractNum w:abstractNumId="162">
    <w:nsid w:val="51CB0DA4"/>
    <w:multiLevelType w:val="hybridMultilevel"/>
    <w:lvl w:ilvl="0">
      <w:lvlJc w:val="left"/>
      <w:lvlText w:val="(%1)"/>
      <w:numFmt w:val="lowerLetter"/>
      <w:start w:val="3"/>
    </w:lvl>
  </w:abstractNum>
  <w:abstractNum w:abstractNumId="163">
    <w:nsid w:val="7B9B743C"/>
    <w:multiLevelType w:val="hybridMultilevel"/>
    <w:lvl w:ilvl="0">
      <w:lvlJc w:val="left"/>
      <w:lvlText w:val="(%1)"/>
      <w:numFmt w:val="lowerLetter"/>
      <w:start w:val="1"/>
    </w:lvl>
  </w:abstractNum>
  <w:abstractNum w:abstractNumId="164">
    <w:nsid w:val="13E21002"/>
    <w:multiLevelType w:val="hybridMultilevel"/>
    <w:lvl w:ilvl="0">
      <w:lvlJc w:val="left"/>
      <w:lvlText w:val="(%1)"/>
      <w:numFmt w:val="lowerLetter"/>
      <w:start w:val="1"/>
    </w:lvl>
    <w:lvl w:ilvl="1">
      <w:lvlJc w:val="left"/>
      <w:lvlText w:val="(%2)"/>
      <w:numFmt w:val="decimal"/>
      <w:start w:val="1"/>
    </w:lvl>
  </w:abstractNum>
  <w:abstractNum w:abstractNumId="165">
    <w:nsid w:val="257D63F4"/>
    <w:multiLevelType w:val="hybridMultilevel"/>
    <w:lvl w:ilvl="0">
      <w:lvlJc w:val="left"/>
      <w:lvlText w:val="(%1)"/>
      <w:numFmt w:val="lowerLetter"/>
      <w:start w:val="3"/>
    </w:lvl>
    <w:lvl w:ilvl="1">
      <w:lvlJc w:val="left"/>
      <w:lvlText w:val="(%2)"/>
      <w:numFmt w:val="decimal"/>
      <w:start w:val="1"/>
    </w:lvl>
  </w:abstractNum>
  <w:abstractNum w:abstractNumId="166">
    <w:nsid w:val="70EC11B2"/>
    <w:multiLevelType w:val="hybridMultilevel"/>
    <w:lvl w:ilvl="0">
      <w:lvlJc w:val="left"/>
      <w:lvlText w:val="(%1)"/>
      <w:numFmt w:val="lowerLetter"/>
      <w:start w:val="1"/>
    </w:lvl>
  </w:abstractNum>
  <w:abstractNum w:abstractNumId="167">
    <w:nsid w:val="2EDA00ED"/>
    <w:multiLevelType w:val="hybridMultilevel"/>
    <w:lvl w:ilvl="0">
      <w:lvlJc w:val="left"/>
      <w:lvlText w:val="(%1)"/>
      <w:numFmt w:val="lowerLetter"/>
      <w:start w:val="3"/>
    </w:lvl>
  </w:abstractNum>
  <w:abstractNum w:abstractNumId="168">
    <w:nsid w:val="73209072"/>
    <w:multiLevelType w:val="hybridMultilevel"/>
    <w:lvl w:ilvl="0">
      <w:lvlJc w:val="left"/>
      <w:lvlText w:val="(%1)"/>
      <w:numFmt w:val="lowerLetter"/>
      <w:start w:val="1"/>
    </w:lvl>
  </w:abstractNum>
  <w:abstractNum w:abstractNumId="169">
    <w:nsid w:val="5FB29816"/>
    <w:multiLevelType w:val="hybridMultilevel"/>
    <w:lvl w:ilvl="0">
      <w:lvlJc w:val="left"/>
      <w:lvlText w:val="(%1)"/>
      <w:numFmt w:val="lowerLetter"/>
      <w:start w:val="1"/>
    </w:lvl>
  </w:abstractNum>
  <w:abstractNum w:abstractNumId="170">
    <w:nsid w:val="3CE732EC"/>
    <w:multiLevelType w:val="hybridMultilevel"/>
    <w:lvl w:ilvl="0">
      <w:lvlJc w:val="left"/>
      <w:lvlText w:val="(%1)"/>
      <w:numFmt w:val="lowerLetter"/>
      <w:start w:val="3"/>
    </w:lvl>
  </w:abstractNum>
  <w:abstractNum w:abstractNumId="171">
    <w:nsid w:val="22F13DF3"/>
    <w:multiLevelType w:val="hybridMultilevel"/>
    <w:lvl w:ilvl="0">
      <w:lvlJc w:val="left"/>
      <w:lvlText w:val="(%1)"/>
      <w:numFmt w:val="lowerLetter"/>
      <w:start w:val="4"/>
    </w:lvl>
  </w:abstractNum>
  <w:abstractNum w:abstractNumId="172">
    <w:nsid w:val="792B8401"/>
    <w:multiLevelType w:val="hybridMultilevel"/>
    <w:lvl w:ilvl="0">
      <w:lvlJc w:val="left"/>
      <w:lvlText w:val="(%1)"/>
      <w:numFmt w:val="lowerLetter"/>
      <w:start w:val="1"/>
    </w:lvl>
  </w:abstractNum>
  <w:abstractNum w:abstractNumId="173">
    <w:nsid w:val="FA85F4D"/>
    <w:multiLevelType w:val="hybridMultilevel"/>
    <w:lvl w:ilvl="0">
      <w:lvlJc w:val="left"/>
      <w:lvlText w:val="(%1)"/>
      <w:numFmt w:val="lowerLetter"/>
      <w:start w:val="2"/>
    </w:lvl>
  </w:abstractNum>
  <w:abstractNum w:abstractNumId="174">
    <w:nsid w:val="6ECE91F0"/>
    <w:multiLevelType w:val="hybridMultilevel"/>
    <w:lvl w:ilvl="0">
      <w:lvlJc w:val="left"/>
      <w:lvlText w:val="(%1)"/>
      <w:numFmt w:val="lowerLetter"/>
      <w:start w:val="2"/>
    </w:lvl>
  </w:abstractNum>
  <w:abstractNum w:abstractNumId="175">
    <w:nsid w:val="4FC4D600"/>
    <w:multiLevelType w:val="hybridMultilevel"/>
    <w:lvl w:ilvl="0">
      <w:lvlJc w:val="left"/>
      <w:lvlText w:val="(%1)"/>
      <w:numFmt w:val="lowerLetter"/>
      <w:start w:val="1"/>
    </w:lvl>
    <w:lvl w:ilvl="1">
      <w:lvlJc w:val="left"/>
      <w:lvlText w:val="(%2)"/>
      <w:numFmt w:val="decimal"/>
      <w:start w:val="1"/>
    </w:lvl>
  </w:abstractNum>
  <w:abstractNum w:abstractNumId="176">
    <w:nsid w:val="5BFD4210"/>
    <w:multiLevelType w:val="hybridMultilevel"/>
    <w:lvl w:ilvl="0">
      <w:lvlJc w:val="left"/>
      <w:lvlText w:val="(%1)"/>
      <w:numFmt w:val="decimal"/>
      <w:start w:val="2"/>
    </w:lvl>
  </w:abstractNum>
  <w:abstractNum w:abstractNumId="177">
    <w:nsid w:val="76574F8B"/>
    <w:multiLevelType w:val="hybridMultilevel"/>
    <w:lvl w:ilvl="0">
      <w:lvlJc w:val="left"/>
      <w:lvlText w:val="(%1)"/>
      <w:numFmt w:val="lowerLetter"/>
      <w:start w:val="3"/>
    </w:lvl>
  </w:abstractNum>
  <w:abstractNum w:abstractNumId="178">
    <w:nsid w:val="178F7B67"/>
    <w:multiLevelType w:val="hybridMultilevel"/>
    <w:lvl w:ilvl="0">
      <w:lvlJc w:val="left"/>
      <w:lvlText w:val="(%1)"/>
      <w:numFmt w:val="lowerLetter"/>
      <w:start w:val="1"/>
    </w:lvl>
    <w:lvl w:ilvl="1">
      <w:lvlJc w:val="left"/>
      <w:lvlText w:val="(%2)"/>
      <w:numFmt w:val="decimal"/>
      <w:start w:val="1"/>
    </w:lvl>
  </w:abstractNum>
  <w:abstractNum w:abstractNumId="179">
    <w:nsid w:val="2421DFCF"/>
    <w:multiLevelType w:val="hybridMultilevel"/>
    <w:lvl w:ilvl="0">
      <w:lvlJc w:val="left"/>
      <w:lvlText w:val="(%1)"/>
      <w:numFmt w:val="lowerLetter"/>
      <w:start w:val="1"/>
    </w:lvl>
  </w:abstractNum>
  <w:abstractNum w:abstractNumId="180">
    <w:nsid w:val="1565AC99"/>
    <w:multiLevelType w:val="hybridMultilevel"/>
    <w:lvl w:ilvl="0">
      <w:lvlJc w:val="left"/>
      <w:lvlText w:val="(%1)"/>
      <w:numFmt w:val="decimal"/>
      <w:start w:val="1"/>
    </w:lvl>
  </w:abstractNum>
  <w:abstractNum w:abstractNumId="181">
    <w:nsid w:val="19FB2650"/>
    <w:multiLevelType w:val="hybridMultilevel"/>
    <w:lvl w:ilvl="0">
      <w:lvlJc w:val="left"/>
      <w:lvlText w:val="(%1)"/>
      <w:numFmt w:val="lowerLetter"/>
      <w:start w:val="1"/>
    </w:lvl>
  </w:abstractNum>
  <w:abstractNum w:abstractNumId="182">
    <w:nsid w:val="5024DE5B"/>
    <w:multiLevelType w:val="hybridMultilevel"/>
    <w:lvl w:ilvl="0">
      <w:lvlJc w:val="left"/>
      <w:lvlText w:val="%1."/>
      <w:numFmt w:val="decimal"/>
      <w:start w:val="1"/>
    </w:lvl>
  </w:abstractNum>
  <w:abstractNum w:abstractNumId="183">
    <w:nsid w:val="168EFE17"/>
    <w:multiLevelType w:val="hybridMultilevel"/>
    <w:lvl w:ilvl="0">
      <w:lvlJc w:val="left"/>
      <w:lvlText w:val="☐"/>
      <w:numFmt w:val="bullet"/>
      <w:start w:val="1"/>
    </w:lvl>
  </w:abstractNum>
  <w:abstractNum w:abstractNumId="184">
    <w:nsid w:val="1036B29F"/>
    <w:multiLevelType w:val="hybridMultilevel"/>
    <w:lvl w:ilvl="0">
      <w:lvlJc w:val="left"/>
      <w:lvlText w:val="%1."/>
      <w:numFmt w:val="decimal"/>
      <w:start w:val="2"/>
    </w:lvl>
  </w:abstractNum>
  <w:abstractNum w:abstractNumId="185">
    <w:nsid w:val="1D206B8E"/>
    <w:multiLevelType w:val="hybridMultilevel"/>
    <w:lvl w:ilvl="0">
      <w:lvlJc w:val="left"/>
      <w:lvlText w:val="☐"/>
      <w:numFmt w:val="bullet"/>
      <w:start w:val="1"/>
    </w:lvl>
  </w:abstractNum>
  <w:abstractNum w:abstractNumId="186">
    <w:nsid w:val="7934D3D4"/>
    <w:multiLevelType w:val="hybridMultilevel"/>
    <w:lvl w:ilvl="0">
      <w:lvlJc w:val="left"/>
      <w:lvlText w:val="%1."/>
      <w:numFmt w:val="decimal"/>
      <w:start w:val="3"/>
    </w:lvl>
  </w:abstractNum>
  <w:abstractNum w:abstractNumId="187">
    <w:nsid w:val="1C65E98"/>
    <w:multiLevelType w:val="hybridMultilevel"/>
    <w:lvl w:ilvl="0">
      <w:lvlJc w:val="left"/>
      <w:lvlText w:val="☐"/>
      <w:numFmt w:val="bullet"/>
      <w:start w:val="1"/>
    </w:lvl>
  </w:abstractNum>
  <w:abstractNum w:abstractNumId="188">
    <w:nsid w:val="1495E50A"/>
    <w:multiLevelType w:val="hybridMultilevel"/>
    <w:lvl w:ilvl="0">
      <w:lvlJc w:val="left"/>
      <w:lvlText w:val="%1."/>
      <w:numFmt w:val="decimal"/>
      <w:start w:val="4"/>
    </w:lvl>
  </w:abstractNum>
  <w:abstractNum w:abstractNumId="189">
    <w:nsid w:val="F5BCF61"/>
    <w:multiLevelType w:val="hybridMultilevel"/>
    <w:lvl w:ilvl="0">
      <w:lvlJc w:val="left"/>
      <w:lvlText w:val="*"/>
      <w:numFmt w:val="bullet"/>
      <w:start w:val="1"/>
    </w:lvl>
  </w:abstractNum>
  <w:abstractNum w:abstractNumId="190">
    <w:nsid w:val="3B1DD403"/>
    <w:multiLevelType w:val="hybridMultilevel"/>
    <w:lvl w:ilvl="0">
      <w:lvlJc w:val="left"/>
      <w:lvlText w:val="☐"/>
      <w:numFmt w:val="bullet"/>
      <w:start w:val="1"/>
    </w:lvl>
  </w:abstractNum>
  <w:abstractNum w:abstractNumId="191">
    <w:nsid w:val="530386D1"/>
    <w:multiLevelType w:val="hybridMultilevel"/>
    <w:lvl w:ilvl="0">
      <w:lvlJc w:val="left"/>
      <w:lvlText w:val="%1."/>
      <w:numFmt w:val="decimal"/>
      <w:start w:val="5"/>
    </w:lvl>
  </w:abstractNum>
  <w:abstractNum w:abstractNumId="192">
    <w:nsid w:val="7525F2BC"/>
    <w:multiLevelType w:val="hybridMultilevel"/>
    <w:lvl w:ilvl="0">
      <w:lvlJc w:val="left"/>
      <w:lvlText w:val="☐"/>
      <w:numFmt w:val="bullet"/>
      <w:start w:val="1"/>
    </w:lvl>
  </w:abstractNum>
  <w:abstractNum w:abstractNumId="193">
    <w:nsid w:val="CE8E1A7"/>
    <w:multiLevelType w:val="hybridMultilevel"/>
    <w:lvl w:ilvl="0">
      <w:lvlJc w:val="left"/>
      <w:lvlText w:val="%1."/>
      <w:numFmt w:val="upperLetter"/>
      <w:start w:val="1"/>
    </w:lvl>
  </w:abstractNum>
  <w:abstractNum w:abstractNumId="194">
    <w:nsid w:val="4E9EFB0D"/>
    <w:multiLevelType w:val="hybridMultilevel"/>
    <w:lvl w:ilvl="0">
      <w:lvlJc w:val="left"/>
      <w:lvlText w:val="b"/>
      <w:numFmt w:val="bullet"/>
      <w:start w:val="1"/>
    </w:lvl>
  </w:abstractNum>
  <w:abstractNum w:abstractNumId="195">
    <w:nsid w:val="90802BE"/>
    <w:multiLevelType w:val="hybridMultilevel"/>
    <w:lvl w:ilvl="0">
      <w:lvlJc w:val="left"/>
      <w:lvlText w:val="d"/>
      <w:numFmt w:val="bullet"/>
      <w:start w:val="1"/>
    </w:lvl>
    <w:lvl w:ilvl="1">
      <w:lvlJc w:val="left"/>
      <w:lvlText w:val="☐"/>
      <w:numFmt w:val="bullet"/>
      <w:start w:val="1"/>
    </w:lvl>
  </w:abstractNum>
  <w:abstractNum w:abstractNumId="196">
    <w:nsid w:val="3266459B"/>
    <w:multiLevelType w:val="hybridMultilevel"/>
    <w:lvl w:ilvl="0">
      <w:lvlJc w:val="left"/>
      <w:lvlText w:val="%1"/>
      <w:numFmt w:val="upperLetter"/>
      <w:start w:val="1"/>
    </w:lvl>
    <w:lvl w:ilvl="1">
      <w:lvlJc w:val="left"/>
      <w:lvlText w:val="b"/>
      <w:numFmt w:val="bullet"/>
      <w:start w:val="1"/>
    </w:lvl>
    <w:lvl w:ilvl="2">
      <w:lvlJc w:val="left"/>
      <w:lvlText w:val="☐"/>
      <w:numFmt w:val="bullet"/>
      <w:start w:val="1"/>
    </w:lvl>
  </w:abstractNum>
  <w:abstractNum w:abstractNumId="197">
    <w:nsid w:val="3F8B0CBF"/>
    <w:multiLevelType w:val="hybridMultilevel"/>
    <w:lvl w:ilvl="0">
      <w:lvlJc w:val="left"/>
      <w:lvlText w:val="b"/>
      <w:numFmt w:val="bullet"/>
      <w:start w:val="1"/>
    </w:lvl>
    <w:lvl w:ilvl="1">
      <w:lvlJc w:val="left"/>
      <w:lvlText w:val="☐"/>
      <w:numFmt w:val="bullet"/>
      <w:start w:val="1"/>
    </w:lvl>
  </w:abstractNum>
  <w:abstractNum w:abstractNumId="198">
    <w:nsid w:val="37E203AB"/>
    <w:multiLevelType w:val="hybridMultilevel"/>
    <w:lvl w:ilvl="0">
      <w:lvlJc w:val="left"/>
      <w:lvlText w:val="b"/>
      <w:numFmt w:val="bullet"/>
      <w:start w:val="1"/>
    </w:lvl>
    <w:lvl w:ilvl="1">
      <w:lvlJc w:val="left"/>
      <w:lvlText w:val="☐"/>
      <w:numFmt w:val="bullet"/>
      <w:start w:val="1"/>
    </w:lvl>
  </w:abstractNum>
  <w:abstractNum w:abstractNumId="199">
    <w:nsid w:val="2586D60E"/>
    <w:multiLevelType w:val="hybridMultilevel"/>
    <w:lvl w:ilvl="0">
      <w:lvlJc w:val="left"/>
      <w:lvlText w:val="☐"/>
      <w:numFmt w:val="bullet"/>
      <w:start w:val="1"/>
    </w:lvl>
  </w:abstractNum>
  <w:abstractNum w:abstractNumId="200">
    <w:nsid w:val="1F3DA4D5"/>
    <w:multiLevelType w:val="hybridMultilevel"/>
    <w:lvl w:ilvl="0">
      <w:lvlJc w:val="left"/>
      <w:lvlText w:val="*"/>
      <w:numFmt w:val="bullet"/>
      <w:start w:val="1"/>
    </w:lvl>
  </w:abstractNum>
  <w:abstractNum w:abstractNumId="201">
    <w:nsid w:val="74C93698"/>
    <w:multiLevelType w:val="hybridMultilevel"/>
    <w:lvl w:ilvl="0">
      <w:lvlJc w:val="left"/>
      <w:lvlText w:val="*"/>
      <w:numFmt w:val="bullet"/>
      <w:start w:val="1"/>
    </w:lvl>
  </w:abstractNum>
  <w:abstractNum w:abstractNumId="202">
    <w:nsid w:val="48781401"/>
    <w:multiLevelType w:val="hybridMultilevel"/>
    <w:lvl w:ilvl="0">
      <w:lvlJc w:val="left"/>
      <w:lvlText w:val="(%1)"/>
      <w:numFmt w:val="lowerLetter"/>
      <w:start w:val="1"/>
    </w:lvl>
    <w:lvl w:ilvl="1">
      <w:lvlJc w:val="left"/>
      <w:lvlText w:val="(%2)"/>
      <w:numFmt w:val="decimal"/>
      <w:start w:val="1"/>
    </w:lvl>
  </w:abstractNum>
  <w:abstractNum w:abstractNumId="203">
    <w:nsid w:val="186928D6"/>
    <w:multiLevelType w:val="hybridMultilevel"/>
    <w:lvl w:ilvl="0">
      <w:lvlJc w:val="left"/>
      <w:lvlText w:val="%1"/>
      <w:numFmt w:val="lowerLetter"/>
      <w:start w:val="1"/>
    </w:lvl>
    <w:lvl w:ilvl="1">
      <w:lvlJc w:val="left"/>
      <w:lvlText w:val="(%2)"/>
      <w:numFmt w:val="decimal"/>
      <w:start w:val="2"/>
    </w:lvl>
  </w:abstractNum>
  <w:abstractNum w:abstractNumId="204">
    <w:nsid w:val="47195E5"/>
    <w:multiLevelType w:val="hybridMultilevel"/>
    <w:lvl w:ilvl="0">
      <w:lvlJc w:val="left"/>
      <w:lvlText w:val="(%1)"/>
      <w:numFmt w:val="lowerLetter"/>
      <w:start w:val="3"/>
    </w:lvl>
    <w:lvl w:ilvl="1">
      <w:lvlJc w:val="left"/>
      <w:lvlText w:val="%2"/>
      <w:numFmt w:val="decimal"/>
      <w:start w:val="1"/>
    </w:lvl>
  </w:abstractNum>
  <w:abstractNum w:abstractNumId="205">
    <w:nsid w:val="3746A5F2"/>
    <w:multiLevelType w:val="hybridMultilevel"/>
    <w:lvl w:ilvl="0">
      <w:lvlJc w:val="left"/>
      <w:lvlText w:val="(%1)"/>
      <w:numFmt w:val="lowerLetter"/>
      <w:start w:val="1"/>
    </w:lvl>
    <w:lvl w:ilvl="1">
      <w:lvlJc w:val="left"/>
      <w:lvlText w:val="-"/>
      <w:numFmt w:val="bullet"/>
      <w:start w:val="1"/>
    </w:lvl>
  </w:abstractNum>
  <w:abstractNum w:abstractNumId="206">
    <w:nsid w:val="682DFED6"/>
    <w:multiLevelType w:val="hybridMultilevel"/>
    <w:lvl w:ilvl="0">
      <w:lvlJc w:val="left"/>
      <w:lvlText w:val="(%1)"/>
      <w:numFmt w:val="lowerLetter"/>
      <w:start w:val="3"/>
    </w:lvl>
  </w:abstractNum>
  <w:abstractNum w:abstractNumId="207">
    <w:nsid w:val="606ED7F6"/>
    <w:multiLevelType w:val="hybridMultilevel"/>
    <w:lvl w:ilvl="0">
      <w:lvlJc w:val="left"/>
      <w:lvlText w:val="(%1)"/>
      <w:numFmt w:val="lowerLetter"/>
      <w:start w:val="1"/>
    </w:lvl>
    <w:lvl w:ilvl="1">
      <w:lvlJc w:val="left"/>
      <w:lvlText w:val="(%2)"/>
      <w:numFmt w:val="decimal"/>
      <w:start w:val="1"/>
    </w:lvl>
  </w:abstractNum>
  <w:abstractNum w:abstractNumId="208">
    <w:nsid w:val="2D9DF57D"/>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209">
    <w:nsid w:val="7FBD7A3E"/>
    <w:multiLevelType w:val="hybridMultilevel"/>
    <w:lvl w:ilvl="0">
      <w:lvlJc w:val="left"/>
      <w:lvlText w:val="(%1)"/>
      <w:numFmt w:val="decimal"/>
      <w:start w:val="2"/>
    </w:lvl>
  </w:abstractNum>
  <w:abstractNum w:abstractNumId="210">
    <w:nsid w:val="490B7C5"/>
    <w:multiLevelType w:val="hybridMultilevel"/>
    <w:lvl w:ilvl="0">
      <w:lvlJc w:val="left"/>
      <w:lvlText w:val="(%1)"/>
      <w:numFmt w:val="lowerLetter"/>
      <w:start w:val="1"/>
    </w:lvl>
  </w:abstractNum>
  <w:abstractNum w:abstractNumId="211">
    <w:nsid w:val="4303A216"/>
    <w:multiLevelType w:val="hybridMultilevel"/>
    <w:lvl w:ilvl="0">
      <w:lvlJc w:val="left"/>
      <w:lvlText w:val="(%1)"/>
      <w:numFmt w:val="lowerLetter"/>
      <w:start w:val="1"/>
    </w:lvl>
    <w:lvl w:ilvl="1">
      <w:lvlJc w:val="left"/>
      <w:lvlText w:val="-"/>
      <w:numFmt w:val="bullet"/>
      <w:start w:val="1"/>
    </w:lvl>
  </w:abstractNum>
  <w:abstractNum w:abstractNumId="212">
    <w:nsid w:val="19B8A08E"/>
    <w:multiLevelType w:val="hybridMultilevel"/>
    <w:lvl w:ilvl="0">
      <w:lvlJc w:val="left"/>
      <w:lvlText w:val="(%1)"/>
      <w:numFmt w:val="lowerLetter"/>
      <w:start w:val="3"/>
    </w:lvl>
  </w:abstractNum>
  <w:abstractNum w:abstractNumId="213">
    <w:nsid w:val="54B59621"/>
    <w:multiLevelType w:val="hybridMultilevel"/>
    <w:lvl w:ilvl="0">
      <w:lvlJc w:val="left"/>
      <w:lvlText w:val="(%1)"/>
      <w:numFmt w:val="lowerLetter"/>
      <w:start w:val="1"/>
    </w:lvl>
    <w:lvl w:ilvl="1">
      <w:lvlJc w:val="left"/>
      <w:lvlText w:val="-"/>
      <w:numFmt w:val="bullet"/>
      <w:start w:val="1"/>
    </w:lvl>
  </w:abstractNum>
  <w:abstractNum w:abstractNumId="214">
    <w:nsid w:val="5992A02E"/>
    <w:multiLevelType w:val="hybridMultilevel"/>
    <w:lvl w:ilvl="0">
      <w:lvlJc w:val="left"/>
      <w:lvlText w:val="(%1)"/>
      <w:numFmt w:val="lowerLetter"/>
      <w:start w:val="2"/>
    </w:lvl>
  </w:abstractNum>
  <w:abstractNum w:abstractNumId="215">
    <w:nsid w:val="29EF532D"/>
    <w:multiLevelType w:val="hybridMultilevel"/>
    <w:lvl w:ilvl="0">
      <w:lvlJc w:val="left"/>
      <w:lvlText w:val="(%1)"/>
      <w:numFmt w:val="lowerLetter"/>
      <w:start w:val="1"/>
    </w:lvl>
    <w:lvl w:ilvl="1">
      <w:lvlJc w:val="left"/>
      <w:lvlText w:val="-"/>
      <w:numFmt w:val="bullet"/>
      <w:start w:val="1"/>
    </w:lvl>
  </w:abstractNum>
  <w:abstractNum w:abstractNumId="216">
    <w:nsid w:val="71D601A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17">
    <w:nsid w:val="52C77402"/>
    <w:multiLevelType w:val="hybridMultilevel"/>
    <w:lvl w:ilvl="0">
      <w:lvlJc w:val="left"/>
      <w:lvlText w:val="(%1)"/>
      <w:numFmt w:val="lowerLetter"/>
      <w:start w:val="3"/>
    </w:lvl>
    <w:lvl w:ilvl="1">
      <w:lvlJc w:val="left"/>
      <w:lvlText w:val="-"/>
      <w:numFmt w:val="bullet"/>
      <w:start w:val="1"/>
    </w:lvl>
  </w:abstractNum>
  <w:abstractNum w:abstractNumId="218">
    <w:nsid w:val="2BB5B1C6"/>
    <w:multiLevelType w:val="hybridMultilevel"/>
    <w:lvl w:ilvl="0">
      <w:lvlJc w:val="left"/>
      <w:lvlText w:val="(%1)"/>
      <w:numFmt w:val="lowerLetter"/>
      <w:start w:val="1"/>
    </w:lvl>
    <w:lvl w:ilvl="1">
      <w:lvlJc w:val="left"/>
      <w:lvlText w:val="(%2)"/>
      <w:numFmt w:val="decimal"/>
      <w:start w:val="1"/>
    </w:lvl>
  </w:abstractNum>
  <w:abstractNum w:abstractNumId="219">
    <w:nsid w:val="66BE6B9"/>
    <w:multiLevelType w:val="hybridMultilevel"/>
    <w:lvl w:ilvl="0">
      <w:lvlJc w:val="left"/>
      <w:lvlText w:val="(%1)"/>
      <w:numFmt w:val="lowerLetter"/>
      <w:start w:val="1"/>
    </w:lvl>
    <w:lvl w:ilvl="1">
      <w:lvlJc w:val="left"/>
      <w:lvlText w:val="-"/>
      <w:numFmt w:val="bullet"/>
      <w:start w:val="1"/>
    </w:lvl>
  </w:abstractNum>
  <w:abstractNum w:abstractNumId="220">
    <w:nsid w:val="62234363"/>
    <w:multiLevelType w:val="hybridMultilevel"/>
    <w:lvl w:ilvl="0">
      <w:lvlJc w:val="left"/>
      <w:lvlText w:val="(%1)"/>
      <w:numFmt w:val="lowerLetter"/>
      <w:start w:val="2"/>
    </w:lvl>
    <w:lvl w:ilvl="1">
      <w:lvlJc w:val="left"/>
      <w:lvlText w:val="(%2)"/>
      <w:numFmt w:val="decimal"/>
      <w:start w:val="1"/>
    </w:lvl>
  </w:abstractNum>
  <w:abstractNum w:abstractNumId="221">
    <w:nsid w:val="66D385C9"/>
    <w:multiLevelType w:val="hybridMultilevel"/>
    <w:lvl w:ilvl="0">
      <w:lvlJc w:val="left"/>
      <w:lvlText w:val="(%1)"/>
      <w:numFmt w:val="lowerLetter"/>
      <w:start w:val="1"/>
    </w:lvl>
    <w:lvl w:ilvl="1">
      <w:lvlJc w:val="left"/>
      <w:lvlText w:val="-"/>
      <w:numFmt w:val="bullet"/>
      <w:start w:val="1"/>
    </w:lvl>
  </w:abstractNum>
  <w:abstractNum w:abstractNumId="222">
    <w:nsid w:val="596F6D8A"/>
    <w:multiLevelType w:val="hybridMultilevel"/>
    <w:lvl w:ilvl="0">
      <w:lvlJc w:val="left"/>
      <w:lvlText w:val="(%1)"/>
      <w:numFmt w:val="lowerLetter"/>
      <w:start w:val="3"/>
    </w:lvl>
  </w:abstractNum>
  <w:abstractNum w:abstractNumId="223">
    <w:nsid w:val="5749361F"/>
    <w:multiLevelType w:val="hybridMultilevel"/>
    <w:lvl w:ilvl="0">
      <w:lvlJc w:val="left"/>
      <w:lvlText w:val="%1."/>
      <w:numFmt w:val="decimal"/>
      <w:start w:val="1"/>
    </w:lvl>
  </w:abstractNum>
  <w:abstractNum w:abstractNumId="224">
    <w:nsid w:val="73BC6770"/>
    <w:multiLevelType w:val="hybridMultilevel"/>
    <w:lvl w:ilvl="0">
      <w:lvlJc w:val="left"/>
      <w:lvlText w:val="☐"/>
      <w:numFmt w:val="bullet"/>
      <w:start w:val="1"/>
    </w:lvl>
  </w:abstractNum>
  <w:abstractNum w:abstractNumId="225">
    <w:nsid w:val="280E6897"/>
    <w:multiLevelType w:val="hybridMultilevel"/>
    <w:lvl w:ilvl="0">
      <w:lvlJc w:val="left"/>
      <w:lvlText w:val="%1."/>
      <w:numFmt w:val="decimal"/>
      <w:start w:val="2"/>
    </w:lvl>
  </w:abstractNum>
  <w:abstractNum w:abstractNumId="226">
    <w:nsid w:val="605138DE"/>
    <w:multiLevelType w:val="hybridMultilevel"/>
    <w:lvl w:ilvl="0">
      <w:lvlJc w:val="left"/>
      <w:lvlText w:val="☐"/>
      <w:numFmt w:val="bullet"/>
      <w:start w:val="1"/>
    </w:lvl>
  </w:abstractNum>
  <w:abstractNum w:abstractNumId="227">
    <w:nsid w:val="2622AD0C"/>
    <w:multiLevelType w:val="hybridMultilevel"/>
    <w:lvl w:ilvl="0">
      <w:lvlJc w:val="left"/>
      <w:lvlText w:val="☐"/>
      <w:numFmt w:val="bullet"/>
      <w:start w:val="1"/>
    </w:lvl>
    <w:lvl w:ilvl="1">
      <w:lvlJc w:val="left"/>
      <w:lvlText w:val=","/>
      <w:numFmt w:val="bullet"/>
      <w:start w:val="1"/>
    </w:lvl>
  </w:abstractNum>
  <w:abstractNum w:abstractNumId="228">
    <w:nsid w:val="67997556"/>
    <w:multiLevelType w:val="hybridMultilevel"/>
    <w:lvl w:ilvl="0">
      <w:lvlJc w:val="left"/>
      <w:lvlText w:val="%1."/>
      <w:numFmt w:val="decimal"/>
      <w:start w:val="3"/>
    </w:lvl>
  </w:abstractNum>
  <w:abstractNum w:abstractNumId="229">
    <w:nsid w:val="18333C89"/>
    <w:multiLevelType w:val="hybridMultilevel"/>
    <w:lvl w:ilvl="0">
      <w:lvlJc w:val="left"/>
      <w:lvlText w:val="*"/>
      <w:numFmt w:val="bullet"/>
      <w:start w:val="1"/>
    </w:lvl>
  </w:abstractNum>
  <w:abstractNum w:abstractNumId="230">
    <w:nsid w:val="4BA9831A"/>
    <w:multiLevelType w:val="hybridMultilevel"/>
    <w:lvl w:ilvl="0">
      <w:lvlJc w:val="left"/>
      <w:lvlText w:val="☐"/>
      <w:numFmt w:val="bullet"/>
      <w:start w:val="1"/>
    </w:lvl>
  </w:abstractNum>
  <w:abstractNum w:abstractNumId="231">
    <w:nsid w:val="6D71A2B"/>
    <w:multiLevelType w:val="hybridMultilevel"/>
    <w:lvl w:ilvl="0">
      <w:lvlJc w:val="left"/>
      <w:lvlText w:val="%1."/>
      <w:numFmt w:val="decimal"/>
      <w:start w:val="4"/>
    </w:lvl>
  </w:abstractNum>
  <w:abstractNum w:abstractNumId="232">
    <w:nsid w:val="CFC7321"/>
    <w:multiLevelType w:val="hybridMultilevel"/>
    <w:lvl w:ilvl="0">
      <w:lvlJc w:val="left"/>
      <w:lvlText w:val="☐"/>
      <w:numFmt w:val="bullet"/>
      <w:start w:val="1"/>
    </w:lvl>
  </w:abstractNum>
  <w:abstractNum w:abstractNumId="233">
    <w:nsid w:val="1421971B"/>
    <w:multiLevelType w:val="hybridMultilevel"/>
    <w:lvl w:ilvl="0">
      <w:lvlJc w:val="left"/>
      <w:lvlText w:val="%1."/>
      <w:numFmt w:val="decimal"/>
      <w:start w:val="5"/>
    </w:lvl>
  </w:abstractNum>
  <w:abstractNum w:abstractNumId="234">
    <w:nsid w:val="1F404301"/>
    <w:multiLevelType w:val="hybridMultilevel"/>
    <w:lvl w:ilvl="0">
      <w:lvlJc w:val="left"/>
      <w:lvlText w:val="☐"/>
      <w:numFmt w:val="bullet"/>
      <w:start w:val="1"/>
    </w:lvl>
    <w:lvl w:ilvl="1">
      <w:lvlJc w:val="left"/>
      <w:lvlText w:val="%2."/>
      <w:numFmt w:val="upperLetter"/>
      <w:start w:val="1"/>
    </w:lvl>
  </w:abstractNum>
  <w:abstractNum w:abstractNumId="235">
    <w:nsid w:val="116E0907"/>
    <w:multiLevelType w:val="hybridMultilevel"/>
    <w:lvl w:ilvl="0">
      <w:lvlJc w:val="left"/>
      <w:lvlText w:val="d"/>
      <w:numFmt w:val="bullet"/>
      <w:start w:val="1"/>
    </w:lvl>
    <w:lvl w:ilvl="1">
      <w:lvlJc w:val="left"/>
      <w:lvlText w:val="☐"/>
      <w:numFmt w:val="bullet"/>
      <w:start w:val="1"/>
    </w:lvl>
  </w:abstractNum>
  <w:abstractNum w:abstractNumId="236">
    <w:nsid w:val="4B683D0D"/>
    <w:multiLevelType w:val="hybridMultilevel"/>
    <w:lvl w:ilvl="0">
      <w:lvlJc w:val="left"/>
      <w:lvlText w:val="d"/>
      <w:numFmt w:val="bullet"/>
      <w:start w:val="1"/>
    </w:lvl>
    <w:lvl w:ilvl="1">
      <w:lvlJc w:val="left"/>
      <w:lvlText w:val="☐"/>
      <w:numFmt w:val="bullet"/>
      <w:start w:val="1"/>
    </w:lvl>
  </w:abstractNum>
  <w:abstractNum w:abstractNumId="237">
    <w:nsid w:val="76E41D8"/>
    <w:multiLevelType w:val="hybridMultilevel"/>
    <w:lvl w:ilvl="0">
      <w:lvlJc w:val="left"/>
      <w:lvlText w:val="%1."/>
      <w:numFmt w:val="upperLetter"/>
      <w:start w:val="2"/>
    </w:lvl>
  </w:abstractNum>
  <w:abstractNum w:abstractNumId="238">
    <w:nsid w:val="71DCE0FD"/>
    <w:multiLevelType w:val="hybridMultilevel"/>
    <w:lvl w:ilvl="0">
      <w:lvlJc w:val="left"/>
      <w:lvlText w:val="d"/>
      <w:numFmt w:val="bullet"/>
      <w:start w:val="1"/>
    </w:lvl>
    <w:lvl w:ilvl="1">
      <w:lvlJc w:val="left"/>
      <w:lvlText w:val="☐"/>
      <w:numFmt w:val="bullet"/>
      <w:start w:val="1"/>
    </w:lvl>
  </w:abstractNum>
  <w:abstractNum w:abstractNumId="239">
    <w:nsid w:val="7906328B"/>
    <w:multiLevelType w:val="hybridMultilevel"/>
    <w:lvl w:ilvl="0">
      <w:lvlJc w:val="left"/>
      <w:lvlText w:val="d"/>
      <w:numFmt w:val="bullet"/>
      <w:start w:val="1"/>
    </w:lvl>
    <w:lvl w:ilvl="1">
      <w:lvlJc w:val="left"/>
      <w:lvlText w:val="☐"/>
      <w:numFmt w:val="bullet"/>
      <w:start w:val="1"/>
    </w:lvl>
  </w:abstractNum>
  <w:abstractNum w:abstractNumId="240">
    <w:nsid w:val="72BBC1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1">
    <w:nsid w:val="766D98C2"/>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42">
    <w:nsid w:val="3C09D4A1"/>
    <w:multiLevelType w:val="hybridMultilevel"/>
    <w:lvl w:ilvl="0">
      <w:lvlJc w:val="left"/>
      <w:lvlText w:val="(%1)"/>
      <w:numFmt w:val="lowerLetter"/>
      <w:start w:val="8"/>
    </w:lvl>
    <w:lvl w:ilvl="1">
      <w:lvlJc w:val="left"/>
      <w:lvlText w:val="(%2)"/>
      <w:numFmt w:val="lowerRoman"/>
      <w:start w:val="1"/>
    </w:lvl>
  </w:abstractNum>
  <w:abstractNum w:abstractNumId="243">
    <w:nsid w:val="20E45CA4"/>
    <w:multiLevelType w:val="hybridMultilevel"/>
    <w:lvl w:ilvl="0">
      <w:lvlJc w:val="left"/>
      <w:lvlText w:val="%1"/>
      <w:numFmt w:val="lowerLetter"/>
      <w:start w:val="1"/>
    </w:lvl>
    <w:lvl w:ilvl="1">
      <w:lvlJc w:val="left"/>
      <w:lvlText w:val="(%2)"/>
      <w:numFmt w:val="lowerLetter"/>
      <w:start w:val="14"/>
    </w:lvl>
  </w:abstractNum>
  <w:abstractNum w:abstractNumId="244">
    <w:nsid w:val="4B232EE3"/>
    <w:multiLevelType w:val="hybridMultilevel"/>
    <w:lvl w:ilvl="0">
      <w:lvlJc w:val="left"/>
      <w:lvlText w:val="(%1)"/>
      <w:numFmt w:val="lowerLetter"/>
      <w:start w:val="35"/>
    </w:lvl>
    <w:lvl w:ilvl="1">
      <w:lvlJc w:val="left"/>
      <w:lvlText w:val="(%2)"/>
      <w:numFmt w:val="lowerLetter"/>
      <w:start w:val="22"/>
    </w:lvl>
  </w:abstractNum>
  <w:abstractNum w:abstractNumId="245">
    <w:nsid w:val="159C74CF"/>
    <w:multiLevelType w:val="hybridMultilevel"/>
    <w:lvl w:ilvl="0">
      <w:lvlJc w:val="left"/>
      <w:lvlText w:val="(%1)"/>
      <w:numFmt w:val="lowerLetter"/>
      <w:start w:val="23"/>
    </w:lvl>
  </w:abstractNum>
  <w:abstractNum w:abstractNumId="246">
    <w:nsid w:val="4AD3AFD2"/>
    <w:multiLevelType w:val="hybridMultilevel"/>
    <w:lvl w:ilvl="0">
      <w:lvlJc w:val="left"/>
      <w:lvlText w:val="(%1)"/>
      <w:numFmt w:val="lowerLetter"/>
      <w:start w:val="24"/>
    </w:lvl>
  </w:abstractNum>
  <w:abstractNum w:abstractNumId="247">
    <w:nsid w:val="3CF93092"/>
    <w:multiLevelType w:val="hybridMultilevel"/>
    <w:lvl w:ilvl="0">
      <w:lvlJc w:val="left"/>
      <w:lvlText w:val="(%1)"/>
      <w:numFmt w:val="lowerLetter"/>
      <w:start w:val="27"/>
    </w:lvl>
  </w:abstractNum>
  <w:abstractNum w:abstractNumId="248">
    <w:nsid w:val="6863E8D2"/>
    <w:multiLevelType w:val="hybridMultilevel"/>
    <w:lvl w:ilvl="0">
      <w:lvlJc w:val="left"/>
      <w:lvlText w:val="(%1)"/>
      <w:numFmt w:val="lowerRoman"/>
      <w:start w:val="9"/>
    </w:lvl>
    <w:lvl w:ilvl="1">
      <w:lvlJc w:val="left"/>
      <w:lvlText w:val="%2"/>
      <w:numFmt w:val="lowerLetter"/>
      <w:start w:val="1"/>
    </w:lvl>
  </w:abstractNum>
  <w:abstractNum w:abstractNumId="249">
    <w:nsid w:val="76896198"/>
    <w:multiLevelType w:val="hybridMultilevel"/>
    <w:lvl w:ilvl="0">
      <w:lvlJc w:val="left"/>
      <w:lvlText w:val="(%1)"/>
      <w:numFmt w:val="lowerRoman"/>
      <w:start w:val="20"/>
    </w:lvl>
    <w:lvl w:ilvl="1">
      <w:lvlJc w:val="left"/>
      <w:lvlText w:val="(%2)"/>
      <w:numFmt w:val="lowerLetter"/>
      <w:start w:val="37"/>
    </w:lvl>
  </w:abstractNum>
  <w:abstractNum w:abstractNumId="250">
    <w:nsid w:val="4365174B"/>
    <w:multiLevelType w:val="hybridMultilevel"/>
    <w:lvl w:ilvl="0">
      <w:lvlJc w:val="left"/>
      <w:lvlText w:val="%1"/>
      <w:numFmt w:val="decimal"/>
      <w:start w:val="1"/>
    </w:lvl>
    <w:lvl w:ilvl="1">
      <w:lvlJc w:val="left"/>
      <w:lvlText w:val="(%2)"/>
      <w:numFmt w:val="lowerLetter"/>
      <w:start w:val="44"/>
    </w:lvl>
    <w:lvl w:ilvl="2">
      <w:lvlJc w:val="left"/>
      <w:lvlText w:val="(%3)"/>
      <w:numFmt w:val="lowerRoman"/>
      <w:start w:val="1"/>
    </w:lvl>
  </w:abstractNum>
  <w:abstractNum w:abstractNumId="251">
    <w:nsid w:val="4A872C3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2">
    <w:nsid w:val="5D5CE761"/>
    <w:multiLevelType w:val="hybridMultilevel"/>
    <w:lvl w:ilvl="0">
      <w:lvlJc w:val="left"/>
      <w:lvlText w:val="%1."/>
      <w:numFmt w:val="decimal"/>
      <w:start w:val="4"/>
    </w:lvl>
    <w:lvl w:ilvl="1">
      <w:lvlJc w:val="left"/>
      <w:lvlText w:val="(%2)"/>
      <w:numFmt w:val="lowerLetter"/>
      <w:start w:val="1"/>
    </w:lvl>
  </w:abstractNum>
  <w:abstractNum w:abstractNumId="253">
    <w:nsid w:val="1CD484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54">
    <w:nsid w:val="21D0625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55">
    <w:nsid w:val="51194ED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56">
    <w:nsid w:val="44E2ED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57">
    <w:nsid w:val="2219B33"/>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4"/>
    </w:lvl>
  </w:abstractNum>
  <w:abstractNum w:abstractNumId="258">
    <w:nsid w:val="773BFBDD"/>
    <w:multiLevelType w:val="hybridMultilevel"/>
    <w:lvl w:ilvl="0">
      <w:lvlJc w:val="left"/>
      <w:lvlText w:val="(%1)"/>
      <w:numFmt w:val="lowerLetter"/>
      <w:start w:val="1"/>
    </w:lvl>
    <w:lvl w:ilvl="1">
      <w:lvlJc w:val="left"/>
      <w:lvlText w:val="(%2)"/>
      <w:numFmt w:val="lowerRoman"/>
      <w:start w:val="1"/>
    </w:lvl>
  </w:abstractNum>
  <w:abstractNum w:abstractNumId="259">
    <w:nsid w:val="2C7C62C2"/>
    <w:multiLevelType w:val="hybridMultilevel"/>
    <w:lvl w:ilvl="0">
      <w:lvlJc w:val="left"/>
      <w:lvlText w:val="%1"/>
      <w:numFmt w:val="lowerLetter"/>
      <w:start w:val="1"/>
    </w:lvl>
    <w:lvl w:ilvl="1">
      <w:lvlJc w:val="left"/>
      <w:lvlText w:val="(%2)"/>
      <w:numFmt w:val="lowerLetter"/>
      <w:start w:val="35"/>
    </w:lvl>
  </w:abstractNum>
  <w:abstractNum w:abstractNumId="260">
    <w:nsid w:val="1A54D7BC"/>
    <w:multiLevelType w:val="hybridMultilevel"/>
    <w:lvl w:ilvl="0">
      <w:lvlJc w:val="left"/>
      <w:lvlText w:val="(%1)"/>
      <w:numFmt w:val="lowerLetter"/>
      <w:start w:val="5"/>
    </w:lvl>
    <w:lvl w:ilvl="1">
      <w:lvlJc w:val="left"/>
      <w:lvlText w:val="%2"/>
      <w:numFmt w:val="lowerLetter"/>
      <w:start w:val="1"/>
    </w:lvl>
  </w:abstractNum>
  <w:abstractNum w:abstractNumId="261">
    <w:nsid w:val="42E57EF7"/>
    <w:multiLevelType w:val="hybridMultilevel"/>
    <w:lvl w:ilvl="0">
      <w:lvlJc w:val="left"/>
      <w:lvlText w:val="%1."/>
      <w:numFmt w:val="decimal"/>
      <w:start w:val="8"/>
    </w:lvl>
    <w:lvl w:ilvl="1">
      <w:lvlJc w:val="left"/>
      <w:lvlText w:val="(%2)"/>
      <w:numFmt w:val="lowerLetter"/>
      <w:start w:val="1"/>
    </w:lvl>
  </w:abstractNum>
  <w:abstractNum w:abstractNumId="262">
    <w:nsid w:val="33537CED"/>
    <w:multiLevelType w:val="hybridMultilevel"/>
    <w:lvl w:ilvl="0">
      <w:lvlJc w:val="left"/>
      <w:lvlText w:val="(%1)"/>
      <w:numFmt w:val="lowerLetter"/>
      <w:start w:val="2"/>
    </w:lvl>
    <w:lvl w:ilvl="1">
      <w:lvlJc w:val="left"/>
      <w:lvlText w:val="(%2)"/>
      <w:numFmt w:val="lowerRoman"/>
      <w:start w:val="1"/>
    </w:lvl>
  </w:abstractNum>
  <w:abstractNum w:abstractNumId="263">
    <w:nsid w:val="27514AD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64">
    <w:nsid w:val="570716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265">
    <w:nsid w:val="5293BFEF"/>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6"/>
    </w:lvl>
    <w:lvl w:ilvl="3">
      <w:lvlJc w:val="left"/>
      <w:lvlText w:val="%4"/>
      <w:numFmt w:val="lowerLetter"/>
      <w:start w:val="1"/>
    </w:lvl>
  </w:abstractNum>
  <w:abstractNum w:abstractNumId="266">
    <w:nsid w:val="38BF53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67">
    <w:nsid w:val="226F532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8">
    <w:nsid w:val="5A0201C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69">
    <w:nsid w:val="2A9C34E2"/>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70">
    <w:nsid w:val="1B7585A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271">
    <w:nsid w:val="612DBDDD"/>
    <w:multiLevelType w:val="hybridMultilevel"/>
    <w:lvl w:ilvl="0">
      <w:lvlJc w:val="left"/>
      <w:lvlText w:val="(%1)"/>
      <w:numFmt w:val="lowerRoman"/>
      <w:start w:val="2"/>
    </w:lvl>
    <w:lvl w:ilvl="1">
      <w:lvlJc w:val="left"/>
      <w:lvlText w:val="%2."/>
      <w:numFmt w:val="decimal"/>
      <w:start w:val="11"/>
    </w:lvl>
    <w:lvl w:ilvl="2">
      <w:lvlJc w:val="left"/>
      <w:lvlText w:val="(%3)"/>
      <w:numFmt w:val="lowerLetter"/>
      <w:start w:val="4"/>
    </w:lvl>
  </w:abstractNum>
  <w:abstractNum w:abstractNumId="272">
    <w:nsid w:val="2109CDA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73">
    <w:nsid w:val="577F5A4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4">
    <w:nsid w:val="2121A8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75">
    <w:nsid w:val="6C2CFC88"/>
    <w:multiLevelType w:val="hybridMultilevel"/>
    <w:lvl w:ilvl="0">
      <w:lvlJc w:val="left"/>
      <w:lvlText w:val="%1"/>
      <w:numFmt w:val="lowerLetter"/>
      <w:start w:val="1"/>
    </w:lvl>
    <w:lvl w:ilvl="1">
      <w:lvlJc w:val="left"/>
      <w:lvlText w:val="(%2)"/>
      <w:numFmt w:val="lowerLetter"/>
      <w:start w:val="61"/>
    </w:lvl>
  </w:abstractNum>
  <w:abstractNum w:abstractNumId="276">
    <w:nsid w:val="6D1BCF1C"/>
    <w:multiLevelType w:val="hybridMultilevel"/>
    <w:lvl w:ilvl="0">
      <w:lvlJc w:val="left"/>
      <w:lvlText w:val="(%1)"/>
      <w:numFmt w:val="lowerLetter"/>
      <w:start w:val="3"/>
    </w:lvl>
    <w:lvl w:ilvl="1">
      <w:lvlJc w:val="left"/>
      <w:lvlText w:val="(%2)"/>
      <w:numFmt w:val="lowerLetter"/>
      <w:start w:val="9"/>
    </w:lvl>
  </w:abstractNum>
  <w:abstractNum w:abstractNumId="277">
    <w:nsid w:val="4CE5CA53"/>
    <w:multiLevelType w:val="hybridMultilevel"/>
    <w:lvl w:ilvl="0">
      <w:lvlJc w:val="left"/>
      <w:lvlText w:val="(%1)"/>
      <w:numFmt w:val="lowerRoman"/>
      <w:start w:val="2"/>
    </w:lvl>
  </w:abstractNum>
  <w:abstractNum w:abstractNumId="278">
    <w:nsid w:val="29262D1A"/>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79">
    <w:nsid w:val="557FB7EE"/>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3"/>
    </w:lvl>
  </w:abstractNum>
  <w:abstractNum w:abstractNumId="280">
    <w:nsid w:val="436F2BEB"/>
    <w:multiLevelType w:val="hybridMultilevel"/>
    <w:lvl w:ilvl="0">
      <w:lvlJc w:val="left"/>
      <w:lvlText w:val="(%1)"/>
      <w:numFmt w:val="lowerLetter"/>
      <w:start w:val="7"/>
    </w:lvl>
  </w:abstractNum>
  <w:abstractNum w:abstractNumId="281">
    <w:nsid w:val="6C8B4466"/>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282">
    <w:nsid w:val="2006E42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83">
    <w:nsid w:val="20CC134C"/>
    <w:multiLevelType w:val="hybridMultilevel"/>
    <w:lvl w:ilvl="0">
      <w:lvlJc w:val="left"/>
      <w:lvlText w:val="(%1)"/>
      <w:numFmt w:val="lowerLetter"/>
      <w:start w:val="12"/>
    </w:lvl>
  </w:abstractNum>
  <w:abstractNum w:abstractNumId="284">
    <w:nsid w:val="95FC93B"/>
    <w:multiLevelType w:val="hybridMultilevel"/>
    <w:lvl w:ilvl="0">
      <w:lvlJc w:val="left"/>
      <w:lvlText w:val="(%1)"/>
      <w:numFmt w:val="lowerLetter"/>
      <w:start w:val="18"/>
    </w:lvl>
    <w:lvl w:ilvl="1">
      <w:lvlJc w:val="left"/>
      <w:lvlText w:val="(%2)"/>
      <w:numFmt w:val="lowerRoman"/>
      <w:start w:val="1"/>
    </w:lvl>
  </w:abstractNum>
  <w:abstractNum w:abstractNumId="285">
    <w:nsid w:val="41D74679"/>
    <w:multiLevelType w:val="hybridMultilevel"/>
    <w:lvl w:ilvl="0">
      <w:lvlJc w:val="left"/>
      <w:lvlText w:val="%1"/>
      <w:numFmt w:val="lowerLetter"/>
      <w:start w:val="1"/>
    </w:lvl>
    <w:lvl w:ilvl="1">
      <w:lvlJc w:val="left"/>
      <w:lvlText w:val="(%2)"/>
      <w:numFmt w:val="lowerRoman"/>
      <w:start w:val="3"/>
    </w:lvl>
  </w:abstractNum>
  <w:abstractNum w:abstractNumId="286">
    <w:nsid w:val="71E5621E"/>
    <w:multiLevelType w:val="hybridMultilevel"/>
    <w:lvl w:ilvl="0">
      <w:lvlJc w:val="left"/>
      <w:lvlText w:val="(%1)"/>
      <w:numFmt w:val="lowerLetter"/>
      <w:start w:val="22"/>
    </w:lvl>
    <w:lvl w:ilvl="1">
      <w:lvlJc w:val="left"/>
      <w:lvlText w:val="(%2)"/>
      <w:numFmt w:val="lowerRoman"/>
      <w:start w:val="1"/>
    </w:lvl>
  </w:abstractNum>
  <w:abstractNum w:abstractNumId="287">
    <w:nsid w:val="4E42B6A8"/>
    <w:multiLevelType w:val="hybridMultilevel"/>
    <w:lvl w:ilvl="0">
      <w:lvlJc w:val="left"/>
      <w:lvlText w:val="%1."/>
      <w:numFmt w:val="decimal"/>
      <w:start w:val="1"/>
    </w:lvl>
    <w:lvl w:ilvl="1">
      <w:lvlJc w:val="left"/>
      <w:lvlText w:val="(%2)"/>
      <w:numFmt w:val="lowerLetter"/>
      <w:start w:val="1"/>
    </w:lvl>
  </w:abstractNum>
  <w:abstractNum w:abstractNumId="288">
    <w:nsid w:val="43F8E1AC"/>
    <w:multiLevelType w:val="hybridMultilevel"/>
    <w:lvl w:ilvl="0">
      <w:lvlJc w:val="left"/>
      <w:lvlText w:val="(%1)"/>
      <w:numFmt w:val="lowerLetter"/>
      <w:start w:val="7"/>
    </w:lvl>
  </w:abstractNum>
  <w:abstractNum w:abstractNumId="289">
    <w:nsid w:val="69215DFB"/>
    <w:multiLevelType w:val="hybridMultilevel"/>
    <w:lvl w:ilvl="0">
      <w:lvlJc w:val="left"/>
      <w:lvlText w:val="(%1)"/>
      <w:numFmt w:val="lowerLetter"/>
      <w:start w:val="9"/>
    </w:lvl>
    <w:lvl w:ilvl="1">
      <w:lvlJc w:val="left"/>
      <w:lvlText w:val="(%2)"/>
      <w:numFmt w:val="lowerRoman"/>
      <w:start w:val="1"/>
    </w:lvl>
  </w:abstractNum>
  <w:abstractNum w:abstractNumId="290">
    <w:nsid w:val="7ABF196A"/>
    <w:multiLevelType w:val="hybridMultilevel"/>
    <w:lvl w:ilvl="0">
      <w:lvlJc w:val="left"/>
      <w:lvlText w:val="(%1)"/>
      <w:numFmt w:val="lowerLetter"/>
      <w:start w:val="16"/>
    </w:lvl>
    <w:lvl w:ilvl="1">
      <w:lvlJc w:val="left"/>
      <w:lvlText w:val="(%2)"/>
      <w:numFmt w:val="lowerRoman"/>
      <w:start w:val="1"/>
    </w:lvl>
  </w:abstractNum>
  <w:abstractNum w:abstractNumId="291">
    <w:nsid w:val="5E4DB968"/>
    <w:multiLevelType w:val="hybridMultilevel"/>
    <w:lvl w:ilvl="0">
      <w:lvlJc w:val="left"/>
      <w:lvlText w:val="(%1)"/>
      <w:numFmt w:val="lowerLetter"/>
      <w:start w:val="20"/>
    </w:lvl>
  </w:abstractNum>
  <w:abstractNum w:abstractNumId="292">
    <w:nsid w:val="2C06DCF3"/>
    <w:multiLevelType w:val="hybridMultilevel"/>
    <w:lvl w:ilvl="0">
      <w:lvlJc w:val="left"/>
      <w:lvlText w:val="(%1)"/>
      <w:numFmt w:val="lowerLetter"/>
      <w:start w:val="27"/>
    </w:lvl>
  </w:abstractNum>
  <w:abstractNum w:abstractNumId="293">
    <w:nsid w:val="2E129658"/>
    <w:multiLevelType w:val="hybridMultilevel"/>
    <w:lvl w:ilvl="0">
      <w:lvlJc w:val="left"/>
      <w:lvlText w:val="%1"/>
      <w:numFmt w:val="decimal"/>
      <w:start w:val="1"/>
    </w:lvl>
    <w:lvl w:ilvl="1">
      <w:lvlJc w:val="left"/>
      <w:lvlText w:val="(%2)"/>
      <w:numFmt w:val="lowerLetter"/>
      <w:start w:val="31"/>
    </w:lvl>
    <w:lvl w:ilvl="2">
      <w:lvlJc w:val="left"/>
      <w:lvlText w:val="(%3)"/>
      <w:numFmt w:val="lowerRoman"/>
      <w:start w:val="1"/>
    </w:lvl>
  </w:abstractNum>
  <w:abstractNum w:abstractNumId="294">
    <w:nsid w:val="59F044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5">
    <w:nsid w:val="30DF306"/>
    <w:multiLevelType w:val="hybridMultilevel"/>
    <w:lvl w:ilvl="0">
      <w:lvlJc w:val="left"/>
      <w:lvlText w:val="%1"/>
      <w:numFmt w:val="lowerLetter"/>
      <w:start w:val="1"/>
    </w:lvl>
    <w:lvl w:ilvl="1">
      <w:lvlJc w:val="left"/>
      <w:lvlText w:val="(%2)"/>
      <w:numFmt w:val="lowerLetter"/>
      <w:start w:val="2"/>
    </w:lvl>
  </w:abstractNum>
  <w:abstractNum w:abstractNumId="296">
    <w:nsid w:val="A65647"/>
    <w:multiLevelType w:val="hybridMultilevel"/>
    <w:lvl w:ilvl="0">
      <w:lvlJc w:val="left"/>
      <w:lvlText w:val="(%1)"/>
      <w:numFmt w:val="lowerLetter"/>
      <w:start w:val="61"/>
    </w:lvl>
    <w:lvl w:ilvl="1">
      <w:lvlJc w:val="left"/>
      <w:lvlText w:val="(%2)"/>
      <w:numFmt w:val="lowerLetter"/>
      <w:start w:val="4"/>
    </w:lvl>
  </w:abstractNum>
  <w:abstractNum w:abstractNumId="297">
    <w:nsid w:val="3E5E582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98">
    <w:nsid w:val="257D4626"/>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299">
    <w:nsid w:val="5AA8580E"/>
    <w:multiLevelType w:val="hybridMultilevel"/>
    <w:lvl w:ilvl="0">
      <w:lvlJc w:val="left"/>
      <w:lvlText w:val="%1."/>
      <w:numFmt w:val="decimal"/>
      <w:start w:val="7"/>
    </w:lvl>
    <w:lvl w:ilvl="1">
      <w:lvlJc w:val="left"/>
      <w:lvlText w:val="(%2)"/>
      <w:numFmt w:val="lowerLetter"/>
      <w:start w:val="1"/>
    </w:lvl>
  </w:abstractNum>
  <w:abstractNum w:abstractNumId="300">
    <w:nsid w:val="68FA8D0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301">
    <w:nsid w:val="40F2CBD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302">
    <w:nsid w:val="3BD615EB"/>
    <w:multiLevelType w:val="hybridMultilevel"/>
    <w:lvl w:ilvl="0">
      <w:lvlJc w:val="left"/>
      <w:lvlText w:val="%1"/>
      <w:numFmt w:val="decimal"/>
      <w:start w:val="1"/>
    </w:lvl>
    <w:lvl w:ilvl="1">
      <w:lvlJc w:val="left"/>
      <w:lvlText w:val="(%2)"/>
      <w:numFmt w:val="lowerLetter"/>
      <w:start w:val="10"/>
    </w:lvl>
  </w:abstractNum>
  <w:abstractNum w:abstractNumId="303">
    <w:nsid w:val="A045AB2"/>
    <w:multiLevelType w:val="hybridMultilevel"/>
    <w:lvl w:ilvl="0">
      <w:lvlJc w:val="left"/>
      <w:lvlText w:val="%1."/>
      <w:numFmt w:val="decimal"/>
      <w:start w:val="10"/>
    </w:lvl>
    <w:lvl w:ilvl="1">
      <w:lvlJc w:val="left"/>
      <w:lvlText w:val="(%2)"/>
      <w:numFmt w:val="lowerLetter"/>
      <w:start w:val="1"/>
    </w:lvl>
  </w:abstractNum>
  <w:abstractNum w:abstractNumId="304">
    <w:nsid w:val="1872261F"/>
    <w:multiLevelType w:val="hybridMultilevel"/>
    <w:lvl w:ilvl="0">
      <w:lvlJc w:val="left"/>
      <w:lvlText w:val="%1"/>
      <w:numFmt w:val="decimal"/>
      <w:start w:val="1"/>
    </w:lvl>
    <w:lvl w:ilvl="1">
      <w:lvlJc w:val="left"/>
      <w:lvlText w:val="(%2)"/>
      <w:numFmt w:val="lowerLetter"/>
      <w:start w:val="2"/>
    </w:lvl>
  </w:abstractNum>
  <w:abstractNum w:abstractNumId="305">
    <w:nsid w:val="3DE8306C"/>
    <w:multiLevelType w:val="hybridMultilevel"/>
    <w:lvl w:ilvl="0">
      <w:lvlJc w:val="left"/>
      <w:lvlText w:val="%1."/>
      <w:numFmt w:val="decimal"/>
      <w:start w:val="16"/>
    </w:lvl>
    <w:lvl w:ilvl="1">
      <w:lvlJc w:val="left"/>
      <w:lvlText w:val="(%2)"/>
      <w:numFmt w:val="lowerLetter"/>
      <w:start w:val="1"/>
    </w:lvl>
  </w:abstractNum>
  <w:abstractNum w:abstractNumId="306">
    <w:nsid w:val="7631573A"/>
    <w:multiLevelType w:val="hybridMultilevel"/>
    <w:lvl w:ilvl="0">
      <w:lvlJc w:val="left"/>
      <w:lvlText w:val="%1."/>
      <w:numFmt w:val="decimal"/>
      <w:start w:val="18"/>
    </w:lvl>
    <w:lvl w:ilvl="1">
      <w:lvlJc w:val="left"/>
      <w:lvlText w:val="(%2)"/>
      <w:numFmt w:val="lowerLetter"/>
      <w:start w:val="1"/>
    </w:lvl>
  </w:abstractNum>
  <w:abstractNum w:abstractNumId="307">
    <w:nsid w:val="58DF53B"/>
    <w:multiLevelType w:val="hybridMultilevel"/>
    <w:lvl w:ilvl="0">
      <w:lvlJc w:val="left"/>
      <w:lvlText w:val="%1."/>
      <w:numFmt w:val="decimal"/>
      <w:start w:val="21"/>
    </w:lvl>
  </w:abstractNum>
  <w:abstractNum w:abstractNumId="308">
    <w:nsid w:val="ACDFAC0"/>
    <w:multiLevelType w:val="hybridMultilevel"/>
    <w:lvl w:ilvl="0">
      <w:lvlJc w:val="left"/>
      <w:lvlText w:val="%1."/>
      <w:numFmt w:val="decimal"/>
      <w:start w:val="1"/>
    </w:lvl>
    <w:lvl w:ilvl="1">
      <w:lvlJc w:val="left"/>
      <w:lvlText w:val="(%2)"/>
      <w:numFmt w:val="lowerLetter"/>
      <w:start w:val="1"/>
    </w:lvl>
  </w:abstractNum>
  <w:abstractNum w:abstractNumId="309">
    <w:nsid w:val="1F5784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10">
    <w:nsid w:val="5B0DAD2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6"/>
    </w:lvl>
  </w:abstractNum>
  <w:abstractNum w:abstractNumId="311">
    <w:nsid w:val="4E3D26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2">
    <w:nsid w:val="BE2C8B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13">
    <w:nsid w:val="7B14914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14">
    <w:nsid w:val="6F0939F8"/>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15">
    <w:nsid w:val="154291F6"/>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316">
    <w:nsid w:val="3CEBD7C7"/>
    <w:multiLevelType w:val="hybridMultilevel"/>
    <w:lvl w:ilvl="0">
      <w:lvlJc w:val="left"/>
      <w:lvlText w:val="%1."/>
      <w:numFmt w:val="decimal"/>
      <w:start w:val="5"/>
    </w:lvl>
    <w:lvl w:ilvl="1">
      <w:lvlJc w:val="left"/>
      <w:lvlText w:val="(%2)"/>
      <w:numFmt w:val="lowerLetter"/>
      <w:start w:val="2"/>
    </w:lvl>
  </w:abstractNum>
  <w:abstractNum w:abstractNumId="317">
    <w:nsid w:val="60EE9C16"/>
    <w:multiLevelType w:val="hybridMultilevel"/>
    <w:lvl w:ilvl="0">
      <w:lvlJc w:val="left"/>
      <w:lvlText w:val="%1."/>
      <w:numFmt w:val="decimal"/>
      <w:start w:val="8"/>
    </w:lvl>
    <w:lvl w:ilvl="1">
      <w:lvlJc w:val="left"/>
      <w:lvlText w:val="(%2)"/>
      <w:numFmt w:val="lowerLetter"/>
      <w:start w:val="1"/>
    </w:lvl>
  </w:abstractNum>
  <w:abstractNum w:abstractNumId="318">
    <w:nsid w:val="6385489E"/>
    <w:multiLevelType w:val="hybridMultilevel"/>
    <w:lvl w:ilvl="0">
      <w:lvlJc w:val="left"/>
      <w:lvlText w:val="(%1)"/>
      <w:numFmt w:val="lowerLetter"/>
      <w:start w:val="5"/>
    </w:lvl>
  </w:abstractNum>
  <w:abstractNum w:abstractNumId="319">
    <w:nsid w:val="E4B973"/>
    <w:multiLevelType w:val="hybridMultilevel"/>
    <w:lvl w:ilvl="0">
      <w:lvlJc w:val="left"/>
      <w:lvlText w:val="%1."/>
      <w:numFmt w:val="upperLetter"/>
      <w:start w:val="1"/>
    </w:lvl>
  </w:abstractNum>
  <w:abstractNum w:abstractNumId="320">
    <w:nsid w:val="4A0FFA11"/>
    <w:multiLevelType w:val="hybridMultilevel"/>
    <w:lvl w:ilvl="0">
      <w:lvlJc w:val="left"/>
      <w:lvlText w:val="(%1)"/>
      <w:numFmt w:val="lowerLetter"/>
      <w:start w:val="1"/>
    </w:lvl>
  </w:abstractNum>
  <w:abstractNum w:abstractNumId="321">
    <w:nsid w:val="5E446208"/>
    <w:multiLevelType w:val="hybridMultilevel"/>
    <w:lvl w:ilvl="0">
      <w:lvlJc w:val="left"/>
      <w:lvlText w:val="(%1)"/>
      <w:numFmt w:val="lowerLetter"/>
      <w:start w:val="4"/>
    </w:lvl>
  </w:abstractNum>
  <w:abstractNum w:abstractNumId="322">
    <w:nsid w:val="5F3272DB"/>
    <w:multiLevelType w:val="hybridMultilevel"/>
    <w:lvl w:ilvl="0">
      <w:lvlJc w:val="left"/>
      <w:lvlText w:val="(%1)"/>
      <w:numFmt w:val="lowerLetter"/>
      <w:start w:val="1"/>
    </w:lvl>
  </w:abstractNum>
  <w:abstractNum w:abstractNumId="323">
    <w:nsid w:val="7616D704"/>
    <w:multiLevelType w:val="hybridMultilevel"/>
    <w:lvl w:ilvl="0">
      <w:lvlJc w:val="left"/>
      <w:lvlText w:val="(%1)"/>
      <w:numFmt w:val="lowerLetter"/>
      <w:start w:val="3"/>
    </w:lvl>
  </w:abstractNum>
  <w:abstractNum w:abstractNumId="324">
    <w:nsid w:val="C56F860"/>
    <w:multiLevelType w:val="hybridMultilevel"/>
    <w:lvl w:ilvl="0">
      <w:lvlJc w:val="left"/>
      <w:lvlText w:val="(%1)"/>
      <w:numFmt w:val="lowerLetter"/>
      <w:start w:val="16"/>
    </w:lvl>
  </w:abstractNum>
  <w:abstractNum w:abstractNumId="325">
    <w:nsid w:val="64D17722"/>
    <w:multiLevelType w:val="hybridMultilevel"/>
    <w:lvl w:ilvl="0">
      <w:lvlJc w:val="left"/>
      <w:lvlText w:val="(%1)"/>
      <w:numFmt w:val="lowerLetter"/>
      <w:start w:val="1"/>
    </w:lvl>
  </w:abstractNum>
  <w:abstractNum w:abstractNumId="326">
    <w:nsid w:val="7924CA0A"/>
    <w:multiLevelType w:val="hybridMultilevel"/>
    <w:lvl w:ilvl="0">
      <w:lvlJc w:val="left"/>
      <w:lvlText w:val="(%1)"/>
      <w:numFmt w:val="lowerLetter"/>
      <w:start w:val="2"/>
    </w:lvl>
  </w:abstractNum>
  <w:abstractNum w:abstractNumId="327">
    <w:nsid w:val="CFD4EA7"/>
    <w:multiLevelType w:val="hybridMultilevel"/>
    <w:lvl w:ilvl="0">
      <w:lvlJc w:val="left"/>
      <w:lvlText w:val="(%1)"/>
      <w:numFmt w:val="lowerLetter"/>
      <w:start w:val="8"/>
    </w:lvl>
  </w:abstractNum>
  <w:abstractNum w:abstractNumId="328">
    <w:nsid w:val="232FCF4D"/>
    <w:multiLevelType w:val="hybridMultilevel"/>
    <w:lvl w:ilvl="0">
      <w:lvlJc w:val="left"/>
      <w:lvlText w:val="(%1)"/>
      <w:numFmt w:val="lowerLetter"/>
      <w:start w:val="1"/>
    </w:lvl>
  </w:abstractNum>
  <w:abstractNum w:abstractNumId="329">
    <w:nsid w:val="1EA21031"/>
    <w:multiLevelType w:val="hybridMultilevel"/>
    <w:lvl w:ilvl="0">
      <w:lvlJc w:val="left"/>
      <w:lvlText w:val="(%1)"/>
      <w:numFmt w:val="lowerLetter"/>
      <w:start w:val="4"/>
    </w:lvl>
  </w:abstractNum>
  <w:abstractNum w:abstractNumId="330">
    <w:nsid w:val="67A5A6B5"/>
    <w:multiLevelType w:val="hybridMultilevel"/>
    <w:lvl w:ilvl="0">
      <w:lvlJc w:val="left"/>
      <w:lvlText w:val="(%1)"/>
      <w:numFmt w:val="lowerLetter"/>
      <w:start w:val="1"/>
    </w:lvl>
  </w:abstractNum>
  <w:abstractNum w:abstractNumId="331">
    <w:nsid w:val="C2A5C5B"/>
    <w:multiLevelType w:val="hybridMultilevel"/>
    <w:lvl w:ilvl="0">
      <w:lvlJc w:val="left"/>
      <w:lvlText w:val="(%1)"/>
      <w:numFmt w:val="lowerLetter"/>
      <w:start w:val="2"/>
    </w:lvl>
  </w:abstractNum>
  <w:abstractNum w:abstractNumId="332">
    <w:nsid w:val="5F94DC03"/>
    <w:multiLevelType w:val="hybridMultilevel"/>
    <w:lvl w:ilvl="0">
      <w:lvlJc w:val="left"/>
      <w:lvlText w:val="(%1)"/>
      <w:numFmt w:val="lowerLetter"/>
      <w:start w:val="3"/>
    </w:lvl>
  </w:abstractNum>
  <w:abstractNum w:abstractNumId="333">
    <w:nsid w:val="237BBCA0"/>
    <w:multiLevelType w:val="hybridMultilevel"/>
    <w:lvl w:ilvl="0">
      <w:lvlJc w:val="left"/>
      <w:lvlText w:val="(%1)"/>
      <w:numFmt w:val="lowerLetter"/>
      <w:start w:val="2"/>
    </w:lvl>
  </w:abstractNum>
  <w:abstractNum w:abstractNumId="334">
    <w:nsid w:val="162EB70D"/>
    <w:multiLevelType w:val="hybridMultilevel"/>
    <w:lvl w:ilvl="0">
      <w:lvlJc w:val="left"/>
      <w:lvlText w:val="(%1)"/>
      <w:numFmt w:val="upperLetter"/>
      <w:start w:val="61"/>
    </w:lvl>
  </w:abstractNum>
  <w:abstractNum w:abstractNumId="335">
    <w:nsid w:val="78070222"/>
    <w:multiLevelType w:val="hybridMultilevel"/>
    <w:lvl w:ilvl="0">
      <w:lvlJc w:val="left"/>
      <w:lvlText w:val="(%1)"/>
      <w:numFmt w:val="lowerLetter"/>
      <w:start w:val="2"/>
    </w:lvl>
  </w:abstractNum>
  <w:abstractNum w:abstractNumId="336">
    <w:nsid w:val="6163ED0D"/>
    <w:multiLevelType w:val="hybridMultilevel"/>
    <w:lvl w:ilvl="0">
      <w:lvlJc w:val="left"/>
      <w:lvlText w:val="(%1)"/>
      <w:numFmt w:val="lowerLetter"/>
      <w:start w:val="2"/>
    </w:lvl>
  </w:abstractNum>
  <w:abstractNum w:abstractNumId="337">
    <w:nsid w:val="C600E47"/>
    <w:multiLevelType w:val="hybridMultilevel"/>
    <w:lvl w:ilvl="0">
      <w:lvlJc w:val="left"/>
      <w:lvlText w:val="(%1)"/>
      <w:numFmt w:val="lowerRoman"/>
      <w:start w:val="1"/>
    </w:lvl>
  </w:abstractNum>
  <w:abstractNum w:abstractNumId="338">
    <w:nsid w:val="7D94F75D"/>
    <w:multiLevelType w:val="hybridMultilevel"/>
    <w:lvl w:ilvl="0">
      <w:lvlJc w:val="left"/>
      <w:lvlText w:val="(%1)"/>
      <w:numFmt w:val="lowerLetter"/>
      <w:start w:val="2"/>
    </w:lvl>
  </w:abstractNum>
  <w:abstractNum w:abstractNumId="339">
    <w:nsid w:val="6C31E7CD"/>
    <w:multiLevelType w:val="hybridMultilevel"/>
    <w:lvl w:ilvl="0">
      <w:lvlJc w:val="left"/>
      <w:lvlText w:val="(%1)"/>
      <w:numFmt w:val="lowerLetter"/>
      <w:start w:val="4"/>
    </w:lvl>
  </w:abstractNum>
  <w:abstractNum w:abstractNumId="340">
    <w:nsid w:val="2BB7929B"/>
    <w:multiLevelType w:val="hybridMultilevel"/>
    <w:lvl w:ilvl="0">
      <w:lvlJc w:val="left"/>
      <w:lvlText w:val="(%1)"/>
      <w:numFmt w:val="lowerLetter"/>
      <w:start w:val="5"/>
    </w:lvl>
  </w:abstractNum>
  <w:abstractNum w:abstractNumId="341">
    <w:nsid w:val="58A2A487"/>
    <w:multiLevelType w:val="hybridMultilevel"/>
    <w:lvl w:ilvl="0">
      <w:lvlJc w:val="left"/>
      <w:lvlText w:val="%1"/>
      <w:numFmt w:val="lowerLetter"/>
      <w:start w:val="1"/>
    </w:lvl>
    <w:lvl w:ilvl="1">
      <w:lvlJc w:val="left"/>
      <w:lvlText w:val="(%2)"/>
      <w:numFmt w:val="lowerLetter"/>
      <w:start w:val="6"/>
    </w:lvl>
  </w:abstractNum>
  <w:abstractNum w:abstractNumId="342">
    <w:nsid w:val="3A6F0E78"/>
    <w:multiLevelType w:val="hybridMultilevel"/>
    <w:lvl w:ilvl="0">
      <w:lvlJc w:val="left"/>
      <w:lvlText w:val="(%1)"/>
      <w:numFmt w:val="lowerLetter"/>
      <w:start w:val="9"/>
    </w:lvl>
    <w:lvl w:ilvl="1">
      <w:lvlJc w:val="left"/>
      <w:lvlText w:val="%2"/>
      <w:numFmt w:val="lowerLetter"/>
      <w:start w:val="1"/>
    </w:lvl>
  </w:abstractNum>
  <w:abstractNum w:abstractNumId="343">
    <w:nsid w:val="379A5B56"/>
    <w:multiLevelType w:val="hybridMultilevel"/>
    <w:lvl w:ilvl="0">
      <w:lvlJc w:val="left"/>
      <w:lvlText w:val="(%1)"/>
      <w:numFmt w:val="lowerRoman"/>
      <w:start w:val="1"/>
    </w:lvl>
  </w:abstractNum>
  <w:abstractNum w:abstractNumId="344">
    <w:nsid w:val="53B735D5"/>
    <w:multiLevelType w:val="hybridMultilevel"/>
    <w:lvl w:ilvl="0">
      <w:lvlJc w:val="left"/>
      <w:lvlText w:val="(%1)"/>
      <w:numFmt w:val="lowerLetter"/>
      <w:start w:val="2"/>
    </w:lvl>
  </w:abstractNum>
  <w:abstractNum w:abstractNumId="345">
    <w:nsid w:val="29784870"/>
    <w:multiLevelType w:val="hybridMultilevel"/>
    <w:lvl w:ilvl="0">
      <w:lvlJc w:val="left"/>
      <w:lvlText w:val="(%1)"/>
      <w:numFmt w:val="lowerLetter"/>
      <w:start w:val="3"/>
    </w:lvl>
  </w:abstractNum>
  <w:abstractNum w:abstractNumId="346">
    <w:nsid w:val="4CDCED4C"/>
    <w:multiLevelType w:val="hybridMultilevel"/>
    <w:lvl w:ilvl="0">
      <w:lvlJc w:val="left"/>
      <w:lvlText w:val="(%1)"/>
      <w:numFmt w:val="lowerLetter"/>
      <w:start w:val="5"/>
    </w:lvl>
  </w:abstractNum>
  <w:abstractNum w:abstractNumId="347">
    <w:nsid w:val="10A30D9C"/>
    <w:multiLevelType w:val="hybridMultilevel"/>
    <w:lvl w:ilvl="0">
      <w:lvlJc w:val="left"/>
      <w:lvlText w:val="(%1)"/>
      <w:numFmt w:val="lowerLetter"/>
      <w:start w:val="8"/>
    </w:lvl>
  </w:abstractNum>
  <w:abstractNum w:abstractNumId="348">
    <w:nsid w:val="A66E486"/>
    <w:multiLevelType w:val="hybridMultilevel"/>
    <w:lvl w:ilvl="0">
      <w:lvlJc w:val="left"/>
      <w:lvlText w:val="(%1)"/>
      <w:numFmt w:val="lowerLetter"/>
      <w:start w:val="10"/>
    </w:lvl>
  </w:abstractNum>
  <w:abstractNum w:abstractNumId="349">
    <w:nsid w:val="306235EA"/>
    <w:multiLevelType w:val="hybridMultilevel"/>
    <w:lvl w:ilvl="0">
      <w:lvlJc w:val="left"/>
      <w:lvlText w:val="(%1)"/>
      <w:numFmt w:val="lowerLetter"/>
      <w:start w:val="12"/>
    </w:lvl>
  </w:abstractNum>
  <w:abstractNum w:abstractNumId="350">
    <w:nsid w:val="1187C70F"/>
    <w:multiLevelType w:val="hybridMultilevel"/>
    <w:lvl w:ilvl="0">
      <w:lvlJc w:val="left"/>
      <w:lvlText w:val="(%1)"/>
      <w:numFmt w:val="lowerLetter"/>
      <w:start w:val="2"/>
    </w:lvl>
  </w:abstractNum>
  <w:abstractNum w:abstractNumId="351">
    <w:nsid w:val="5476DE98"/>
    <w:multiLevelType w:val="hybridMultilevel"/>
    <w:lvl w:ilvl="0">
      <w:lvlJc w:val="left"/>
      <w:lvlText w:val="(%1)"/>
      <w:numFmt w:val="lowerLetter"/>
      <w:start w:val="2"/>
    </w:lvl>
  </w:abstractNum>
  <w:abstractNum w:abstractNumId="352">
    <w:nsid w:val="EA697F2"/>
    <w:multiLevelType w:val="hybridMultilevel"/>
    <w:lvl w:ilvl="0">
      <w:lvlJc w:val="left"/>
      <w:lvlText w:val="(%1)"/>
      <w:numFmt w:val="lowerRoman"/>
      <w:start w:val="1"/>
    </w:lvl>
  </w:abstractNum>
  <w:abstractNum w:abstractNumId="353">
    <w:nsid w:val="70BA39EB"/>
    <w:multiLevelType w:val="hybridMultilevel"/>
    <w:lvl w:ilvl="0">
      <w:lvlJc w:val="left"/>
      <w:lvlText w:val="(%1)"/>
      <w:numFmt w:val="lowerRoman"/>
      <w:start w:val="3"/>
    </w:lvl>
  </w:abstractNum>
  <w:abstractNum w:abstractNumId="354">
    <w:nsid w:val="4A8DB59C"/>
    <w:multiLevelType w:val="hybridMultilevel"/>
    <w:lvl w:ilvl="0">
      <w:lvlJc w:val="left"/>
      <w:lvlText w:val="(%1)"/>
      <w:numFmt w:val="lowerRoman"/>
      <w:start w:val="4"/>
    </w:lvl>
  </w:abstractNum>
  <w:abstractNum w:abstractNumId="355">
    <w:nsid w:val="1AFD9053"/>
    <w:multiLevelType w:val="hybridMultilevel"/>
    <w:lvl w:ilvl="0">
      <w:lvlJc w:val="left"/>
      <w:lvlText w:val="(%1)"/>
      <w:numFmt w:val="lowerLetter"/>
      <w:start w:val="3"/>
    </w:lvl>
  </w:abstractNum>
  <w:abstractNum w:abstractNumId="356">
    <w:nsid w:val="558BB10D"/>
    <w:multiLevelType w:val="hybridMultilevel"/>
    <w:lvl w:ilvl="0">
      <w:lvlJc w:val="left"/>
      <w:lvlText w:val="(%1)"/>
      <w:numFmt w:val="lowerLetter"/>
      <w:start w:val="2"/>
    </w:lvl>
  </w:abstractNum>
  <w:abstractNum w:abstractNumId="357">
    <w:nsid w:val="43B27FA7"/>
    <w:multiLevelType w:val="hybridMultilevel"/>
    <w:lvl w:ilvl="0">
      <w:lvlJc w:val="left"/>
      <w:lvlText w:val="(%1)"/>
      <w:numFmt w:val="lowerLetter"/>
      <w:start w:val="2"/>
    </w:lvl>
  </w:abstractNum>
  <w:abstractNum w:abstractNumId="358">
    <w:nsid w:val="27FADEFA"/>
    <w:multiLevelType w:val="hybridMultilevel"/>
    <w:lvl w:ilvl="0">
      <w:lvlJc w:val="left"/>
      <w:lvlText w:val="(%1)"/>
      <w:numFmt w:val="lowerLetter"/>
      <w:start w:val="1"/>
    </w:lvl>
  </w:abstractNum>
  <w:abstractNum w:abstractNumId="359">
    <w:nsid w:val="78BB805A"/>
    <w:multiLevelType w:val="hybridMultilevel"/>
    <w:lvl w:ilvl="0">
      <w:lvlJc w:val="left"/>
      <w:lvlText w:val="(%1)"/>
      <w:numFmt w:val="lowerLetter"/>
      <w:start w:val="2"/>
    </w:lvl>
  </w:abstractNum>
  <w:abstractNum w:abstractNumId="360">
    <w:nsid w:val="62548FD8"/>
    <w:multiLevelType w:val="hybridMultilevel"/>
    <w:lvl w:ilvl="0">
      <w:lvlJc w:val="left"/>
      <w:lvlText w:val="(%1)"/>
      <w:numFmt w:val="lowerLetter"/>
      <w:start w:val="2"/>
    </w:lvl>
  </w:abstractNum>
  <w:abstractNum w:abstractNumId="361">
    <w:nsid w:val="FA085B0"/>
    <w:multiLevelType w:val="hybridMultilevel"/>
    <w:lvl w:ilvl="0">
      <w:lvlJc w:val="left"/>
      <w:lvlText w:val="(%1)"/>
      <w:numFmt w:val="lowerLetter"/>
      <w:start w:val="2"/>
    </w:lvl>
  </w:abstractNum>
  <w:abstractNum w:abstractNumId="362">
    <w:nsid w:val="4E5DCB5"/>
    <w:multiLevelType w:val="hybridMultilevel"/>
    <w:lvl w:ilvl="0">
      <w:lvlJc w:val="left"/>
      <w:lvlText w:val="(%1)"/>
      <w:numFmt w:val="lowerLetter"/>
      <w:start w:val="4"/>
    </w:lvl>
  </w:abstractNum>
  <w:abstractNum w:abstractNumId="363">
    <w:nsid w:val="41E96BDB"/>
    <w:multiLevelType w:val="hybridMultilevel"/>
    <w:lvl w:ilvl="0">
      <w:lvlJc w:val="left"/>
      <w:lvlText w:val="(%1)"/>
      <w:numFmt w:val="lowerLetter"/>
      <w:start w:val="2"/>
    </w:lvl>
  </w:abstractNum>
  <w:abstractNum w:abstractNumId="364">
    <w:nsid w:val="331C4250"/>
    <w:multiLevelType w:val="hybridMultilevel"/>
    <w:lvl w:ilvl="0">
      <w:lvlJc w:val="left"/>
      <w:lvlText w:val="(%1)"/>
      <w:numFmt w:val="lowerRoman"/>
      <w:start w:val="2"/>
    </w:lvl>
  </w:abstractNum>
  <w:abstractNum w:abstractNumId="365">
    <w:nsid w:val="1B1493C2"/>
    <w:multiLevelType w:val="hybridMultilevel"/>
    <w:lvl w:ilvl="0">
      <w:lvlJc w:val="left"/>
      <w:lvlText w:val="%1"/>
      <w:numFmt w:val="lowerLetter"/>
      <w:start w:val="1"/>
    </w:lvl>
    <w:lvl w:ilvl="1">
      <w:lvlJc w:val="left"/>
      <w:lvlText w:val="(%2)"/>
      <w:numFmt w:val="lowerLetter"/>
      <w:start w:val="4"/>
    </w:lvl>
  </w:abstractNum>
  <w:abstractNum w:abstractNumId="366">
    <w:nsid w:val="39F06DFD"/>
    <w:multiLevelType w:val="hybridMultilevel"/>
    <w:lvl w:ilvl="0">
      <w:lvlJc w:val="left"/>
      <w:lvlText w:val="(%1)"/>
      <w:numFmt w:val="lowerLetter"/>
      <w:start w:val="9"/>
    </w:lvl>
    <w:lvl w:ilvl="1">
      <w:lvlJc w:val="left"/>
      <w:lvlText w:val="(%2)"/>
      <w:numFmt w:val="lowerLetter"/>
      <w:start w:val="6"/>
    </w:lvl>
  </w:abstractNum>
  <w:abstractNum w:abstractNumId="367">
    <w:nsid w:val="14802F5D"/>
    <w:multiLevelType w:val="hybridMultilevel"/>
    <w:lvl w:ilvl="0">
      <w:lvlJc w:val="left"/>
      <w:lvlText w:val="(%1)"/>
      <w:numFmt w:val="lowerRoman"/>
      <w:start w:val="1"/>
    </w:lvl>
  </w:abstractNum>
  <w:abstractNum w:abstractNumId="368">
    <w:nsid w:val="2774A209"/>
    <w:multiLevelType w:val="hybridMultilevel"/>
    <w:lvl w:ilvl="0">
      <w:lvlJc w:val="left"/>
      <w:lvlText w:val="(%1)"/>
      <w:numFmt w:val="lowerLetter"/>
      <w:start w:val="2"/>
    </w:lvl>
  </w:abstractNum>
  <w:abstractNum w:abstractNumId="369">
    <w:nsid w:val="3785655A"/>
    <w:multiLevelType w:val="hybridMultilevel"/>
    <w:lvl w:ilvl="0">
      <w:lvlJc w:val="left"/>
      <w:lvlText w:val="(%1)"/>
      <w:numFmt w:val="lowerRoman"/>
      <w:start w:val="1"/>
    </w:lvl>
  </w:abstractNum>
  <w:abstractNum w:abstractNumId="370">
    <w:nsid w:val="B2172A"/>
    <w:multiLevelType w:val="hybridMultilevel"/>
    <w:lvl w:ilvl="0">
      <w:lvlJc w:val="left"/>
      <w:lvlText w:val="(%1)"/>
      <w:numFmt w:val="lowerLetter"/>
      <w:start w:val="2"/>
    </w:lvl>
  </w:abstractNum>
  <w:abstractNum w:abstractNumId="371">
    <w:nsid w:val="532C34A5"/>
    <w:multiLevelType w:val="hybridMultilevel"/>
    <w:lvl w:ilvl="0">
      <w:lvlJc w:val="left"/>
      <w:lvlText w:val="(%1)"/>
      <w:numFmt w:val="lowerLetter"/>
      <w:start w:val="4"/>
    </w:lvl>
  </w:abstractNum>
  <w:abstractNum w:abstractNumId="372">
    <w:nsid w:val="102809E2"/>
    <w:multiLevelType w:val="hybridMultilevel"/>
    <w:lvl w:ilvl="0">
      <w:lvlJc w:val="left"/>
      <w:lvlText w:val="(%1)"/>
      <w:numFmt w:val="lowerLetter"/>
      <w:start w:val="2"/>
    </w:lvl>
  </w:abstractNum>
  <w:abstractNum w:abstractNumId="373">
    <w:nsid w:val="3B2125A3"/>
    <w:multiLevelType w:val="hybridMultilevel"/>
    <w:lvl w:ilvl="0">
      <w:lvlJc w:val="left"/>
      <w:lvlText w:val="(%1)"/>
      <w:numFmt w:val="lowerRoman"/>
      <w:start w:val="2"/>
    </w:lvl>
    <w:lvl w:ilvl="1">
      <w:lvlJc w:val="left"/>
      <w:lvlText w:val="(%2)"/>
      <w:numFmt w:val="upperLetter"/>
      <w:start w:val="1"/>
    </w:lvl>
  </w:abstractNum>
  <w:abstractNum w:abstractNumId="374">
    <w:nsid w:val="AC68FFB"/>
    <w:multiLevelType w:val="hybridMultilevel"/>
    <w:lvl w:ilvl="0">
      <w:lvlJc w:val="left"/>
      <w:lvlText w:val="%1"/>
      <w:numFmt w:val="lowerRoman"/>
      <w:start w:val="1"/>
    </w:lvl>
    <w:lvl w:ilvl="1">
      <w:lvlJc w:val="left"/>
      <w:lvlText w:val="(%2)"/>
      <w:numFmt w:val="upperLetter"/>
      <w:start w:val="5"/>
    </w:lvl>
  </w:abstractNum>
  <w:abstractNum w:abstractNumId="375">
    <w:nsid w:val="63DF3FB7"/>
    <w:multiLevelType w:val="hybridMultilevel"/>
    <w:lvl w:ilvl="0">
      <w:lvlJc w:val="left"/>
      <w:lvlText w:val="(%1)"/>
      <w:numFmt w:val="lowerRoman"/>
      <w:start w:val="3"/>
    </w:lvl>
    <w:lvl w:ilvl="1">
      <w:lvlJc w:val="left"/>
      <w:lvlText w:val="%2"/>
      <w:numFmt w:val="upperLetter"/>
      <w:start w:val="1"/>
    </w:lvl>
  </w:abstractNum>
  <w:abstractNum w:abstractNumId="376">
    <w:nsid w:val="64996E13"/>
    <w:multiLevelType w:val="hybridMultilevel"/>
    <w:lvl w:ilvl="0">
      <w:lvlJc w:val="left"/>
      <w:lvlText w:val="(%1)"/>
      <w:numFmt w:val="lowerLetter"/>
      <w:start w:val="7"/>
    </w:lvl>
  </w:abstractNum>
  <w:abstractNum w:abstractNumId="377">
    <w:nsid w:val="57A37D47"/>
    <w:multiLevelType w:val="hybridMultilevel"/>
    <w:lvl w:ilvl="0">
      <w:lvlJc w:val="left"/>
      <w:lvlText w:val="(%1)"/>
      <w:numFmt w:val="lowerLetter"/>
      <w:start w:val="8"/>
    </w:lvl>
  </w:abstractNum>
  <w:abstractNum w:abstractNumId="378">
    <w:nsid w:val="74824D54"/>
    <w:multiLevelType w:val="hybridMultilevel"/>
    <w:lvl w:ilvl="0">
      <w:lvlJc w:val="left"/>
      <w:lvlText w:val="(%1)"/>
      <w:numFmt w:val="lowerLetter"/>
      <w:start w:val="2"/>
    </w:lvl>
  </w:abstractNum>
  <w:abstractNum w:abstractNumId="379">
    <w:nsid w:val="6F00529A"/>
    <w:multiLevelType w:val="hybridMultilevel"/>
    <w:lvl w:ilvl="0">
      <w:lvlJc w:val="left"/>
      <w:lvlText w:val="(%1)"/>
      <w:numFmt w:val="lowerLetter"/>
      <w:start w:val="4"/>
    </w:lvl>
  </w:abstractNum>
  <w:abstractNum w:abstractNumId="380">
    <w:nsid w:val="805B331"/>
    <w:multiLevelType w:val="hybridMultilevel"/>
    <w:lvl w:ilvl="0">
      <w:lvlJc w:val="left"/>
      <w:lvlText w:val="(%1)"/>
      <w:numFmt w:val="lowerLetter"/>
      <w:start w:val="2"/>
    </w:lvl>
  </w:abstractNum>
  <w:abstractNum w:abstractNumId="381">
    <w:nsid w:val="60A1463"/>
    <w:multiLevelType w:val="hybridMultilevel"/>
    <w:lvl w:ilvl="0">
      <w:lvlJc w:val="left"/>
      <w:lvlText w:val="(%1)"/>
      <w:numFmt w:val="lowerLetter"/>
      <w:start w:val="1"/>
    </w:lvl>
  </w:abstractNum>
  <w:abstractNum w:abstractNumId="382">
    <w:nsid w:val="43773132"/>
    <w:multiLevelType w:val="hybridMultilevel"/>
    <w:lvl w:ilvl="0">
      <w:lvlJc w:val="left"/>
      <w:lvlText w:val="(%1)"/>
      <w:numFmt w:val="lowerRoman"/>
      <w:start w:val="1"/>
    </w:lvl>
  </w:abstractNum>
  <w:abstractNum w:abstractNumId="383">
    <w:nsid w:val="16AC4B23"/>
    <w:multiLevelType w:val="hybridMultilevel"/>
    <w:lvl w:ilvl="0">
      <w:lvlJc w:val="left"/>
      <w:lvlText w:val="(%1)"/>
      <w:numFmt w:val="lowerRoman"/>
      <w:start w:val="4"/>
    </w:lvl>
  </w:abstractNum>
  <w:abstractNum w:abstractNumId="384">
    <w:nsid w:val="76C44E4E"/>
    <w:multiLevelType w:val="hybridMultilevel"/>
    <w:lvl w:ilvl="0">
      <w:lvlJc w:val="left"/>
      <w:lvlText w:val="%1"/>
      <w:numFmt w:val="lowerLetter"/>
      <w:start w:val="1"/>
    </w:lvl>
    <w:lvl w:ilvl="1">
      <w:lvlJc w:val="left"/>
      <w:lvlText w:val="(%2)"/>
      <w:numFmt w:val="lowerLetter"/>
      <w:start w:val="4"/>
    </w:lvl>
  </w:abstractNum>
  <w:abstractNum w:abstractNumId="385">
    <w:nsid w:val="E04E6CE"/>
    <w:multiLevelType w:val="hybridMultilevel"/>
    <w:lvl w:ilvl="0">
      <w:lvlJc w:val="left"/>
      <w:lvlText w:val="(%1)"/>
      <w:numFmt w:val="lowerLetter"/>
      <w:start w:val="9"/>
    </w:lvl>
    <w:lvl w:ilvl="1">
      <w:lvlJc w:val="left"/>
      <w:lvlText w:val="%2"/>
      <w:numFmt w:val="lowerLetter"/>
      <w:start w:val="1"/>
    </w:lvl>
  </w:abstractNum>
  <w:abstractNum w:abstractNumId="386">
    <w:nsid w:val="31A9DB76"/>
    <w:multiLevelType w:val="hybridMultilevel"/>
    <w:lvl w:ilvl="0">
      <w:lvlJc w:val="left"/>
      <w:lvlText w:val="%1"/>
      <w:numFmt w:val="lowerRoman"/>
      <w:start w:val="1"/>
    </w:lvl>
    <w:lvl w:ilvl="1">
      <w:lvlJc w:val="left"/>
      <w:lvlText w:val="(%2)"/>
      <w:numFmt w:val="lowerLetter"/>
      <w:start w:val="2"/>
    </w:lvl>
  </w:abstractNum>
  <w:abstractNum w:abstractNumId="387">
    <w:nsid w:val="4C4FFF5B"/>
    <w:multiLevelType w:val="hybridMultilevel"/>
    <w:lvl w:ilvl="0">
      <w:lvlJc w:val="left"/>
      <w:lvlText w:val="(%1)"/>
      <w:numFmt w:val="lowerRoman"/>
      <w:start w:val="4"/>
    </w:lvl>
    <w:lvl w:ilvl="1">
      <w:lvlJc w:val="left"/>
      <w:lvlText w:val="%2"/>
      <w:numFmt w:val="lowerLetter"/>
      <w:start w:val="1"/>
    </w:lvl>
  </w:abstractNum>
  <w:abstractNum w:abstractNumId="388">
    <w:nsid w:val="51B76675"/>
    <w:multiLevelType w:val="hybridMultilevel"/>
    <w:lvl w:ilvl="0">
      <w:lvlJc w:val="left"/>
      <w:lvlText w:val="(%1)"/>
      <w:numFmt w:val="lowerLetter"/>
      <w:start w:val="4"/>
    </w:lvl>
  </w:abstractNum>
  <w:abstractNum w:abstractNumId="389">
    <w:nsid w:val="59A4BA71"/>
    <w:multiLevelType w:val="hybridMultilevel"/>
    <w:lvl w:ilvl="0">
      <w:lvlJc w:val="left"/>
      <w:lvlText w:val="(%1)"/>
      <w:numFmt w:val="lowerLetter"/>
      <w:start w:val="2"/>
    </w:lvl>
  </w:abstractNum>
  <w:abstractNum w:abstractNumId="390">
    <w:nsid w:val="450B7FB6"/>
    <w:multiLevelType w:val="hybridMultilevel"/>
    <w:lvl w:ilvl="0">
      <w:lvlJc w:val="left"/>
      <w:lvlText w:val="(%1)"/>
      <w:numFmt w:val="lowerLetter"/>
      <w:start w:val="9"/>
    </w:lvl>
    <w:lvl w:ilvl="1">
      <w:lvlJc w:val="left"/>
      <w:lvlText w:val="(%2)"/>
      <w:numFmt w:val="lowerLetter"/>
      <w:start w:val="2"/>
    </w:lvl>
  </w:abstractNum>
  <w:abstractNum w:abstractNumId="391">
    <w:nsid w:val="340BF64D"/>
    <w:multiLevelType w:val="hybridMultilevel"/>
    <w:lvl w:ilvl="0">
      <w:lvlJc w:val="left"/>
      <w:lvlText w:val="(%1)"/>
      <w:numFmt w:val="decimal"/>
      <w:start w:val="10"/>
    </w:lvl>
    <w:lvl w:ilvl="1">
      <w:lvlJc w:val="left"/>
      <w:lvlText w:val="(%2)"/>
      <w:numFmt w:val="lowerLetter"/>
      <w:start w:val="5"/>
    </w:lvl>
  </w:abstractNum>
  <w:abstractNum w:abstractNumId="392">
    <w:nsid w:val="69454021"/>
    <w:multiLevelType w:val="hybridMultilevel"/>
    <w:lvl w:ilvl="0">
      <w:lvlJc w:val="left"/>
      <w:lvlText w:val="(%1)"/>
      <w:numFmt w:val="lowerLetter"/>
      <w:start w:val="2"/>
    </w:lvl>
  </w:abstractNum>
  <w:abstractNum w:abstractNumId="393">
    <w:nsid w:val="49F15C6B"/>
    <w:multiLevelType w:val="hybridMultilevel"/>
    <w:lvl w:ilvl="0">
      <w:lvlJc w:val="left"/>
      <w:lvlText w:val="(%1)"/>
      <w:numFmt w:val="lowerLetter"/>
      <w:start w:val="1"/>
    </w:lvl>
  </w:abstractNum>
  <w:abstractNum w:abstractNumId="394">
    <w:nsid w:val="75F56228"/>
    <w:multiLevelType w:val="hybridMultilevel"/>
    <w:lvl w:ilvl="0">
      <w:lvlJc w:val="left"/>
      <w:lvlText w:val="(%1)"/>
      <w:numFmt w:val="lowerLetter"/>
      <w:start w:val="2"/>
    </w:lvl>
  </w:abstractNum>
  <w:abstractNum w:abstractNumId="395">
    <w:nsid w:val="1C618271"/>
    <w:multiLevelType w:val="hybridMultilevel"/>
    <w:lvl w:ilvl="0">
      <w:lvlJc w:val="left"/>
      <w:lvlText w:val="(%1)"/>
      <w:numFmt w:val="lowerLetter"/>
      <w:start w:val="2"/>
    </w:lvl>
  </w:abstractNum>
  <w:abstractNum w:abstractNumId="396">
    <w:nsid w:val="6505F02E"/>
    <w:multiLevelType w:val="hybridMultilevel"/>
    <w:lvl w:ilvl="0">
      <w:lvlJc w:val="left"/>
      <w:lvlText w:val="(%1)"/>
      <w:numFmt w:val="lowerLetter"/>
      <w:start w:val="2"/>
    </w:lvl>
  </w:abstractNum>
  <w:abstractNum w:abstractNumId="397">
    <w:nsid w:val="2FE5D025"/>
    <w:multiLevelType w:val="hybridMultilevel"/>
    <w:lvl w:ilvl="0">
      <w:lvlJc w:val="left"/>
      <w:lvlText w:val="(%1)"/>
      <w:numFmt w:val="lowerLetter"/>
      <w:start w:val="3"/>
    </w:lvl>
  </w:abstractNum>
  <w:abstractNum w:abstractNumId="398">
    <w:nsid w:val="30E1B1CF"/>
    <w:multiLevelType w:val="hybridMultilevel"/>
    <w:lvl w:ilvl="0">
      <w:lvlJc w:val="left"/>
      <w:lvlText w:val="%1"/>
      <w:numFmt w:val="decimal"/>
      <w:start w:val="1"/>
    </w:lvl>
    <w:lvl w:ilvl="1">
      <w:lvlJc w:val="left"/>
      <w:lvlText w:val="(%2)"/>
      <w:numFmt w:val="lowerLetter"/>
      <w:start w:val="2"/>
    </w:lvl>
  </w:abstractNum>
  <w:abstractNum w:abstractNumId="399">
    <w:nsid w:val="C7A9237"/>
    <w:multiLevelType w:val="hybridMultilevel"/>
    <w:lvl w:ilvl="0">
      <w:lvlJc w:val="left"/>
      <w:lvlText w:val="(%1)"/>
      <w:numFmt w:val="decimal"/>
      <w:start w:val="1"/>
    </w:lvl>
    <w:lvl w:ilvl="1">
      <w:lvlJc w:val="left"/>
      <w:lvlText w:val="(%2)"/>
      <w:numFmt w:val="lowerLetter"/>
      <w:start w:val="35"/>
    </w:lvl>
  </w:abstractNum>
  <w:abstractNum w:abstractNumId="400">
    <w:nsid w:val="676B3580"/>
    <w:multiLevelType w:val="hybridMultilevel"/>
    <w:lvl w:ilvl="0">
      <w:lvlJc w:val="left"/>
      <w:lvlText w:val="(%1)"/>
      <w:numFmt w:val="lowerLetter"/>
      <w:start w:val="4"/>
    </w:lvl>
  </w:abstractNum>
  <w:abstractNum w:abstractNumId="401">
    <w:nsid w:val="3193C8F9"/>
    <w:multiLevelType w:val="hybridMultilevel"/>
    <w:lvl w:ilvl="0">
      <w:lvlJc w:val="left"/>
      <w:lvlText w:val="(%1)"/>
      <w:numFmt w:val="lowerLetter"/>
      <w:start w:val="1"/>
    </w:lvl>
  </w:abstractNum>
  <w:abstractNum w:abstractNumId="402">
    <w:nsid w:val="5FA6C6DC"/>
    <w:multiLevelType w:val="hybridMultilevel"/>
    <w:lvl w:ilvl="0">
      <w:lvlJc w:val="left"/>
      <w:lvlText w:val="(%1)"/>
      <w:numFmt w:val="lowerLetter"/>
      <w:start w:val="7"/>
    </w:lvl>
  </w:abstractNum>
  <w:abstractNum w:abstractNumId="403">
    <w:nsid w:val="77933F62"/>
    <w:multiLevelType w:val="hybridMultilevel"/>
    <w:lvl w:ilvl="0">
      <w:lvlJc w:val="left"/>
      <w:lvlText w:val="(%1)"/>
      <w:numFmt w:val="lowerLetter"/>
      <w:start w:val="14"/>
    </w:lvl>
  </w:abstractNum>
  <w:abstractNum w:abstractNumId="404">
    <w:nsid w:val="6CB4EE9C"/>
    <w:multiLevelType w:val="hybridMultilevel"/>
    <w:lvl w:ilvl="0">
      <w:lvlJc w:val="left"/>
      <w:lvlText w:val="(%1)"/>
      <w:numFmt w:val="lowerLetter"/>
      <w:start w:val="1"/>
    </w:lvl>
  </w:abstractNum>
  <w:abstractNum w:abstractNumId="405">
    <w:nsid w:val="6A6D56D7"/>
    <w:multiLevelType w:val="hybridMultilevel"/>
    <w:lvl w:ilvl="0">
      <w:lvlJc w:val="left"/>
      <w:lvlText w:val="(%1)"/>
      <w:numFmt w:val="lowerLetter"/>
      <w:start w:val="2"/>
    </w:lvl>
  </w:abstractNum>
  <w:abstractNum w:abstractNumId="406">
    <w:nsid w:val="5B727F19"/>
    <w:multiLevelType w:val="hybridMultilevel"/>
    <w:lvl w:ilvl="0">
      <w:lvlJc w:val="left"/>
      <w:lvlText w:val="(%1)"/>
      <w:numFmt w:val="lowerLetter"/>
      <w:start w:val="1"/>
    </w:lvl>
  </w:abstractNum>
  <w:abstractNum w:abstractNumId="407">
    <w:nsid w:val="514E5CB0"/>
    <w:multiLevelType w:val="hybridMultilevel"/>
    <w:lvl w:ilvl="0">
      <w:lvlJc w:val="left"/>
      <w:lvlText w:val="%1"/>
      <w:numFmt w:val="lowerLetter"/>
      <w:start w:val="1"/>
    </w:lvl>
    <w:lvl w:ilvl="1">
      <w:lvlJc w:val="left"/>
      <w:lvlText w:val="(%2)"/>
      <w:numFmt w:val="lowerLetter"/>
      <w:start w:val="3"/>
    </w:lvl>
  </w:abstractNum>
  <w:abstractNum w:abstractNumId="408">
    <w:nsid w:val="4210D41E"/>
    <w:multiLevelType w:val="hybridMultilevel"/>
    <w:lvl w:ilvl="0">
      <w:lvlJc w:val="left"/>
      <w:lvlText w:val="(%1)"/>
      <w:numFmt w:val="lowerLetter"/>
      <w:start w:val="35"/>
    </w:lvl>
    <w:lvl w:ilvl="1">
      <w:lvlJc w:val="left"/>
      <w:lvlText w:val="(%2)"/>
      <w:numFmt w:val="lowerLetter"/>
      <w:start w:val="7"/>
    </w:lvl>
  </w:abstractNum>
  <w:abstractNum w:abstractNumId="409">
    <w:nsid w:val="4FF4CC6D"/>
    <w:multiLevelType w:val="hybridMultilevel"/>
    <w:lvl w:ilvl="0">
      <w:lvlJc w:val="left"/>
      <w:lvlText w:val="%1"/>
      <w:numFmt w:val="lowerLetter"/>
      <w:start w:val="1"/>
    </w:lvl>
    <w:lvl w:ilvl="1">
      <w:lvlJc w:val="left"/>
      <w:lvlText w:val="(%2)"/>
      <w:numFmt w:val="lowerLetter"/>
      <w:start w:val="9"/>
    </w:lvl>
  </w:abstractNum>
  <w:abstractNum w:abstractNumId="410">
    <w:nsid w:val="404EAF4A"/>
    <w:multiLevelType w:val="hybridMultilevel"/>
    <w:lvl w:ilvl="0">
      <w:lvlJc w:val="left"/>
      <w:lvlText w:val="(%1)"/>
      <w:numFmt w:val="lowerLetter"/>
      <w:start w:val="9"/>
    </w:lvl>
    <w:lvl w:ilvl="1">
      <w:lvlJc w:val="left"/>
      <w:lvlText w:val="(%2)"/>
      <w:numFmt w:val="lowerLetter"/>
      <w:start w:val="10"/>
    </w:lvl>
  </w:abstractNum>
  <w:abstractNum w:abstractNumId="411">
    <w:nsid w:val="4A16874F"/>
    <w:multiLevelType w:val="hybridMultilevel"/>
    <w:lvl w:ilvl="0">
      <w:lvlJc w:val="left"/>
      <w:lvlText w:val="(%1)"/>
      <w:numFmt w:val="lowerLetter"/>
      <w:start w:val="1"/>
    </w:lvl>
  </w:abstractNum>
  <w:abstractNum w:abstractNumId="412">
    <w:nsid w:val="55FEE0D1"/>
    <w:multiLevelType w:val="hybridMultilevel"/>
    <w:lvl w:ilvl="0">
      <w:lvlJc w:val="left"/>
      <w:lvlText w:val="(%1)"/>
      <w:numFmt w:val="lowerLetter"/>
      <w:start w:val="3"/>
    </w:lvl>
  </w:abstractNum>
  <w:abstractNum w:abstractNumId="413">
    <w:nsid w:val="3C5E07C"/>
    <w:multiLevelType w:val="hybridMultilevel"/>
    <w:lvl w:ilvl="0">
      <w:lvlJc w:val="left"/>
      <w:lvlText w:val="(%1)"/>
      <w:numFmt w:val="lowerLetter"/>
      <w:start w:val="2"/>
    </w:lvl>
  </w:abstractNum>
  <w:abstractNum w:abstractNumId="414">
    <w:nsid w:val="60C2D273"/>
    <w:multiLevelType w:val="hybridMultilevel"/>
    <w:lvl w:ilvl="0">
      <w:lvlJc w:val="left"/>
      <w:lvlText w:val="(%1)"/>
      <w:numFmt w:val="lowerLetter"/>
      <w:start w:val="3"/>
    </w:lvl>
  </w:abstractNum>
  <w:abstractNum w:abstractNumId="415">
    <w:nsid w:val="4CC32F1F"/>
    <w:multiLevelType w:val="hybridMultilevel"/>
    <w:lvl w:ilvl="0">
      <w:lvlJc w:val="left"/>
      <w:lvlText w:val="(%1)"/>
      <w:numFmt w:val="lowerLetter"/>
      <w:start w:val="2"/>
    </w:lvl>
  </w:abstractNum>
  <w:abstractNum w:abstractNumId="416">
    <w:nsid w:val="11CAC74A"/>
    <w:multiLevelType w:val="hybridMultilevel"/>
    <w:lvl w:ilvl="0">
      <w:lvlJc w:val="left"/>
      <w:lvlText w:val="(%1)"/>
      <w:numFmt w:val="lowerLetter"/>
      <w:start w:val="2"/>
    </w:lvl>
  </w:abstractNum>
  <w:abstractNum w:abstractNumId="417">
    <w:nsid w:val="126CADE9"/>
    <w:multiLevelType w:val="hybridMultilevel"/>
    <w:lvl w:ilvl="0">
      <w:lvlJc w:val="left"/>
      <w:lvlText w:val="(%1)"/>
      <w:numFmt w:val="lowerRoman"/>
      <w:start w:val="1"/>
    </w:lvl>
  </w:abstractNum>
  <w:abstractNum w:abstractNumId="418">
    <w:nsid w:val="19132E7B"/>
    <w:multiLevelType w:val="hybridMultilevel"/>
    <w:lvl w:ilvl="0">
      <w:lvlJc w:val="left"/>
      <w:lvlText w:val="%1"/>
      <w:numFmt w:val="upperLetter"/>
      <w:start w:val="1"/>
    </w:lvl>
    <w:lvl w:ilvl="1">
      <w:lvlJc w:val="left"/>
      <w:lvlText w:val="(%2)"/>
      <w:numFmt w:val="lowerRoman"/>
      <w:start w:val="4"/>
    </w:lvl>
  </w:abstractNum>
  <w:abstractNum w:abstractNumId="419">
    <w:nsid w:val="63822DC0"/>
    <w:multiLevelType w:val="hybridMultilevel"/>
    <w:lvl w:ilvl="0">
      <w:lvlJc w:val="left"/>
      <w:lvlText w:val="(%1)"/>
      <w:numFmt w:val="upperLetter"/>
      <w:start w:val="2"/>
    </w:lvl>
    <w:lvl w:ilvl="1">
      <w:lvlJc w:val="left"/>
      <w:lvlText w:val="(%2)"/>
      <w:numFmt w:val="lowerRoman"/>
      <w:start w:val="8"/>
    </w:lvl>
  </w:abstractNum>
  <w:abstractNum w:abstractNumId="420">
    <w:nsid w:val="6C11685A"/>
    <w:multiLevelType w:val="hybridMultilevel"/>
    <w:lvl w:ilvl="0">
      <w:lvlJc w:val="left"/>
      <w:lvlText w:val="%1"/>
      <w:numFmt w:val="lowerRoman"/>
      <w:start w:val="1"/>
    </w:lvl>
    <w:lvl w:ilvl="1">
      <w:lvlJc w:val="left"/>
      <w:lvlText w:val="(%2)"/>
      <w:numFmt w:val="lowerRoman"/>
      <w:start w:val="10"/>
    </w:lvl>
  </w:abstractNum>
  <w:abstractNum w:abstractNumId="421">
    <w:nsid w:val="5E1EAE31"/>
    <w:multiLevelType w:val="hybridMultilevel"/>
    <w:lvl w:ilvl="0">
      <w:lvlJc w:val="left"/>
      <w:lvlText w:val="(%1)"/>
      <w:numFmt w:val="lowerRoman"/>
      <w:start w:val="11"/>
    </w:lvl>
    <w:lvl w:ilvl="1">
      <w:lvlJc w:val="left"/>
      <w:lvlText w:val="%2"/>
      <w:numFmt w:val="lowerRoman"/>
      <w:start w:val="1"/>
    </w:lvl>
  </w:abstractNum>
  <w:abstractNum w:abstractNumId="422">
    <w:nsid w:val="178E240D"/>
    <w:multiLevelType w:val="hybridMultilevel"/>
    <w:lvl w:ilvl="0">
      <w:lvlJc w:val="left"/>
      <w:lvlText w:val="(%1)"/>
      <w:numFmt w:val="lowerLetter"/>
      <w:start w:val="2"/>
    </w:lvl>
  </w:abstractNum>
  <w:abstractNum w:abstractNumId="423">
    <w:nsid w:val="5556A87B"/>
    <w:multiLevelType w:val="hybridMultilevel"/>
    <w:lvl w:ilvl="0">
      <w:lvlJc w:val="left"/>
      <w:lvlText w:val="(%1)"/>
      <w:numFmt w:val="lowerLetter"/>
      <w:start w:val="1"/>
    </w:lvl>
  </w:abstractNum>
  <w:abstractNum w:abstractNumId="424">
    <w:nsid w:val="28100A9C"/>
    <w:multiLevelType w:val="hybridMultilevel"/>
    <w:lvl w:ilvl="0">
      <w:lvlJc w:val="left"/>
      <w:lvlText w:val="(%1)"/>
      <w:numFmt w:val="lowerLetter"/>
      <w:start w:val="5"/>
    </w:lvl>
  </w:abstractNum>
  <w:abstractNum w:abstractNumId="425">
    <w:nsid w:val="D838636"/>
    <w:multiLevelType w:val="hybridMultilevel"/>
    <w:lvl w:ilvl="0">
      <w:lvlJc w:val="left"/>
      <w:lvlText w:val="(%1)"/>
      <w:numFmt w:val="lowerLetter"/>
      <w:start w:val="2"/>
    </w:lvl>
  </w:abstractNum>
  <w:abstractNum w:abstractNumId="426">
    <w:nsid w:val="71B82AED"/>
    <w:multiLevelType w:val="hybridMultilevel"/>
    <w:lvl w:ilvl="0">
      <w:lvlJc w:val="left"/>
      <w:lvlText w:val="(%1)"/>
      <w:numFmt w:val="lowerLetter"/>
      <w:start w:val="1"/>
    </w:lvl>
  </w:abstractNum>
  <w:abstractNum w:abstractNumId="427">
    <w:nsid w:val="D15FACA"/>
    <w:multiLevelType w:val="hybridMultilevel"/>
    <w:lvl w:ilvl="0">
      <w:lvlJc w:val="left"/>
      <w:lvlText w:val="(%1)"/>
      <w:numFmt w:val="lowerLetter"/>
      <w:start w:val="3"/>
    </w:lvl>
  </w:abstractNum>
  <w:abstractNum w:abstractNumId="428">
    <w:nsid w:val="3D69565B"/>
    <w:multiLevelType w:val="hybridMultilevel"/>
    <w:lvl w:ilvl="0">
      <w:lvlJc w:val="left"/>
      <w:lvlText w:val="(%1)"/>
      <w:numFmt w:val="lowerLetter"/>
      <w:start w:val="12"/>
    </w:lvl>
  </w:abstractNum>
  <w:abstractNum w:abstractNumId="429">
    <w:nsid w:val="2299DCBC"/>
    <w:multiLevelType w:val="hybridMultilevel"/>
    <w:lvl w:ilvl="0">
      <w:lvlJc w:val="left"/>
      <w:lvlText w:val="%1"/>
      <w:numFmt w:val="upperLetter"/>
      <w:start w:val="1"/>
    </w:lvl>
    <w:lvl w:ilvl="1">
      <w:lvlJc w:val="left"/>
      <w:lvlText w:val="(%2)"/>
      <w:numFmt w:val="lowerLetter"/>
      <w:start w:val="16"/>
    </w:lvl>
  </w:abstractNum>
  <w:abstractNum w:abstractNumId="430">
    <w:nsid w:val="19908D02"/>
    <w:multiLevelType w:val="hybridMultilevel"/>
    <w:lvl w:ilvl="0">
      <w:lvlJc w:val="left"/>
      <w:lvlText w:val="(%1)"/>
      <w:numFmt w:val="upperLetter"/>
      <w:start w:val="1"/>
    </w:lvl>
    <w:lvl w:ilvl="1">
      <w:lvlJc w:val="left"/>
      <w:lvlText w:val="%2"/>
      <w:numFmt w:val="lowerLetter"/>
      <w:start w:val="1"/>
    </w:lvl>
  </w:abstractNum>
  <w:abstractNum w:abstractNumId="431">
    <w:nsid w:val="24D48BDB"/>
    <w:multiLevelType w:val="hybridMultilevel"/>
    <w:lvl w:ilvl="0">
      <w:lvlJc w:val="left"/>
      <w:lvlText w:val="(%1)"/>
      <w:numFmt w:val="lowerLetter"/>
      <w:start w:val="1"/>
    </w:lvl>
  </w:abstractNum>
  <w:abstractNum w:abstractNumId="432">
    <w:nsid w:val="542DA5B5"/>
    <w:multiLevelType w:val="hybridMultilevel"/>
    <w:lvl w:ilvl="0">
      <w:lvlJc w:val="left"/>
      <w:lvlText w:val="(%1)"/>
      <w:numFmt w:val="lowerLetter"/>
      <w:start w:val="4"/>
    </w:lvl>
  </w:abstractNum>
  <w:abstractNum w:abstractNumId="433">
    <w:nsid w:val="793753DE"/>
    <w:multiLevelType w:val="hybridMultilevel"/>
    <w:lvl w:ilvl="0">
      <w:lvlJc w:val="left"/>
      <w:lvlText w:val="(%1)"/>
      <w:numFmt w:val="lowerLetter"/>
      <w:start w:val="1"/>
    </w:lvl>
  </w:abstractNum>
  <w:abstractNum w:abstractNumId="434">
    <w:nsid w:val="1C67CB3D"/>
    <w:multiLevelType w:val="hybridMultilevel"/>
    <w:lvl w:ilvl="0">
      <w:lvlJc w:val="left"/>
      <w:lvlText w:val="(%1)"/>
      <w:numFmt w:val="lowerRoman"/>
      <w:start w:val="1"/>
    </w:lvl>
  </w:abstractNum>
  <w:abstractNum w:abstractNumId="435">
    <w:nsid w:val="40E29452"/>
    <w:multiLevelType w:val="hybridMultilevel"/>
    <w:lvl w:ilvl="0">
      <w:lvlJc w:val="left"/>
      <w:lvlText w:val="(%1)"/>
      <w:numFmt w:val="lowerLetter"/>
      <w:start w:val="2"/>
    </w:lvl>
  </w:abstractNum>
  <w:abstractNum w:abstractNumId="436">
    <w:nsid w:val="63A4AAB6"/>
    <w:multiLevelType w:val="hybridMultilevel"/>
    <w:lvl w:ilvl="0">
      <w:lvlJc w:val="left"/>
      <w:lvlText w:val="(%1)"/>
      <w:numFmt w:val="lowerRoman"/>
      <w:start w:val="1"/>
    </w:lvl>
  </w:abstractNum>
  <w:abstractNum w:abstractNumId="437">
    <w:nsid w:val="77DA4A57"/>
    <w:multiLevelType w:val="hybridMultilevel"/>
    <w:lvl w:ilvl="0">
      <w:lvlJc w:val="left"/>
      <w:lvlText w:val="(%1)"/>
      <w:numFmt w:val="upperLetter"/>
      <w:start w:val="2"/>
    </w:lvl>
  </w:abstractNum>
  <w:abstractNum w:abstractNumId="438">
    <w:nsid w:val="1230F102"/>
    <w:multiLevelType w:val="hybridMultilevel"/>
    <w:lvl w:ilvl="0">
      <w:lvlJc w:val="left"/>
      <w:lvlText w:val="(%1)"/>
      <w:numFmt w:val="lowerLetter"/>
      <w:start w:val="2"/>
    </w:lvl>
  </w:abstractNum>
  <w:abstractNum w:abstractNumId="439">
    <w:nsid w:val="25B57ED4"/>
    <w:multiLevelType w:val="hybridMultilevel"/>
    <w:lvl w:ilvl="0">
      <w:lvlJc w:val="left"/>
      <w:lvlText w:val="(%1)"/>
      <w:numFmt w:val="lowerLetter"/>
      <w:start w:val="1"/>
    </w:lvl>
  </w:abstractNum>
  <w:abstractNum w:abstractNumId="440">
    <w:nsid w:val="47CF16C4"/>
    <w:multiLevelType w:val="hybridMultilevel"/>
    <w:lvl w:ilvl="0">
      <w:lvlJc w:val="left"/>
      <w:lvlText w:val="(%1)"/>
      <w:numFmt w:val="lowerLetter"/>
      <w:start w:val="8"/>
    </w:lvl>
  </w:abstractNum>
  <w:abstractNum w:abstractNumId="441">
    <w:nsid w:val="527FA04C"/>
    <w:multiLevelType w:val="hybridMultilevel"/>
    <w:lvl w:ilvl="0">
      <w:lvlJc w:val="left"/>
      <w:lvlText w:val="(%1)"/>
      <w:numFmt w:val="lowerLetter"/>
      <w:start w:val="15"/>
    </w:lvl>
  </w:abstractNum>
  <w:abstractNum w:abstractNumId="442">
    <w:nsid w:val="6FCC0624"/>
    <w:multiLevelType w:val="hybridMultilevel"/>
    <w:lvl w:ilvl="0">
      <w:lvlJc w:val="left"/>
      <w:lvlText w:val="(%1)"/>
      <w:numFmt w:val="lowerLetter"/>
      <w:start w:val="2"/>
    </w:lvl>
  </w:abstractNum>
  <w:abstractNum w:abstractNumId="443">
    <w:nsid w:val="1DCDF795"/>
    <w:multiLevelType w:val="hybridMultilevel"/>
    <w:lvl w:ilvl="0">
      <w:lvlJc w:val="left"/>
      <w:lvlText w:val="(%1)"/>
      <w:numFmt w:val="lowerRoman"/>
      <w:start w:val="1"/>
    </w:lvl>
  </w:abstractNum>
  <w:abstractNum w:abstractNumId="444">
    <w:nsid w:val="564580C8"/>
    <w:multiLevelType w:val="hybridMultilevel"/>
    <w:lvl w:ilvl="0">
      <w:lvlJc w:val="left"/>
      <w:lvlText w:val="(%1)"/>
      <w:numFmt w:val="lowerLetter"/>
      <w:start w:val="2"/>
    </w:lvl>
  </w:abstractNum>
  <w:abstractNum w:abstractNumId="445">
    <w:nsid w:val="508ED897"/>
    <w:multiLevelType w:val="hybridMultilevel"/>
    <w:lvl w:ilvl="0">
      <w:lvlJc w:val="left"/>
      <w:lvlText w:val="(%1)"/>
      <w:numFmt w:val="lowerLetter"/>
      <w:start w:val="2"/>
    </w:lvl>
  </w:abstractNum>
  <w:abstractNum w:abstractNumId="446">
    <w:nsid w:val="6A9126B5"/>
    <w:multiLevelType w:val="hybridMultilevel"/>
    <w:lvl w:ilvl="0">
      <w:lvlJc w:val="left"/>
      <w:lvlText w:val="(%1)"/>
      <w:numFmt w:val="lowerLetter"/>
      <w:start w:val="2"/>
    </w:lvl>
  </w:abstractNum>
  <w:abstractNum w:abstractNumId="447">
    <w:nsid w:val="68104812"/>
    <w:multiLevelType w:val="hybridMultilevel"/>
    <w:lvl w:ilvl="0">
      <w:lvlJc w:val="left"/>
      <w:lvlText w:val="(%1)"/>
      <w:numFmt w:val="lowerLetter"/>
      <w:start w:val="3"/>
    </w:lvl>
  </w:abstractNum>
  <w:abstractNum w:abstractNumId="448">
    <w:nsid w:val="62FB8680"/>
    <w:multiLevelType w:val="hybridMultilevel"/>
    <w:lvl w:ilvl="0">
      <w:lvlJc w:val="left"/>
      <w:lvlText w:val="(%1)"/>
      <w:numFmt w:val="lowerLetter"/>
      <w:start w:val="2"/>
    </w:lvl>
    <w:lvl w:ilvl="1">
      <w:lvlJc w:val="left"/>
      <w:lvlText w:val="(%2)"/>
      <w:numFmt w:val="upperLetter"/>
      <w:start w:val="1"/>
    </w:lvl>
  </w:abstractNum>
  <w:abstractNum w:abstractNumId="449">
    <w:nsid w:val="3A45530"/>
    <w:multiLevelType w:val="hybridMultilevel"/>
    <w:lvl w:ilvl="0">
      <w:lvlJc w:val="left"/>
      <w:lvlText w:val="(%1)"/>
      <w:numFmt w:val="lowerRoman"/>
      <w:start w:val="2"/>
    </w:lvl>
    <w:lvl w:ilvl="1">
      <w:lvlJc w:val="left"/>
      <w:lvlText w:val="(%2)"/>
      <w:numFmt w:val="upperLetter"/>
      <w:start w:val="1"/>
    </w:lvl>
  </w:abstractNum>
  <w:abstractNum w:abstractNumId="450">
    <w:nsid w:val="4B9275D2"/>
    <w:multiLevelType w:val="hybridMultilevel"/>
    <w:lvl w:ilvl="0">
      <w:lvlJc w:val="left"/>
      <w:lvlText w:val="%1"/>
      <w:numFmt w:val="lowerRoman"/>
      <w:start w:val="1"/>
    </w:lvl>
    <w:lvl w:ilvl="1">
      <w:lvlJc w:val="left"/>
      <w:lvlText w:val="(%2)"/>
      <w:numFmt w:val="upperLetter"/>
      <w:start w:val="2"/>
    </w:lvl>
  </w:abstractNum>
  <w:abstractNum w:abstractNumId="451">
    <w:nsid w:val="4F0CEEDB"/>
    <w:multiLevelType w:val="hybridMultilevel"/>
    <w:lvl w:ilvl="0">
      <w:lvlJc w:val="left"/>
      <w:lvlText w:val="(%1)"/>
      <w:numFmt w:val="lowerRoman"/>
      <w:start w:val="3"/>
    </w:lvl>
    <w:lvl w:ilvl="1">
      <w:lvlJc w:val="left"/>
      <w:lvlText w:val="%2"/>
      <w:numFmt w:val="upperLetter"/>
      <w:start w:val="1"/>
    </w:lvl>
  </w:abstractNum>
  <w:abstractNum w:abstractNumId="452">
    <w:nsid w:val="61C30361"/>
    <w:multiLevelType w:val="hybridMultilevel"/>
    <w:lvl w:ilvl="0">
      <w:lvlJc w:val="left"/>
      <w:lvlText w:val="(%1)"/>
      <w:numFmt w:val="lowerLetter"/>
      <w:start w:val="3"/>
    </w:lvl>
  </w:abstractNum>
  <w:abstractNum w:abstractNumId="453">
    <w:nsid w:val="632099E0"/>
    <w:multiLevelType w:val="hybridMultilevel"/>
    <w:lvl w:ilvl="0">
      <w:lvlJc w:val="left"/>
      <w:lvlText w:val="(%1)"/>
      <w:numFmt w:val="lowerLetter"/>
      <w:start w:val="2"/>
    </w:lvl>
  </w:abstractNum>
  <w:abstractNum w:abstractNumId="454">
    <w:nsid w:val="24639756"/>
    <w:multiLevelType w:val="hybridMultilevel"/>
    <w:lvl w:ilvl="0">
      <w:lvlJc w:val="left"/>
      <w:lvlText w:val="(%1)"/>
      <w:numFmt w:val="lowerLetter"/>
      <w:start w:val="3"/>
    </w:lvl>
  </w:abstractNum>
  <w:abstractNum w:abstractNumId="455">
    <w:nsid w:val="9D30DFD"/>
    <w:multiLevelType w:val="hybridMultilevel"/>
    <w:lvl w:ilvl="0">
      <w:lvlJc w:val="left"/>
      <w:lvlText w:val="(%1)"/>
      <w:numFmt w:val="lowerLetter"/>
      <w:start w:val="2"/>
    </w:lvl>
  </w:abstractNum>
  <w:abstractNum w:abstractNumId="456">
    <w:nsid w:val="70A42016"/>
    <w:multiLevelType w:val="hybridMultilevel"/>
    <w:lvl w:ilvl="0">
      <w:lvlJc w:val="left"/>
      <w:lvlText w:val="(%1)"/>
      <w:numFmt w:val="lowerLetter"/>
      <w:start w:val="2"/>
    </w:lvl>
  </w:abstractNum>
  <w:abstractNum w:abstractNumId="457">
    <w:nsid w:val="161BC243"/>
    <w:multiLevelType w:val="hybridMultilevel"/>
    <w:lvl w:ilvl="0">
      <w:lvlJc w:val="left"/>
      <w:lvlText w:val="(%1)"/>
      <w:numFmt w:val="lowerLetter"/>
      <w:start w:val="1"/>
    </w:lvl>
    <w:lvl w:ilvl="1">
      <w:lvlJc w:val="left"/>
      <w:lvlText w:val="(%2)"/>
      <w:numFmt w:val="lowerLetter"/>
      <w:start w:val="9"/>
    </w:lvl>
  </w:abstractNum>
  <w:abstractNum w:abstractNumId="458">
    <w:nsid w:val="16E908C8"/>
    <w:multiLevelType w:val="hybridMultilevel"/>
    <w:lvl w:ilvl="0">
      <w:lvlJc w:val="left"/>
      <w:lvlText w:val="(%1)"/>
      <w:numFmt w:val="lowerRoman"/>
      <w:start w:val="2"/>
    </w:lvl>
  </w:abstractNum>
  <w:abstractNum w:abstractNumId="459">
    <w:nsid w:val="2E0D7671"/>
    <w:multiLevelType w:val="hybridMultilevel"/>
    <w:lvl w:ilvl="0">
      <w:lvlJc w:val="left"/>
      <w:lvlText w:val="(%1)"/>
      <w:numFmt w:val="lowerLetter"/>
      <w:start w:val="1"/>
    </w:lvl>
  </w:abstractNum>
  <w:abstractNum w:abstractNumId="460">
    <w:nsid w:val="38B59EFF"/>
    <w:multiLevelType w:val="hybridMultilevel"/>
    <w:lvl w:ilvl="0">
      <w:lvlJc w:val="left"/>
      <w:lvlText w:val="§"/>
      <w:numFmt w:val="bullet"/>
      <w:start w:val="1"/>
    </w:lvl>
    <w:lvl w:ilvl="1">
      <w:lvlJc w:val="left"/>
      <w:lvlText w:val="(%2)"/>
      <w:numFmt w:val="lowerRoman"/>
      <w:start w:val="1"/>
    </w:lvl>
  </w:abstractNum>
  <w:abstractNum w:abstractNumId="461">
    <w:nsid w:val="307995CA"/>
    <w:multiLevelType w:val="hybridMultilevel"/>
    <w:lvl w:ilvl="0">
      <w:lvlJc w:val="left"/>
      <w:lvlText w:val="§"/>
      <w:numFmt w:val="bullet"/>
      <w:start w:val="1"/>
    </w:lvl>
    <w:lvl w:ilvl="1">
      <w:lvlJc w:val="left"/>
      <w:lvlText w:val="(%2)"/>
      <w:numFmt w:val="lowerRoman"/>
      <w:start w:val="2"/>
    </w:lvl>
  </w:abstractNum>
  <w:abstractNum w:abstractNumId="462">
    <w:nsid w:val="52E2024D"/>
    <w:multiLevelType w:val="hybridMultilevel"/>
    <w:lvl w:ilvl="0">
      <w:lvlJc w:val="left"/>
      <w:lvlText w:val="%1."/>
      <w:numFmt w:val="decimal"/>
      <w:start w:val="1"/>
    </w:lvl>
  </w:abstractNum>
  <w:abstractNum w:abstractNumId="463">
    <w:nsid w:val="CE344B5"/>
    <w:multiLevelType w:val="hybridMultilevel"/>
    <w:lvl w:ilvl="0">
      <w:lvlJc w:val="left"/>
      <w:lvlText w:val="1"/>
      <w:numFmt w:val="bullet"/>
      <w:start w:val="1"/>
    </w:lvl>
  </w:abstractNum>
  <w:abstractNum w:abstractNumId="464">
    <w:nsid w:val="29B0E9A8"/>
    <w:multiLevelType w:val="hybridMultilevel"/>
    <w:lvl w:ilvl="0">
      <w:lvlJc w:val="left"/>
      <w:lvlText w:val="%1."/>
      <w:numFmt w:val="decimal"/>
      <w:start w:val="5"/>
    </w:lvl>
  </w:abstractNum>
  <w:abstractNum w:abstractNumId="465">
    <w:nsid w:val="6F49CD8A"/>
    <w:multiLevelType w:val="hybridMultilevel"/>
    <w:lvl w:ilvl="0">
      <w:lvlJc w:val="left"/>
      <w:lvlText w:val="6"/>
      <w:numFmt w:val="bullet"/>
      <w:start w:val="1"/>
    </w:lvl>
  </w:abstractNum>
  <w:abstractNum w:abstractNumId="466">
    <w:nsid w:val="4DC5D907"/>
    <w:multiLevelType w:val="hybridMultilevel"/>
    <w:lvl w:ilvl="0">
      <w:lvlJc w:val="left"/>
      <w:lvlText w:val="2"/>
      <w:numFmt w:val="bullet"/>
      <w:start w:val="1"/>
    </w:lvl>
  </w:abstractNum>
  <w:abstractNum w:abstractNumId="467">
    <w:nsid w:val="D55945E"/>
    <w:multiLevelType w:val="hybridMultilevel"/>
    <w:lvl w:ilvl="0">
      <w:lvlJc w:val="left"/>
      <w:lvlText w:val="3"/>
      <w:numFmt w:val="bullet"/>
      <w:start w:val="1"/>
    </w:lvl>
  </w:abstractNum>
  <w:abstractNum w:abstractNumId="468">
    <w:nsid w:val="672417E1"/>
    <w:multiLevelType w:val="hybridMultilevel"/>
    <w:lvl w:ilvl="0">
      <w:lvlJc w:val="left"/>
      <w:lvlText w:val="4"/>
      <w:numFmt w:val="bullet"/>
      <w:start w:val="1"/>
    </w:lvl>
  </w:abstractNum>
  <w:abstractNum w:abstractNumId="469">
    <w:nsid w:val="5FF6CA09"/>
    <w:multiLevelType w:val="hybridMultilevel"/>
    <w:lvl w:ilvl="0">
      <w:lvlJc w:val="left"/>
      <w:lvlText w:val="5"/>
      <w:numFmt w:val="bullet"/>
      <w:start w:val="1"/>
    </w:lvl>
  </w:abstractNum>
  <w:abstractNum w:abstractNumId="470">
    <w:nsid w:val="330B1333"/>
    <w:multiLevelType w:val="hybridMultilevel"/>
    <w:lvl w:ilvl="0">
      <w:lvlJc w:val="left"/>
      <w:lvlText w:val="6"/>
      <w:numFmt w:val="bullet"/>
      <w:start w:val="1"/>
    </w:lvl>
  </w:abstractNum>
  <w:abstractNum w:abstractNumId="471">
    <w:nsid w:val="2EF32EA6"/>
    <w:multiLevelType w:val="hybridMultilevel"/>
    <w:lvl w:ilvl="0">
      <w:lvlJc w:val="left"/>
      <w:lvlText w:val="7"/>
      <w:numFmt w:val="bullet"/>
      <w:start w:val="1"/>
    </w:lvl>
  </w:abstractNum>
  <w:abstractNum w:abstractNumId="472">
    <w:nsid w:val="32766A55"/>
    <w:multiLevelType w:val="hybridMultilevel"/>
    <w:lvl w:ilvl="0">
      <w:lvlJc w:val="left"/>
      <w:lvlText w:val="%1."/>
      <w:numFmt w:val="decimal"/>
      <w:start w:val="1"/>
    </w:lvl>
  </w:abstractNum>
  <w:abstractNum w:abstractNumId="473">
    <w:nsid w:val="22D71957"/>
    <w:multiLevelType w:val="hybridMultilevel"/>
    <w:lvl w:ilvl="0">
      <w:lvlJc w:val="left"/>
      <w:lvlText w:val="%1."/>
      <w:numFmt w:val="decimal"/>
      <w:start w:val="2"/>
    </w:lvl>
  </w:abstractNum>
  <w:abstractNum w:abstractNumId="474">
    <w:nsid w:val="4CC1263B"/>
    <w:multiLevelType w:val="hybridMultilevel"/>
    <w:lvl w:ilvl="0">
      <w:lvlJc w:val="left"/>
      <w:lvlText w:val="%1"/>
      <w:numFmt w:val="decimal"/>
      <w:start w:val="1"/>
    </w:lvl>
    <w:lvl w:ilvl="1">
      <w:lvlJc w:val="left"/>
      <w:lvlText w:val="(%2)"/>
      <w:numFmt w:val="lowerRoman"/>
      <w:start w:val="2"/>
    </w:lvl>
  </w:abstractNum>
  <w:abstractNum w:abstractNumId="475">
    <w:nsid w:val="8BBEB1D"/>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jpe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63" Type="http://schemas.openxmlformats.org/officeDocument/2006/relationships/image" Target="media/image1049.png"/><Relationship Id="rId1064" Type="http://schemas.openxmlformats.org/officeDocument/2006/relationships/image" Target="media/image1050.png"/><Relationship Id="rId1065" Type="http://schemas.openxmlformats.org/officeDocument/2006/relationships/image" Target="media/image1051.png"/><Relationship Id="rId1066" Type="http://schemas.openxmlformats.org/officeDocument/2006/relationships/image" Target="media/image1052.png"/><Relationship Id="rId1067" Type="http://schemas.openxmlformats.org/officeDocument/2006/relationships/image" Target="media/image1053.png"/><Relationship Id="rId1068" Type="http://schemas.openxmlformats.org/officeDocument/2006/relationships/image" Target="media/image1054.png"/><Relationship Id="rId1069" Type="http://schemas.openxmlformats.org/officeDocument/2006/relationships/image" Target="media/image1055.png"/><Relationship Id="rId1070" Type="http://schemas.openxmlformats.org/officeDocument/2006/relationships/image" Target="media/image1056.png"/><Relationship Id="rId1071" Type="http://schemas.openxmlformats.org/officeDocument/2006/relationships/image" Target="media/image1057.png"/><Relationship Id="rId1072" Type="http://schemas.openxmlformats.org/officeDocument/2006/relationships/image" Target="media/image1058.png"/><Relationship Id="rId1073" Type="http://schemas.openxmlformats.org/officeDocument/2006/relationships/image" Target="media/image1059.png"/><Relationship Id="rId1074" Type="http://schemas.openxmlformats.org/officeDocument/2006/relationships/image" Target="media/image1060.png"/><Relationship Id="rId1075" Type="http://schemas.openxmlformats.org/officeDocument/2006/relationships/image" Target="media/image1061.png"/><Relationship Id="rId1076" Type="http://schemas.openxmlformats.org/officeDocument/2006/relationships/image" Target="media/image1062.png"/><Relationship Id="rId1077" Type="http://schemas.openxmlformats.org/officeDocument/2006/relationships/image" Target="media/image1063.png"/><Relationship Id="rId1078" Type="http://schemas.openxmlformats.org/officeDocument/2006/relationships/image" Target="media/image1064.png"/><Relationship Id="rId1079" Type="http://schemas.openxmlformats.org/officeDocument/2006/relationships/image" Target="media/image1065.png"/><Relationship Id="rId1080" Type="http://schemas.openxmlformats.org/officeDocument/2006/relationships/image" Target="media/image1066.png"/><Relationship Id="rId1081" Type="http://schemas.openxmlformats.org/officeDocument/2006/relationships/image" Target="media/image1067.png"/><Relationship Id="rId1082" Type="http://schemas.openxmlformats.org/officeDocument/2006/relationships/image" Target="media/image1068.png"/><Relationship Id="rId1083" Type="http://schemas.openxmlformats.org/officeDocument/2006/relationships/image" Target="media/image1069.png"/><Relationship Id="rId1084" Type="http://schemas.openxmlformats.org/officeDocument/2006/relationships/image" Target="media/image1070.png"/><Relationship Id="rId1085" Type="http://schemas.openxmlformats.org/officeDocument/2006/relationships/image" Target="media/image1071.png"/><Relationship Id="rId1086" Type="http://schemas.openxmlformats.org/officeDocument/2006/relationships/image" Target="media/image1072.png"/><Relationship Id="rId1087" Type="http://schemas.openxmlformats.org/officeDocument/2006/relationships/image" Target="media/image1073.png"/><Relationship Id="rId1088" Type="http://schemas.openxmlformats.org/officeDocument/2006/relationships/image" Target="media/image1074.png"/><Relationship Id="rId1089" Type="http://schemas.openxmlformats.org/officeDocument/2006/relationships/image" Target="media/image1075.png"/><Relationship Id="rId1090" Type="http://schemas.openxmlformats.org/officeDocument/2006/relationships/image" Target="media/image1076.png"/><Relationship Id="rId1091" Type="http://schemas.openxmlformats.org/officeDocument/2006/relationships/image" Target="media/image1077.png"/><Relationship Id="rId1092" Type="http://schemas.openxmlformats.org/officeDocument/2006/relationships/image" Target="media/image1078.png"/><Relationship Id="rId1093" Type="http://schemas.openxmlformats.org/officeDocument/2006/relationships/image" Target="media/image1079.png"/><Relationship Id="rId1094" Type="http://schemas.openxmlformats.org/officeDocument/2006/relationships/image" Target="media/image1080.png"/><Relationship Id="rId1095" Type="http://schemas.openxmlformats.org/officeDocument/2006/relationships/image" Target="media/image1081.png"/><Relationship Id="rId1096" Type="http://schemas.openxmlformats.org/officeDocument/2006/relationships/image" Target="media/image1082.png"/><Relationship Id="rId1097" Type="http://schemas.openxmlformats.org/officeDocument/2006/relationships/image" Target="media/image1083.png"/><Relationship Id="rId1098" Type="http://schemas.openxmlformats.org/officeDocument/2006/relationships/image" Target="media/image1084.png"/><Relationship Id="rId1099" Type="http://schemas.openxmlformats.org/officeDocument/2006/relationships/image" Target="media/image1085.png"/><Relationship Id="rId1100" Type="http://schemas.openxmlformats.org/officeDocument/2006/relationships/image" Target="media/image1086.png"/><Relationship Id="rId1101" Type="http://schemas.openxmlformats.org/officeDocument/2006/relationships/image" Target="media/image1087.png"/><Relationship Id="rId1102" Type="http://schemas.openxmlformats.org/officeDocument/2006/relationships/image" Target="media/image1088.png"/><Relationship Id="rId1103" Type="http://schemas.openxmlformats.org/officeDocument/2006/relationships/image" Target="media/image1089.png"/><Relationship Id="rId1104" Type="http://schemas.openxmlformats.org/officeDocument/2006/relationships/image" Target="media/image1090.png"/><Relationship Id="rId1105" Type="http://schemas.openxmlformats.org/officeDocument/2006/relationships/image" Target="media/image1091.png"/><Relationship Id="rId1106" Type="http://schemas.openxmlformats.org/officeDocument/2006/relationships/image" Target="media/image1092.png"/><Relationship Id="rId1107" Type="http://schemas.openxmlformats.org/officeDocument/2006/relationships/image" Target="media/image1093.png"/><Relationship Id="rId1108" Type="http://schemas.openxmlformats.org/officeDocument/2006/relationships/image" Target="media/image1094.png"/><Relationship Id="rId1109" Type="http://schemas.openxmlformats.org/officeDocument/2006/relationships/image" Target="media/image1095.png"/><Relationship Id="rId1110" Type="http://schemas.openxmlformats.org/officeDocument/2006/relationships/image" Target="media/image1096.png"/><Relationship Id="rId1111" Type="http://schemas.openxmlformats.org/officeDocument/2006/relationships/image" Target="media/image1097.png"/><Relationship Id="rId1112" Type="http://schemas.openxmlformats.org/officeDocument/2006/relationships/image" Target="media/image1098.png"/><Relationship Id="rId1113" Type="http://schemas.openxmlformats.org/officeDocument/2006/relationships/image" Target="media/image1099.png"/><Relationship Id="rId1114" Type="http://schemas.openxmlformats.org/officeDocument/2006/relationships/image" Target="media/image1100.png"/><Relationship Id="rId1115" Type="http://schemas.openxmlformats.org/officeDocument/2006/relationships/image" Target="media/image1101.png"/><Relationship Id="rId1116" Type="http://schemas.openxmlformats.org/officeDocument/2006/relationships/image" Target="media/image1102.png"/><Relationship Id="rId1117" Type="http://schemas.openxmlformats.org/officeDocument/2006/relationships/image" Target="media/image1103.png"/><Relationship Id="rId1118" Type="http://schemas.openxmlformats.org/officeDocument/2006/relationships/image" Target="media/image1104.png"/><Relationship Id="rId1119" Type="http://schemas.openxmlformats.org/officeDocument/2006/relationships/image" Target="media/image1105.png"/><Relationship Id="rId1120" Type="http://schemas.openxmlformats.org/officeDocument/2006/relationships/image" Target="media/image1106.png"/><Relationship Id="rId1121" Type="http://schemas.openxmlformats.org/officeDocument/2006/relationships/image" Target="media/image1107.png"/><Relationship Id="rId1122" Type="http://schemas.openxmlformats.org/officeDocument/2006/relationships/image" Target="media/image1108.png"/><Relationship Id="rId1123" Type="http://schemas.openxmlformats.org/officeDocument/2006/relationships/image" Target="media/image1109.png"/><Relationship Id="rId1124" Type="http://schemas.openxmlformats.org/officeDocument/2006/relationships/image" Target="media/image1110.png"/><Relationship Id="rId1125" Type="http://schemas.openxmlformats.org/officeDocument/2006/relationships/image" Target="media/image1111.png"/><Relationship Id="rId1126" Type="http://schemas.openxmlformats.org/officeDocument/2006/relationships/image" Target="media/image1112.png"/><Relationship Id="rId1127" Type="http://schemas.openxmlformats.org/officeDocument/2006/relationships/image" Target="media/image1113.png"/><Relationship Id="rId1128" Type="http://schemas.openxmlformats.org/officeDocument/2006/relationships/image" Target="media/image1114.png"/><Relationship Id="rId1129" Type="http://schemas.openxmlformats.org/officeDocument/2006/relationships/image" Target="media/image1115.png"/><Relationship Id="rId1130" Type="http://schemas.openxmlformats.org/officeDocument/2006/relationships/image" Target="media/image1116.png"/><Relationship Id="rId1131" Type="http://schemas.openxmlformats.org/officeDocument/2006/relationships/image" Target="media/image1117.png"/><Relationship Id="rId1132" Type="http://schemas.openxmlformats.org/officeDocument/2006/relationships/image" Target="media/image1118.png"/><Relationship Id="rId1133" Type="http://schemas.openxmlformats.org/officeDocument/2006/relationships/image" Target="media/image1119.png"/><Relationship Id="rId1134" Type="http://schemas.openxmlformats.org/officeDocument/2006/relationships/image" Target="media/image1120.png"/><Relationship Id="rId1135" Type="http://schemas.openxmlformats.org/officeDocument/2006/relationships/image" Target="media/image1121.png"/><Relationship Id="rId1136" Type="http://schemas.openxmlformats.org/officeDocument/2006/relationships/image" Target="media/image1122.png"/><Relationship Id="rId1137" Type="http://schemas.openxmlformats.org/officeDocument/2006/relationships/image" Target="media/image1123.png"/><Relationship Id="rId1138" Type="http://schemas.openxmlformats.org/officeDocument/2006/relationships/image" Target="media/image1124.png"/><Relationship Id="rId1139" Type="http://schemas.openxmlformats.org/officeDocument/2006/relationships/image" Target="media/image1125.png"/><Relationship Id="rId1140" Type="http://schemas.openxmlformats.org/officeDocument/2006/relationships/image" Target="media/image1126.png"/><Relationship Id="rId1141" Type="http://schemas.openxmlformats.org/officeDocument/2006/relationships/image" Target="media/image1127.png"/><Relationship Id="rId1142" Type="http://schemas.openxmlformats.org/officeDocument/2006/relationships/image" Target="media/image1128.png"/><Relationship Id="rId1143" Type="http://schemas.openxmlformats.org/officeDocument/2006/relationships/image" Target="media/image1129.png"/><Relationship Id="rId1144" Type="http://schemas.openxmlformats.org/officeDocument/2006/relationships/image" Target="media/image1130.png"/><Relationship Id="rId1145" Type="http://schemas.openxmlformats.org/officeDocument/2006/relationships/image" Target="media/image1131.png"/><Relationship Id="rId1146" Type="http://schemas.openxmlformats.org/officeDocument/2006/relationships/image" Target="media/image1132.png"/><Relationship Id="rId1147" Type="http://schemas.openxmlformats.org/officeDocument/2006/relationships/image" Target="media/image1133.png"/><Relationship Id="rId1148" Type="http://schemas.openxmlformats.org/officeDocument/2006/relationships/image" Target="media/image1134.png"/><Relationship Id="rId1149" Type="http://schemas.openxmlformats.org/officeDocument/2006/relationships/image" Target="media/image1135.png"/><Relationship Id="rId1150" Type="http://schemas.openxmlformats.org/officeDocument/2006/relationships/image" Target="media/image1136.png"/><Relationship Id="rId1151" Type="http://schemas.openxmlformats.org/officeDocument/2006/relationships/image" Target="media/image1137.png"/><Relationship Id="rId1152" Type="http://schemas.openxmlformats.org/officeDocument/2006/relationships/image" Target="media/image1138.png"/><Relationship Id="rId1153" Type="http://schemas.openxmlformats.org/officeDocument/2006/relationships/image" Target="media/image1139.png"/><Relationship Id="rId1154" Type="http://schemas.openxmlformats.org/officeDocument/2006/relationships/image" Target="media/image1140.png"/><Relationship Id="rId1155" Type="http://schemas.openxmlformats.org/officeDocument/2006/relationships/image" Target="media/image1141.png"/><Relationship Id="rId1156" Type="http://schemas.openxmlformats.org/officeDocument/2006/relationships/image" Target="media/image1142.png"/><Relationship Id="rId1157" Type="http://schemas.openxmlformats.org/officeDocument/2006/relationships/image" Target="media/image1143.png"/><Relationship Id="rId1158" Type="http://schemas.openxmlformats.org/officeDocument/2006/relationships/image" Target="media/image1144.png"/><Relationship Id="rId1159" Type="http://schemas.openxmlformats.org/officeDocument/2006/relationships/image" Target="media/image1145.png"/><Relationship Id="rId1160" Type="http://schemas.openxmlformats.org/officeDocument/2006/relationships/image" Target="media/image1146.png"/><Relationship Id="rId1161" Type="http://schemas.openxmlformats.org/officeDocument/2006/relationships/image" Target="media/image1147.png"/><Relationship Id="rId1162" Type="http://schemas.openxmlformats.org/officeDocument/2006/relationships/image" Target="media/image1148.png"/><Relationship Id="rId1163" Type="http://schemas.openxmlformats.org/officeDocument/2006/relationships/image" Target="media/image1149.png"/><Relationship Id="rId1164" Type="http://schemas.openxmlformats.org/officeDocument/2006/relationships/image" Target="media/image1150.png"/><Relationship Id="rId1165" Type="http://schemas.openxmlformats.org/officeDocument/2006/relationships/image" Target="media/image1151.png"/><Relationship Id="rId1166" Type="http://schemas.openxmlformats.org/officeDocument/2006/relationships/image" Target="media/image1152.png"/><Relationship Id="rId1167" Type="http://schemas.openxmlformats.org/officeDocument/2006/relationships/image" Target="media/image1153.png"/><Relationship Id="rId1168" Type="http://schemas.openxmlformats.org/officeDocument/2006/relationships/image" Target="media/image1154.png"/><Relationship Id="rId1169" Type="http://schemas.openxmlformats.org/officeDocument/2006/relationships/image" Target="media/image1155.png"/><Relationship Id="rId1170" Type="http://schemas.openxmlformats.org/officeDocument/2006/relationships/image" Target="media/image1156.png"/><Relationship Id="rId1171" Type="http://schemas.openxmlformats.org/officeDocument/2006/relationships/image" Target="media/image1157.png"/><Relationship Id="rId1172" Type="http://schemas.openxmlformats.org/officeDocument/2006/relationships/image" Target="media/image1158.png"/><Relationship Id="rId1173" Type="http://schemas.openxmlformats.org/officeDocument/2006/relationships/image" Target="media/image1159.png"/><Relationship Id="rId1174" Type="http://schemas.openxmlformats.org/officeDocument/2006/relationships/image" Target="media/image1160.png"/><Relationship Id="rId1175" Type="http://schemas.openxmlformats.org/officeDocument/2006/relationships/image" Target="media/image1161.png"/><Relationship Id="rId1176" Type="http://schemas.openxmlformats.org/officeDocument/2006/relationships/image" Target="media/image1162.png"/><Relationship Id="rId1177" Type="http://schemas.openxmlformats.org/officeDocument/2006/relationships/image" Target="media/image1163.png"/><Relationship Id="rId1178" Type="http://schemas.openxmlformats.org/officeDocument/2006/relationships/image" Target="media/image1164.png"/><Relationship Id="rId1179" Type="http://schemas.openxmlformats.org/officeDocument/2006/relationships/image" Target="media/image1165.png"/><Relationship Id="rId1180" Type="http://schemas.openxmlformats.org/officeDocument/2006/relationships/image" Target="media/image1166.png"/><Relationship Id="rId1181" Type="http://schemas.openxmlformats.org/officeDocument/2006/relationships/image" Target="media/image1167.png"/><Relationship Id="rId1182" Type="http://schemas.openxmlformats.org/officeDocument/2006/relationships/image" Target="media/image1168.png"/><Relationship Id="rId1183" Type="http://schemas.openxmlformats.org/officeDocument/2006/relationships/image" Target="media/image1169.png"/><Relationship Id="rId1184" Type="http://schemas.openxmlformats.org/officeDocument/2006/relationships/image" Target="media/image1170.png"/><Relationship Id="rId1185" Type="http://schemas.openxmlformats.org/officeDocument/2006/relationships/image" Target="media/image1171.png"/><Relationship Id="rId1186" Type="http://schemas.openxmlformats.org/officeDocument/2006/relationships/image" Target="media/image1172.png"/><Relationship Id="rId1187" Type="http://schemas.openxmlformats.org/officeDocument/2006/relationships/image" Target="media/image1173.png"/><Relationship Id="rId1188" Type="http://schemas.openxmlformats.org/officeDocument/2006/relationships/image" Target="media/image1174.png"/><Relationship Id="rId1189" Type="http://schemas.openxmlformats.org/officeDocument/2006/relationships/image" Target="media/image1175.png"/><Relationship Id="rId1190" Type="http://schemas.openxmlformats.org/officeDocument/2006/relationships/image" Target="media/image1176.png"/><Relationship Id="rId1191" Type="http://schemas.openxmlformats.org/officeDocument/2006/relationships/image" Target="media/image1177.png"/><Relationship Id="rId1192" Type="http://schemas.openxmlformats.org/officeDocument/2006/relationships/image" Target="media/image1178.png"/><Relationship Id="rId1193" Type="http://schemas.openxmlformats.org/officeDocument/2006/relationships/image" Target="media/image1179.png"/><Relationship Id="rId1194" Type="http://schemas.openxmlformats.org/officeDocument/2006/relationships/image" Target="media/image1180.png"/><Relationship Id="rId1195" Type="http://schemas.openxmlformats.org/officeDocument/2006/relationships/image" Target="media/image1181.png"/><Relationship Id="rId1196" Type="http://schemas.openxmlformats.org/officeDocument/2006/relationships/image" Target="media/image1182.png"/><Relationship Id="rId1197" Type="http://schemas.openxmlformats.org/officeDocument/2006/relationships/image" Target="media/image1183.png"/><Relationship Id="rId1198" Type="http://schemas.openxmlformats.org/officeDocument/2006/relationships/image" Target="media/image1184.png"/><Relationship Id="rId1199" Type="http://schemas.openxmlformats.org/officeDocument/2006/relationships/image" Target="media/image1185.png"/><Relationship Id="rId1200" Type="http://schemas.openxmlformats.org/officeDocument/2006/relationships/image" Target="media/image1186.png"/><Relationship Id="rId1201" Type="http://schemas.openxmlformats.org/officeDocument/2006/relationships/image" Target="media/image1187.png"/><Relationship Id="rId1202" Type="http://schemas.openxmlformats.org/officeDocument/2006/relationships/image" Target="media/image1188.png"/><Relationship Id="rId1203" Type="http://schemas.openxmlformats.org/officeDocument/2006/relationships/image" Target="media/image1189.png"/><Relationship Id="rId1204" Type="http://schemas.openxmlformats.org/officeDocument/2006/relationships/image" Target="media/image1190.png"/><Relationship Id="rId1205" Type="http://schemas.openxmlformats.org/officeDocument/2006/relationships/image" Target="media/image1191.png"/><Relationship Id="rId1206" Type="http://schemas.openxmlformats.org/officeDocument/2006/relationships/image" Target="media/image1192.jpeg"/><Relationship Id="rId1207" Type="http://schemas.openxmlformats.org/officeDocument/2006/relationships/image" Target="media/image1193.png"/><Relationship Id="rId1208" Type="http://schemas.openxmlformats.org/officeDocument/2006/relationships/image" Target="media/image1194.png"/><Relationship Id="rId1209" Type="http://schemas.openxmlformats.org/officeDocument/2006/relationships/image" Target="media/image1195.png"/><Relationship Id="rId1210" Type="http://schemas.openxmlformats.org/officeDocument/2006/relationships/image" Target="media/image1196.png"/><Relationship Id="rId1211" Type="http://schemas.openxmlformats.org/officeDocument/2006/relationships/image" Target="media/image1197.png"/><Relationship Id="rId1212" Type="http://schemas.openxmlformats.org/officeDocument/2006/relationships/image" Target="media/image1198.png"/><Relationship Id="rId1213" Type="http://schemas.openxmlformats.org/officeDocument/2006/relationships/image" Target="media/image1199.png"/><Relationship Id="rId1214" Type="http://schemas.openxmlformats.org/officeDocument/2006/relationships/image" Target="media/image1200.png"/><Relationship Id="rId1215" Type="http://schemas.openxmlformats.org/officeDocument/2006/relationships/image" Target="media/image1201.png"/><Relationship Id="rId1216" Type="http://schemas.openxmlformats.org/officeDocument/2006/relationships/image" Target="media/image1202.png"/><Relationship Id="rId1217" Type="http://schemas.openxmlformats.org/officeDocument/2006/relationships/image" Target="media/image1203.png"/><Relationship Id="rId1218" Type="http://schemas.openxmlformats.org/officeDocument/2006/relationships/image" Target="media/image1204.png"/><Relationship Id="rId1219" Type="http://schemas.openxmlformats.org/officeDocument/2006/relationships/image" Target="media/image1205.png"/><Relationship Id="rId1220" Type="http://schemas.openxmlformats.org/officeDocument/2006/relationships/image" Target="media/image1206.png"/><Relationship Id="rId1221" Type="http://schemas.openxmlformats.org/officeDocument/2006/relationships/image" Target="media/image1207.png"/><Relationship Id="rId1222" Type="http://schemas.openxmlformats.org/officeDocument/2006/relationships/image" Target="media/image1208.png"/><Relationship Id="rId1223" Type="http://schemas.openxmlformats.org/officeDocument/2006/relationships/image" Target="media/image1209.png"/><Relationship Id="rId1224" Type="http://schemas.openxmlformats.org/officeDocument/2006/relationships/image" Target="media/image1210.png"/><Relationship Id="rId1225" Type="http://schemas.openxmlformats.org/officeDocument/2006/relationships/image" Target="media/image1211.png"/><Relationship Id="rId1226" Type="http://schemas.openxmlformats.org/officeDocument/2006/relationships/image" Target="media/image1212.png"/><Relationship Id="rId1227" Type="http://schemas.openxmlformats.org/officeDocument/2006/relationships/image" Target="media/image1213.png"/><Relationship Id="rId1228" Type="http://schemas.openxmlformats.org/officeDocument/2006/relationships/image" Target="media/image1214.png"/><Relationship Id="rId1229" Type="http://schemas.openxmlformats.org/officeDocument/2006/relationships/image" Target="media/image1215.png"/><Relationship Id="rId1230" Type="http://schemas.openxmlformats.org/officeDocument/2006/relationships/image" Target="media/image1216.png"/><Relationship Id="rId1231" Type="http://schemas.openxmlformats.org/officeDocument/2006/relationships/image" Target="media/image1217.png"/><Relationship Id="rId1232" Type="http://schemas.openxmlformats.org/officeDocument/2006/relationships/image" Target="media/image1218.png"/><Relationship Id="rId1233" Type="http://schemas.openxmlformats.org/officeDocument/2006/relationships/image" Target="media/image1219.png"/><Relationship Id="rId1234" Type="http://schemas.openxmlformats.org/officeDocument/2006/relationships/image" Target="media/image1220.png"/><Relationship Id="rId1235" Type="http://schemas.openxmlformats.org/officeDocument/2006/relationships/image" Target="media/image1221.png"/><Relationship Id="rId1236" Type="http://schemas.openxmlformats.org/officeDocument/2006/relationships/image" Target="media/image1222.png"/><Relationship Id="rId1237" Type="http://schemas.openxmlformats.org/officeDocument/2006/relationships/image" Target="media/image1223.png"/><Relationship Id="rId1238" Type="http://schemas.openxmlformats.org/officeDocument/2006/relationships/image" Target="media/image1224.png"/><Relationship Id="rId1239" Type="http://schemas.openxmlformats.org/officeDocument/2006/relationships/image" Target="media/image1225.png"/><Relationship Id="rId1240" Type="http://schemas.openxmlformats.org/officeDocument/2006/relationships/image" Target="media/image1226.png"/><Relationship Id="rId1241" Type="http://schemas.openxmlformats.org/officeDocument/2006/relationships/image" Target="media/image1227.png"/><Relationship Id="rId1242" Type="http://schemas.openxmlformats.org/officeDocument/2006/relationships/image" Target="media/image1228.png"/><Relationship Id="rId1243" Type="http://schemas.openxmlformats.org/officeDocument/2006/relationships/image" Target="media/image1229.png"/><Relationship Id="rId1244" Type="http://schemas.openxmlformats.org/officeDocument/2006/relationships/image" Target="media/image1230.png"/><Relationship Id="rId1245" Type="http://schemas.openxmlformats.org/officeDocument/2006/relationships/image" Target="media/image1231.png"/><Relationship Id="rId1246" Type="http://schemas.openxmlformats.org/officeDocument/2006/relationships/image" Target="media/image1232.png"/><Relationship Id="rId1247" Type="http://schemas.openxmlformats.org/officeDocument/2006/relationships/image" Target="media/image1233.png"/><Relationship Id="rId1248" Type="http://schemas.openxmlformats.org/officeDocument/2006/relationships/image" Target="media/image1234.png"/><Relationship Id="rId1249" Type="http://schemas.openxmlformats.org/officeDocument/2006/relationships/image" Target="media/image1235.png"/><Relationship Id="rId1250" Type="http://schemas.openxmlformats.org/officeDocument/2006/relationships/image" Target="media/image1236.png"/><Relationship Id="rId1251" Type="http://schemas.openxmlformats.org/officeDocument/2006/relationships/image" Target="media/image1237.png"/><Relationship Id="rId1252" Type="http://schemas.openxmlformats.org/officeDocument/2006/relationships/image" Target="media/image1238.png"/><Relationship Id="rId1253" Type="http://schemas.openxmlformats.org/officeDocument/2006/relationships/image" Target="media/image1239.png"/><Relationship Id="rId1254" Type="http://schemas.openxmlformats.org/officeDocument/2006/relationships/image" Target="media/image1240.png"/><Relationship Id="rId1255" Type="http://schemas.openxmlformats.org/officeDocument/2006/relationships/image" Target="media/image1241.png"/><Relationship Id="rId1256" Type="http://schemas.openxmlformats.org/officeDocument/2006/relationships/image" Target="media/image1242.png"/><Relationship Id="rId1257" Type="http://schemas.openxmlformats.org/officeDocument/2006/relationships/image" Target="media/image1243.png"/><Relationship Id="rId1258" Type="http://schemas.openxmlformats.org/officeDocument/2006/relationships/image" Target="media/image1244.png"/><Relationship Id="rId1259" Type="http://schemas.openxmlformats.org/officeDocument/2006/relationships/image" Target="media/image1245.png"/><Relationship Id="rId1260" Type="http://schemas.openxmlformats.org/officeDocument/2006/relationships/image" Target="media/image1246.png"/><Relationship Id="rId1261" Type="http://schemas.openxmlformats.org/officeDocument/2006/relationships/image" Target="media/image1247.png"/><Relationship Id="rId1262" Type="http://schemas.openxmlformats.org/officeDocument/2006/relationships/image" Target="media/image1248.png"/><Relationship Id="rId1263" Type="http://schemas.openxmlformats.org/officeDocument/2006/relationships/image" Target="media/image1249.png"/><Relationship Id="rId1264" Type="http://schemas.openxmlformats.org/officeDocument/2006/relationships/image" Target="media/image1250.png"/><Relationship Id="rId1265" Type="http://schemas.openxmlformats.org/officeDocument/2006/relationships/image" Target="media/image1251.png"/><Relationship Id="rId1266" Type="http://schemas.openxmlformats.org/officeDocument/2006/relationships/image" Target="media/image1252.png"/><Relationship Id="rId1267" Type="http://schemas.openxmlformats.org/officeDocument/2006/relationships/image" Target="media/image1253.png"/><Relationship Id="rId1268" Type="http://schemas.openxmlformats.org/officeDocument/2006/relationships/image" Target="media/image1254.png"/><Relationship Id="rId1269" Type="http://schemas.openxmlformats.org/officeDocument/2006/relationships/image" Target="media/image1255.png"/><Relationship Id="rId1270" Type="http://schemas.openxmlformats.org/officeDocument/2006/relationships/image" Target="media/image1256.png"/><Relationship Id="rId1271" Type="http://schemas.openxmlformats.org/officeDocument/2006/relationships/image" Target="media/image1257.png"/><Relationship Id="rId1272" Type="http://schemas.openxmlformats.org/officeDocument/2006/relationships/image" Target="media/image1258.png"/><Relationship Id="rId1273" Type="http://schemas.openxmlformats.org/officeDocument/2006/relationships/image" Target="media/image1259.png"/><Relationship Id="rId1274" Type="http://schemas.openxmlformats.org/officeDocument/2006/relationships/image" Target="media/image1260.png"/><Relationship Id="rId1275" Type="http://schemas.openxmlformats.org/officeDocument/2006/relationships/image" Target="media/image1261.png"/><Relationship Id="rId1276" Type="http://schemas.openxmlformats.org/officeDocument/2006/relationships/image" Target="media/image1262.png"/><Relationship Id="rId1277" Type="http://schemas.openxmlformats.org/officeDocument/2006/relationships/image" Target="media/image1263.png"/><Relationship Id="rId1278" Type="http://schemas.openxmlformats.org/officeDocument/2006/relationships/image" Target="media/image1264.png"/><Relationship Id="rId1279" Type="http://schemas.openxmlformats.org/officeDocument/2006/relationships/image" Target="media/image1265.png"/><Relationship Id="rId1280" Type="http://schemas.openxmlformats.org/officeDocument/2006/relationships/image" Target="media/image1266.png"/><Relationship Id="rId1281" Type="http://schemas.openxmlformats.org/officeDocument/2006/relationships/image" Target="media/image1267.png"/><Relationship Id="rId1282" Type="http://schemas.openxmlformats.org/officeDocument/2006/relationships/image" Target="media/image1268.png"/><Relationship Id="rId1283" Type="http://schemas.openxmlformats.org/officeDocument/2006/relationships/image" Target="media/image1269.png"/><Relationship Id="rId1284" Type="http://schemas.openxmlformats.org/officeDocument/2006/relationships/image" Target="media/image1270.png"/><Relationship Id="rId1285" Type="http://schemas.openxmlformats.org/officeDocument/2006/relationships/image" Target="media/image1271.png"/><Relationship Id="rId1286" Type="http://schemas.openxmlformats.org/officeDocument/2006/relationships/image" Target="media/image1272.png"/><Relationship Id="rId1287" Type="http://schemas.openxmlformats.org/officeDocument/2006/relationships/image" Target="media/image1273.png"/><Relationship Id="rId1288" Type="http://schemas.openxmlformats.org/officeDocument/2006/relationships/image" Target="media/image1274.png"/><Relationship Id="rId1289" Type="http://schemas.openxmlformats.org/officeDocument/2006/relationships/image" Target="media/image1275.png"/><Relationship Id="rId1290" Type="http://schemas.openxmlformats.org/officeDocument/2006/relationships/image" Target="media/image1276.png"/><Relationship Id="rId1291" Type="http://schemas.openxmlformats.org/officeDocument/2006/relationships/image" Target="media/image1277.png"/><Relationship Id="rId1292" Type="http://schemas.openxmlformats.org/officeDocument/2006/relationships/image" Target="media/image1278.png"/><Relationship Id="rId1293" Type="http://schemas.openxmlformats.org/officeDocument/2006/relationships/image" Target="media/image1279.png"/><Relationship Id="rId1294" Type="http://schemas.openxmlformats.org/officeDocument/2006/relationships/image" Target="media/image1280.png"/><Relationship Id="rId1295" Type="http://schemas.openxmlformats.org/officeDocument/2006/relationships/image" Target="media/image1281.png"/><Relationship Id="rId1296" Type="http://schemas.openxmlformats.org/officeDocument/2006/relationships/image" Target="media/image1282.png"/><Relationship Id="rId1297" Type="http://schemas.openxmlformats.org/officeDocument/2006/relationships/image" Target="media/image1283.png"/><Relationship Id="rId1298" Type="http://schemas.openxmlformats.org/officeDocument/2006/relationships/image" Target="media/image1284.png"/><Relationship Id="rId1299" Type="http://schemas.openxmlformats.org/officeDocument/2006/relationships/image" Target="media/image1285.png"/><Relationship Id="rId1300" Type="http://schemas.openxmlformats.org/officeDocument/2006/relationships/image" Target="media/image1286.png"/><Relationship Id="rId1301" Type="http://schemas.openxmlformats.org/officeDocument/2006/relationships/image" Target="media/image1287.png"/><Relationship Id="rId1302" Type="http://schemas.openxmlformats.org/officeDocument/2006/relationships/image" Target="media/image1288.png"/><Relationship Id="rId1303" Type="http://schemas.openxmlformats.org/officeDocument/2006/relationships/image" Target="media/image1289.png"/><Relationship Id="rId1304" Type="http://schemas.openxmlformats.org/officeDocument/2006/relationships/image" Target="media/image1290.png"/><Relationship Id="rId1305" Type="http://schemas.openxmlformats.org/officeDocument/2006/relationships/image" Target="media/image1291.png"/><Relationship Id="rId1306" Type="http://schemas.openxmlformats.org/officeDocument/2006/relationships/image" Target="media/image1292.png"/><Relationship Id="rId1307" Type="http://schemas.openxmlformats.org/officeDocument/2006/relationships/image" Target="media/image1293.png"/><Relationship Id="rId1308" Type="http://schemas.openxmlformats.org/officeDocument/2006/relationships/image" Target="media/image1294.png"/><Relationship Id="rId1309" Type="http://schemas.openxmlformats.org/officeDocument/2006/relationships/image" Target="media/image1295.png"/><Relationship Id="rId1310" Type="http://schemas.openxmlformats.org/officeDocument/2006/relationships/image" Target="media/image1296.png"/><Relationship Id="rId1311" Type="http://schemas.openxmlformats.org/officeDocument/2006/relationships/image" Target="media/image1297.png"/><Relationship Id="rId1312" Type="http://schemas.openxmlformats.org/officeDocument/2006/relationships/image" Target="media/image1298.png"/><Relationship Id="rId1313" Type="http://schemas.openxmlformats.org/officeDocument/2006/relationships/image" Target="media/image1299.png"/><Relationship Id="rId1314" Type="http://schemas.openxmlformats.org/officeDocument/2006/relationships/image" Target="media/image1300.png"/><Relationship Id="rId1315" Type="http://schemas.openxmlformats.org/officeDocument/2006/relationships/image" Target="media/image1301.png"/><Relationship Id="rId1316" Type="http://schemas.openxmlformats.org/officeDocument/2006/relationships/image" Target="media/image1302.png"/><Relationship Id="rId1317" Type="http://schemas.openxmlformats.org/officeDocument/2006/relationships/image" Target="media/image1303.png"/><Relationship Id="rId1318" Type="http://schemas.openxmlformats.org/officeDocument/2006/relationships/image" Target="media/image1304.png"/><Relationship Id="rId1319" Type="http://schemas.openxmlformats.org/officeDocument/2006/relationships/image" Target="media/image1305.png"/><Relationship Id="rId1320" Type="http://schemas.openxmlformats.org/officeDocument/2006/relationships/image" Target="media/image1306.png"/><Relationship Id="rId1321" Type="http://schemas.openxmlformats.org/officeDocument/2006/relationships/image" Target="media/image1307.png"/><Relationship Id="rId1322" Type="http://schemas.openxmlformats.org/officeDocument/2006/relationships/image" Target="media/image1308.png"/><Relationship Id="rId1323" Type="http://schemas.openxmlformats.org/officeDocument/2006/relationships/image" Target="media/image1309.png"/><Relationship Id="rId1324" Type="http://schemas.openxmlformats.org/officeDocument/2006/relationships/image" Target="media/image1310.png"/><Relationship Id="rId1325" Type="http://schemas.openxmlformats.org/officeDocument/2006/relationships/image" Target="media/image1311.png"/><Relationship Id="rId1326" Type="http://schemas.openxmlformats.org/officeDocument/2006/relationships/image" Target="media/image1312.png"/><Relationship Id="rId1327" Type="http://schemas.openxmlformats.org/officeDocument/2006/relationships/image" Target="media/image1313.png"/><Relationship Id="rId1328" Type="http://schemas.openxmlformats.org/officeDocument/2006/relationships/image" Target="media/image1314.png"/><Relationship Id="rId1329" Type="http://schemas.openxmlformats.org/officeDocument/2006/relationships/image" Target="media/image1315.png"/><Relationship Id="rId1330" Type="http://schemas.openxmlformats.org/officeDocument/2006/relationships/image" Target="media/image1316.png"/><Relationship Id="rId1331" Type="http://schemas.openxmlformats.org/officeDocument/2006/relationships/image" Target="media/image1317.png"/><Relationship Id="rId1332" Type="http://schemas.openxmlformats.org/officeDocument/2006/relationships/image" Target="media/image1318.png"/><Relationship Id="rId1333" Type="http://schemas.openxmlformats.org/officeDocument/2006/relationships/image" Target="media/image1319.png"/><Relationship Id="rId1334" Type="http://schemas.openxmlformats.org/officeDocument/2006/relationships/image" Target="media/image1320.png"/><Relationship Id="rId1335" Type="http://schemas.openxmlformats.org/officeDocument/2006/relationships/image" Target="media/image1321.png"/><Relationship Id="rId1336" Type="http://schemas.openxmlformats.org/officeDocument/2006/relationships/image" Target="media/image1322.png"/><Relationship Id="rId1337" Type="http://schemas.openxmlformats.org/officeDocument/2006/relationships/image" Target="media/image1323.png"/><Relationship Id="rId1338" Type="http://schemas.openxmlformats.org/officeDocument/2006/relationships/image" Target="media/image1324.png"/><Relationship Id="rId1339" Type="http://schemas.openxmlformats.org/officeDocument/2006/relationships/image" Target="media/image1325.png"/><Relationship Id="rId1340" Type="http://schemas.openxmlformats.org/officeDocument/2006/relationships/image" Target="media/image1326.png"/><Relationship Id="rId1341" Type="http://schemas.openxmlformats.org/officeDocument/2006/relationships/image" Target="media/image1327.png"/><Relationship Id="rId1342" Type="http://schemas.openxmlformats.org/officeDocument/2006/relationships/image" Target="media/image1328.png"/><Relationship Id="rId1343" Type="http://schemas.openxmlformats.org/officeDocument/2006/relationships/image" Target="media/image1329.png"/><Relationship Id="rId1344" Type="http://schemas.openxmlformats.org/officeDocument/2006/relationships/image" Target="media/image1330.png"/><Relationship Id="rId1345" Type="http://schemas.openxmlformats.org/officeDocument/2006/relationships/image" Target="media/image1331.png"/><Relationship Id="rId1346" Type="http://schemas.openxmlformats.org/officeDocument/2006/relationships/image" Target="media/image1332.png"/><Relationship Id="rId1347" Type="http://schemas.openxmlformats.org/officeDocument/2006/relationships/image" Target="media/image1333.png"/><Relationship Id="rId1348" Type="http://schemas.openxmlformats.org/officeDocument/2006/relationships/image" Target="media/image1334.png"/><Relationship Id="rId1349" Type="http://schemas.openxmlformats.org/officeDocument/2006/relationships/image" Target="media/image1335.png"/><Relationship Id="rId1350" Type="http://schemas.openxmlformats.org/officeDocument/2006/relationships/image" Target="media/image1336.png"/><Relationship Id="rId1351" Type="http://schemas.openxmlformats.org/officeDocument/2006/relationships/image" Target="media/image1337.png"/><Relationship Id="rId1352" Type="http://schemas.openxmlformats.org/officeDocument/2006/relationships/image" Target="media/image1338.png"/><Relationship Id="rId1353" Type="http://schemas.openxmlformats.org/officeDocument/2006/relationships/image" Target="media/image1339.png"/><Relationship Id="rId1354" Type="http://schemas.openxmlformats.org/officeDocument/2006/relationships/image" Target="media/image1340.png"/><Relationship Id="rId1355" Type="http://schemas.openxmlformats.org/officeDocument/2006/relationships/image" Target="media/image1341.png"/><Relationship Id="rId1356" Type="http://schemas.openxmlformats.org/officeDocument/2006/relationships/image" Target="media/image1342.png"/><Relationship Id="rId1357" Type="http://schemas.openxmlformats.org/officeDocument/2006/relationships/image" Target="media/image1343.png"/><Relationship Id="rId1358" Type="http://schemas.openxmlformats.org/officeDocument/2006/relationships/image" Target="media/image1344.png"/><Relationship Id="rId1359" Type="http://schemas.openxmlformats.org/officeDocument/2006/relationships/image" Target="media/image1345.png"/><Relationship Id="rId1360" Type="http://schemas.openxmlformats.org/officeDocument/2006/relationships/image" Target="media/image1346.png"/><Relationship Id="rId1361" Type="http://schemas.openxmlformats.org/officeDocument/2006/relationships/image" Target="media/image1347.png"/><Relationship Id="rId1362" Type="http://schemas.openxmlformats.org/officeDocument/2006/relationships/image" Target="media/image1348.png"/><Relationship Id="rId1363" Type="http://schemas.openxmlformats.org/officeDocument/2006/relationships/image" Target="media/image1349.png"/><Relationship Id="rId1364" Type="http://schemas.openxmlformats.org/officeDocument/2006/relationships/image" Target="media/image1350.png"/><Relationship Id="rId1365" Type="http://schemas.openxmlformats.org/officeDocument/2006/relationships/image" Target="media/image1351.png"/><Relationship Id="rId1366" Type="http://schemas.openxmlformats.org/officeDocument/2006/relationships/image" Target="media/image1352.png"/><Relationship Id="rId1367" Type="http://schemas.openxmlformats.org/officeDocument/2006/relationships/image" Target="media/image1353.png"/><Relationship Id="rId1368" Type="http://schemas.openxmlformats.org/officeDocument/2006/relationships/image" Target="media/image1354.png"/><Relationship Id="rId1369" Type="http://schemas.openxmlformats.org/officeDocument/2006/relationships/image" Target="media/image1355.png"/><Relationship Id="rId1370" Type="http://schemas.openxmlformats.org/officeDocument/2006/relationships/image" Target="media/image1356.png"/><Relationship Id="rId1371" Type="http://schemas.openxmlformats.org/officeDocument/2006/relationships/image" Target="media/image1357.png"/><Relationship Id="rId1372" Type="http://schemas.openxmlformats.org/officeDocument/2006/relationships/image" Target="media/image1358.png"/><Relationship Id="rId1373" Type="http://schemas.openxmlformats.org/officeDocument/2006/relationships/image" Target="media/image1359.png"/><Relationship Id="rId1374" Type="http://schemas.openxmlformats.org/officeDocument/2006/relationships/image" Target="media/image1360.png"/><Relationship Id="rId1375" Type="http://schemas.openxmlformats.org/officeDocument/2006/relationships/image" Target="media/image1361.png"/><Relationship Id="rId1376" Type="http://schemas.openxmlformats.org/officeDocument/2006/relationships/image" Target="media/image1362.png"/><Relationship Id="rId1377" Type="http://schemas.openxmlformats.org/officeDocument/2006/relationships/image" Target="media/image1363.png"/><Relationship Id="rId1378" Type="http://schemas.openxmlformats.org/officeDocument/2006/relationships/image" Target="media/image1364.png"/><Relationship Id="rId1379" Type="http://schemas.openxmlformats.org/officeDocument/2006/relationships/image" Target="media/image1365.png"/><Relationship Id="rId1380" Type="http://schemas.openxmlformats.org/officeDocument/2006/relationships/image" Target="media/image1366.png"/><Relationship Id="rId1381" Type="http://schemas.openxmlformats.org/officeDocument/2006/relationships/image" Target="media/image1367.png"/><Relationship Id="rId1382" Type="http://schemas.openxmlformats.org/officeDocument/2006/relationships/image" Target="media/image1368.png"/><Relationship Id="rId1383" Type="http://schemas.openxmlformats.org/officeDocument/2006/relationships/image" Target="media/image1369.png"/><Relationship Id="rId1384" Type="http://schemas.openxmlformats.org/officeDocument/2006/relationships/image" Target="media/image1370.png"/><Relationship Id="rId1385" Type="http://schemas.openxmlformats.org/officeDocument/2006/relationships/image" Target="media/image1371.png"/><Relationship Id="rId1386" Type="http://schemas.openxmlformats.org/officeDocument/2006/relationships/image" Target="media/image1372.png"/><Relationship Id="rId1387" Type="http://schemas.openxmlformats.org/officeDocument/2006/relationships/image" Target="media/image1373.png"/><Relationship Id="rId1388" Type="http://schemas.openxmlformats.org/officeDocument/2006/relationships/image" Target="media/image1374.png"/><Relationship Id="rId1389" Type="http://schemas.openxmlformats.org/officeDocument/2006/relationships/image" Target="media/image1375.png"/><Relationship Id="rId1390" Type="http://schemas.openxmlformats.org/officeDocument/2006/relationships/image" Target="media/image1376.png"/><Relationship Id="rId1391" Type="http://schemas.openxmlformats.org/officeDocument/2006/relationships/image" Target="media/image1377.png"/><Relationship Id="rId1392" Type="http://schemas.openxmlformats.org/officeDocument/2006/relationships/image" Target="media/image1378.png"/><Relationship Id="rId1393" Type="http://schemas.openxmlformats.org/officeDocument/2006/relationships/image" Target="media/image1379.png"/><Relationship Id="rId1394" Type="http://schemas.openxmlformats.org/officeDocument/2006/relationships/image" Target="media/image1380.png"/><Relationship Id="rId1395" Type="http://schemas.openxmlformats.org/officeDocument/2006/relationships/image" Target="media/image1381.png"/><Relationship Id="rId1396" Type="http://schemas.openxmlformats.org/officeDocument/2006/relationships/image" Target="media/image1382.png"/><Relationship Id="rId1397" Type="http://schemas.openxmlformats.org/officeDocument/2006/relationships/image" Target="media/image1383.png"/><Relationship Id="rId1398" Type="http://schemas.openxmlformats.org/officeDocument/2006/relationships/image" Target="media/image1384.png"/><Relationship Id="rId1399" Type="http://schemas.openxmlformats.org/officeDocument/2006/relationships/image" Target="media/image1385.png"/><Relationship Id="rId1400" Type="http://schemas.openxmlformats.org/officeDocument/2006/relationships/image" Target="media/image1386.png"/><Relationship Id="rId1401" Type="http://schemas.openxmlformats.org/officeDocument/2006/relationships/image" Target="media/image1387.png"/><Relationship Id="rId1402" Type="http://schemas.openxmlformats.org/officeDocument/2006/relationships/image" Target="media/image1388.png"/><Relationship Id="rId1403" Type="http://schemas.openxmlformats.org/officeDocument/2006/relationships/image" Target="media/image1389.png"/><Relationship Id="rId1404" Type="http://schemas.openxmlformats.org/officeDocument/2006/relationships/image" Target="media/image1390.png"/><Relationship Id="rId1405" Type="http://schemas.openxmlformats.org/officeDocument/2006/relationships/image" Target="media/image1391.png"/><Relationship Id="rId1406" Type="http://schemas.openxmlformats.org/officeDocument/2006/relationships/image" Target="media/image1392.png"/><Relationship Id="rId1407" Type="http://schemas.openxmlformats.org/officeDocument/2006/relationships/image" Target="media/image1393.png"/><Relationship Id="rId1408" Type="http://schemas.openxmlformats.org/officeDocument/2006/relationships/image" Target="media/image1394.png"/><Relationship Id="rId1409" Type="http://schemas.openxmlformats.org/officeDocument/2006/relationships/image" Target="media/image1395.png"/><Relationship Id="rId1410" Type="http://schemas.openxmlformats.org/officeDocument/2006/relationships/image" Target="media/image1396.png"/><Relationship Id="rId1411" Type="http://schemas.openxmlformats.org/officeDocument/2006/relationships/image" Target="media/image1397.png"/><Relationship Id="rId1412" Type="http://schemas.openxmlformats.org/officeDocument/2006/relationships/image" Target="media/image1398.png"/><Relationship Id="rId1413" Type="http://schemas.openxmlformats.org/officeDocument/2006/relationships/image" Target="media/image1399.png"/><Relationship Id="rId1414" Type="http://schemas.openxmlformats.org/officeDocument/2006/relationships/image" Target="media/image1400.png"/><Relationship Id="rId1415" Type="http://schemas.openxmlformats.org/officeDocument/2006/relationships/image" Target="media/image1401.png"/><Relationship Id="rId1416" Type="http://schemas.openxmlformats.org/officeDocument/2006/relationships/image" Target="media/image1402.png"/><Relationship Id="rId1417" Type="http://schemas.openxmlformats.org/officeDocument/2006/relationships/image" Target="media/image1403.png"/><Relationship Id="rId1418" Type="http://schemas.openxmlformats.org/officeDocument/2006/relationships/image" Target="media/image1404.png"/><Relationship Id="rId1419" Type="http://schemas.openxmlformats.org/officeDocument/2006/relationships/image" Target="media/image1405.png"/><Relationship Id="rId1420" Type="http://schemas.openxmlformats.org/officeDocument/2006/relationships/image" Target="media/image1406.png"/><Relationship Id="rId1421" Type="http://schemas.openxmlformats.org/officeDocument/2006/relationships/image" Target="media/image1407.png"/><Relationship Id="rId1422" Type="http://schemas.openxmlformats.org/officeDocument/2006/relationships/image" Target="media/image1408.png"/><Relationship Id="rId1423" Type="http://schemas.openxmlformats.org/officeDocument/2006/relationships/image" Target="media/image1409.png"/><Relationship Id="rId1424" Type="http://schemas.openxmlformats.org/officeDocument/2006/relationships/image" Target="media/image1410.png"/><Relationship Id="rId1425" Type="http://schemas.openxmlformats.org/officeDocument/2006/relationships/image" Target="media/image1411.png"/><Relationship Id="rId1426" Type="http://schemas.openxmlformats.org/officeDocument/2006/relationships/image" Target="media/image1412.png"/><Relationship Id="rId1427" Type="http://schemas.openxmlformats.org/officeDocument/2006/relationships/image" Target="media/image1413.png"/><Relationship Id="rId1428" Type="http://schemas.openxmlformats.org/officeDocument/2006/relationships/image" Target="media/image1414.png"/><Relationship Id="rId1429" Type="http://schemas.openxmlformats.org/officeDocument/2006/relationships/image" Target="media/image1415.png"/><Relationship Id="rId1430" Type="http://schemas.openxmlformats.org/officeDocument/2006/relationships/image" Target="media/image1416.png"/><Relationship Id="rId1431" Type="http://schemas.openxmlformats.org/officeDocument/2006/relationships/image" Target="media/image1417.png"/><Relationship Id="rId1432" Type="http://schemas.openxmlformats.org/officeDocument/2006/relationships/image" Target="media/image1418.png"/><Relationship Id="rId1433" Type="http://schemas.openxmlformats.org/officeDocument/2006/relationships/image" Target="media/image1419.png"/><Relationship Id="rId1434" Type="http://schemas.openxmlformats.org/officeDocument/2006/relationships/image" Target="media/image1420.png"/><Relationship Id="rId1435" Type="http://schemas.openxmlformats.org/officeDocument/2006/relationships/image" Target="media/image1421.png"/><Relationship Id="rId1436" Type="http://schemas.openxmlformats.org/officeDocument/2006/relationships/image" Target="media/image1422.png"/><Relationship Id="rId1437" Type="http://schemas.openxmlformats.org/officeDocument/2006/relationships/image" Target="media/image1423.png"/><Relationship Id="rId1438" Type="http://schemas.openxmlformats.org/officeDocument/2006/relationships/image" Target="media/image1424.png"/><Relationship Id="rId1439" Type="http://schemas.openxmlformats.org/officeDocument/2006/relationships/image" Target="media/image1425.png"/><Relationship Id="rId1440" Type="http://schemas.openxmlformats.org/officeDocument/2006/relationships/image" Target="media/image1426.png"/><Relationship Id="rId1441" Type="http://schemas.openxmlformats.org/officeDocument/2006/relationships/image" Target="media/image1427.png"/><Relationship Id="rId1442" Type="http://schemas.openxmlformats.org/officeDocument/2006/relationships/image" Target="media/image1428.png"/><Relationship Id="rId1443" Type="http://schemas.openxmlformats.org/officeDocument/2006/relationships/image" Target="media/image1429.png"/><Relationship Id="rId1444" Type="http://schemas.openxmlformats.org/officeDocument/2006/relationships/image" Target="media/image1430.png"/><Relationship Id="rId1445" Type="http://schemas.openxmlformats.org/officeDocument/2006/relationships/image" Target="media/image1431.png"/><Relationship Id="rId1446" Type="http://schemas.openxmlformats.org/officeDocument/2006/relationships/image" Target="media/image1432.png"/><Relationship Id="rId1447" Type="http://schemas.openxmlformats.org/officeDocument/2006/relationships/image" Target="media/image1433.png"/><Relationship Id="rId1448" Type="http://schemas.openxmlformats.org/officeDocument/2006/relationships/image" Target="media/image1434.png"/><Relationship Id="rId1449" Type="http://schemas.openxmlformats.org/officeDocument/2006/relationships/image" Target="media/image1435.png"/><Relationship Id="rId1450" Type="http://schemas.openxmlformats.org/officeDocument/2006/relationships/image" Target="media/image1436.png"/><Relationship Id="rId1451" Type="http://schemas.openxmlformats.org/officeDocument/2006/relationships/image" Target="media/image1437.png"/><Relationship Id="rId1452" Type="http://schemas.openxmlformats.org/officeDocument/2006/relationships/image" Target="media/image1438.png"/><Relationship Id="rId1453" Type="http://schemas.openxmlformats.org/officeDocument/2006/relationships/image" Target="media/image1439.png"/><Relationship Id="rId1454" Type="http://schemas.openxmlformats.org/officeDocument/2006/relationships/image" Target="media/image1440.png"/><Relationship Id="rId1455" Type="http://schemas.openxmlformats.org/officeDocument/2006/relationships/image" Target="media/image1441.png"/><Relationship Id="rId1456" Type="http://schemas.openxmlformats.org/officeDocument/2006/relationships/image" Target="media/image1442.png"/><Relationship Id="rId1457" Type="http://schemas.openxmlformats.org/officeDocument/2006/relationships/image" Target="media/image1443.png"/><Relationship Id="rId1458" Type="http://schemas.openxmlformats.org/officeDocument/2006/relationships/image" Target="media/image1444.png"/><Relationship Id="rId1459" Type="http://schemas.openxmlformats.org/officeDocument/2006/relationships/image" Target="media/image1445.png"/><Relationship Id="rId1460" Type="http://schemas.openxmlformats.org/officeDocument/2006/relationships/image" Target="media/image1446.png"/><Relationship Id="rId1461" Type="http://schemas.openxmlformats.org/officeDocument/2006/relationships/image" Target="media/image1447.png"/><Relationship Id="rId1462" Type="http://schemas.openxmlformats.org/officeDocument/2006/relationships/image" Target="media/image1448.png"/><Relationship Id="rId1463" Type="http://schemas.openxmlformats.org/officeDocument/2006/relationships/image" Target="media/image1449.png"/><Relationship Id="rId1464" Type="http://schemas.openxmlformats.org/officeDocument/2006/relationships/image" Target="media/image1450.png"/><Relationship Id="rId1465" Type="http://schemas.openxmlformats.org/officeDocument/2006/relationships/image" Target="media/image1451.png"/><Relationship Id="rId1466" Type="http://schemas.openxmlformats.org/officeDocument/2006/relationships/image" Target="media/image1452.png"/><Relationship Id="rId1467" Type="http://schemas.openxmlformats.org/officeDocument/2006/relationships/image" Target="media/image1453.png"/><Relationship Id="rId1468" Type="http://schemas.openxmlformats.org/officeDocument/2006/relationships/image" Target="media/image1454.png"/><Relationship Id="rId1056" Type="http://schemas.openxmlformats.org/officeDocument/2006/relationships/hyperlink" Target="https://www.sec.gov/Archives/edgar/data/1031308/000155837020010811/bsy-20200821xex10d1.htm" TargetMode="External"/><Relationship Id="rId1057" Type="http://schemas.openxmlformats.org/officeDocument/2006/relationships/hyperlink" Target="https://www.sec.gov/Archives/edgar/data/1031308/000155837020010811/bsy-20200821xex10d2.htm" TargetMode="External"/><Relationship Id="rId1058" Type="http://schemas.openxmlformats.org/officeDocument/2006/relationships/hyperlink" Target="https://www.sec.gov/Archives/edgar/data/1031308/000155837020010811/bsy-20200821xex10d3.htm" TargetMode="External"/><Relationship Id="rId1059" Type="http://schemas.openxmlformats.org/officeDocument/2006/relationships/hyperlink" Target="https://www.sec.gov/Archives/edgar/data/1031308/000155837020010811/bsy-20200821xex10d6.htm" TargetMode="External"/><Relationship Id="rId1060" Type="http://schemas.openxmlformats.org/officeDocument/2006/relationships/hyperlink" Target="https://www.sec.gov/Archives/edgar/data/1031308/000155837020010811/bsy-20200821xex23d3.htm" TargetMode="External"/><Relationship Id="rId1061" Type="http://schemas.openxmlformats.org/officeDocument/2006/relationships/hyperlink" Target="https://www.sec.gov/Archives/edgar/data/1031308/000155837020010811/bsy-20200821xex23d4.htm" TargetMode="External"/><Relationship Id="rId1062" Type="http://schemas.openxmlformats.org/officeDocument/2006/relationships/hyperlink" Target="https://www.sec.gov/Archives/edgar/data/1031308/000155837020010811/bsy-20200821x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2020-09-08T16:54:14Z</dcterms:created>
  <dcterms:modified xsi:type="dcterms:W3CDTF">2020-09-08T16:54:14Z</dcterms:modified>
</cp:coreProperties>
</file>