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w:t>
      </w:r>
    </w:p>
    <w:p>
      <w:pPr>
        <w:spacing w:after="0" w:line="27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1220" w:hanging="530"/>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1" w:lineRule="exact"/>
        <w:rPr>
          <w:rFonts w:ascii="MS PGothic" w:cs="MS PGothic" w:eastAsia="MS PGothic" w:hAnsi="MS PGothic"/>
          <w:sz w:val="18"/>
          <w:szCs w:val="18"/>
          <w:color w:val="auto"/>
        </w:rPr>
      </w:pPr>
    </w:p>
    <w:p>
      <w:pPr>
        <w:ind w:left="122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1220" w:hanging="530"/>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4" w:lineRule="exact"/>
        <w:rPr>
          <w:sz w:val="24"/>
          <w:szCs w:val="24"/>
          <w:color w:val="auto"/>
        </w:rPr>
      </w:pPr>
    </w:p>
    <w:p>
      <w:pPr>
        <w:ind w:left="1220"/>
        <w:spacing w:after="0"/>
        <w:tabs>
          <w:tab w:leader="none" w:pos="3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001-39548</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BENTLEY SYSTEMS, INCORPORATED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w:t>
      </w:r>
    </w:p>
    <w:p>
      <w:pPr>
        <w:spacing w:after="0" w:line="178"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5200" w:type="dxa"/>
            <w:vAlign w:val="bottom"/>
          </w:tcPr>
          <w:p>
            <w:pPr>
              <w:jc w:val="center"/>
              <w:ind w:right="16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6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95-3936623</w:t>
            </w:r>
          </w:p>
        </w:tc>
      </w:tr>
      <w:tr>
        <w:trPr>
          <w:trHeight w:val="226"/>
        </w:trPr>
        <w:tc>
          <w:tcPr>
            <w:tcW w:w="5200" w:type="dxa"/>
            <w:vAlign w:val="bottom"/>
          </w:tcPr>
          <w:p>
            <w:pPr>
              <w:jc w:val="center"/>
              <w:ind w:right="1683"/>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60" w:type="dxa"/>
            <w:vAlign w:val="bottom"/>
          </w:tcPr>
          <w:p>
            <w:pPr>
              <w:jc w:val="center"/>
              <w:ind w:left="17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8"/>
        </w:trPr>
        <w:tc>
          <w:tcPr>
            <w:tcW w:w="5200" w:type="dxa"/>
            <w:vAlign w:val="bottom"/>
          </w:tcPr>
          <w:p>
            <w:pPr>
              <w:jc w:val="center"/>
              <w:ind w:right="1683"/>
              <w:spacing w:after="0"/>
              <w:rPr>
                <w:sz w:val="20"/>
                <w:szCs w:val="20"/>
                <w:color w:val="auto"/>
              </w:rPr>
            </w:pPr>
            <w:r>
              <w:rPr>
                <w:rFonts w:ascii="Times New Roman" w:cs="Times New Roman" w:eastAsia="Times New Roman" w:hAnsi="Times New Roman"/>
                <w:sz w:val="16"/>
                <w:szCs w:val="16"/>
                <w:b w:val="1"/>
                <w:bCs w:val="1"/>
                <w:color w:val="auto"/>
              </w:rPr>
              <w:t>685 Stockton Drive</w:t>
            </w:r>
          </w:p>
        </w:tc>
        <w:tc>
          <w:tcPr>
            <w:tcW w:w="3860" w:type="dxa"/>
            <w:vAlign w:val="bottom"/>
          </w:tcPr>
          <w:p>
            <w:pPr>
              <w:spacing w:after="0"/>
              <w:rPr>
                <w:sz w:val="24"/>
                <w:szCs w:val="24"/>
                <w:color w:val="auto"/>
              </w:rPr>
            </w:pPr>
          </w:p>
        </w:tc>
      </w:tr>
      <w:tr>
        <w:trPr>
          <w:trHeight w:val="213"/>
        </w:trPr>
        <w:tc>
          <w:tcPr>
            <w:tcW w:w="5200" w:type="dxa"/>
            <w:vAlign w:val="bottom"/>
          </w:tcPr>
          <w:p>
            <w:pPr>
              <w:jc w:val="center"/>
              <w:ind w:right="1683"/>
              <w:spacing w:after="0"/>
              <w:rPr>
                <w:sz w:val="20"/>
                <w:szCs w:val="20"/>
                <w:color w:val="auto"/>
              </w:rPr>
            </w:pPr>
            <w:r>
              <w:rPr>
                <w:rFonts w:ascii="Times New Roman" w:cs="Times New Roman" w:eastAsia="Times New Roman" w:hAnsi="Times New Roman"/>
                <w:sz w:val="16"/>
                <w:szCs w:val="16"/>
                <w:b w:val="1"/>
                <w:bCs w:val="1"/>
                <w:color w:val="auto"/>
              </w:rPr>
              <w:t>Exton, Pennsylvania</w:t>
            </w:r>
          </w:p>
        </w:tc>
        <w:tc>
          <w:tcPr>
            <w:tcW w:w="386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19341</w:t>
            </w:r>
          </w:p>
        </w:tc>
      </w:tr>
      <w:tr>
        <w:trPr>
          <w:trHeight w:val="188"/>
        </w:trPr>
        <w:tc>
          <w:tcPr>
            <w:tcW w:w="5200" w:type="dxa"/>
            <w:vAlign w:val="bottom"/>
          </w:tcPr>
          <w:p>
            <w:pPr>
              <w:jc w:val="center"/>
              <w:ind w:right="168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860" w:type="dxa"/>
            <w:vAlign w:val="bottom"/>
          </w:tcPr>
          <w:p>
            <w:pPr>
              <w:jc w:val="center"/>
              <w:ind w:left="17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6"/>
          <w:szCs w:val="16"/>
          <w:b w:val="1"/>
          <w:bCs w:val="1"/>
          <w:color w:val="auto"/>
        </w:rPr>
        <w:t>(610) 458-5000</w:t>
      </w:r>
    </w:p>
    <w:p>
      <w:pPr>
        <w:spacing w:after="0" w:line="3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2" w:lineRule="exact"/>
        <w:rPr>
          <w:sz w:val="24"/>
          <w:szCs w:val="24"/>
          <w:color w:val="auto"/>
        </w:rPr>
      </w:pPr>
    </w:p>
    <w:tbl>
      <w:tblPr>
        <w:tblLayout w:type="fixed"/>
        <w:tblInd w:w="1400" w:type="dxa"/>
        <w:tblCellMar>
          <w:top w:w="0" w:type="dxa"/>
          <w:left w:w="0" w:type="dxa"/>
          <w:bottom w:w="0" w:type="dxa"/>
          <w:right w:w="0" w:type="dxa"/>
        </w:tblCellMar>
      </w:tblPr>
      <w:tr>
        <w:trPr>
          <w:trHeight w:val="188"/>
        </w:trPr>
        <w:tc>
          <w:tcPr>
            <w:tcW w:w="3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Title of each class</w:t>
            </w: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Trading Symbol</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0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186"/>
        </w:trPr>
        <w:tc>
          <w:tcPr>
            <w:tcW w:w="3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Class B Common Stock, $0.01 Par Value</w:t>
            </w: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BSY</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28" w:lineRule="exact"/>
        <w:rPr>
          <w:sz w:val="24"/>
          <w:szCs w:val="24"/>
          <w:color w:val="auto"/>
        </w:rPr>
      </w:pPr>
    </w:p>
    <w:p>
      <w:pPr>
        <w:ind w:left="340" w:right="3200"/>
        <w:spacing w:after="0" w:line="22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right="10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324"/>
        <w:spacing w:after="0" w:line="189"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24"/>
        <w:spacing w:after="0" w:line="18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0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6380" w:space="720"/>
            <w:col w:w="4140"/>
          </w:cols>
          <w:pgMar w:left="320" w:top="1440" w:right="339" w:bottom="1440" w:gutter="0" w:footer="0" w:header="0"/>
          <w:type w:val="continuous"/>
        </w:sectPr>
      </w:pPr>
    </w:p>
    <w:p>
      <w:pPr>
        <w:ind w:left="100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ectPr>
          <w:pgSz w:w="11900" w:h="16838" w:orient="portrait"/>
          <w:cols w:equalWidth="0" w:num="2">
            <w:col w:w="6380" w:space="720"/>
            <w:col w:w="4140"/>
          </w:cols>
          <w:pgMar w:left="320" w:top="1440" w:right="339" w:bottom="1440" w:gutter="0" w:footer="0" w:header="0"/>
          <w:type w:val="continuous"/>
        </w:sectPr>
      </w:pPr>
    </w:p>
    <w:p>
      <w:pPr>
        <w:ind w:left="71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type w:val="continuous"/>
        </w:sectPr>
      </w:pPr>
    </w:p>
    <w:p>
      <w:pPr>
        <w:spacing w:after="0" w:line="155"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189"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ind w:right="26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540" w:firstLine="324"/>
        <w:spacing w:after="0" w:line="189"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1(b).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300" w:firstLine="324"/>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28, 2024, the last business day of the registrant’s most recently completed second fiscal quarter, was $6.7 billion based on the closing price reported on the Nasdaq Stock Market LLC on that date. As of February 19, 2025, the registrant had 11,537,627 shares of Class A and 291,565,797 shares of Class B common stock outstanding.</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9" w:lineRule="exact"/>
        <w:rPr>
          <w:sz w:val="24"/>
          <w:szCs w:val="24"/>
          <w:color w:val="auto"/>
        </w:rPr>
      </w:pPr>
    </w:p>
    <w:p>
      <w:pPr>
        <w:ind w:right="20" w:firstLine="324"/>
        <w:spacing w:after="0" w:line="198" w:lineRule="exact"/>
        <w:rPr>
          <w:sz w:val="20"/>
          <w:szCs w:val="20"/>
          <w:color w:val="auto"/>
        </w:rPr>
      </w:pPr>
      <w:r>
        <w:rPr>
          <w:rFonts w:ascii="Times New Roman" w:cs="Times New Roman" w:eastAsia="Times New Roman" w:hAnsi="Times New Roman"/>
          <w:sz w:val="14"/>
          <w:szCs w:val="14"/>
          <w:color w:val="auto"/>
        </w:rPr>
        <w:t>Portions of the proxy statement for registrant’s 2025 Annual Meeting of Stockholders (the “2025 Proxy Statement”) are incorporated by reference in Part III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the extent stated herein. The 2025 Proxy Statement will be filed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320" w:type="dxa"/>
            <w:vAlign w:val="bottom"/>
            <w:gridSpan w:val="5"/>
            <w:vMerge w:val="restart"/>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FF"/>
            </w:tcBorders>
            <w:vMerge w:val="continue"/>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3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5"/>
          </w:tcPr>
          <w:p>
            <w:pPr>
              <w:spacing w:after="0"/>
              <w:rPr>
                <w:sz w:val="18"/>
                <w:szCs w:val="18"/>
                <w:color w:val="auto"/>
              </w:rPr>
            </w:pPr>
          </w:p>
        </w:tc>
        <w:tc>
          <w:tcPr>
            <w:tcW w:w="6620" w:type="dxa"/>
            <w:vAlign w:val="bottom"/>
            <w:gridSpan w:val="14"/>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20" w:type="dxa"/>
            <w:vAlign w:val="bottom"/>
            <w:gridSpan w:val="22"/>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20" w:type="dxa"/>
            <w:vAlign w:val="bottom"/>
            <w:gridSpan w:val="17"/>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60" w:type="dxa"/>
            <w:vAlign w:val="bottom"/>
            <w:gridSpan w:val="4"/>
          </w:tcPr>
          <w:p>
            <w:pPr>
              <w:spacing w:after="0"/>
              <w:rPr>
                <w:sz w:val="22"/>
                <w:szCs w:val="22"/>
                <w:color w:val="auto"/>
              </w:rPr>
            </w:pPr>
          </w:p>
        </w:tc>
        <w:tc>
          <w:tcPr>
            <w:tcW w:w="80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860" w:type="dxa"/>
            <w:vAlign w:val="bottom"/>
            <w:gridSpan w:val="21"/>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00" w:type="dxa"/>
            <w:vAlign w:val="bottom"/>
            <w:gridSpan w:val="4"/>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3"/>
          </w:tcPr>
          <w:p>
            <w:pPr>
              <w:spacing w:after="0"/>
              <w:rPr>
                <w:sz w:val="18"/>
                <w:szCs w:val="18"/>
                <w:color w:val="auto"/>
              </w:rPr>
            </w:pPr>
          </w:p>
        </w:tc>
        <w:tc>
          <w:tcPr>
            <w:tcW w:w="4300" w:type="dxa"/>
            <w:vAlign w:val="bottom"/>
            <w:gridSpan w:val="7"/>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1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60" w:type="dxa"/>
            <w:vAlign w:val="bottom"/>
            <w:gridSpan w:val="15"/>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40" w:type="dxa"/>
            <w:vAlign w:val="bottom"/>
            <w:gridSpan w:val="18"/>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180" w:type="dxa"/>
            <w:vAlign w:val="bottom"/>
            <w:gridSpan w:val="2"/>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60" w:type="dxa"/>
            <w:vAlign w:val="bottom"/>
            <w:gridSpan w:val="9"/>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6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20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1200" w:type="dxa"/>
            <w:vAlign w:val="bottom"/>
            <w:gridSpan w:val="3"/>
          </w:tcPr>
          <w:p>
            <w:pPr>
              <w:spacing w:after="0"/>
              <w:rPr>
                <w:sz w:val="18"/>
                <w:szCs w:val="18"/>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5500" w:type="dxa"/>
            <w:vAlign w:val="bottom"/>
            <w:gridSpan w:val="11"/>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80" w:type="dxa"/>
            <w:vAlign w:val="bottom"/>
          </w:tcPr>
          <w:p>
            <w:pPr>
              <w:spacing w:after="0"/>
              <w:rPr>
                <w:sz w:val="18"/>
                <w:szCs w:val="18"/>
                <w:color w:val="auto"/>
              </w:rPr>
            </w:pPr>
          </w:p>
        </w:tc>
        <w:tc>
          <w:tcPr>
            <w:tcW w:w="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0000FF"/>
                <w:w w:val="71"/>
              </w:rPr>
              <w:t>F-1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11"/>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w:t>
            </w:r>
          </w:p>
        </w:tc>
        <w:tc>
          <w:tcPr>
            <w:tcW w:w="66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4440" w:type="dxa"/>
            <w:vAlign w:val="bottom"/>
            <w:gridSpan w:val="8"/>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0000FF"/>
                <w:w w:val="71"/>
              </w:rPr>
              <w:t>F-3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0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0000FF"/>
                <w:w w:val="71"/>
              </w:rPr>
              <w:t>F-9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1" w:lineRule="exact"/>
        <w:rPr>
          <w:sz w:val="20"/>
          <w:szCs w:val="20"/>
          <w:color w:val="auto"/>
        </w:rPr>
      </w:pPr>
    </w:p>
    <w:p>
      <w:pPr>
        <w:jc w:val="both"/>
        <w:ind w:firstLine="324"/>
        <w:spacing w:after="0" w:line="233"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for the year ended December 31, 2024.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addition, information that we file with the SEC in the future will automatically update and supersede information contained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91" w:lineRule="exact"/>
        <w:rPr>
          <w:sz w:val="20"/>
          <w:szCs w:val="20"/>
          <w:color w:val="auto"/>
        </w:rPr>
      </w:pPr>
    </w:p>
    <w:p>
      <w:pPr>
        <w:jc w:val="both"/>
        <w:ind w:right="20" w:firstLine="324"/>
        <w:spacing w:after="0" w:line="245" w:lineRule="exact"/>
        <w:rPr>
          <w:sz w:val="20"/>
          <w:szCs w:val="20"/>
          <w:color w:val="auto"/>
        </w:rPr>
      </w:pPr>
      <w:r>
        <w:rPr>
          <w:rFonts w:ascii="Times New Roman" w:cs="Times New Roman" w:eastAsia="Times New Roman" w:hAnsi="Times New Roman"/>
          <w:sz w:val="18"/>
          <w:szCs w:val="18"/>
          <w:color w:val="auto"/>
        </w:rPr>
        <w:t>Unless indicated otherwise, throughout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refer to Bentley Systems, Incorporated and its consolidated subsidiaries, as “Bentley Systems,” “Bentley,” the “Company,” “we,” “us,” and “our.”</w:t>
      </w:r>
    </w:p>
    <w:p>
      <w:pPr>
        <w:spacing w:after="0" w:line="118"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trademarks, service marks, brands, or product names owned by us, as well as those owned by others.</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All statements contained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other than statements of historical facts, including statements regarding our future results of operations and financial condition, our business strategy, and plans and our objectives for future operations, are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words “believe,” “may,” “will,” “could,” “would,” “seeks,” “estimate,” “continue,” “anticipate,” “intend,” “expect,” and similar expressions, as well as statements regarding our focus for the future,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have based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business operations and objectives, and financial needs.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future events and trends discussed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well as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a whole, are subject to risks and uncertainties.</w:t>
      </w:r>
    </w:p>
    <w:p>
      <w:pPr>
        <w:spacing w:after="0" w:line="145"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discuss many of these risks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greater detail in the section titled “Risk Factors” and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w:t>
      </w:r>
    </w:p>
    <w:p>
      <w:pPr>
        <w:spacing w:after="0" w:line="92"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after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Bentley Systems is the infrastructure engineering software company.</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purpose is to advance the world’s infrastructure for better quality of life. We empower people to design, build, and operate better and more resilient infrastructure through the adoption of our intelligent digital twin solutions.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were founded in 1984 by the Bentley brothers and on September 25, 2020, we completed our initial public offering (“IPO”).</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enduring commitment is to develop and support the most comprehensive portfolio of integrated software offerings across professional disciplines, infrastructure sectors, geographies, and the infrastructure lifecycle. Our software enables digital workflows across engineering disciplines, across distributed project teams, and from offices to the field. Moreover, our intelligent digital twin solutions empower our users to achieve sustainable development goals by realizing outcomes that are more sustainable and resilient.</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users design, build, and operate infrastructure assets across the following sectors:</w:t>
      </w:r>
    </w:p>
    <w:p>
      <w:pPr>
        <w:spacing w:after="0" w:line="181" w:lineRule="exact"/>
        <w:rPr>
          <w:sz w:val="20"/>
          <w:szCs w:val="20"/>
          <w:color w:val="auto"/>
        </w:rPr>
      </w:pPr>
    </w:p>
    <w:p>
      <w:pPr>
        <w:jc w:val="both"/>
        <w:ind w:left="660" w:hanging="247"/>
        <w:spacing w:after="0" w:line="23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Works/Utilities</w:t>
      </w:r>
      <w:r>
        <w:rPr>
          <w:rFonts w:ascii="Times New Roman" w:cs="Times New Roman" w:eastAsia="Times New Roman" w:hAnsi="Times New Roman"/>
          <w:sz w:val="18"/>
          <w:szCs w:val="18"/>
          <w:color w:val="auto"/>
        </w:rPr>
        <w:t>, which represents approximately 59% of our sector-attributable annualized recurring revenues (“ARR”)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includes roads,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rail, bridges, tunnels, airports, and ports; federal, state, and municipal agencies; and networks for electricity, gas, water, wastewater, and communications;</w:t>
      </w:r>
    </w:p>
    <w:p>
      <w:pPr>
        <w:spacing w:after="0" w:line="157" w:lineRule="exact"/>
        <w:rPr>
          <w:rFonts w:ascii="Times New Roman" w:cs="Times New Roman" w:eastAsia="Times New Roman" w:hAnsi="Times New Roman"/>
          <w:sz w:val="18"/>
          <w:szCs w:val="18"/>
          <w:color w:val="auto"/>
        </w:rPr>
      </w:pPr>
    </w:p>
    <w:p>
      <w:pPr>
        <w:ind w:left="660" w:hanging="247"/>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which represents approximately 27% of our sector-attributable ARR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includes mining, oil and gas “upstream,” offshore, pipelines,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management, and renewable energy;</w:t>
      </w:r>
    </w:p>
    <w:p>
      <w:pPr>
        <w:spacing w:after="0" w:line="167" w:lineRule="exact"/>
        <w:rPr>
          <w:rFonts w:ascii="Times New Roman" w:cs="Times New Roman" w:eastAsia="Times New Roman" w:hAnsi="Times New Roman"/>
          <w:sz w:val="18"/>
          <w:szCs w:val="18"/>
          <w:color w:val="auto"/>
        </w:rPr>
      </w:pPr>
    </w:p>
    <w:p>
      <w:pPr>
        <w:ind w:left="660" w:hanging="247"/>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Industrial</w:t>
      </w:r>
      <w:r>
        <w:rPr>
          <w:rFonts w:ascii="Times New Roman" w:cs="Times New Roman" w:eastAsia="Times New Roman" w:hAnsi="Times New Roman"/>
          <w:sz w:val="18"/>
          <w:szCs w:val="18"/>
          <w:color w:val="auto"/>
        </w:rPr>
        <w:t>, which represents approximately 9% of our sector-attributable ARR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includes process and discrete manufacturing,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“downstream,” and power generation; and</w:t>
      </w:r>
    </w:p>
    <w:p>
      <w:pPr>
        <w:spacing w:after="0" w:line="155" w:lineRule="exact"/>
        <w:rPr>
          <w:rFonts w:ascii="Times New Roman" w:cs="Times New Roman" w:eastAsia="Times New Roman" w:hAnsi="Times New Roman"/>
          <w:sz w:val="18"/>
          <w:szCs w:val="18"/>
          <w:color w:val="auto"/>
        </w:rPr>
      </w:pPr>
    </w:p>
    <w:p>
      <w:pPr>
        <w:ind w:left="660" w:hanging="247"/>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Commercial/Facilities</w:t>
      </w:r>
      <w:r>
        <w:rPr>
          <w:rFonts w:ascii="Times New Roman" w:cs="Times New Roman" w:eastAsia="Times New Roman" w:hAnsi="Times New Roman"/>
          <w:sz w:val="18"/>
          <w:szCs w:val="18"/>
          <w:color w:val="auto"/>
        </w:rPr>
        <w:t>, which represents approximately 5% of our sector-attributable ARR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includes campuses, office buildings,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and hospitals.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Products and Solutions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serve enterprises and professionals across the infrastructure lifecycle by improving project delivery and asset performance. For projects, our software encompasses conception, planning, surveying, design, engineering, and construction, as well as the collaboration required to coordinate and share the work of interdisciplinary and/or distributed project teams. For assets, our software spans the operating life of commissioned infrastructure assets, allowing our accounts to manage engineering changes for safety and compliance and to model performance and reliability to support operations and maintenance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3" w:lineRule="exact"/>
        <w:rPr>
          <w:sz w:val="20"/>
          <w:szCs w:val="20"/>
          <w:color w:val="auto"/>
        </w:rPr>
      </w:pPr>
    </w:p>
    <w:p>
      <w:pPr>
        <w:ind w:left="260" w:right="20" w:hanging="203"/>
        <w:spacing w:after="0" w:line="225" w:lineRule="exact"/>
        <w:tabs>
          <w:tab w:leader="none" w:pos="24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Refer to the section titled “Key Business Metrics” included in Part II, Item 7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additional information, including our definition and our use of ARR.</w:t>
      </w:r>
    </w:p>
    <w:p>
      <w:pPr>
        <w:spacing w:after="0" w:line="181" w:lineRule="exact"/>
        <w:rPr>
          <w:rFonts w:ascii="Times New Roman" w:cs="Times New Roman" w:eastAsia="Times New Roman" w:hAnsi="Times New Roman"/>
          <w:sz w:val="23"/>
          <w:szCs w:val="23"/>
          <w:color w:val="auto"/>
          <w:vertAlign w:val="superscript"/>
        </w:rPr>
      </w:pPr>
    </w:p>
    <w:p>
      <w:pPr>
        <w:jc w:val="both"/>
        <w:ind w:left="260" w:hanging="203"/>
        <w:spacing w:after="0" w:line="232" w:lineRule="auto"/>
        <w:tabs>
          <w:tab w:leader="none" w:pos="24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Sector-attributable ARR refers to the proportion of our ARR which can be attributed either based on the sector-specific classification of the account and/or the sector-specific classification of the product giving rise to the ARR. The portions of our ARR which cannot be sector-attributed consist generally of ARR within accounts that are diversified engineering firms which work in multiple sectors, and as to that portion of their ARR which are for products that are not sector-specific, such as MicroStation, and structural or geotechnical modeling and simulation applications, and ProjectWise, which are used across any and all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Bentley Open</w:t>
      </w:r>
      <w:r>
        <w:rPr>
          <w:rFonts w:ascii="Times New Roman" w:cs="Times New Roman" w:eastAsia="Times New Roman" w:hAnsi="Times New Roman"/>
          <w:sz w:val="18"/>
          <w:szCs w:val="18"/>
          <w:color w:val="auto"/>
        </w:rPr>
        <w:t xml:space="preserve"> engineering applications and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color w:val="auto"/>
        </w:rPr>
        <w:t xml:space="preserve"> geoprofessional applications are primarily cloud-connected desktop modeling and simulation applications that support the breadth of engineering and geoprofessional disciplines.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provided via cloud and hybrid environments, extends enterprise collaboration during project delivery, and helps manage engineering information during operations and maintenance. </w:t>
      </w:r>
      <w:r>
        <w:rPr>
          <w:rFonts w:ascii="Times New Roman" w:cs="Times New Roman" w:eastAsia="Times New Roman" w:hAnsi="Times New Roman"/>
          <w:sz w:val="18"/>
          <w:szCs w:val="18"/>
          <w:i w:val="1"/>
          <w:iCs w:val="1"/>
          <w:color w:val="auto"/>
        </w:rPr>
        <w:t xml:space="preserve">Bentley Asset Analytics </w:t>
      </w:r>
      <w:r>
        <w:rPr>
          <w:rFonts w:ascii="Times New Roman" w:cs="Times New Roman" w:eastAsia="Times New Roman" w:hAnsi="Times New Roman"/>
          <w:sz w:val="18"/>
          <w:szCs w:val="18"/>
          <w:color w:val="auto"/>
        </w:rPr>
        <w:t>solutions automatically detect and analyze issues to trigger key operational workflows, improving overall asset performance.</w:t>
      </w:r>
    </w:p>
    <w:p>
      <w:pPr>
        <w:spacing w:after="0" w:line="114"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 xml:space="preserve">Powering these products is our </w:t>
      </w:r>
      <w:r>
        <w:rPr>
          <w:rFonts w:ascii="Times New Roman" w:cs="Times New Roman" w:eastAsia="Times New Roman" w:hAnsi="Times New Roman"/>
          <w:sz w:val="18"/>
          <w:szCs w:val="18"/>
          <w:i w:val="1"/>
          <w:iCs w:val="1"/>
          <w:color w:val="auto"/>
        </w:rPr>
        <w:t>Cesium and iTwin Platform</w:t>
      </w:r>
      <w:r>
        <w:rPr>
          <w:rFonts w:ascii="Times New Roman" w:cs="Times New Roman" w:eastAsia="Times New Roman" w:hAnsi="Times New Roman"/>
          <w:sz w:val="18"/>
          <w:szCs w:val="18"/>
          <w:color w:val="auto"/>
        </w:rPr>
        <w:t>, our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native technology platform to create, curate, and leverage infrastructure digital twins, which was augmented through the acquisition of Cesium in September 2024. Through our platform, our existing products are becoming increasingly </w:t>
      </w:r>
      <w:r>
        <w:rPr>
          <w:rFonts w:ascii="Times New Roman" w:cs="Times New Roman" w:eastAsia="Times New Roman" w:hAnsi="Times New Roman"/>
          <w:sz w:val="18"/>
          <w:szCs w:val="18"/>
          <w:i w:val="1"/>
          <w:iCs w:val="1"/>
          <w:color w:val="auto"/>
        </w:rPr>
        <w:t>iTwin</w:t>
      </w:r>
      <w:r>
        <w:rPr>
          <w:rFonts w:ascii="Times New Roman" w:cs="Times New Roman" w:eastAsia="Times New Roman" w:hAnsi="Times New Roman"/>
          <w:sz w:val="18"/>
          <w:szCs w:val="18"/>
          <w:color w:val="auto"/>
        </w:rPr>
        <w:t>-enabled to take advantage of digital twin capabilities, and we are developing a new generation of</w:t>
      </w:r>
      <w:r>
        <w:rPr>
          <w:rFonts w:ascii="Times New Roman" w:cs="Times New Roman" w:eastAsia="Times New Roman" w:hAnsi="Times New Roman"/>
          <w:sz w:val="18"/>
          <w:szCs w:val="18"/>
          <w:i w:val="1"/>
          <w:iCs w:val="1"/>
          <w:color w:val="auto"/>
        </w:rPr>
        <w:t xml:space="preserve"> iTwin</w:t>
      </w:r>
      <w:r>
        <w:rPr>
          <w:rFonts w:ascii="Times New Roman" w:cs="Times New Roman" w:eastAsia="Times New Roman" w:hAnsi="Times New Roman"/>
          <w:sz w:val="18"/>
          <w:szCs w:val="18"/>
          <w:color w:val="auto"/>
        </w:rPr>
        <w:t>-native, data-centric applications that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(“AI”) to increase engineering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1688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proportions of our revenue generated respectively from </w:t>
      </w:r>
      <w:r>
        <w:rPr>
          <w:rFonts w:ascii="Times New Roman" w:cs="Times New Roman" w:eastAsia="Times New Roman" w:hAnsi="Times New Roman"/>
          <w:sz w:val="18"/>
          <w:szCs w:val="18"/>
          <w:i w:val="1"/>
          <w:iCs w:val="1"/>
          <w:color w:val="auto"/>
        </w:rPr>
        <w:t>Bentley Open</w:t>
      </w:r>
      <w:r>
        <w:rPr>
          <w:rFonts w:ascii="Times New Roman" w:cs="Times New Roman" w:eastAsia="Times New Roman" w:hAnsi="Times New Roman"/>
          <w:sz w:val="18"/>
          <w:szCs w:val="18"/>
          <w:color w:val="auto"/>
        </w:rPr>
        <w:t xml:space="preserve"> engineering applications and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color w:val="auto"/>
        </w:rPr>
        <w:t xml:space="preserve"> geoprofessional applications for modeling and simulation, and from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and its principal offerings, are referenced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95885</wp:posOffset>
            </wp:positionV>
            <wp:extent cx="2297430" cy="2228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743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comprehensive portfolio of integrated software offerings comprises:</w:t>
      </w:r>
    </w:p>
    <w:p>
      <w:pPr>
        <w:spacing w:after="0" w:line="157"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b w:val="1"/>
          <w:bCs w:val="1"/>
          <w:i w:val="1"/>
          <w:iCs w:val="1"/>
          <w:color w:val="auto"/>
        </w:rPr>
        <w:t>Engineering Applications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an open modeling environment comprising domain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authoring applications and an open simulation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environment comprising applications to analyze the functional performance of designs that work together to improve engineering quality, streamline production of multi-discipline documentation, and reduce rework. These </w:t>
      </w:r>
      <w:r>
        <w:rPr>
          <w:rFonts w:ascii="Times New Roman" w:cs="Times New Roman" w:eastAsia="Times New Roman" w:hAnsi="Times New Roman"/>
          <w:sz w:val="18"/>
          <w:szCs w:val="18"/>
          <w:i w:val="1"/>
          <w:iCs w:val="1"/>
          <w:color w:val="auto"/>
        </w:rPr>
        <w:t>Bentley Open</w:t>
      </w:r>
      <w:r>
        <w:rPr>
          <w:rFonts w:ascii="Times New Roman" w:cs="Times New Roman" w:eastAsia="Times New Roman" w:hAnsi="Times New Roman"/>
          <w:sz w:val="18"/>
          <w:szCs w:val="18"/>
          <w:color w:val="auto"/>
        </w:rPr>
        <w:t xml:space="preserve"> applications for modeling and simulation support a wide variety of file formats – both Bentley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 and industry standards and design codes, enabling digital workflows across design, simulation, and analysis, and ensuring engineering data is not locked in, but remains open and accessible.</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engineering applications work together to improve infrastructure engineering quality and productivity, resulting in better project designs and deliverables. We take care to enable compatibility across successive generations of our applications, which enables engineers, throughout their careers, to maintain continuity with their preferred interfaces, formats, and methodologies, while advancing their work at the leading edge of innovation.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open modeling applications include:</w:t>
      </w:r>
    </w:p>
    <w:p>
      <w:pPr>
        <w:spacing w:after="0" w:line="196" w:lineRule="exact"/>
        <w:rPr>
          <w:sz w:val="20"/>
          <w:szCs w:val="20"/>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MicroStation</w:t>
      </w:r>
      <w:r>
        <w:rPr>
          <w:rFonts w:ascii="Times New Roman" w:cs="Times New Roman" w:eastAsia="Times New Roman" w:hAnsi="Times New Roman"/>
          <w:sz w:val="18"/>
          <w:szCs w:val="18"/>
          <w:color w:val="auto"/>
        </w:rPr>
        <w:t>, for flexible 3D design and documentation, providing the common modeling environment upon which our applications are built;</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OpenBridge</w:t>
      </w:r>
      <w:r>
        <w:rPr>
          <w:rFonts w:ascii="Times New Roman" w:cs="Times New Roman" w:eastAsia="Times New Roman" w:hAnsi="Times New Roman"/>
          <w:sz w:val="18"/>
          <w:szCs w:val="18"/>
          <w:color w:val="auto"/>
        </w:rPr>
        <w:t>, for the 3D design and documentation of bridges;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OpenBuildings</w:t>
      </w:r>
      <w:r>
        <w:rPr>
          <w:rFonts w:ascii="Times New Roman" w:cs="Times New Roman" w:eastAsia="Times New Roman" w:hAnsi="Times New Roman"/>
          <w:sz w:val="18"/>
          <w:szCs w:val="18"/>
          <w:color w:val="auto"/>
        </w:rPr>
        <w:t>, for the 3D design and documentation of buildings and their integrated structural, HVAC, electrical, and plumbing systems;</w:t>
      </w:r>
    </w:p>
    <w:p>
      <w:pPr>
        <w:spacing w:after="0" w:line="19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OpenFlows</w:t>
      </w:r>
      <w:r>
        <w:rPr>
          <w:rFonts w:ascii="Times New Roman" w:cs="Times New Roman" w:eastAsia="Times New Roman" w:hAnsi="Times New Roman"/>
          <w:sz w:val="18"/>
          <w:szCs w:val="18"/>
          <w:color w:val="auto"/>
        </w:rPr>
        <w:t>, for the planning, design, and operation of water, wastewater, and stormwater systems, incorporating hydrological, hydraulic,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flood modeling;</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OpenPlant</w:t>
      </w:r>
      <w:r>
        <w:rPr>
          <w:rFonts w:ascii="Times New Roman" w:cs="Times New Roman" w:eastAsia="Times New Roman" w:hAnsi="Times New Roman"/>
          <w:sz w:val="18"/>
          <w:szCs w:val="18"/>
          <w:color w:val="auto"/>
        </w:rPr>
        <w:t>, for the 2D and 3D design and documentation of process plants;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OpenRail</w:t>
      </w:r>
      <w:r>
        <w:rPr>
          <w:rFonts w:ascii="Times New Roman" w:cs="Times New Roman" w:eastAsia="Times New Roman" w:hAnsi="Times New Roman"/>
          <w:sz w:val="18"/>
          <w:szCs w:val="18"/>
          <w:color w:val="auto"/>
        </w:rPr>
        <w:t>, for the planning, 3D design, and documentation of rail and transit systems;</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OpenRoads</w:t>
      </w:r>
      <w:r>
        <w:rPr>
          <w:rFonts w:ascii="Times New Roman" w:cs="Times New Roman" w:eastAsia="Times New Roman" w:hAnsi="Times New Roman"/>
          <w:sz w:val="18"/>
          <w:szCs w:val="18"/>
          <w:color w:val="auto"/>
        </w:rPr>
        <w:t>, for the planning, 3D design, and documentation of roads and highways;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OpenSite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OpenSite+</w:t>
      </w:r>
      <w:r>
        <w:rPr>
          <w:rFonts w:ascii="Times New Roman" w:cs="Times New Roman" w:eastAsia="Times New Roman" w:hAnsi="Times New Roman"/>
          <w:sz w:val="18"/>
          <w:szCs w:val="18"/>
          <w:color w:val="auto"/>
        </w:rPr>
        <w:t>, for the planning, 3D design, and documentation of building, residential development, and infrastructure sites;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OpenTower</w:t>
      </w:r>
      <w:r>
        <w:rPr>
          <w:rFonts w:ascii="Times New Roman" w:cs="Times New Roman" w:eastAsia="Times New Roman" w:hAnsi="Times New Roman"/>
          <w:sz w:val="18"/>
          <w:szCs w:val="18"/>
          <w:color w:val="auto"/>
        </w:rPr>
        <w:t>, for the 3D design and analysis of communication towers;</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OpenTunnel</w:t>
      </w:r>
      <w:r>
        <w:rPr>
          <w:rFonts w:ascii="Times New Roman" w:cs="Times New Roman" w:eastAsia="Times New Roman" w:hAnsi="Times New Roman"/>
          <w:sz w:val="18"/>
          <w:szCs w:val="18"/>
          <w:color w:val="auto"/>
        </w:rPr>
        <w:t>, for the 3D design and analysis of tunnels;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for the design and management of electric, gas, water, wastewater, and district energy networks;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OpenWindPower</w:t>
      </w:r>
      <w:r>
        <w:rPr>
          <w:rFonts w:ascii="Times New Roman" w:cs="Times New Roman" w:eastAsia="Times New Roman" w:hAnsi="Times New Roman"/>
          <w:sz w:val="18"/>
          <w:szCs w:val="18"/>
          <w:color w:val="auto"/>
        </w:rPr>
        <w:t>, for the structural analysis and design of fixed and floating offshore wind turbines.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open simulation applications include:</w:t>
      </w:r>
    </w:p>
    <w:p>
      <w:pPr>
        <w:spacing w:after="0" w:line="183" w:lineRule="exact"/>
        <w:rPr>
          <w:sz w:val="20"/>
          <w:szCs w:val="20"/>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ADINA</w:t>
      </w:r>
      <w:r>
        <w:rPr>
          <w:rFonts w:ascii="Times New Roman" w:cs="Times New Roman" w:eastAsia="Times New Roman" w:hAnsi="Times New Roman"/>
          <w:sz w:val="18"/>
          <w:szCs w:val="18"/>
          <w:color w:val="auto"/>
        </w:rPr>
        <w:t>, for nonlinear simulation and analysis;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AutoPIPE</w:t>
      </w:r>
      <w:r>
        <w:rPr>
          <w:rFonts w:ascii="Times New Roman" w:cs="Times New Roman" w:eastAsia="Times New Roman" w:hAnsi="Times New Roman"/>
          <w:sz w:val="18"/>
          <w:szCs w:val="18"/>
          <w:color w:val="auto"/>
        </w:rPr>
        <w:t>, for analysis and simulation of pipe stress in industrial process plants;</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LEGION</w:t>
      </w:r>
      <w:r>
        <w:rPr>
          <w:rFonts w:ascii="Times New Roman" w:cs="Times New Roman" w:eastAsia="Times New Roman" w:hAnsi="Times New Roman"/>
          <w:sz w:val="18"/>
          <w:szCs w:val="18"/>
          <w:color w:val="auto"/>
        </w:rPr>
        <w:t>, for pedestrian traffic simulation;</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OpenPaths</w:t>
      </w:r>
      <w:r>
        <w:rPr>
          <w:rFonts w:ascii="Times New Roman" w:cs="Times New Roman" w:eastAsia="Times New Roman" w:hAnsi="Times New Roman"/>
          <w:sz w:val="18"/>
          <w:szCs w:val="18"/>
          <w:color w:val="auto"/>
        </w:rPr>
        <w:t>, for multimodal transport network modeling and travel demand forecasting;</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Line Systems (“PLS”)</w:t>
      </w:r>
      <w:r>
        <w:rPr>
          <w:rFonts w:ascii="Times New Roman" w:cs="Times New Roman" w:eastAsia="Times New Roman" w:hAnsi="Times New Roman"/>
          <w:sz w:val="18"/>
          <w:szCs w:val="18"/>
          <w:color w:val="auto"/>
        </w:rPr>
        <w:t>, for analysis and simulation of overhead electric power transmission lines and their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1" w:lineRule="exact"/>
        <w:rPr>
          <w:sz w:val="20"/>
          <w:szCs w:val="20"/>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RAM</w:t>
      </w:r>
      <w:r>
        <w:rPr>
          <w:rFonts w:ascii="Times New Roman" w:cs="Times New Roman" w:eastAsia="Times New Roman" w:hAnsi="Times New Roman"/>
          <w:sz w:val="18"/>
          <w:szCs w:val="18"/>
          <w:color w:val="auto"/>
        </w:rPr>
        <w:t>, for analysis and simulation of building structural performance;</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SACS</w:t>
      </w:r>
      <w:r>
        <w:rPr>
          <w:rFonts w:ascii="Times New Roman" w:cs="Times New Roman" w:eastAsia="Times New Roman" w:hAnsi="Times New Roman"/>
          <w:sz w:val="18"/>
          <w:szCs w:val="18"/>
          <w:color w:val="auto"/>
        </w:rPr>
        <w:t>, for analysis and simulation of offshore structural performance;</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SPIDA</w:t>
      </w:r>
      <w:r>
        <w:rPr>
          <w:rFonts w:ascii="Times New Roman" w:cs="Times New Roman" w:eastAsia="Times New Roman" w:hAnsi="Times New Roman"/>
          <w:sz w:val="18"/>
          <w:szCs w:val="18"/>
          <w:color w:val="auto"/>
        </w:rPr>
        <w:t>, for analysis and simulation of utility poles and overhead assets;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STAAD</w:t>
      </w:r>
      <w:r>
        <w:rPr>
          <w:rFonts w:ascii="Times New Roman" w:cs="Times New Roman" w:eastAsia="Times New Roman" w:hAnsi="Times New Roman"/>
          <w:sz w:val="18"/>
          <w:szCs w:val="18"/>
          <w:color w:val="auto"/>
        </w:rPr>
        <w:t>, for analysis and simulation of structures of all types.</w:t>
      </w:r>
    </w:p>
    <w:p>
      <w:pPr>
        <w:spacing w:after="0" w:line="196"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Geoprofessional Applications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support modeling and simulation to help geoprofessionals and infrastructure engineers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 detailed understanding, and take full account of, near and deep subsurface conditions.</w:t>
      </w:r>
    </w:p>
    <w:p>
      <w:pPr>
        <w:spacing w:after="0" w:line="78" w:lineRule="exact"/>
        <w:rPr>
          <w:sz w:val="20"/>
          <w:szCs w:val="20"/>
          <w:color w:val="auto"/>
        </w:rPr>
      </w:pPr>
    </w:p>
    <w:p>
      <w:pPr>
        <w:ind w:firstLine="324"/>
        <w:spacing w:after="0" w:line="245" w:lineRule="exact"/>
        <w:rPr>
          <w:sz w:val="20"/>
          <w:szCs w:val="20"/>
          <w:color w:val="auto"/>
        </w:rPr>
      </w:pPr>
      <w:r>
        <w:rPr>
          <w:rFonts w:ascii="Times New Roman" w:cs="Times New Roman" w:eastAsia="Times New Roman" w:hAnsi="Times New Roman"/>
          <w:sz w:val="18"/>
          <w:szCs w:val="18"/>
          <w:color w:val="auto"/>
        </w:rPr>
        <w:t>These include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leading earth modeling, subsurface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data management, and geoprofessional team collaboration software and geotechnical products that supplement visible built-asset representations above ground with more probabilistic modeling of subsurface conditions.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geoprofessional applications include:</w:t>
      </w:r>
    </w:p>
    <w:p>
      <w:pPr>
        <w:spacing w:after="0" w:line="196" w:lineRule="exact"/>
        <w:rPr>
          <w:sz w:val="20"/>
          <w:szCs w:val="20"/>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AGS</w:t>
      </w:r>
      <w:r>
        <w:rPr>
          <w:rFonts w:ascii="Times New Roman" w:cs="Times New Roman" w:eastAsia="Times New Roman" w:hAnsi="Times New Roman"/>
          <w:sz w:val="18"/>
          <w:szCs w:val="18"/>
          <w:color w:val="auto"/>
        </w:rPr>
        <w:t>, for processing, inversion, and visualization of geophysical data;</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Central</w:t>
      </w:r>
      <w:r>
        <w:rPr>
          <w:rFonts w:ascii="Times New Roman" w:cs="Times New Roman" w:eastAsia="Times New Roman" w:hAnsi="Times New Roman"/>
          <w:sz w:val="18"/>
          <w:szCs w:val="18"/>
          <w:color w:val="auto"/>
        </w:rPr>
        <w:t>, for geological model management, to visualize, track, integrate, and manage geoscience data from a centralized, auditable environment;</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GeoStudio</w:t>
      </w:r>
      <w:r>
        <w:rPr>
          <w:rFonts w:ascii="Times New Roman" w:cs="Times New Roman" w:eastAsia="Times New Roman" w:hAnsi="Times New Roman"/>
          <w:sz w:val="18"/>
          <w:szCs w:val="18"/>
          <w:color w:val="auto"/>
        </w:rPr>
        <w:t>, for integrated geotechnical analysis of slope stability, groundwater flow, and heat and mass transfer in soil and rock;</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Imago</w:t>
      </w:r>
      <w:r>
        <w:rPr>
          <w:rFonts w:ascii="Times New Roman" w:cs="Times New Roman" w:eastAsia="Times New Roman" w:hAnsi="Times New Roman"/>
          <w:sz w:val="18"/>
          <w:szCs w:val="18"/>
          <w:color w:val="auto"/>
        </w:rPr>
        <w:t>, for the capture and management of drilling core images;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Leapfrog</w:t>
      </w:r>
      <w:r>
        <w:rPr>
          <w:rFonts w:ascii="Times New Roman" w:cs="Times New Roman" w:eastAsia="Times New Roman" w:hAnsi="Times New Roman"/>
          <w:sz w:val="18"/>
          <w:szCs w:val="18"/>
          <w:color w:val="auto"/>
        </w:rPr>
        <w:t>, for 3D implicit modeling designed to rapidly integrate, communicate, and interpret geological data;</w:t>
      </w:r>
    </w:p>
    <w:p>
      <w:pPr>
        <w:spacing w:after="0" w:line="184"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MX Deposit</w:t>
      </w:r>
      <w:r>
        <w:rPr>
          <w:rFonts w:ascii="Times New Roman" w:cs="Times New Roman" w:eastAsia="Times New Roman" w:hAnsi="Times New Roman"/>
          <w:sz w:val="18"/>
          <w:szCs w:val="18"/>
          <w:color w:val="auto"/>
        </w:rPr>
        <w:t>, cloud drill hole software for simplifying and controlling how drill and other field data is collected, managed, and shared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lifecycle of an ore deposit from early exploration through to mine production;</w:t>
      </w:r>
    </w:p>
    <w:p>
      <w:pPr>
        <w:spacing w:after="0" w:line="13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Oasis montaj</w:t>
      </w:r>
      <w:r>
        <w:rPr>
          <w:rFonts w:ascii="Times New Roman" w:cs="Times New Roman" w:eastAsia="Times New Roman" w:hAnsi="Times New Roman"/>
          <w:sz w:val="18"/>
          <w:szCs w:val="18"/>
          <w:color w:val="auto"/>
        </w:rPr>
        <w:t>, for the quality control, correction, visualization, analysis, and interpretation of geophysical, geologic and geochemical data;</w:t>
      </w:r>
    </w:p>
    <w:p>
      <w:pPr>
        <w:spacing w:after="0" w:line="184"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OpenGround</w:t>
      </w:r>
      <w:r>
        <w:rPr>
          <w:rFonts w:ascii="Times New Roman" w:cs="Times New Roman" w:eastAsia="Times New Roman" w:hAnsi="Times New Roman"/>
          <w:sz w:val="18"/>
          <w:szCs w:val="18"/>
          <w:color w:val="auto"/>
        </w:rPr>
        <w:t>, for geotechnical information management for collecting, reporting, managing, visualizing, analyzing, and accessing geotechnical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and</w:t>
      </w:r>
    </w:p>
    <w:p>
      <w:pPr>
        <w:spacing w:after="0" w:line="117"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PLAXIS</w:t>
      </w:r>
      <w:r>
        <w:rPr>
          <w:rFonts w:ascii="Times New Roman" w:cs="Times New Roman" w:eastAsia="Times New Roman" w:hAnsi="Times New Roman"/>
          <w:sz w:val="18"/>
          <w:szCs w:val="18"/>
          <w:color w:val="auto"/>
        </w:rPr>
        <w:t>, for geotechnical analysis to solve common and complex geotechnical problems, including advanced analysis for excavations,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foundations, tunnels, and other infrastructure projects.</w:t>
      </w:r>
    </w:p>
    <w:p>
      <w:pPr>
        <w:spacing w:after="0" w:line="92"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Bentley Infrastructure Cloud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enterprise information systems span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lifecycle and value chain of the world’s infrastructure, helping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engineers to produce higher quality deliverables, contractors to execute better with their supply chain, and owners to maintain a complete and accurate picture of their asset throughout its lifecycle.</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Bentley Infrastructure Cloud </w:t>
      </w:r>
      <w:r>
        <w:rPr>
          <w:rFonts w:ascii="Times New Roman" w:cs="Times New Roman" w:eastAsia="Times New Roman" w:hAnsi="Times New Roman"/>
          <w:sz w:val="18"/>
          <w:szCs w:val="18"/>
          <w:color w:val="auto"/>
        </w:rPr>
        <w:t>encompasses:</w:t>
      </w:r>
    </w:p>
    <w:p>
      <w:pPr>
        <w:spacing w:after="0" w:line="146" w:lineRule="exact"/>
        <w:rPr>
          <w:sz w:val="20"/>
          <w:szCs w:val="20"/>
          <w:color w:val="auto"/>
        </w:rPr>
      </w:pPr>
    </w:p>
    <w:p>
      <w:pPr>
        <w:ind w:left="660" w:hanging="247"/>
        <w:spacing w:after="0" w:line="245" w:lineRule="exact"/>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for project delivery, supporting information and document management, and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collaboration and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project teams and enterprises;</w:t>
      </w:r>
    </w:p>
    <w:p>
      <w:pPr>
        <w:spacing w:after="0" w:line="169" w:lineRule="exact"/>
        <w:rPr>
          <w:rFonts w:ascii="Times New Roman" w:cs="Times New Roman" w:eastAsia="Times New Roman" w:hAnsi="Times New Roman"/>
          <w:sz w:val="18"/>
          <w:szCs w:val="18"/>
          <w:i w:val="1"/>
          <w:iCs w:val="1"/>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w:t>
      </w:r>
      <w:r>
        <w:rPr>
          <w:rFonts w:ascii="Times New Roman" w:cs="Times New Roman" w:eastAsia="Times New Roman" w:hAnsi="Times New Roman"/>
          <w:sz w:val="18"/>
          <w:szCs w:val="18"/>
          <w:color w:val="auto"/>
        </w:rPr>
        <w:t>, for construction, spatially and temporally integrating a project’s 3D engineering models into its construction schedules to visualize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assess sequencing strategies;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1" w:lineRule="exact"/>
        <w:rPr>
          <w:sz w:val="20"/>
          <w:szCs w:val="20"/>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for asset operations, capturing and managing changes to engineering models and enterprise information for compliance and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model performance and reliability.</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By unifying data between engineering applications and enterprise systems,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helps organizations manage their data in a single environment, enabling integrated workflows, improved collaboration, and increased productivity. Data also can be easily enriched throughout the lifecycle. Powered by our platform and infrastructure schemas and thus seamlessly integrating with </w:t>
      </w:r>
      <w:r>
        <w:rPr>
          <w:rFonts w:ascii="Times New Roman" w:cs="Times New Roman" w:eastAsia="Times New Roman" w:hAnsi="Times New Roman"/>
          <w:sz w:val="18"/>
          <w:szCs w:val="18"/>
          <w:i w:val="1"/>
          <w:iCs w:val="1"/>
          <w:color w:val="auto"/>
        </w:rPr>
        <w:t>Bentley Open</w:t>
      </w:r>
      <w:r>
        <w:rPr>
          <w:rFonts w:ascii="Times New Roman" w:cs="Times New Roman" w:eastAsia="Times New Roman" w:hAnsi="Times New Roman"/>
          <w:sz w:val="18"/>
          <w:szCs w:val="18"/>
          <w:color w:val="auto"/>
        </w:rPr>
        <w:t xml:space="preserve"> applications, </w:t>
      </w:r>
      <w:r>
        <w:rPr>
          <w:rFonts w:ascii="Times New Roman" w:cs="Times New Roman" w:eastAsia="Times New Roman" w:hAnsi="Times New Roman"/>
          <w:sz w:val="18"/>
          <w:szCs w:val="18"/>
          <w:i w:val="1"/>
          <w:iCs w:val="1"/>
          <w:color w:val="auto"/>
        </w:rPr>
        <w:t>Bentley Infrastructure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Cloud </w:t>
      </w:r>
      <w:r>
        <w:rPr>
          <w:rFonts w:ascii="Times New Roman" w:cs="Times New Roman" w:eastAsia="Times New Roman" w:hAnsi="Times New Roman"/>
          <w:sz w:val="18"/>
          <w:szCs w:val="18"/>
          <w:color w:val="auto"/>
        </w:rPr>
        <w:t>enables better creation, delivery, and ongoing operation of better infrastructure, through complete and evergreen digital twins.</w:t>
      </w:r>
    </w:p>
    <w:p>
      <w:pPr>
        <w:spacing w:after="0" w:line="13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Bentley Asset Analytics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asset analytics solutions unlock real-time insights and time-saving automation through AI-powered infrastructure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twins to optimize asset performance and workflows. These solutions are applied to specific asset types and use cases.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Bentley Asset Analytics </w:t>
      </w:r>
      <w:r>
        <w:rPr>
          <w:rFonts w:ascii="Times New Roman" w:cs="Times New Roman" w:eastAsia="Times New Roman" w:hAnsi="Times New Roman"/>
          <w:sz w:val="18"/>
          <w:szCs w:val="18"/>
          <w:color w:val="auto"/>
        </w:rPr>
        <w:t>solutions include:</w:t>
      </w:r>
    </w:p>
    <w:p>
      <w:pPr>
        <w:spacing w:after="0" w:line="198"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Blyncsy</w:t>
      </w:r>
      <w:r>
        <w:rPr>
          <w:rFonts w:ascii="Times New Roman" w:cs="Times New Roman" w:eastAsia="Times New Roman" w:hAnsi="Times New Roman"/>
          <w:sz w:val="18"/>
          <w:szCs w:val="18"/>
          <w:color w:val="auto"/>
        </w:rPr>
        <w:t>, for inspecting and detecting roadway conditions;</w:t>
      </w:r>
    </w:p>
    <w:p>
      <w:pPr>
        <w:spacing w:after="0" w:line="184" w:lineRule="exact"/>
        <w:rPr>
          <w:rFonts w:ascii="Times New Roman" w:cs="Times New Roman" w:eastAsia="Times New Roman" w:hAnsi="Times New Roman"/>
          <w:sz w:val="18"/>
          <w:szCs w:val="18"/>
          <w:i w:val="1"/>
          <w:iCs w:val="1"/>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Bridge Monitoring</w:t>
      </w:r>
      <w:r>
        <w:rPr>
          <w:rFonts w:ascii="Times New Roman" w:cs="Times New Roman" w:eastAsia="Times New Roman" w:hAnsi="Times New Roman"/>
          <w:sz w:val="18"/>
          <w:szCs w:val="18"/>
          <w:color w:val="auto"/>
        </w:rPr>
        <w:t>, for identifying and classifying bridge defects;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 Monitoring</w:t>
      </w:r>
      <w:r>
        <w:rPr>
          <w:rFonts w:ascii="Times New Roman" w:cs="Times New Roman" w:eastAsia="Times New Roman" w:hAnsi="Times New Roman"/>
          <w:sz w:val="18"/>
          <w:szCs w:val="18"/>
          <w:color w:val="auto"/>
        </w:rPr>
        <w:t>, for assessing, monitoring, and analyzing risks to dams; and</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OpenTower iQ</w:t>
      </w:r>
      <w:r>
        <w:rPr>
          <w:rFonts w:ascii="Times New Roman" w:cs="Times New Roman" w:eastAsia="Times New Roman" w:hAnsi="Times New Roman"/>
          <w:sz w:val="18"/>
          <w:szCs w:val="18"/>
          <w:color w:val="auto"/>
        </w:rPr>
        <w:t>, for creating digital twins of cell tower infrastructure.</w:t>
      </w:r>
    </w:p>
    <w:p>
      <w:pPr>
        <w:spacing w:after="0" w:line="18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Cesium and iTwin Platform.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Cesium and iTwin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developing infrastructure digital twin applications, leveraging our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schemas, enables users to create and curate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4D/5D digital representations of physical infrastructure assets, incorporating underlying engineering information federated with operational and enterprise data, and then to model, simulate, analyze, synchronize, track, and predict performance over time. Using digital twins, our users can more fully extend digital workflows across the entire infrastructure lifecycle, increasing the value of infrastructure engineers’ work.</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platform was augmented through the acquisition of </w:t>
      </w:r>
      <w:r>
        <w:rPr>
          <w:rFonts w:ascii="Times New Roman" w:cs="Times New Roman" w:eastAsia="Times New Roman" w:hAnsi="Times New Roman"/>
          <w:sz w:val="18"/>
          <w:szCs w:val="18"/>
          <w:i w:val="1"/>
          <w:iCs w:val="1"/>
          <w:color w:val="auto"/>
        </w:rPr>
        <w:t>Cesium</w:t>
      </w:r>
      <w:r>
        <w:rPr>
          <w:rFonts w:ascii="Times New Roman" w:cs="Times New Roman" w:eastAsia="Times New Roman" w:hAnsi="Times New Roman"/>
          <w:sz w:val="18"/>
          <w:szCs w:val="18"/>
          <w:color w:val="auto"/>
        </w:rPr>
        <w:t xml:space="preserve"> in September 2024. </w:t>
      </w:r>
      <w:r>
        <w:rPr>
          <w:rFonts w:ascii="Times New Roman" w:cs="Times New Roman" w:eastAsia="Times New Roman" w:hAnsi="Times New Roman"/>
          <w:sz w:val="18"/>
          <w:szCs w:val="18"/>
          <w:i w:val="1"/>
          <w:iCs w:val="1"/>
          <w:color w:val="auto"/>
        </w:rPr>
        <w:t>Cesium</w:t>
      </w:r>
      <w:r>
        <w:rPr>
          <w:rFonts w:ascii="Times New Roman" w:cs="Times New Roman" w:eastAsia="Times New Roman" w:hAnsi="Times New Roman"/>
          <w:sz w:val="18"/>
          <w:szCs w:val="18"/>
          <w:color w:val="auto"/>
        </w:rPr>
        <w:t xml:space="preserve"> technology is used to develop powerful 3D applications of the land, sea, sky, and space—helping organizations understand their assets, environments, and operations in a 3D geospatial context. The combination of the </w:t>
      </w:r>
      <w:r>
        <w:rPr>
          <w:rFonts w:ascii="Times New Roman" w:cs="Times New Roman" w:eastAsia="Times New Roman" w:hAnsi="Times New Roman"/>
          <w:sz w:val="18"/>
          <w:szCs w:val="18"/>
          <w:i w:val="1"/>
          <w:iCs w:val="1"/>
          <w:color w:val="auto"/>
        </w:rPr>
        <w:t>iTwin Platform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Cesium</w:t>
      </w:r>
      <w:r>
        <w:rPr>
          <w:rFonts w:ascii="Times New Roman" w:cs="Times New Roman" w:eastAsia="Times New Roman" w:hAnsi="Times New Roman"/>
          <w:sz w:val="18"/>
          <w:szCs w:val="18"/>
          <w:color w:val="auto"/>
        </w:rPr>
        <w:t xml:space="preserve"> enables developers to seamlessly align 3D geospatial data with engineering, enterprise, and operational data to create digital twins with astonishing user experiences that scale from vast infrastructure networks to the millimeter-accurate details of individual assets.</w:t>
      </w:r>
    </w:p>
    <w:p>
      <w:pPr>
        <w:spacing w:after="0" w:line="15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Through our platform, we are adding digital twin capabilities to our other offerings to enable users to better leverage data throughout the infrastructure lifecycle. The platform also supports a thriving ecosystem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developers who use our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source tools to develop applications for the built and natural environment. With tens of thousands of developers, Cesium is the de-facto developer platform for 3D geospatial applications. The combination of the </w:t>
      </w:r>
      <w:r>
        <w:rPr>
          <w:rFonts w:ascii="Times New Roman" w:cs="Times New Roman" w:eastAsia="Times New Roman" w:hAnsi="Times New Roman"/>
          <w:sz w:val="18"/>
          <w:szCs w:val="18"/>
          <w:i w:val="1"/>
          <w:iCs w:val="1"/>
          <w:color w:val="auto"/>
        </w:rPr>
        <w:t>iTwin Platform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Cesium</w:t>
      </w:r>
      <w:r>
        <w:rPr>
          <w:rFonts w:ascii="Times New Roman" w:cs="Times New Roman" w:eastAsia="Times New Roman" w:hAnsi="Times New Roman"/>
          <w:sz w:val="18"/>
          <w:szCs w:val="18"/>
          <w:color w:val="auto"/>
        </w:rPr>
        <w:t xml:space="preserve"> provides new opportunities for growth and value creation for this developer ecosystem.</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some capabilities of the platform are offered as discrete iTwin products. These include:</w:t>
      </w:r>
    </w:p>
    <w:p>
      <w:pPr>
        <w:spacing w:after="0" w:line="144" w:lineRule="exact"/>
        <w:rPr>
          <w:sz w:val="20"/>
          <w:szCs w:val="20"/>
          <w:color w:val="auto"/>
        </w:rPr>
      </w:pPr>
    </w:p>
    <w:p>
      <w:pPr>
        <w:ind w:left="660" w:hanging="247"/>
        <w:spacing w:after="0" w:line="245" w:lineRule="exact"/>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iTwin Capture</w:t>
      </w:r>
      <w:r>
        <w:rPr>
          <w:rFonts w:ascii="Times New Roman" w:cs="Times New Roman" w:eastAsia="Times New Roman" w:hAnsi="Times New Roman"/>
          <w:sz w:val="18"/>
          <w:szCs w:val="18"/>
          <w:color w:val="auto"/>
        </w:rPr>
        <w:t>, for capturing, modeling, analyzing, and sharing reality data, enabling users to easily create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high-resolution 3D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meshes of infrastructure assets using drone video and survey imagery;</w:t>
      </w:r>
    </w:p>
    <w:p>
      <w:pPr>
        <w:spacing w:after="0" w:line="131" w:lineRule="exact"/>
        <w:rPr>
          <w:rFonts w:ascii="Times New Roman" w:cs="Times New Roman" w:eastAsia="Times New Roman" w:hAnsi="Times New Roman"/>
          <w:sz w:val="18"/>
          <w:szCs w:val="18"/>
          <w:i w:val="1"/>
          <w:iCs w:val="1"/>
          <w:color w:val="auto"/>
        </w:rPr>
      </w:pPr>
    </w:p>
    <w:p>
      <w:pPr>
        <w:ind w:left="660" w:right="20" w:hanging="247"/>
        <w:spacing w:after="0" w:line="245" w:lineRule="exact"/>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iTwin Experience</w:t>
      </w:r>
      <w:r>
        <w:rPr>
          <w:rFonts w:ascii="Times New Roman" w:cs="Times New Roman" w:eastAsia="Times New Roman" w:hAnsi="Times New Roman"/>
          <w:sz w:val="18"/>
          <w:szCs w:val="18"/>
          <w:color w:val="auto"/>
        </w:rPr>
        <w:t>, for visualizing and navigating digital twins, empowering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and their constituents with insights into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1" w:lineRule="exact"/>
        <w:rPr>
          <w:sz w:val="20"/>
          <w:szCs w:val="20"/>
          <w:color w:val="auto"/>
        </w:rPr>
      </w:pPr>
    </w:p>
    <w:p>
      <w:pPr>
        <w:ind w:left="660" w:hanging="247"/>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iTwin IoT</w:t>
      </w:r>
      <w:r>
        <w:rPr>
          <w:rFonts w:ascii="Times New Roman" w:cs="Times New Roman" w:eastAsia="Times New Roman" w:hAnsi="Times New Roman"/>
          <w:sz w:val="18"/>
          <w:szCs w:val="18"/>
          <w:color w:val="auto"/>
        </w:rPr>
        <w:t>, for acquiring and analyzing sensor data, enabling users to seamlessly incorporate Internet of Things (“IoT”) data created by sensors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monitoring devices for real-time safety and risk monitoring in infrastructure operations and construction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infrastructure sectors, geographies, and the infrastructure lifecycle, resulting in what we believe to be durable competitive advantages:</w:t>
      </w:r>
    </w:p>
    <w:p>
      <w:pPr>
        <w:spacing w:after="0" w:line="11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Professional Disciplines</w:t>
      </w:r>
      <w:r>
        <w:rPr>
          <w:rFonts w:ascii="Times New Roman" w:cs="Times New Roman" w:eastAsia="Times New Roman" w:hAnsi="Times New Roman"/>
          <w:sz w:val="18"/>
          <w:szCs w:val="18"/>
          <w:color w:val="auto"/>
        </w:rPr>
        <w:t>. Each infrastructure project requires seamless and deep collaboration among professional disciplines, which can include civil,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structural, geotechnical, subsurface, and process engineers; architects; geospatial professionals; city and regional planners; contractors; fabricators; and operations and maintenance engineers. Our open modeling and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115"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benefit from our software, which enables digital workflows to extend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infrastructure lifecycle, from design to construction and ultimately asset management. This capability allows our users’ digital engineering models to be leveraged as the context for real-time condition monitoring to achieve better and safer operations and maintenance.</w:t>
      </w:r>
    </w:p>
    <w:p>
      <w:pPr>
        <w:spacing w:after="0" w:line="117" w:lineRule="exact"/>
        <w:rPr>
          <w:sz w:val="20"/>
          <w:szCs w:val="20"/>
          <w:color w:val="auto"/>
        </w:rPr>
      </w:pPr>
    </w:p>
    <w:p>
      <w:pPr>
        <w:jc w:val="both"/>
        <w:ind w:firstLine="324"/>
        <w:spacing w:after="0" w:line="23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changing mix of projects across the public works/utilities,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industrial, 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financed industrial, resources, and commercial/facilities sectors, we have historically witnessed offsetting counter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cyclical government investment in public works/utilities.</w:t>
      </w:r>
    </w:p>
    <w:p>
      <w:pPr>
        <w:spacing w:after="0" w:line="128"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 practices are fundamentally the same throughout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which makes it possible for our infrastructure modeling applications to be used globally. Our offerings are available in most major languages, supporting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design codes, standards, and conventions. Our development teams are also globally dispersed, due in part to acquisitions made in various countries, but also to provide any needed last-mile localization of our applications. Our global comprehensiveness enables our project delivery accounts to compete more efficiently across geographic markets, thus also providing global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sourcing choices for owners.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Digital Twins Opportunity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our company’s history, as computing capabilities have advanced, the scope of infrastructure engineering software has correspondingly increased. However, project and asset software markets have developed independently from one another and connected digital workflows have not been offered. We believe the advancement from siloed project-specific software including for computer-aided design (CAD) and building information modeling (BIM), and asset-specific software including for geographic information systems (GIS), to unified and “evergreen” infrastructure digital twins will have the effect of merging what have been to date separate market spaces as well as enabling new use cases that were not possible or practical with previous technologies.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growing adoption of infrastructure digital twins will serve to overcome the factors that have held back the digital advancement of infrastructure engineering and will facilitate the broader use of engineering data in the operation of infrastructure assets. Moreover, we believe that due to the comprehensiveness of our offerings across the infrastructure lifecycle, infrastructure digital twins and newly enabled digital workflows spanning design, construction, and operations will most particularly benefit our users and enhance our competitiveness.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This includes the increasing use of AI, which represents a paradigm shift for infrastructure sectors, which create massive amounts of data during design, construction, and operations. Infrastructure organizations can leverage AI during the design phase and reuse their data to automate repetitive tasks, such as documentation and annotation, enabling engineers to focus on higher-value activities. For example, Bentley’s OpenSite+, the first engineering application leveraging generative AI for civil site design, includes a design copilot to drive new levels of productivity and accuracy. By applying AI during the operations phase, infrastructure data can be analyzed for deeper insights. For example, </w:t>
      </w:r>
      <w:r>
        <w:rPr>
          <w:rFonts w:ascii="Times New Roman" w:cs="Times New Roman" w:eastAsia="Times New Roman" w:hAnsi="Times New Roman"/>
          <w:sz w:val="18"/>
          <w:szCs w:val="18"/>
          <w:i w:val="1"/>
          <w:iCs w:val="1"/>
          <w:color w:val="auto"/>
        </w:rPr>
        <w:t>Bentley Asset Analytics</w:t>
      </w:r>
      <w:r>
        <w:rPr>
          <w:rFonts w:ascii="Times New Roman" w:cs="Times New Roman" w:eastAsia="Times New Roman" w:hAnsi="Times New Roman"/>
          <w:sz w:val="18"/>
          <w:szCs w:val="18"/>
          <w:color w:val="auto"/>
        </w:rPr>
        <w:t xml:space="preserve"> solutions include AI agents that automatically identify maintenance issues and recommend preventive action, avoiding costly breakdowns or safety hazards.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Commercial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Subscriptions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offer a variety of licensing and subscription options so that users can choose what works best for them, their project, and their organization.</w:t>
      </w:r>
    </w:p>
    <w:p>
      <w:pPr>
        <w:spacing w:after="0" w:line="198"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For larger organizations with centralized management of their engineering software portfolio, we offer our Enterprise 365 (“E365”) subscription. Our E365 subscription is an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inclusive global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 which provides access to our comprehensive portfolio of solutions with uniform pricing across all countries. E365 subscriptions require a Cloud Services Subscription (“CSS”) (as described below) and are charged to accounts primarily based upon daily usage or elective subscriptions, dependent on product. They are also inclusive of “Success Plans” (described below). Our ProjectWise and AssetWise enterprise collaboration solutions utilized under E365 are charged based on the total number of users within a calendar quarter, or fixed asset bands, respectively. While the majority of our E365 subscriptions revenue is attributed to daily consumption of our applications, E365 subscriptions can contain floors or ceilings on usage charges.</w:t>
      </w:r>
    </w:p>
    <w:p>
      <w:pPr>
        <w:spacing w:after="0" w:line="119" w:lineRule="exact"/>
        <w:rPr>
          <w:sz w:val="20"/>
          <w:szCs w:val="20"/>
          <w:color w:val="auto"/>
        </w:rPr>
      </w:pPr>
    </w:p>
    <w:p>
      <w:pPr>
        <w:jc w:val="both"/>
        <w:ind w:firstLine="324"/>
        <w:spacing w:after="0" w:line="238" w:lineRule="exact"/>
        <w:rPr>
          <w:sz w:val="20"/>
          <w:szCs w:val="20"/>
          <w:color w:val="auto"/>
        </w:rPr>
      </w:pPr>
      <w:r>
        <w:rPr>
          <w:rFonts w:ascii="Times New Roman" w:cs="Times New Roman" w:eastAsia="Times New Roman" w:hAnsi="Times New Roman"/>
          <w:sz w:val="18"/>
          <w:szCs w:val="18"/>
          <w:color w:val="auto"/>
        </w:rPr>
        <w:t>A perpetual license for Bentley software is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purchase with an annual maintenance subscription, called SELECT, which includes 24/7 technical support, access to learning resources, and the ability to exchange licenses for other software once a year. In addition, SELECT offers license pooling, which enables software access from multiple computers, and term licenses, which enables users to access software beyond their license entitlements for monthly or quarterly periods to cover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surges in their workload.</w:t>
      </w:r>
    </w:p>
    <w:p>
      <w:pPr>
        <w:spacing w:after="0" w:line="9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We also offer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named-user subscription including license, training, and knowledgeable engineering support procured through our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Virtuosity, which is a convenient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way for infrastructure professionals in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businesses (“SMBs”) to access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Bentley software.</w:t>
      </w:r>
    </w:p>
    <w:p>
      <w:pPr>
        <w:spacing w:after="0" w:line="176" w:lineRule="exact"/>
        <w:rPr>
          <w:sz w:val="20"/>
          <w:szCs w:val="20"/>
          <w:color w:val="auto"/>
        </w:rPr>
      </w:pPr>
    </w:p>
    <w:p>
      <w:pPr>
        <w:jc w:val="both"/>
        <w:ind w:firstLine="324"/>
        <w:spacing w:after="0" w:line="240" w:lineRule="exact"/>
        <w:rPr>
          <w:sz w:val="20"/>
          <w:szCs w:val="20"/>
          <w:color w:val="auto"/>
        </w:rPr>
      </w:pPr>
      <w:r>
        <w:rPr>
          <w:rFonts w:ascii="Times New Roman" w:cs="Times New Roman" w:eastAsia="Times New Roman" w:hAnsi="Times New Roman"/>
          <w:sz w:val="18"/>
          <w:szCs w:val="18"/>
          <w:color w:val="auto"/>
        </w:rPr>
        <w:t xml:space="preserve">We deliver our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capabilities under our CSS, charged quarterly based on the number of users of various levels of functionality. Pricing includes cloud provisioning, although some accounts elect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and/or hybrid hosting.</w:t>
      </w:r>
    </w:p>
    <w:p>
      <w:pPr>
        <w:spacing w:after="0" w:line="13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CSS streamlines the procurement, administration, and payment process for us and our accounts for cloud offerings, term licenses, and recurring services. Participants in our E365 program use CSS as the funding mechanism for their subscription. At the end of 2024, accounts representing approximately 60% of our total ARR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had chosen to institute, for licensing of our software, our commercial models eligible under CSS.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714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22" w:lineRule="exact"/>
        <w:rPr>
          <w:sz w:val="20"/>
          <w:szCs w:val="20"/>
          <w:color w:val="auto"/>
        </w:rPr>
      </w:pPr>
    </w:p>
    <w:p>
      <w:pPr>
        <w:ind w:left="260" w:hanging="203"/>
        <w:spacing w:after="0" w:line="225" w:lineRule="exact"/>
        <w:tabs>
          <w:tab w:leader="none" w:pos="243"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Refer to the section titled “Key Business Metrics” included in Part II, Item 7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additional information, including our definition and our use of ARR.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Plans and Services</w:t>
      </w:r>
    </w:p>
    <w:p>
      <w:pPr>
        <w:spacing w:after="0" w:line="161"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For enterprise accounts, we have transitioned from a traditional paradigm of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demand technical support, and professional services contracted episodically, to instead delivering proactive and continuous engagement with users and accounts through “Success Plans.” Success Plans are designed with business outcomes in mind, ensuring that accounts receive the best results from our software. Working collaboratively with our accounts, approximately 800 colleagues, most with domain experience and credentials in infrastructure engineering, deliver Success Plans through structured engagements based on explicit and standardized “Success Blueprints” that include virtual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 engagements with subject matter experts. Success Plans, based on allotted credits toward multiple Success Blueprints per calendar quarter, are bundled into our E365 subscription.</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also offer specialized asset performance services, including through our </w:t>
      </w:r>
      <w:r>
        <w:rPr>
          <w:rFonts w:ascii="Times New Roman" w:cs="Times New Roman" w:eastAsia="Times New Roman" w:hAnsi="Times New Roman"/>
          <w:sz w:val="18"/>
          <w:szCs w:val="18"/>
          <w:i w:val="1"/>
          <w:iCs w:val="1"/>
          <w:color w:val="auto"/>
        </w:rPr>
        <w:t>Cohesive</w:t>
      </w:r>
      <w:r>
        <w:rPr>
          <w:rFonts w:ascii="Times New Roman" w:cs="Times New Roman" w:eastAsia="Times New Roman" w:hAnsi="Times New Roman"/>
          <w:sz w:val="18"/>
          <w:szCs w:val="18"/>
          <w:color w:val="auto"/>
        </w:rPr>
        <w:t xml:space="preserve"> business (described in more detail below), primarily to accounts that use IBM Maximo and our AssetWise solutions for infrastructure asset operations and maintenance.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Primary Growth Initiatives</w:t>
      </w:r>
    </w:p>
    <w:p>
      <w:pPr>
        <w:spacing w:after="0" w:line="161" w:lineRule="exact"/>
        <w:rPr>
          <w:sz w:val="20"/>
          <w:szCs w:val="20"/>
          <w:color w:val="auto"/>
        </w:rPr>
      </w:pPr>
    </w:p>
    <w:p>
      <w:pPr>
        <w:jc w:val="both"/>
        <w:ind w:right="20" w:firstLine="324"/>
        <w:spacing w:after="0" w:line="245" w:lineRule="exact"/>
        <w:rPr>
          <w:sz w:val="20"/>
          <w:szCs w:val="20"/>
          <w:color w:val="auto"/>
        </w:rPr>
      </w:pPr>
      <w:r>
        <w:rPr>
          <w:rFonts w:ascii="Times New Roman" w:cs="Times New Roman" w:eastAsia="Times New Roman" w:hAnsi="Times New Roman"/>
          <w:sz w:val="18"/>
          <w:szCs w:val="18"/>
          <w:color w:val="auto"/>
        </w:rPr>
        <w:t>Incremental to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programmatic acquisition strategy, since 2020 we have determinedly invested internal resources to accelerate organic growth, with increasing success, through the following primary growth initiatives:</w:t>
      </w:r>
    </w:p>
    <w:p>
      <w:pPr>
        <w:spacing w:after="0" w:line="154" w:lineRule="exact"/>
        <w:rPr>
          <w:sz w:val="20"/>
          <w:szCs w:val="20"/>
          <w:color w:val="auto"/>
        </w:rPr>
      </w:pPr>
    </w:p>
    <w:p>
      <w:pPr>
        <w:jc w:val="both"/>
        <w:ind w:left="660" w:hanging="247"/>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Accretion in Enterprise Accounts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established that E365 helps our accounts implement, propagate, and upgrade our solutions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quickly, encouraging greater consumption of our software and stronger account relationships. We intend to continue to expand the reach of our E365 subscription within virtually all of our enterprise accounts;</w:t>
      </w:r>
    </w:p>
    <w:p>
      <w:pPr>
        <w:spacing w:after="0" w:line="130" w:lineRule="exact"/>
        <w:rPr>
          <w:rFonts w:ascii="Times New Roman" w:cs="Times New Roman" w:eastAsia="Times New Roman" w:hAnsi="Times New Roman"/>
          <w:sz w:val="18"/>
          <w:szCs w:val="18"/>
          <w:color w:val="auto"/>
        </w:rPr>
      </w:pPr>
    </w:p>
    <w:p>
      <w:pPr>
        <w:jc w:val="both"/>
        <w:ind w:left="660" w:hanging="247"/>
        <w:spacing w:after="0" w:line="222" w:lineRule="exact"/>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Accretion in SMBs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business from SMB accounts, including from hundreds of new “logos” each quarter, has become a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contributor to our overall ARR growth</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and we are encouraged to continue investment in our Virtuosity business and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Development and deployment of a “low touch” and ultimately “no touch” digital experience will enable this business to further scale and align with the market potential; and</w:t>
      </w:r>
    </w:p>
    <w:p>
      <w:pPr>
        <w:spacing w:after="0" w:line="167" w:lineRule="exact"/>
        <w:rPr>
          <w:rFonts w:ascii="Times New Roman" w:cs="Times New Roman" w:eastAsia="Times New Roman" w:hAnsi="Times New Roman"/>
          <w:sz w:val="18"/>
          <w:szCs w:val="18"/>
          <w:i w:val="1"/>
          <w:iCs w:val="1"/>
          <w:color w:val="auto"/>
        </w:rPr>
      </w:pPr>
    </w:p>
    <w:p>
      <w:pPr>
        <w:jc w:val="both"/>
        <w:ind w:left="660" w:hanging="247"/>
        <w:spacing w:after="0" w:line="220" w:lineRule="exact"/>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Catalyzing the Infrastructure Digital Twin Ecosystem: </w:t>
      </w:r>
      <w:r>
        <w:rPr>
          <w:rFonts w:ascii="Times New Roman" w:cs="Times New Roman" w:eastAsia="Times New Roman" w:hAnsi="Times New Roman"/>
          <w:sz w:val="18"/>
          <w:szCs w:val="18"/>
          <w:color w:val="auto"/>
        </w:rPr>
        <w:t>While engineering services firms (which make up approximately half of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agree that digital twins are fundamental to the evolution of infrastructure engineering, they tend to lack firsthand experience of introducing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centric offerings to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operators or examples of successful business models. Our asset performance services, including our </w:t>
      </w:r>
      <w:r>
        <w:rPr>
          <w:rFonts w:ascii="Times New Roman" w:cs="Times New Roman" w:eastAsia="Times New Roman" w:hAnsi="Times New Roman"/>
          <w:sz w:val="18"/>
          <w:szCs w:val="18"/>
          <w:i w:val="1"/>
          <w:iCs w:val="1"/>
          <w:color w:val="auto"/>
        </w:rPr>
        <w:t xml:space="preserve">Cohesive </w:t>
      </w:r>
      <w:r>
        <w:rPr>
          <w:rFonts w:ascii="Times New Roman" w:cs="Times New Roman" w:eastAsia="Times New Roman" w:hAnsi="Times New Roman"/>
          <w:sz w:val="18"/>
          <w:szCs w:val="18"/>
          <w:color w:val="auto"/>
        </w:rPr>
        <w:t>business, which implements IBM Maximo globally, represent our own “digital integrator” capabilities to prove business models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subsequently impart to engineering services firms, accelerating the adoption of infrastructure digital twin solutions.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Accounts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our software solutions to over 41,000 accounts in 189 countries worldwide. Our revenues are balanced and diversified between engineering and construction contracting firms who work together to deliver the design and construction of capital projects (representing 51%, 50%, and 50% of our 2024, 2023, and 2022 total revenues, respectively), and their clients, the world’s public and private infrastructure asset owners and operators (representing 49%, 50%, and 50% of our 2024, 2023, and 2022 total revenues, respectively).</w:t>
      </w:r>
    </w:p>
    <w:p>
      <w:pPr>
        <w:spacing w:after="0" w:line="15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including through our account managers and our Virtuosity inside sales colleagues and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which generated approximately 93% of our 2024 total revenues. We also rely on specialist channel partners in geographic regions where we do not currently have a meaningful presence or where, for some of our offerings, direct sales efforts are less economically feasible. Channel partners accounted for approximately 7% of our 2024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6" w:lineRule="exact"/>
        <w:rPr>
          <w:sz w:val="20"/>
          <w:szCs w:val="20"/>
          <w:color w:val="auto"/>
        </w:rPr>
      </w:pPr>
    </w:p>
    <w:p>
      <w:pPr>
        <w:ind w:left="260" w:hanging="203"/>
        <w:spacing w:after="0" w:line="217" w:lineRule="exact"/>
        <w:tabs>
          <w:tab w:leader="none" w:pos="243"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Refer to the section titled “Key Business Metrics” included in Part II, Item 7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additional information, including our definition and our use of ARR growth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material account concentration. No account, including any group of accounts under common control or accounts that are affiliates of each other, represented more than 2% of our total revenues in 2024, 2023, or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Acquisitions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 software businesses, including 12 acquisitions over the past three years. Most acquired products had already been interfacing with our platform prior to acquisition, and our acquisition purpose is typically to improve their technical and commercial integration.</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public company, we have been able to make platform acquisitions which appreciably increase our scale and/or the scope of our platform capabilities. Our platform acquisitions have been:</w:t>
      </w:r>
    </w:p>
    <w:p>
      <w:pPr>
        <w:spacing w:after="0" w:line="133" w:lineRule="exact"/>
        <w:rPr>
          <w:sz w:val="20"/>
          <w:szCs w:val="20"/>
          <w:color w:val="auto"/>
        </w:rPr>
      </w:pPr>
    </w:p>
    <w:p>
      <w:pPr>
        <w:jc w:val="both"/>
        <w:ind w:left="660" w:hanging="247"/>
        <w:spacing w:after="0" w:line="26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Seequent Holdings Limited (“Seequent”) </w:t>
      </w:r>
      <w:r>
        <w:rPr>
          <w:rFonts w:ascii="Times New Roman" w:cs="Times New Roman" w:eastAsia="Times New Roman" w:hAnsi="Times New Roman"/>
          <w:sz w:val="18"/>
          <w:szCs w:val="18"/>
          <w:color w:val="auto"/>
        </w:rPr>
        <w:t>(2021), to enable infrastructure digital twin capabilities to incorporate modeling and simulation of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subsurface depths, and advancing infrastructure resilience and sustainability by helping geoprofessionals to understand environmental conditions and to mitigate environmental risks; and</w:t>
      </w:r>
    </w:p>
    <w:p>
      <w:pPr>
        <w:spacing w:after="0" w:line="132" w:lineRule="exact"/>
        <w:rPr>
          <w:rFonts w:ascii="Times New Roman" w:cs="Times New Roman" w:eastAsia="Times New Roman" w:hAnsi="Times New Roman"/>
          <w:sz w:val="18"/>
          <w:szCs w:val="18"/>
          <w:color w:val="auto"/>
        </w:rPr>
      </w:pPr>
    </w:p>
    <w:p>
      <w:pPr>
        <w:jc w:val="both"/>
        <w:ind w:left="660" w:right="20" w:hanging="247"/>
        <w:spacing w:after="0" w:line="26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PLS </w:t>
      </w:r>
      <w:r>
        <w:rPr>
          <w:rFonts w:ascii="Times New Roman" w:cs="Times New Roman" w:eastAsia="Times New Roman" w:hAnsi="Times New Roman"/>
          <w:sz w:val="18"/>
          <w:szCs w:val="18"/>
          <w:color w:val="auto"/>
        </w:rPr>
        <w:t>(2022), to bring design, analysis, and management of overhead electric power transmission lines and structures to our grid digital 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PLS substantially completes the reach of our comprehensive portfolio for the lifecycle integration of grid infrastructure across electrical transmission, substation, and distribution assets, and communications towers.</w:t>
      </w:r>
    </w:p>
    <w:p>
      <w:pPr>
        <w:spacing w:after="0" w:line="135"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relatively numerous and frequent programmatic acquisitions, which most often “fill white space” within our ecosystem, add their value principally by enhancing our platform comprehensiveness, and accordingly we consider this programmatic aspect of our growth as characteristically within our mainstream business performance (unlike platform acquisitions). Our average historical ARR growth rate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from programmatic acquisitions over the past three years has been less than 1% measured on a constant currency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Competition</w:t>
      </w:r>
    </w:p>
    <w:p>
      <w:pPr>
        <w:spacing w:after="0" w:line="14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The market for our software is highly competitive and subject to change. We compete against large, global, publicly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traded companies that have resources greater than our own, and against small, new, or geographically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focused firms that specialize in developing niche software offerings. While we do not believe that any competitor offers a portfolio as comprehensive as ours, we do face strong competition, varying by infrastructure lifecycle phase and sector:</w:t>
      </w:r>
    </w:p>
    <w:p>
      <w:pPr>
        <w:spacing w:after="0" w:line="157" w:lineRule="exact"/>
        <w:rPr>
          <w:sz w:val="20"/>
          <w:szCs w:val="20"/>
          <w:color w:val="auto"/>
        </w:rPr>
      </w:pPr>
    </w:p>
    <w:p>
      <w:pPr>
        <w:ind w:left="660" w:hanging="24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i w:val="1"/>
          <w:iCs w:val="1"/>
          <w:color w:val="auto"/>
        </w:rPr>
        <w:t>Public Works/Utilities</w:t>
      </w:r>
      <w:r>
        <w:rPr>
          <w:rFonts w:ascii="Times New Roman" w:cs="Times New Roman" w:eastAsia="Times New Roman" w:hAnsi="Times New Roman"/>
          <w:sz w:val="18"/>
          <w:szCs w:val="18"/>
          <w:color w:val="auto"/>
        </w:rPr>
        <w:t xml:space="preserve"> applications include Autodesk, Inc., Trimble Inc., and Hexagon AB;</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xml:space="preserve"> applications include Hexagon AB, the AVEVA unit of Schneider Electric, and Dassault Systèmes;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i w:val="1"/>
          <w:iCs w:val="1"/>
          <w:color w:val="auto"/>
        </w:rPr>
        <w:t>Industrial</w:t>
      </w:r>
      <w:r>
        <w:rPr>
          <w:rFonts w:ascii="Times New Roman" w:cs="Times New Roman" w:eastAsia="Times New Roman" w:hAnsi="Times New Roman"/>
          <w:sz w:val="18"/>
          <w:szCs w:val="18"/>
          <w:color w:val="auto"/>
        </w:rPr>
        <w:t xml:space="preserve"> applications include Hexagon AB, the AVEVA unit of Schneider Electric, and Dassault Systèmes;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i w:val="1"/>
          <w:iCs w:val="1"/>
          <w:color w:val="auto"/>
        </w:rPr>
        <w:t>Commercial/Facilities</w:t>
      </w:r>
      <w:r>
        <w:rPr>
          <w:rFonts w:ascii="Times New Roman" w:cs="Times New Roman" w:eastAsia="Times New Roman" w:hAnsi="Times New Roman"/>
          <w:sz w:val="18"/>
          <w:szCs w:val="18"/>
          <w:color w:val="auto"/>
        </w:rPr>
        <w:t xml:space="preserve"> applications include Autodesk, Inc., Nemetschek SE, and Trimble Inc.;</w:t>
      </w:r>
    </w:p>
    <w:p>
      <w:pPr>
        <w:spacing w:after="0" w:line="20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key competitors in project delivery systems include Autodesk, Inc. and Oracle Corporation; and</w:t>
      </w:r>
    </w:p>
    <w:p>
      <w:pPr>
        <w:spacing w:after="0" w:line="261" w:lineRule="exact"/>
        <w:rPr>
          <w:rFonts w:ascii="Times New Roman" w:cs="Times New Roman" w:eastAsia="Times New Roman" w:hAnsi="Times New Roman"/>
          <w:sz w:val="18"/>
          <w:szCs w:val="18"/>
          <w:color w:val="auto"/>
        </w:rPr>
      </w:pPr>
    </w:p>
    <w:p>
      <w:pPr>
        <w:ind w:left="260" w:hanging="203"/>
        <w:spacing w:after="0" w:line="217" w:lineRule="exact"/>
        <w:tabs>
          <w:tab w:leader="none" w:pos="24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Refer to the section titled “Key Business Metrics” included in Part II, Item 7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additional information, including our definition and our use of ARR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714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ind w:left="340" w:right="140" w:firstLine="73"/>
        <w:spacing w:after="0" w:line="461" w:lineRule="auto"/>
        <w:tabs>
          <w:tab w:leader="none" w:pos="6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key competitors in asset performance systems include Aspen Technology, Inc., the AVEVA unit of Schneider Electric, Esri, and GE Vernova. The principal competitive factors affecting our market include:</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performance, and effectiveness;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security;</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openness and the ability to integrate with other technologies;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commercial model, and total cost of use;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compete favorably against our competitors based on the factors above and that we distinguish ourselves through the comprehensiveness of our software portfolio, our commitment to both integration and interoperability across the entire infrastructure lifecycle, our flexible commercial models, and our direct sales channels.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Research and Development</w:t>
      </w:r>
    </w:p>
    <w:p>
      <w:pPr>
        <w:spacing w:after="0" w:line="189"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We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technological advances and new offerings with continuous enhancements to existing offerings. Our allocation of research and development resources is guided by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priorities, input from product managers, and feedback from various channels including users and user-facing teams.</w:t>
      </w:r>
    </w:p>
    <w:p>
      <w:pPr>
        <w:spacing w:after="0" w:line="105" w:lineRule="exact"/>
        <w:rPr>
          <w:sz w:val="20"/>
          <w:szCs w:val="20"/>
          <w:color w:val="auto"/>
        </w:rPr>
      </w:pPr>
    </w:p>
    <w:p>
      <w:pPr>
        <w:jc w:val="both"/>
        <w:ind w:right="20" w:firstLine="324"/>
        <w:spacing w:after="0" w:line="245" w:lineRule="exact"/>
        <w:rPr>
          <w:sz w:val="20"/>
          <w:szCs w:val="20"/>
          <w:color w:val="auto"/>
        </w:rPr>
      </w:pPr>
      <w:r>
        <w:rPr>
          <w:rFonts w:ascii="Times New Roman" w:cs="Times New Roman" w:eastAsia="Times New Roman" w:hAnsi="Times New Roman"/>
          <w:sz w:val="18"/>
          <w:szCs w:val="18"/>
          <w:color w:val="auto"/>
        </w:rPr>
        <w:t>As part of our resource allocation process, we also conduct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analysis of acquiring available technology in the marketplace versus developing our own solutions.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Intellectual Property</w:t>
      </w:r>
    </w:p>
    <w:p>
      <w:pPr>
        <w:spacing w:after="0" w:line="18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We believe that the success of our business depends more on the quality of our proprietary software, technology, processes, and domain expertise than on copyrights, patents, trademarks, and trade secrets. While we consider our intellectual property rights to be valuable, we do not believe that our competitive position depends primarily on obtaining legal protection for our software and technology. Instead, we believe that our competitive position depends primarily on our ability to maintain a leadership position by developing innovative proprietary software, technology, information, processes,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Nevertheless, we rely on a combination of copyrights, patents, trademarks, and trade secrets in the U.S. and other jurisdictions to secure our intellectual property, and we use contractual provisions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agreements to protect it. In addition, from time to time we enter into collaboration arrangements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136"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Our patents cover systems and methods relating to various aspects of software for infrastructure design and modeling, collaboration and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To innovate and increase our strategic position, our software developers are incentivized to alert our internal patent committee to innovations that might be patentable or of strategic value. We also plan to assess appropriate occasions for seeking patent and other intellectual property protections for aspects of our technology and solutions that we believe constitute innovations providing significant competitive advantages, both domestically and outside of the U.S.</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the foregoing, our intellectual property rights may not be successfully asserted in the future or may be invalidated, circumvented or challenged by third parties. Moreover, the laws and enforcement of the laws of various foreign countries where our products are licensed do not protect our intellectual property rights to the same extent as U.S. laws. Enforcement of intellectual property rights against alleged infringers could lead to costly litigation and counterclaims, and our inability or perceived inability to protect our proprietary information could harm our business. While we have recovered some revenue resulting from the unauthorized use of our software solutions, we are unable to measure the full extent to which unauthorized use of our software products exists.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Production and Suppliers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supplier of cloud services is Microsoft, with whom we have entered into a multi-year contract for a committed level of expenditures for Azure. We added Google Cloud as a cloud service provider in 2024 to expand our delivery capabilities and optimize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Social, and Governance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we continued to build upon our strong commitment to sustainability with an emphasis on goal setting aligned with leading standards and continually improving our reporting. In the fourth year of our formal Environmental, Social, and Governance (“ESG”) strategy, we continued our regular engagement with stakeholders to solicit feedback on our Impact Report. Our greatest opportunity for impact is through the products and services we provide that empower our users to achieve the United Nations’ Sustainable Development Goals. Our global colleagues are our greatest asset, and our impact is fueled by their passion and determination. We have a responsibility to support the success and wellbeing of our colleagues. We also have a passion for supporting the communities where we work and operate, through our Bentley Education and Bentley Giving programs. We are committed to helping prepare the next generation of infrastructure professionals to realize our vision of a better and more resilient future. Our impact strategy is rooted in our passion for advancing infrastructure challenges by enabling the building of a better world.</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four pillars of this strategy include:</w:t>
      </w:r>
    </w:p>
    <w:p>
      <w:pPr>
        <w:spacing w:after="0" w:line="196" w:lineRule="exact"/>
        <w:rPr>
          <w:sz w:val="20"/>
          <w:szCs w:val="20"/>
          <w:color w:val="auto"/>
        </w:rPr>
      </w:pPr>
    </w:p>
    <w:p>
      <w:pPr>
        <w:ind w:left="660" w:right="20" w:hanging="247"/>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Handprint</w:t>
      </w:r>
      <w:r>
        <w:rPr>
          <w:rFonts w:ascii="Times New Roman" w:cs="Times New Roman" w:eastAsia="Times New Roman" w:hAnsi="Times New Roman"/>
          <w:sz w:val="18"/>
          <w:szCs w:val="18"/>
          <w:color w:val="auto"/>
        </w:rPr>
        <w:t>. The ways in which we empower our users to design, build, and operate sustainable infrastructure and collaborate across enterprises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a better and more resilient future for all;</w:t>
      </w:r>
    </w:p>
    <w:p>
      <w:pPr>
        <w:spacing w:after="0" w:line="117"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The actions we are taking to minimize environmental impacts across the business by closely managing, monitoring, and improving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w:t>
      </w:r>
    </w:p>
    <w:p>
      <w:pPr>
        <w:spacing w:after="0" w:line="117"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 The programs and processes that foster an inclusive culture where our colleagues and communities can thrive and do the best work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careers, as well as the ways we are helping to grow the pipeline of infrastructure engineers through education, recruitment, and community engagement; and</w:t>
      </w:r>
    </w:p>
    <w:p>
      <w:pPr>
        <w:spacing w:after="0" w:line="146"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Our approach to effective governance is to ensure the highest level of accountability and compliance rigor.</w:t>
      </w:r>
    </w:p>
    <w:p>
      <w:pPr>
        <w:spacing w:after="0" w:line="18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We look forward to sharing updates for our full year 2024 performance in our next Impact Report, scheduled to be published in the second quarter of 2025. To learn more, visit our ESG website at www.bentley.com/company/esg-overview/. The information posted on this website is not incorporated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colleagues are a key success factor in driving our continued growth. Our talent strategy focuses on creating an enriching colleague experience through an inclusive and engaging culture in which colleagues can develop their career while making a positive impact by advancing the world’s infrastructure.</w:t>
      </w:r>
    </w:p>
    <w:p>
      <w:pPr>
        <w:spacing w:after="0" w:line="95"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As of December 31, 2024, we had approximately 5,500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colleagues globally, including approximately 2,200 in the Americas (the U.S., Canada, and Latin America, including the Caribbean); approximately 1,500 in Europe, the Middle East, and Africa (“EMEA”); and approximately 1,800 in Asia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Pacific (“APAC”). None of our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U.S. colleagues are unionized. Outside the U.S., a small overall portion of our colleagues in certain countries are represented by a colleague representative organization, such as a union or colleague association. Our colleagues bring nearly 70 languages to fulfill the needs of our globally dispersed accounts and users. Our colleagues are highly qualified with an average of six years of total service and advanced academic credentials, including 150 doctoral degrees and over 1,400 master’s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degrees.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Colleague Experience</w:t>
      </w:r>
    </w:p>
    <w:p>
      <w:pPr>
        <w:spacing w:after="0" w:line="159"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We take a colleague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centric approach in all that we do. We achieve a strong sense of belonging through focused efforts to build trust and enhance personal and organizational experiences. We encourage meaningful and continuous feedback through annual performance reviews, quarterly alignment sessions, and engagement surveys, helping encourage colleagues to feel engaged and ensuring they have the resources they need to perform the best and most rewarding work of their career.</w:t>
      </w:r>
    </w:p>
    <w:p>
      <w:pPr>
        <w:spacing w:after="0" w:line="15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A key differentiator in creating a positive experience for our colleagues is our Infrastructure Empowered Workforce Plan (“IEWP”). IEWP is a global strategy that empowers colleagues to take advantage of our physical offices for necessary in-person collaboration, while institutionalizing the flexibility to work remotely otherwise, fully enabled by technology. IEWP allows our colleagues to make the best of remote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office work to perform at a higher level and enhances team and business productivity.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Company’s purpose, mission, and values, as well as our culture, including an intentional commitment to flexible work through IEWP, are drivers for attracting and retaining colleagues. Our talent acquisition strategy leverages best practices to attract, engage, and hire top talent. We enjoy high levels of colleague referrals to supplement our corporate hiring practices, and nurture relationships with universities around the world to hire talented graduates into rotational assignments, all of which provides a strong talent pipeline.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Development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enhanced capacity to collaborate virtually, colleagues can grow their careers no matter where they are located. We empower colleagues with learning and development resources to support their continuous growth as individual contributors, team managers, or organization leaders. We offer live classroom learning, curated learning pathways, and open access to a powerful learning platform. We also focus on developing the personal and professional skills of our leaders. Our Leadership Excellence and Development (LEAD) program provides leaders with the necessary toolkit to effectively guide their teams while developing Bentley core competencies and a “One Bentley” mindset.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Belonging and Inclusion</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global company with colleagues of different cultures, backgrounds, and perspectives based in more than 45 countries worldwide and speaking nearly 70 languages. We strive to build a culture where all colleagues feel a sense of belonging so that they can fully realize their potential and produce their best work.</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executive management are key partners in providing access to resources and our leadership team by acting as executive sponsors for our colleague resource groups. Our Inclusion, Diversity, and Equity Alliance (“IDEA”) program includes colleague-led resource groups that empower their members to join peers from across the business and the globe to foster belonging and inclusion. The six resource groups – IDEA India, OpenAbilities, OpenPride, People of Color in the U.S., Veterans and Military Families at Bentley, and Women at Bentley – provide a safe space for colleagues to engage in open conversation, propose positive changes, and build a sense of community.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Information</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Bentley Systems, Incorporated was incorporated in Delaware in 1987 and is headquartered in Exton, Pennsylvania.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Access to Reports</w:t>
      </w:r>
    </w:p>
    <w:p>
      <w:pPr>
        <w:spacing w:after="0" w:line="14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Our internet address is www.bentley.com. The information posted on our website is not incorporated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reports filed or furnished pursuant to Sections 13(a) and 15(d) of the Securities Exchange Act of 1934, as amended, are available free of charge on the SEC’s website at www.sec.gov and on the Investor Relations portion of our website at www.bentley.com (or investors.bentley.com) as soon as reasonably practicable after we electronically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factors that make an investment in the Company and its securities speculative or risky. The risks described herein are not the only risks we may face. Additional risks and uncertainties not currently known to us or that we currently deem to be immaterial may also materially adversely affect our business, financial condition, or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sales are based significantly on accounts’ demand for software solutions in the following infrastructure sectors: (i) public works/utilities;</w:t>
      </w:r>
    </w:p>
    <w:p>
      <w:pPr>
        <w:spacing w:after="0" w:line="27" w:lineRule="exact"/>
        <w:rPr>
          <w:sz w:val="20"/>
          <w:szCs w:val="20"/>
          <w:color w:val="auto"/>
        </w:rPr>
      </w:pPr>
    </w:p>
    <w:p>
      <w:pPr>
        <w:jc w:val="both"/>
        <w:ind w:firstLine="8"/>
        <w:spacing w:after="0" w:line="251" w:lineRule="auto"/>
        <w:tabs>
          <w:tab w:leader="none" w:pos="2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(iii) industrial; and (iv)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revenues and an increasing percentage of our operations are attributable to operations outside the U.S., and our results of operations therefore may be materially affected by the legal, regulatory, social, political, economic, and other risks of foreign operations.</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Approximately 58% of our total revenues were from outside the U.S. for the years ended December 31, 2024, 2023, and 2022. We anticipate that revenues from accounts outside the U.S. will continue to comprise a majority of our total revenues for the foreseeable future.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U.S. are subject to legal, regulatory, social, political, economic, and other risks inherent in international business operations, including, without limitation, local product preference and product requirements, trade protection measures, sanctions, quotas, embargoes, import and export licensing requirements, duties, tariffs or surcharges and more stringent regulations relating to privacy and data security and access to, or use of, commercial and personal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Decreased investment by APAC, including China, may have a negative effect on our business.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18% of our total revenues for the years ended December 31, 2024, 2023, and 2022 relate to infrastructure projects in APAC, including China. We cannot assure you that spending in these countries on infrastructure projects will continue at historical levels or increase in the future, or that demand for our software solutions in APAC in general will not be negatively affected by reductions in spending or other limitations.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solutions in 189 countries, primarily through a direct sales force located throughout the world. Approximately 58% of our total revenues were from outside the U.S. for the years ended December 31, 2024, 2023, and 2022. As we continue to expand our presence in international regions, the portion of our revenues, expenses, cash, accounts receivable, and payment obligations denominated in foreign currencies continues to increase. Further, we anticipate that revenues from accounts outside of the U.S. will continue to comprise the majority of our total revenues for the foreseeable future.</w:t>
      </w:r>
    </w:p>
    <w:p>
      <w:pPr>
        <w:spacing w:after="0" w:line="13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of our international activities, we have revenues, expenses, cash, accounts receivable and payment obligations denominated in foreign currencies. For the years ended December 31, 2024, 2023, and 2022, 34%, 35%, and 36%,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condition,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Canadian dollar, Australian dollar, Chinese yuan renminbi, and New Zealand dollar. For example, the Chinese yuan renminbi has fluctuated against the U.S. dollar, at times significantly and unpredictably, due to changes in foreign exchange for a wide variety of reasons, including actions instituted by China. Because of changes in trade between the U.S. and China, and renminbi internationalization, China may in the future announce further changes to the exchange rate system, and we cannot assure you that the renminbi will not appreciate or depreciate significantly in value against the U.S. dollar in the future.</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9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may not be able to increase the number of new subscription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accounts or cause existing accounts to renew their subscriptions, which could have a negative impact on our future revenues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-223520</wp:posOffset>
            </wp:positionV>
            <wp:extent cx="6413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We may not be able to increase demand for our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do not renew their subscriptions or if they renew on less favorable terms, our revenues may decline, which could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among our accounts and other enterprises in the markets in which we operate may result in a loss of business.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we are able to consummate acquisitions that we believe will be successful, these transactions present many risks including, among others, failing to achieve anticipated synergies and revenue increases, difficulty incorporating and integrating the acquired technologies or software solutions with our offerings and existing applications, difficulties managing an acquired company’s technologies or lines of business or entering new markets where we have limited prior experience or where competitors may have stronger market positions, the loss of key colleagues, accounts, and channel partners of ours or of the acquired company, and the requirement to test and assimilate the internal control processes of the acquired business in accordance with the requirements of Section 404 of the Sarbanes-Oxley Act of 2002.</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132"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prospects may be harmed if we are unable to cross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sell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-43815</wp:posOffset>
            </wp:positionV>
            <wp:extent cx="6413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A significant component of our growth strategy is to increase the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 these solutions to accounts using our existing solutions. Any failure to sell additional solutions to current and future accounts could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costs and restrictions associated with the repatriation of cash from our non-U.S. operations.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approximately 96% and 95% of those balances held outside of the U.S. as of December 31, 2024 and 2023, respectively.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revenues are from sales by our channel partners and we could be subject to loss or liability based on their actions.</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through our global network of independent regional channel partners accounted for 7%, 8%, and 8% of our total revenues for the years ended December 31, 2024, 2023, and 2022, respectively. These channel partners sell our software solutions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incorporate artificial intelligence and machine learning (collectively “AI” herein this item) into our software solutions and offerings, and challenges with properly managing its use could result in reputational harm, or liability, and adversely affect our operations.</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global software and service provider, we are increasingly building AI into many of our software solutions and offerings. We expect to rely on the responsible use of AI technologies to help drive future growth in our business but there can be no assurance that we will realize the anticipated growth or benefits from AI. As with many innovations, there may be slow adoption, regulatory challenges, or we may fail to appropriately implement and market our AI solutions.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AI is becoming an increasingly regulated space with a number of jurisdictions having proposed or enacted laws concerning AI. Against this regulatory backdrop, our offerings based on AI may expose us to additional lawsuits and regulatory investigations and subject us to legal liability as well as brand and reputational harm. Further, research and development associated with our AI offerings may be impacted by the increasingly complex regulatory landscape by increasing the burdens and costs associated with research and development.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(“IT”) Systems and Intellectual Property</w:t>
      </w:r>
    </w:p>
    <w:p>
      <w:pPr>
        <w:spacing w:after="0" w:line="14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Interruptions in the availability of server systems or communications with Internet,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hosting facilities or cloud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services, or failure to maintain the security, confidentiality, accessibility, or integrity of data stored on such systems, could harm our business or impair the delivery of our managed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-360680</wp:posOffset>
            </wp:positionV>
            <wp:extent cx="6413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-360680</wp:posOffset>
            </wp:positionV>
            <wp:extent cx="6413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A significant portion of our software development personnel, source code, and computer equipment is located at operating facilities outside the U.S. We also depend on data maintained on servers running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enterprise resource planning, account relationship management, and other business operations systems. We further rely upon a variety of Internet service providers,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132"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cloud data hosts, cloud computing platform providers,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-360680</wp:posOffset>
            </wp:positionV>
            <wp:extent cx="6413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-360680</wp:posOffset>
            </wp:positionV>
            <wp:extent cx="6413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As we digitize and use cloud and web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3"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The risk of a security breach or disruption, particularly through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our IT systems or those of our accounts and/or critical vendors. It is virtually impossible for us to entirely eliminate this risk. Like all software, our software is vulnerable to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The impact of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proprietary technology and our brand.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13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Increasingly regulatory focus on privacy, data protection, cross-border data flows, and information security issues, and new and expanding laws may apply to our business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such rules may limit the use and adoption of our services, adversely affect our business, or expose us to increased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-224155</wp:posOffset>
            </wp:positionV>
            <wp:extent cx="6413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statement provided to each account. We may also share accounts’ personal data with certain third parties as described in the privacy statement provided to each account. Further, we collect and otherwise process personal data of our global employees and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Governments, regulators, privacy advocates, plaintiffs’ attorneys, and our users and accounts are increasingly focused on how companies collect, process, use, store, share, and transmit personal data. Regulation relating to the provision of our solutions and applications, is evolving, as federal, state, and foreign governments continue to adopt new, or modify existing, laws and regulations addressing privacy, data protection, data sovereignty, information security and the collection, processing, storage, sharing, transmission, and use of data generally. This evolving regulatory landscape may be subject to differing interpretations, jurisdiction specific inconsistencies, or may conflict with other rules. We expect the regulatory landscape to remain uncertain for the foreseeable future. Further, our expectation is that there will continue to be new laws, regulations, and industry standards applicable to our collection, processing, storage, sharing, transmission, and use of data generally.</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Globally, laws such as the General Data Protection Regulation (the “GDPR”) in the European Union (the “E.U.”) and the Personal Information Protection Law (the “PIPL”) in China have been enacted, and numerous other countries have proposed or have enacted laws concerning privacy, data protection, data sovereignty, and information security; these laws impose obligations directly on us as both a data controller and a data processor, as well as on many of our users. In addition, new and emerging state laws in the U.S.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w:t>
      </w:r>
    </w:p>
    <w:p>
      <w:pPr>
        <w:spacing w:after="0" w:line="1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monitor the regulatory environment and have invested in addressing these developments, operating in an increasingly complex regulatory landscape may impact our innovation and business drivers in developing new and emerging technologies (e.g., AI). Globally, these and other requirements are causing increased scrutiny amongst users, particularly in the public sector and highly regulated industries, which could restrict the use and adoption of our solutions and applications (in particular cloud services). Further, these developments may require us to take on more onerous obligations in our contracts, restrict our ability to store, transfer and process data or, in some cases, impact our ability or our users’ ability to offer our services in certain locations, to deploy our solutions, or to derive insights from user data globally.</w:t>
      </w:r>
    </w:p>
    <w:p>
      <w:pPr>
        <w:spacing w:after="0" w:line="106"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Around the world, there is continued uncertainty in relation to the legal mechanisms supporting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data flows which are subject to evolving guidance, active litigation, and enforcement proceedings in a number of jurisdictions. A number of countries including China, Australia, New Zealand, Brazil, and Japan have established specific requirements for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data transfers. Further, a number of countries and states have adopted or are considering adopting data localization policies which would further restrict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data transfers and may require data to be localized in the country of origin (potentially at a state level) which could substantially impact our operations.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failure to comply with applicable laws and regulations, or to protect data, could result in enforcement action against us, including fines and public censure, claims for damages by users, accounts, and other affected individuals, damage to our reputation and loss of goodwill (both in relation to existing accounts and prospective accounts), any of which could harm our business, financial condition, and results of operations.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Around the world, there are numerous lawsuits in process against various technology companies that process personal data. If those lawsuits are successful, it could increase the likelihood that we may be exposed to liability for our own policies and practices concerning the processing of personal data and could hurt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121"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Furthermore, concerns regarding privacy, data protection, cross-border data flows, and information security may cause our accounts’ customers to resist providing the data necessary to allow our accounts to use our services effectively. Even the perception that the privacy of data is not satisfactorily protected or does not meet regulatory requirements could inhibit sales of our software solutions or services, and could limit adoption of our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solutions.</w:t>
      </w:r>
    </w:p>
    <w:p>
      <w:pPr>
        <w:spacing w:after="0" w:line="119"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license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technologies for the development of certain of our software solutions, and, in some instances, we incorporate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technologies, including open source software, into our software solutions. If we fail to maintain these licenses or are unable to secure alternative licenses on reasonable terms, our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-360680</wp:posOffset>
            </wp:positionV>
            <wp:extent cx="6413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-360680</wp:posOffset>
            </wp:positionV>
            <wp:extent cx="6413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1"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We license third-party technologies to develop certain of our products, and, in some cases, we incorporate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technologies into our own software solutions, including technologies owned by our competitors. If we were to seek to expand the scope of this activity in the future, we could be required to obtain additional licenses and enter into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arrangements with third parties on whose technology we could become substantially dependent.</w:t>
      </w:r>
    </w:p>
    <w:p>
      <w:pPr>
        <w:spacing w:after="0" w:line="118"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auto"/>
        </w:rPr>
        <w:t>If we are unable to use or license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 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U.S., particularly from China. The imposition of additional tariffs by the U.S. could result in the adoption of tariffs by other countries, leading to a global trade war. In addition, certain of these risks may be heightened as a result of changing political climates. For example, the U.S.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07"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(“FCPA”) and similar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bribery and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corruption laws associated with our activities outside the U.S. could subject us to penalties and other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-223520</wp:posOffset>
            </wp:positionV>
            <wp:extent cx="6413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-223520</wp:posOffset>
            </wp:positionV>
            <wp:extent cx="6413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from jurisdictions outside of the U.S.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sanctions compliance, and export and import controls that could impair our ability to compete in international markets or subject us to liability if we violate the controls.</w:t>
      </w:r>
    </w:p>
    <w:p>
      <w:pPr>
        <w:spacing w:after="0" w:line="132"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disclosures, or other measures.</w:t>
      </w:r>
    </w:p>
    <w:p>
      <w:pPr>
        <w:spacing w:after="0" w:line="89"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Further, if our channel partners fail to obtain appropriate import, export,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export licenses or permits, we may also be adversely affected, for example, through reputational harm, as well as other negative consequences including government investigations and penalties. Complying with export control and sanctions regulations for a particular sale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may result in the delay or loss of sales opportunities.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product or professional liability claims that could cause us to be liable for damages.</w:t>
      </w:r>
    </w:p>
    <w:p>
      <w:pPr>
        <w:spacing w:after="0" w:line="18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as amended, contains restrictive covenants that may limit our operating flexibility, and certain changes in ownership of equity interests in us by the Bentley Family (Barry J. Bentley, Gregory S. Bentley, Keith A. Bentley, Raymond B. Bentley, and Richard P. Bentley, collectively (the “Bentleys”), certain other family members and trusts and other entities controlled by or primarily for the benefit of the Bentleys and their families) constitutes an event of default.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second amended and restated credit agreement, entered into on October 18, 2024 with a syndicate of banks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repurchase our common stock and outstanding indebtedness,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senior secured leverage ratio to exceed 3.00 to 1.00 and a covenant requiring the fixed charge coverage ratio for any period of four consecutive fiscal quarters to not be less than 3.00 to 1.00, and financial reporting requirements. Borrowings under the Credit Facility are secured by a first priority security interest in substantially all of our U.S. assets and 65% of the stock of our and certain of our subsidiaries’ foreign subsidiaries.</w:t>
      </w:r>
    </w:p>
    <w:p>
      <w:pPr>
        <w:spacing w:after="0" w:line="14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Further, if the Bentley Family ceases to collectively own equity interests in us representing at least 20%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there is no guarantee that we will be able to generate sufficient cash flows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debt, which could exacerbate the risks described above.</w:t>
      </w:r>
    </w:p>
    <w:p>
      <w:pPr>
        <w:spacing w:after="0" w:line="189"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Refer to the section titled “Liquidity and Capital Resources” included in Part II, Item 7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flows from our business to pay our substantial debt.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flows from operations in the future sufficient to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future indebtedness we may incur may contain financial and other restrictive covenants that limit our ability to operate our business, raise capital, or make payments under our other indebtedness. If we fail to comply with these covenants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make payments under our indebtedness when due, then we would be in default under that indebtedness, which could, in turn, result in that and our other indebtedness becoming immediately payable in full.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B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issued convertible notes that have rights senior to our Class B common stock.</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2021, we issued $690 million aggregate principal amount of convertible senior notes due 2026 (the “2026 Notes”), which will mature on January 15, 2026, unless earlier redeemed or repurchased by us or converted by the holder pursuant to their terms. In June 2021, we issued $575 million aggregate principal amount of convertible senior notes due 2027 (the “2027 Notes”), which will mature on July 1, 2027, unless earlier redeemed or repurchased by us or converted by the holder pursuant to their terms. The 2026 Notes and 2027 Notes rank senior in right of payment to our Class B common stock and any of our indebtedness that is expressly subordinated in right of payment to the 2026 Notes and 2027 Notes; equal in right of payment to any of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 In the event of our bankruptcy, liquidation, reorganization, or other winding up, our assets that secure debt ranking senior or equal in right of payment to the 2026 Notes and 2027 Notes will be available to pay obligations on the 2026 Notes and 2027 Notes only after the secured debt has been repaid in full from these assets, and our assets will be available to pay common stockholders only after all debt obligations have been repaid. There may not be sufficient assets remaining to pay amounts due on any or all of the 2026 Notes and 2027 Notes then outstanding or any or all shares of our Class B common stock then outstanding.</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2026 Notes and 2027 Notes, could have a material effect on our reported financial condition and results.</w:t>
      </w:r>
    </w:p>
    <w:p>
      <w:pPr>
        <w:spacing w:after="0" w:line="1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method for reflecting the 2026 Notes and 2027 Notes on our consolidated balance sheets and reflecting the underlying shares of our Class B common stock in our reported diluted earnings per share may adversely affect our reported earnings and financial condition.</w:t>
      </w:r>
    </w:p>
    <w:p>
      <w:pPr>
        <w:spacing w:after="0" w:line="80"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Under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diluted earnings per share will be calculated assuming that all the 2026 Notes and 2027 Notes are converted solely into shares of Class B common stock at the beginning of the reporting period, unless the result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The application of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will reduce our reported diluted earnings per share.</w:t>
      </w:r>
    </w:p>
    <w:p>
      <w:pPr>
        <w:spacing w:after="0" w:line="171"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Furthermore, if any of the conditions to the convertibility of the 2026 Notes and/or the 2027 Notes is satisfied, then we may be required under applicable accounting standards to reclassify the liability carrying value of the 2026 Notes and/or the 2027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This reclassification could be required even if no noteholders convert their notes and could materially reduce our reported working capital.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and 2027 Notes may adversely affect our financial condition and operating results.</w:t>
      </w:r>
    </w:p>
    <w:p>
      <w:pPr>
        <w:spacing w:after="0" w:line="189"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In the event the conditional conversion feature of the 2026 Notes and/or the 2027 Notes is triggered, holders of the 2026 Notes and/or the 2027 Notes will be entitled to convert the 2026 Notes and/or the 2027 Notes at any time during specified periods at their option. If one or more holders elect to convert their 2026 Notes and/or their 2027 Notes, unless we elect to satisfy our conversion obligation by delivering solely shares of our Class B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2026 Notes and/or their 2027 Notes, we could be required under applicable accounting rules to reclassify all or a portion of the outstanding principal of the 2026 Notes and/or the 2027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which would result in a material reduction of our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2026 Notes and/or the 2027 Notes will dilute the ownership interest of existing stockholders, including holders who had previously converted their 2026 Notes and/or their 2027 Notes, or may otherwise depress the price of our Class B common stock.</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conversion of some or all of the 2026 Notes and/or the 2027 Notes will dilute the ownership interests of existing stockholders to the extent we deliver shares upon conversion of any of the 2026 Notes and/or the 2027 Notes. Any sales in the public market of the Class B common stock issuable upon such conversion could adversely affect prevailing market prices of our Class B common stock. In addition, the existence of the 2026 Notes and 2027 Notes may encourage short selling by market participants because the conversion of the 2026 Notes and/or the 2027 Notes could be used to satisfy short positions, or anticipated conversion of the 2026 Notes and/or the 2027 Notes into shares of our Class B common stock could depress the price of our Class B common stock. As of December 31, 2024, without giving effect to any potential adjustments to the conversion rate set forth in the indenture or any limits on conversion, and assuming our Class B common stock is trading at or above $64.13 per share for the 2026 Notes and $83.23 per share for the 2027 Notes, 10,725,557 and 6,908,567 shares of our Class B common stock would be issuable upon a full conversion of the 2026 Notes and 2027 Notes,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entered into when we issued the 2026 Notes and 2027 Notes may affect the value of our common stock.</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2026 Notes and 2027 Notes, we entered into capped call transactions with the respective option counterparties. The capped call transactions are expected generally to reduce the potential dilution upon conversion of the 2026 Notes and 2027 Notes, and/or offset any cash payments we are required to make in excess of the principal amount of converted 2026 Notes and 2027 Notes with such reduction and/or offset subject to a cap. In connection with establishing their initial hedges of the capped call transactions, the option counterparties or their respective affiliates entered into various derivative transactions with respect to our Class B common stock concurrently with or shortly after the pricing of the 2026 Notes and 2027 Notes. The option counterparties or their respective affiliates may modify their hedge positions by entering into or unwinding derivatives with respect to our Class B common stock and/or purchasing or selling our Class B common stock or other securities of ours in secondary market transactions prior to the maturity of the 2026 Notes and 2027 Notes (and are likely to do so during any observation period related to a conversion of 2026 Notes and 2027 Notes). This activity could cause or avoid an increase or a decrease in the market price of our Class B common stock.</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Bentley Control Group (the Bentleys and certain of their family members, trusts or other permitted transferees, as well as all other holders of our Class A common stock in respect of such shares of Class A common stock, who collectively are acting as a group).</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Class A common stock has 29 votes per share, and our Class B common stock, which is the class of common stock that is issuable upon conversion of the 2026 Notes and 2027 Notes, and is the only class that is publicly traded and listed, has one vote per share. The beneficial owners of our Class A common stock together hold approximately 53.5% of the voting power of our outstanding common stock as of December 31, 2024. Moreover, as a result of the 29 to one voting ratio between our Class A and Class B common stock, the Bentley Control Group controls and will continue to control a majority of the combined voting power of our common stock and therefore is able to control all matters submitted to our stockholders for approval, subject to the occurrence of certain events that would reduce the voting power of our Class A common stock or cause the conversion thereof. This concentrated control will limit or preclude stockholders’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those of other stockholders and may vote in a way with which other stockholders disagree and which may be adverse to such other stockholders’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a “controlled company” for the purposes of Nasdaq Listing Rules, which provides us with exemptions from certain of the corporate governance standards imposed by the rules of The Nasdaq Global Select Market. These provisions further allow the Bentley Control Group to exercise significant control over our corporate decisions and limit the ability of the public stockholders to influence our decision making.</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11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Delaware General Corporation Law, our amended and restated certificate of incorporation or amended and restated bylaws,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may negatively impact our business, financial condition, and results of operations.</w:t>
      </w:r>
    </w:p>
    <w:p>
      <w:pPr>
        <w:spacing w:after="0" w:line="18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operations and performance depend significantly on foreign and domestic economic and political conditions. Uncertainty regarding economic and political conditions may negatively impact us as accounts defer spending or postpone infrastructure projects in response to tighter credit, higher unemployment, higher interest rates, higher inflation, financial market volatility, government austerity programs, negative financial news,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business, financial condition, results of operations, and cash flows.</w:t>
      </w:r>
    </w:p>
    <w:p>
      <w:pPr>
        <w:spacing w:after="0" w:line="16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trade relations between the U.S. and China, as well as terrorist attacks, cyber events, armed conflicts (or the threat or escalation thereof), bank failures, civil unrest, espionage, natural disasters, epidemics, and pandemics in any of the countries in which we do business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or taxation rules or practices may adversely affect our results of operations.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then we could be required to record a significant charge to earnings.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U.S. generally accepted accounting principles (“GAAP”) requires us to test for goodwill impairment at least annually. In addition, we assess our goodwill and amortizable intangible assets for impairment if events occur or circumstances change that would more likely than not reduce its fair value below its carrying value, including declines in stock price, market capitalization, or cash flows, and slower growth rates in our industry. Depending on the results of our assessment, we could be required to record a significant impairment charge in our consolidated financial statements during the period in which any impairment of our goodwill or amortizable intangible assets was determined, negatively impacting our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a comprehensive process for: (i) identifying the assets, threats, and vulnerabilities that affect our information systems and networks;</w:t>
      </w:r>
    </w:p>
    <w:p>
      <w:pPr>
        <w:spacing w:after="0" w:line="27" w:lineRule="exact"/>
        <w:rPr>
          <w:sz w:val="20"/>
          <w:szCs w:val="20"/>
          <w:color w:val="auto"/>
        </w:rPr>
      </w:pPr>
    </w:p>
    <w:p>
      <w:pPr>
        <w:jc w:val="both"/>
        <w:ind w:firstLine="8"/>
        <w:spacing w:after="0" w:line="255" w:lineRule="auto"/>
        <w:tabs>
          <w:tab w:leader="none" w:pos="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likelihood and impact of potential cyberattacks on our assets, operations, and objectives; (iii) evaluating the existing cybersecurity controls and measures that we have in place to prevent, detect, and respond to cyberattacks; and (iv) implementing and monitoring the appropriate cybersecurity solutions and practices that reduce our cyber risk exposure and enhance our cyber resilience.</w:t>
      </w:r>
    </w:p>
    <w:p>
      <w:pPr>
        <w:spacing w:after="0" w:line="1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doing so, our Information Security Team, which is comprised of dedicated privacy and security professionals and run by our Chief Information Security Officer (“CISO”), stays abreast of security industry and threat trends and regularly seeks to improve our cybersecurity risk management program. Our executive leadership team, with input and guidance from our CISO, is responsible for our overall enterprise risk management system and processes, and regularly considers cybersecurity risks in the context of other material risks to the Company. Our CISO, who has over 15 years’ experience in cybersecurity and 30 years’ experience in software engineering, design, and development, has been with the Company for more than ten years and has helped grow the Company’s Information Security Team into its current mature form.</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our overall cybersecurity strategy, as and when we detect cybersecurity threats, our Information Security Team documents the relevant incident details, assesses the impact and severity of it, identifies the root cause and corrective actions, and communicates the incident to our CISO and any other relevant parties as needed. We also seek to address cybersecurity risks associated with our third-party vendors by making our Information Security Team a key part of relevant vendor onboarding, whereby we conduct comprehensive risk assessments of such vendors’ cybersecurity policies and practices. When necessary, we utilize third party auditors and consultants to assess third-party cybersecurity risks, and we consult with outside counsel as appropriate, including on materiality analysis and disclosure matters. Our senior management makes the final materiality determinations and disclosure and other compliance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full Board of Directors has oversight responsibility for risks and incidents relating to cybersecurity threats, including compliance with disclosure requirements, and, in conjunction with the Audit Committee, the related effects, if any, on financial reporting and internal controls. Our Chief Information Security Officer, Chief Technology Officer, and Chief Legal Officer regularly update the Board of Directors on the Company’s cybersecurity risk profile and incidents, if any, and our overall cybersecurity strategy and process improvements, including the results of “tabletop” exercises, as well as the Company’s insurance coverages and related matters.</w:t>
      </w:r>
    </w:p>
    <w:p>
      <w:pPr>
        <w:spacing w:after="0" w:line="156"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but we cannot provide assurance that they will not be materially affected in the future by such risks or any future material incidents. For more information on our cybersecurity related risks, refer to Item 1A. Risk Factors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Our corporate headquarters are located in Exton, Pennsylvania and consist of approximately 91,000 square feet of office space, of which we own approximately 76,000 square feet. We lease the remaining approximate 15,000 square feet of headquarters space, which expires in 2025. Our headquarters accommodates our principal software engineering, sales, marketing professional services, and administrative activities. In addition to our headquarters, we own one other location in India, which is used for office space, that consists of approximately 31,000 square feet. We lease facilities in an additional 108 locations in the U.S. and internationally through our foreign subsidiaries. See Note 8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more information about our lease commitments.</w:t>
      </w:r>
    </w:p>
    <w:p>
      <w:pPr>
        <w:spacing w:after="0" w:line="1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in the future to accommodate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9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 for Common Stock</w:t>
      </w: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Our Class B common stock is traded on the Nasdaq Stock Market LLC under the symbol BSY. There is no established public trading market for our Class A common stock. See Note 13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more information about the terms of our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2025, there were 15 holders of record of our Class A common stock and 2,195 holders of record of our Class B common stock. Because many of our shares of Class B common stock are held by brokers or other institutions on behalf of stockholders, we are unable to estimate the total number of Class B stockholders represented by the record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$0.06 per share of common stock during the year ended December 31, 2024, $0.05 per share of common stock during the year ended December 31, 2023, and $0.03 per share of common stock during the year ended December 31, 2022.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43"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48" w:lineRule="exact"/>
        <w:rPr>
          <w:sz w:val="20"/>
          <w:szCs w:val="20"/>
          <w:color w:val="auto"/>
        </w:rPr>
      </w:pPr>
    </w:p>
    <w:p>
      <w:pPr>
        <w:jc w:val="center"/>
        <w:ind w:right="6060"/>
        <w:spacing w:after="0" w:line="207" w:lineRule="exact"/>
        <w:rPr>
          <w:sz w:val="20"/>
          <w:szCs w:val="20"/>
          <w:color w:val="auto"/>
        </w:rPr>
      </w:pPr>
      <w:r>
        <w:rPr>
          <w:rFonts w:ascii="Times New Roman" w:cs="Times New Roman" w:eastAsia="Times New Roman" w:hAnsi="Times New Roman"/>
          <w:sz w:val="18"/>
          <w:szCs w:val="18"/>
          <w:color w:val="auto"/>
        </w:rPr>
        <w:t>Refer to Part III, Item 12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October 1, 2024 to December 31, 2024, we issued 52,568 shares of our Class B common stock in connection with distributions from our amended and restated Bentley Systems, Incorporated Nonqualified Deferred Compensation Plan (the “DCP”).</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our Class B common stock we repurchased during the three months ended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26"/>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Announced Plan </w:t>
            </w:r>
            <w:r>
              <w:rPr>
                <w:rFonts w:ascii="Times New Roman" w:cs="Times New Roman" w:eastAsia="Times New Roman" w:hAnsi="Times New Roman"/>
                <w:sz w:val="18"/>
                <w:szCs w:val="18"/>
                <w:b w:val="1"/>
                <w:bCs w:val="1"/>
                <w:color w:val="auto"/>
                <w:w w:val="99"/>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 xml:space="preserve">Under the Plan </w:t>
            </w:r>
            <w:r>
              <w:rPr>
                <w:rFonts w:ascii="Times New Roman" w:cs="Times New Roman" w:eastAsia="Times New Roman" w:hAnsi="Times New Roman"/>
                <w:sz w:val="18"/>
                <w:szCs w:val="18"/>
                <w:b w:val="1"/>
                <w:bCs w:val="1"/>
                <w:color w:val="auto"/>
                <w:w w:val="99"/>
                <w:vertAlign w:val="superscript"/>
              </w:rPr>
              <w:t>(2)</w:t>
            </w:r>
          </w:p>
        </w:tc>
      </w:tr>
      <w:tr>
        <w:trPr>
          <w:trHeight w:val="210"/>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to October 31, 2024</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191,738,298</w:t>
            </w:r>
          </w:p>
        </w:tc>
      </w:tr>
      <w:tr>
        <w:trPr>
          <w:trHeight w:val="21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November 1, 2024 to November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173,154,860</w:t>
            </w:r>
          </w:p>
        </w:tc>
      </w:tr>
      <w:tr>
        <w:trPr>
          <w:trHeight w:val="21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2024 to December 31, 2024</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173,154,860</w:t>
            </w:r>
          </w:p>
        </w:tc>
      </w:tr>
      <w:tr>
        <w:trPr>
          <w:trHeight w:val="207"/>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379,996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20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379,996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
        </w:trPr>
        <w:tc>
          <w:tcPr>
            <w:tcW w:w="3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99" w:lineRule="exact"/>
        <w:rPr>
          <w:sz w:val="20"/>
          <w:szCs w:val="20"/>
          <w:color w:val="auto"/>
        </w:rPr>
      </w:pPr>
    </w:p>
    <w:p>
      <w:pPr>
        <w:ind w:left="340" w:hanging="332"/>
        <w:spacing w:after="0" w:line="184" w:lineRule="exact"/>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purchased in open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transactions under the repurchase program approved by our Board of Directors.</w:t>
      </w:r>
    </w:p>
    <w:p>
      <w:pPr>
        <w:spacing w:after="0" w:line="149"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publicly announced and approved by our Board of Directors in March 2024 that authorizes the repurchase of up to $200 million of our Class B common stock and/or outstanding convertible senior notes through June 30,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4" w:name="page35"/>
    <w:bookmarkEnd w:id="3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jc w:val="both"/>
        <w:ind w:firstLine="324"/>
        <w:spacing w:after="0" w:line="2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discussion should be read in conjunction with our audited consolidated financial statements and notes thereto included in Part II, Item 8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In addition to historical information,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 Item 1A. Risk Factors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K. Refer to Item 7. Management’s Discussion and Analysis of Financial Condition and Results of Operations in our </w:t>
      </w:r>
      <w:hyperlink r:id="rId63">
        <w:r>
          <w:rPr>
            <w:rFonts w:ascii="Times New Roman" w:cs="Times New Roman" w:eastAsia="Times New Roman" w:hAnsi="Times New Roman"/>
            <w:sz w:val="18"/>
            <w:szCs w:val="18"/>
            <w:i w:val="1"/>
            <w:iCs w:val="1"/>
            <w:u w:val="single" w:color="auto"/>
            <w:color w:val="0000FF"/>
          </w:rPr>
          <w:t>2023 Annual Report on Form 10</w:t>
        </w:r>
        <w:r>
          <w:rPr>
            <w:rFonts w:ascii="MS PGothic" w:cs="MS PGothic" w:eastAsia="MS PGothic" w:hAnsi="MS PGothic"/>
            <w:sz w:val="18"/>
            <w:szCs w:val="18"/>
            <w:i w:val="1"/>
            <w:iCs w:val="1"/>
            <w:u w:val="single" w:color="auto"/>
            <w:color w:val="0000FF"/>
          </w:rPr>
          <w:t>‑</w:t>
        </w:r>
        <w:r>
          <w:rPr>
            <w:rFonts w:ascii="Times New Roman" w:cs="Times New Roman" w:eastAsia="Times New Roman" w:hAnsi="Times New Roman"/>
            <w:sz w:val="18"/>
            <w:szCs w:val="18"/>
            <w:i w:val="1"/>
            <w:iCs w:val="1"/>
            <w:u w:val="single" w:color="auto"/>
            <w:color w:val="0000FF"/>
          </w:rPr>
          <w:t>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management’s discussion and analysis of financial condition and results of operations for the year ended December 31, 2023 compared to the year ended December 31, 2022.</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Bentley Systems is the infrastructure engineering software 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chief operating decision maker (“CODM”) reviews and manages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left="660" w:right="20" w:hanging="247"/>
        <w:spacing w:after="0" w:line="229"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$1,353,095 for the year ended December 31, 2024, up 10.1% or 10.3%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prior year;</w:t>
      </w:r>
    </w:p>
    <w:p>
      <w:pPr>
        <w:spacing w:after="0" w:line="167" w:lineRule="exact"/>
        <w:rPr>
          <w:rFonts w:ascii="Times New Roman" w:cs="Times New Roman" w:eastAsia="Times New Roman" w:hAnsi="Times New Roman"/>
          <w:sz w:val="18"/>
          <w:szCs w:val="18"/>
          <w:color w:val="auto"/>
        </w:rPr>
      </w:pPr>
    </w:p>
    <w:p>
      <w:pPr>
        <w:ind w:left="660" w:hanging="247"/>
        <w:spacing w:after="0" w:line="230"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revenues were $1,223,362 for the year ended December 31, 2024, up 13.2% or 13.4%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prior year;</w:t>
      </w:r>
    </w:p>
    <w:p>
      <w:pPr>
        <w:spacing w:after="0" w:line="155" w:lineRule="exact"/>
        <w:rPr>
          <w:rFonts w:ascii="Times New Roman" w:cs="Times New Roman" w:eastAsia="Times New Roman" w:hAnsi="Times New Roman"/>
          <w:sz w:val="18"/>
          <w:szCs w:val="18"/>
          <w:color w:val="auto"/>
        </w:rPr>
      </w:pPr>
    </w:p>
    <w:p>
      <w:pPr>
        <w:ind w:left="660" w:hanging="247"/>
        <w:spacing w:after="0" w:line="237"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$1,283,256 as of December 31, 2024, compared to $1,174,774 as of December 31, 2023, representing a constant currency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ARR growth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12%;</w:t>
      </w:r>
    </w:p>
    <w:p>
      <w:pPr>
        <w:spacing w:after="0" w:line="88" w:lineRule="exact"/>
        <w:rPr>
          <w:rFonts w:ascii="Times New Roman" w:cs="Times New Roman" w:eastAsia="Times New Roman" w:hAnsi="Times New Roman"/>
          <w:sz w:val="18"/>
          <w:szCs w:val="18"/>
          <w:color w:val="auto"/>
        </w:rPr>
      </w:pPr>
    </w:p>
    <w:p>
      <w:pPr>
        <w:ind w:left="660" w:hanging="247"/>
        <w:spacing w:after="0" w:line="229"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twelve-month recurring revenues dollar-based net retention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110% as of December 31, 2024, compared to 109% as of December 31, 2023;</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$302,150 for the year ended December 31, 2024, compared to $230,542 for the prior year;</w:t>
      </w:r>
    </w:p>
    <w:p>
      <w:pPr>
        <w:spacing w:after="0" w:line="181" w:lineRule="exact"/>
        <w:rPr>
          <w:rFonts w:ascii="Times New Roman" w:cs="Times New Roman" w:eastAsia="Times New Roman" w:hAnsi="Times New Roman"/>
          <w:sz w:val="18"/>
          <w:szCs w:val="18"/>
          <w:color w:val="auto"/>
        </w:rPr>
      </w:pPr>
    </w:p>
    <w:p>
      <w:pPr>
        <w:ind w:left="660" w:hanging="247"/>
        <w:spacing w:after="0" w:line="230"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inclusive of stock-based compensation expense (“Adjusted OI w/SBC”)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$372,222 for the year ended December 31, 2024, compared to $324,677 for the prior year; and</w:t>
      </w:r>
    </w:p>
    <w:p>
      <w:pPr>
        <w:spacing w:after="0" w:line="15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 was $435,292 for the year ended December 31, 2024, compared to $416,696 for the prior year.</w:t>
      </w:r>
    </w:p>
    <w:p>
      <w:pPr>
        <w:spacing w:after="0" w:line="369" w:lineRule="exact"/>
        <w:rPr>
          <w:rFonts w:ascii="Times New Roman" w:cs="Times New Roman" w:eastAsia="Times New Roman" w:hAnsi="Times New Roman"/>
          <w:sz w:val="18"/>
          <w:szCs w:val="18"/>
          <w:color w:val="auto"/>
        </w:rPr>
      </w:pPr>
    </w:p>
    <w:p>
      <w:pPr>
        <w:ind w:left="340" w:hanging="332"/>
        <w:spacing w:after="0" w:line="217" w:lineRule="exact"/>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and Adjusted OI w/SBC are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Refer to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section for additional information, including our definitions and our uses of constant currency and Adjusted OI w/SBC.</w:t>
      </w:r>
    </w:p>
    <w:p>
      <w:pPr>
        <w:spacing w:after="0" w:line="4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“Key Business Metrics” section for additional information, including our definitions and our uses of ARR, ARR growth rate, and recurring revenues dollar-based net retention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19030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results of operations have been, and in the future will be, affected by changes in foreign currency exchange rates. For the years ended December 31, 2024, 2023, and 2022, approximately 34%, 35%, and 36%, respectively, of our total revenues and 42%, 45%, and 46%, respectively, of our total operating expenses were denominated in a currency other than the U.S. dollar including most significantly: euros, British pounds, Canadian dollars, Australian dollars, Chinese yuan renminbi, and New Zealand dollars. Other than the natural hedge attributable to matching revenues and expenses in the same currencies, we do not currently hedge foreign currency exposure.</w:t>
      </w:r>
    </w:p>
    <w:p>
      <w:pPr>
        <w:spacing w:after="0" w:line="143"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and enhance the understanding of our results and evaluation of our performance. Refer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section for additional information, including our definition and our use of constant currency.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revenues from subscriptions, perpetual licenses, and services. Our total revenues are diversified by account type, size, and geography. Our sources of revenue growth, excluding the impact from acquisitions, primarily come from additional subscriptions revenues from existing accounts using the same products and represent the majority of our revenue growth, additional subscriptions revenues from existing accounts using new products, and subscriptions revenues from new accounts. We believe that we have a loyal account base, with over 70% of our total revenues for the years ended December 31, 2024, 2023, and 2022 generated from organizations that have been our accounts for over ten years.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320" w:type="dxa"/>
            <w:vAlign w:val="bottom"/>
            <w:tcBorders>
              <w:bottom w:val="single" w:sz="8" w:color="auto"/>
            </w:tcBorders>
          </w:tcPr>
          <w:p>
            <w:pPr>
              <w:spacing w:after="0"/>
              <w:rPr>
                <w:sz w:val="18"/>
                <w:szCs w:val="18"/>
                <w:color w:val="auto"/>
              </w:rPr>
            </w:pPr>
          </w:p>
        </w:tc>
      </w:tr>
      <w:tr>
        <w:trPr>
          <w:trHeight w:val="21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total revenues)</w:t>
            </w:r>
          </w:p>
        </w:tc>
        <w:tc>
          <w:tcPr>
            <w:tcW w:w="130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gridSpan w:val="2"/>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132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w:t>
            </w: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7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sales channels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 channel partners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7"/>
        </w:trPr>
        <w:tc>
          <w:tcPr>
            <w:tcW w:w="6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7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7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services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recurring revenues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 and other services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7"/>
        </w:trPr>
        <w:tc>
          <w:tcPr>
            <w:tcW w:w="6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Largest account represents no more than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5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 Our subscriptions, perpetual licenses, and services offerings are recognized pursuant to applicable GAAP guidance. See Note 3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on our revenues. We believe that subscription revenues will continue to comprise a majority of our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2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gridSpan w:val="2"/>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1080" w:type="dxa"/>
            <w:vAlign w:val="bottom"/>
            <w:vMerge w:val="restart"/>
          </w:tcPr>
          <w:p>
            <w:pPr>
              <w:jc w:val="right"/>
              <w:ind w:right="280"/>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2"/>
                <w:szCs w:val="2"/>
                <w:color w:val="auto"/>
              </w:rPr>
            </w:pPr>
          </w:p>
        </w:tc>
        <w:tc>
          <w:tcPr>
            <w:tcW w:w="10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1060" w:type="dxa"/>
            <w:vAlign w:val="bottom"/>
            <w:vMerge w:val="restart"/>
          </w:tcPr>
          <w:p>
            <w:pPr>
              <w:jc w:val="right"/>
              <w:ind w:right="280"/>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1,223,362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1,080,307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1,269,323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1,126,345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1,003,597</w:t>
            </w:r>
          </w:p>
        </w:tc>
        <w:tc>
          <w:tcPr>
            <w:tcW w:w="12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12.7 %</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1,353,095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1,099,082</w:t>
            </w: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17" w:lineRule="exact"/>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 Refer to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section for additional information, including our prior definition and our use of constant currency, and for a reconciliation of constant currency growth rates.</w:t>
      </w:r>
    </w:p>
    <w:p>
      <w:pPr>
        <w:spacing w:after="0" w:line="1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total revenues for the year ended December 31, 2024 was driven by an increase in subscriptions revenues, partially offset by decreases in services revenues.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For the year ended December 31, 2024, the increase in subscriptions revenues was primarily driven by improvements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$143,055 ($144,846 on a constant currency basis). Our business performance includes the impact from programmatic acquisitions, which generally are immaterial, individually and in the aggregate.</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2024, the improvements in business performance were primarily driven by expansion from accounts with revenues in the prior period (“existing accounts”), and growth of 3% attributable to new accounts, most notably small- and medium-sized accounts. Improvements in business performance for the year ended December 31, 2024 were led by our engineering applications, followed by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color w:val="auto"/>
        </w:rPr>
        <w:t xml:space="preserve"> geoprofessional applications, and our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for project delivery.</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For the year ended December 31, 2024, perpetual licenses revenues were flat compared to the prior year.</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For the year ended December 31, 2024, the decrease in services revenues was driven by a decline in our business performance of $18,296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($18,526 on a constant currency basis), driven primarily from weakness in Maximo-related work within our digital integrator, Cohesive.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Region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4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240" w:type="dxa"/>
            <w:vAlign w:val="bottom"/>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gridSpan w:val="2"/>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1060" w:type="dxa"/>
            <w:vAlign w:val="bottom"/>
            <w:vMerge w:val="restart"/>
          </w:tcPr>
          <w:p>
            <w:pPr>
              <w:jc w:val="right"/>
              <w:ind w:right="261"/>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2"/>
                <w:szCs w:val="2"/>
                <w:color w:val="auto"/>
              </w:rPr>
            </w:pPr>
          </w:p>
        </w:tc>
        <w:tc>
          <w:tcPr>
            <w:tcW w:w="10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1060" w:type="dxa"/>
            <w:vAlign w:val="bottom"/>
            <w:vMerge w:val="restart"/>
          </w:tcPr>
          <w:p>
            <w:pPr>
              <w:jc w:val="right"/>
              <w:ind w:right="281"/>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717,002</w:t>
            </w: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650,926</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584,794</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388,384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312,804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247,709</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3"/>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1,353,095</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hanging="332"/>
        <w:spacing w:after="0" w:line="280"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prior definition and our use of constant currency, and for a reconciliation of constant currency growth rates.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5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For the year ended December 31, 2024, the increase in revenues from the Americas was primarily driven by improvements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$66,076 ($68,067 on a constant currency basis).</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improvements in business performance for the year ended December 31, 2024 were primarily due to expansion of our subscriptions revenues from existing accounts in the U.S., partially offset by a decline in services revenues.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For the year ended December 31, 2024, the increase in revenues from EMEA was primarily driven by improvements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$34,834 ($32,195 on a constant currency basis).</w:t>
      </w:r>
    </w:p>
    <w:p>
      <w:pPr>
        <w:spacing w:after="0" w:line="12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improvements in business performance for the year ended December 31, 2024 were primarily due to expansion of our subscriptions revenues from existing accounts in the United Kingdom (“U.K.”), the Middle East, and Africa, partially offset by a decline in services revenues.</w:t>
      </w:r>
    </w:p>
    <w:p>
      <w:pPr>
        <w:spacing w:after="0" w:line="13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For the year ended December 31, 2024, the increase in revenues from APAC was primarily driven by improvements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$23,772 ($26,308 on a constant currency basis).</w:t>
      </w:r>
    </w:p>
    <w:p>
      <w:pPr>
        <w:spacing w:after="0" w:line="12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improvements in business performance for the year ended December 31, 2024 were primarily due to expansion of our subscriptions revenues from existing accounts in Australia, Southeast Asia, and India, partially offset by declines of our subscriptions revenues from existing accounts in China.</w:t>
      </w:r>
    </w:p>
    <w:p>
      <w:pPr>
        <w:spacing w:after="0" w:line="80" w:lineRule="exact"/>
        <w:rPr>
          <w:sz w:val="20"/>
          <w:szCs w:val="20"/>
          <w:color w:val="auto"/>
        </w:rPr>
      </w:pPr>
    </w:p>
    <w:p>
      <w:pPr>
        <w:jc w:val="both"/>
        <w:ind w:right="20" w:firstLine="324"/>
        <w:spacing w:after="0" w:line="245" w:lineRule="exact"/>
        <w:rPr>
          <w:sz w:val="20"/>
          <w:szCs w:val="20"/>
          <w:color w:val="auto"/>
        </w:rPr>
      </w:pPr>
      <w:r>
        <w:rPr>
          <w:rFonts w:ascii="Times New Roman" w:cs="Times New Roman" w:eastAsia="Times New Roman" w:hAnsi="Times New Roman"/>
          <w:sz w:val="18"/>
          <w:szCs w:val="18"/>
          <w:color w:val="auto"/>
        </w:rPr>
        <w:t>The future results in China remain uncertain as a result of continued geopolitical challenges, the obstacles there to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deployed software, and the financial timing impact of the preference there for license sales, rather than subscriptions.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Headcount-Related Costs</w:t>
      </w:r>
    </w:p>
    <w:p>
      <w:pPr>
        <w:spacing w:after="0" w:line="18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years ended December 31, 2024, 2023, and 2022, approximately 80% of our aggregate cost of revenues, research and development, selling and marketing, and general and administrative expenses were represented by what we refer to herein as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These costs primarily include salaries, benefits,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employment taxes, travel, training, and realignment of our colleagues,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expenses and related overhead. Our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174"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During the fourth quarter of 2023, the Company approved a strategic realignment program to better serve our accounts and to better align resources with the strategy of the business, including reinvestment in go-to-market functions, as well as in AI in product development (the “2023 Program”). The realignment program resulted in realignment costs of $847 and $12,579 for the years ended December 31, 2024 and 2023, respectively, which represent termination benefits for colleagues whose roles were impacted (less than five percent of total headcount). See Note 21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The realignment program activities have been broadly implemented across our various businesses, which were substantially completed by the end of the second quarter of 2024, and payment of termination benefits were completed as of December 31, 2024. The impact of the realignment program on headcount-related costs for the year ended December 31, 2024 and 2023 is included in our discussion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20" w:type="dxa"/>
            <w:vAlign w:val="bottom"/>
            <w:gridSpan w:val="3"/>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220" w:type="dxa"/>
            <w:vAlign w:val="bottom"/>
            <w:gridSpan w:val="3"/>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0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
                <w:szCs w:val="2"/>
                <w:color w:val="auto"/>
              </w:rPr>
            </w:pPr>
          </w:p>
        </w:tc>
        <w:tc>
          <w:tcPr>
            <w:tcW w:w="1080" w:type="dxa"/>
            <w:vAlign w:val="bottom"/>
            <w:vMerge w:val="restart"/>
          </w:tcPr>
          <w:p>
            <w:pPr>
              <w:jc w:val="right"/>
              <w:ind w:right="283"/>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2"/>
                <w:szCs w:val="2"/>
                <w:color w:val="auto"/>
              </w:rPr>
            </w:pPr>
          </w:p>
        </w:tc>
        <w:tc>
          <w:tcPr>
            <w:tcW w:w="102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1060" w:type="dxa"/>
            <w:vAlign w:val="bottom"/>
            <w:vMerge w:val="restart"/>
          </w:tcPr>
          <w:p>
            <w:pPr>
              <w:jc w:val="right"/>
              <w:ind w:right="283"/>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147,578</w:t>
            </w: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237,013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hanging="332"/>
        <w:spacing w:after="0" w:line="280"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prior definition and our use of constant currency, and for a reconciliation of constant currency growth rates.</w:t>
      </w:r>
    </w:p>
    <w:p>
      <w:pPr>
        <w:spacing w:after="0" w:line="93"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Cost of subscriptions and licenses expenses primarily include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as well as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for servicing our accounts using cloud provisioned solutions and our license administration platform. Cost of subscriptions and licenses expenses also include channel partner compensation for providing sales coverage to users, depreciation of property and equipment, amortization of capitalized software costs associated with servicing software subscriptions and our Accelerated Commercial Development Program (“ACDP”), and amortization of intangible assets associated with acquired software and technology.</w:t>
      </w:r>
    </w:p>
    <w:p>
      <w:pPr>
        <w:spacing w:after="0" w:line="158" w:lineRule="exact"/>
        <w:rPr>
          <w:sz w:val="20"/>
          <w:szCs w:val="20"/>
          <w:color w:val="auto"/>
        </w:rPr>
      </w:pPr>
    </w:p>
    <w:p>
      <w:pPr>
        <w:jc w:val="both"/>
        <w:ind w:right="20" w:firstLine="324"/>
        <w:spacing w:after="0" w:line="232" w:lineRule="exact"/>
        <w:rPr>
          <w:sz w:val="20"/>
          <w:szCs w:val="20"/>
          <w:color w:val="auto"/>
        </w:rPr>
      </w:pPr>
      <w:r>
        <w:rPr>
          <w:rFonts w:ascii="Times New Roman" w:cs="Times New Roman" w:eastAsia="Times New Roman" w:hAnsi="Times New Roman"/>
          <w:sz w:val="18"/>
          <w:szCs w:val="18"/>
          <w:color w:val="auto"/>
        </w:rPr>
        <w:t>For the year ended December 31, 2024, on a constant currency basis, cost of subscriptions and licenses expenses increased primarily due to an increase in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$10,859. Partially offsetting this increase was lower amortization of capitalized costs under our ACDP of $3,983 as compared to the prior year and lower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$2,090 primarily due to lower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03"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expenses primarily include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as well as depreciation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capitalized software costs used for providing training, implementation, configuration, and customization services to accounts.</w:t>
      </w:r>
    </w:p>
    <w:p>
      <w:pPr>
        <w:spacing w:after="0" w:line="158"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For the year ended December 31, 2024, on a constant currency basis, cost of services expenses decreased primarily due to a decrease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$12,514, mainly due to a reduction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32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32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gridSpan w:val="2"/>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1080" w:type="dxa"/>
            <w:vAlign w:val="bottom"/>
            <w:vMerge w:val="restart"/>
          </w:tcPr>
          <w:p>
            <w:pPr>
              <w:jc w:val="right"/>
              <w:ind w:right="279"/>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2"/>
                <w:szCs w:val="2"/>
                <w:color w:val="auto"/>
              </w:rPr>
            </w:pPr>
          </w:p>
        </w:tc>
        <w:tc>
          <w:tcPr>
            <w:tcW w:w="108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1100" w:type="dxa"/>
            <w:vAlign w:val="bottom"/>
            <w:vMerge w:val="restart"/>
          </w:tcPr>
          <w:p>
            <w:pPr>
              <w:jc w:val="right"/>
              <w:ind w:right="279"/>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257,856</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195,622</w:t>
            </w:r>
          </w:p>
        </w:tc>
        <w:tc>
          <w:tcPr>
            <w:tcW w:w="12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174,647</w:t>
            </w:r>
          </w:p>
        </w:tc>
        <w:tc>
          <w:tcPr>
            <w:tcW w:w="12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653,457</w:t>
            </w:r>
          </w:p>
        </w:tc>
        <w:tc>
          <w:tcPr>
            <w:tcW w:w="12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changes that are considered not meaningful are denoted with NM.</w:t>
      </w:r>
    </w:p>
    <w:p>
      <w:pPr>
        <w:spacing w:after="0" w:line="59" w:lineRule="exact"/>
        <w:rPr>
          <w:sz w:val="20"/>
          <w:szCs w:val="20"/>
          <w:color w:val="auto"/>
        </w:rPr>
      </w:pPr>
    </w:p>
    <w:p>
      <w:pPr>
        <w:ind w:left="340" w:hanging="332"/>
        <w:spacing w:after="0" w:line="298"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prior definition and our use of constant currency, and for a reconciliation of constant currency growth rates.</w:t>
      </w:r>
    </w:p>
    <w:p>
      <w:pPr>
        <w:spacing w:after="0" w:line="65"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costs to develop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or the software component of products to be sold, leased, or marketed to external accounts, before technological feasibility is reached, which is generally shortly before the release of such products. Our research and development roadmap balances technology advances and new offerings with continuous enhancements to existing offerings. Our allocation of research and development resources is based on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analysis of acquiring available technology in the marketplace versus developing our own solutions. We anticipate that we will continue to make substantial investments in research and development because we believe the infrastructure engineering software market presents compelling opportunities for the application of new technologies that advance our current solutions.</w:t>
      </w:r>
    </w:p>
    <w:p>
      <w:pPr>
        <w:spacing w:after="0" w:line="17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For the year ended December 31, 2024, on a constant currency basis, research and development expenses 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$9,513, mainly due to an increase in annual and other compensation costs. Offsetting the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were $4,995 of realignment expenses related to the 2023 Program recorded during the year ended December 31, 2023.</w:t>
      </w:r>
    </w:p>
    <w:p>
      <w:pPr>
        <w:spacing w:after="0" w:line="11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For the year ended December 31, 2024, our research and development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reflect run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savings associated with the 2023 Program, which we initiated during the fourth quarter of 2023. While most of the realignment actions were completed at the beginning of 2024, our reinvestment of these run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savings into priority investment areas, such as AI in product development, was not fully realized until the third quarter of 2024.</w:t>
      </w:r>
    </w:p>
    <w:p>
      <w:pPr>
        <w:spacing w:after="0" w:line="11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primarily include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as well as the expense of online marketing,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other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activities, such as advertising, trade shows, and expositions, and various sales and promotional programs. We anticipate that we will continue to make strategic investments in our global business systems and methods to enhance major account sales activities and to support our worldwide sales and marketing strategies, and the business in general.</w:t>
      </w:r>
    </w:p>
    <w:p>
      <w:pPr>
        <w:spacing w:after="0" w:line="17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2024, on a constant currency basis, selling and marketing expenses 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$23,408, mainly due to an increase in annual and other compensation costs, and an increase in third-party personnel costs primarily related to our marketing activities. Additionally, selling and marketing expenses further increased due to an increase in promotional costs of $5,449.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3"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include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for our finance, human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functions, as well as professional fees for legal and accounting services. General and administrative expenses also include acquisition costs, which consist of costs related to legal, accounting, valuation, insurance, and other consulting and transaction fees. Acquisition costs may drive fluctuations in general and administrative expenses depending on the timing of business combinations.</w:t>
      </w:r>
    </w:p>
    <w:p>
      <w:pPr>
        <w:spacing w:after="0" w:line="17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2024, on a constant currency basis, general and administrative expenses 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$11,048, mainly due to an increase in annual and other compensation costs, and to a lesser extent, higher charitable contributions focusing on education and sustainability of $4,143 and higher expense associated with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related taxes of $3,585. Additionally, during the year ended December 31, 2024, we recognized approximately $10,300 of costs associated with our internal-use software implementations, as well as approximately $2,200 of other corporate initiatives expenses. Partially offsetting these increases were lower acquisition costs of $4,276.</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Deferred compensation plan reflects the expense (income) recorded related to changes in deferred compensation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which are marked to market at the end of each reporting period.</w:t>
      </w:r>
    </w:p>
    <w:p>
      <w:pPr>
        <w:spacing w:after="0" w:line="1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deferred compensation plan expense was attributable to the marked to market impact on deferred compensation plan liability balances period over period.</w:t>
      </w:r>
    </w:p>
    <w:p>
      <w:pPr>
        <w:spacing w:after="0" w:line="94" w:lineRule="exact"/>
        <w:rPr>
          <w:sz w:val="20"/>
          <w:szCs w:val="20"/>
          <w:color w:val="auto"/>
        </w:rPr>
      </w:pPr>
    </w:p>
    <w:p>
      <w:pPr>
        <w:jc w:val="both"/>
        <w:ind w:firstLine="324"/>
        <w:spacing w:after="0" w:line="259" w:lineRule="exact"/>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the amortization of acquired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related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primarily customer relationships, trademarks,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agreements recorded in connection with completed acquisitions.</w:t>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on a constant currency basis, amortization of purchased intangibles decreased primarily due to previously acquired intangible assets that continue to become fully amortized and lower acquisition activity as compared to prior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20" w:type="dxa"/>
            <w:vAlign w:val="bottom"/>
            <w:tcBorders>
              <w:bottom w:val="single" w:sz="8" w:color="auto"/>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1"/>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16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to 2024</w:t>
            </w: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to 2023</w:t>
            </w:r>
          </w:p>
        </w:tc>
      </w:tr>
      <w:tr>
        <w:trPr>
          <w:trHeight w:val="225"/>
        </w:trPr>
        <w:tc>
          <w:tcPr>
            <w:tcW w:w="20" w:type="dxa"/>
            <w:vAlign w:val="bottom"/>
          </w:tcPr>
          <w:p>
            <w:pPr>
              <w:spacing w:after="0"/>
              <w:rPr>
                <w:sz w:val="19"/>
                <w:szCs w:val="19"/>
                <w:color w:val="auto"/>
              </w:rPr>
            </w:pPr>
          </w:p>
        </w:tc>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(41,331)</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w:t>
            </w:r>
          </w:p>
        </w:tc>
        <w:tc>
          <w:tcPr>
            <w:tcW w:w="2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ind w:right="154"/>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20" w:type="dxa"/>
            <w:vAlign w:val="bottom"/>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changes that are considered not meaningful are denoted with NM.</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primarily represents interest associated with credit facility borrowings, the 2026 Notes, the 2027 Notes, amortization of deferred debt issuance costs, and interest income from our investments in money market funds. The majority of our debt is protected from rising interest rates, through either very low fixed coupon interest on our convertible notes or our $200,000 interest rate swap, which expires in 2030.</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interest expense, net decreased primarily due to lower weighted average debt outstanding, as compared to the prior year, mainly related to the continued pay down of our revolving loan borrowings, and repayments of our senior secured term loan during 2024 under our amended and restated credit agreement, entered into on December 19, 2017 (the “2017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20" w:type="dxa"/>
            <w:vAlign w:val="bottom"/>
          </w:tcPr>
          <w:p>
            <w:pPr>
              <w:spacing w:after="0"/>
              <w:rPr>
                <w:sz w:val="18"/>
                <w:szCs w:val="18"/>
                <w:color w:val="auto"/>
              </w:rPr>
            </w:pPr>
          </w:p>
        </w:tc>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r>
      <w:tr>
        <w:trPr>
          <w:trHeight w:val="270"/>
        </w:trPr>
        <w:tc>
          <w:tcPr>
            <w:tcW w:w="20" w:type="dxa"/>
            <w:vAlign w:val="bottom"/>
          </w:tcPr>
          <w:p>
            <w:pPr>
              <w:spacing w:after="0"/>
              <w:rPr>
                <w:sz w:val="23"/>
                <w:szCs w:val="23"/>
                <w:color w:val="auto"/>
              </w:rPr>
            </w:pPr>
          </w:p>
        </w:tc>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r>
      <w:tr>
        <w:trPr>
          <w:trHeight w:val="270"/>
        </w:trPr>
        <w:tc>
          <w:tcPr>
            <w:tcW w:w="20" w:type="dxa"/>
            <w:vAlign w:val="bottom"/>
          </w:tcPr>
          <w:p>
            <w:pPr>
              <w:spacing w:after="0"/>
              <w:rPr>
                <w:sz w:val="23"/>
                <w:szCs w:val="23"/>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0"/>
        </w:trPr>
        <w:tc>
          <w:tcPr>
            <w:tcW w:w="20" w:type="dxa"/>
            <w:vAlign w:val="bottom"/>
          </w:tcPr>
          <w:p>
            <w:pPr>
              <w:spacing w:after="0"/>
              <w:rPr>
                <w:sz w:val="23"/>
                <w:szCs w:val="23"/>
                <w:color w:val="auto"/>
              </w:rPr>
            </w:pPr>
          </w:p>
        </w:tc>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20" w:type="dxa"/>
            <w:vAlign w:val="bottom"/>
          </w:tcPr>
          <w:p>
            <w:pPr>
              <w:spacing w:after="0"/>
              <w:rPr>
                <w:sz w:val="19"/>
                <w:szCs w:val="19"/>
                <w:color w:val="auto"/>
              </w:rPr>
            </w:pPr>
          </w:p>
        </w:tc>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Receipts related to interest rate swap</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29"/>
        </w:trPr>
        <w:tc>
          <w:tcPr>
            <w:tcW w:w="20" w:type="dxa"/>
            <w:vAlign w:val="bottom"/>
          </w:tcPr>
          <w:p>
            <w:pPr>
              <w:spacing w:after="0"/>
              <w:rPr>
                <w:sz w:val="19"/>
                <w:szCs w:val="19"/>
                <w:color w:val="auto"/>
              </w:rPr>
            </w:pPr>
          </w:p>
        </w:tc>
        <w:tc>
          <w:tcPr>
            <w:tcW w:w="7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3"/>
        </w:trPr>
        <w:tc>
          <w:tcPr>
            <w:tcW w:w="20" w:type="dxa"/>
            <w:vAlign w:val="bottom"/>
          </w:tcPr>
          <w:p>
            <w:pPr>
              <w:spacing w:after="0"/>
              <w:rPr>
                <w:sz w:val="19"/>
                <w:szCs w:val="19"/>
                <w:color w:val="auto"/>
              </w:rPr>
            </w:pPr>
          </w:p>
        </w:tc>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24,298</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135" w:lineRule="exact"/>
        <w:rPr>
          <w:sz w:val="20"/>
          <w:szCs w:val="20"/>
          <w:color w:val="auto"/>
        </w:rPr>
      </w:pPr>
    </w:p>
    <w:p>
      <w:pPr>
        <w:ind w:left="340" w:hanging="332"/>
        <w:spacing w:after="0" w:line="280"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 (loss) is primarily attributable to foreign currency translation derived mainly from U.S. dollar denominated cash and cash equivalents, account receivables, customer deposits, and intercompany balances held by foreign subsidiaries.</w:t>
      </w:r>
    </w:p>
    <w:p>
      <w:pPr>
        <w:spacing w:after="0" w:line="16"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(expense), net for the year ended December 31, 2023 includes investment impairment and other charges of $(16,988), partially offset by gains on investments of $2,360.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6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293,055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183,527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198,275</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58,726</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(143,241)</w:t>
            </w:r>
          </w:p>
        </w:tc>
        <w:tc>
          <w:tcPr>
            <w:tcW w:w="2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21,283</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 (benefit) for income taxes includes the aggregate consolidated income tax expense for U.S. domestic and foreign income taxes.</w:t>
      </w:r>
    </w:p>
    <w:p>
      <w:pPr>
        <w:spacing w:after="0" w:line="198"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For the year ended December 31, 2024, the effective tax rate was higher as compared to the year ended December 31, 2023 primarily due to the discrete tax benefit recognized as a result of the internal legal entity restructuring during the fourth quarter of 2023 described below, as well as a decrease in discrete tax benefits related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 partially offset by the decrease in the adverse effective tax rate impact of the net tax on foreign earnings. The decrease in net tax on foreign earnings is primarily related to increased foreign creditable taxes available to reduce the net impact of the U.S. Global Intangible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Taxed Income (“GILTI”) inclusion. For the years ended December 31, 2024 and 2023, we recorded discrete tax benefits of $5,583 and $14,648, respectively,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160"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During the fourth quarter of 2023, we recognized a net discrete income tax benefit of $170,784 attributable to internal legal entity restructuring and related intra-entity transactions as part of our continuing efforts to align intellectual property ownership with our business operating model. These transactions resulted in the recognition of deferred tax benefits arising from the net increase in deferred tax assets related to intangibles and goodwill of $171,622. As of December 31, 2023, the deferred tax assets represented the undiscounted future anticipated cash tax impacts of basis differences, which were expected to be realized through tax amortization over the next 13 years, beginning in 2024. See Note 16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1"/>
        </w:trPr>
        <w:tc>
          <w:tcPr>
            <w:tcW w:w="56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1,283,256</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1,174,774</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1,036,548</w:t>
            </w:r>
          </w:p>
        </w:tc>
      </w:tr>
      <w:tr>
        <w:trPr>
          <w:trHeight w:val="27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1,238,004</w:t>
            </w:r>
          </w:p>
        </w:tc>
        <w:tc>
          <w:tcPr>
            <w:tcW w:w="26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1,096,677</w:t>
            </w:r>
          </w:p>
        </w:tc>
        <w:tc>
          <w:tcPr>
            <w:tcW w:w="2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978,024</w:t>
            </w:r>
          </w:p>
        </w:tc>
      </w:tr>
      <w:tr>
        <w:trPr>
          <w:trHeight w:val="230"/>
        </w:trPr>
        <w:tc>
          <w:tcPr>
            <w:tcW w:w="5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Twelve-months ended constant currency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7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 rate</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1" w:lineRule="exact"/>
        <w:rPr>
          <w:sz w:val="20"/>
          <w:szCs w:val="20"/>
          <w:color w:val="auto"/>
        </w:rPr>
      </w:pPr>
    </w:p>
    <w:p>
      <w:pPr>
        <w:ind w:left="340" w:hanging="332"/>
        <w:spacing w:after="0" w:line="298"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revenues are the basis for our other revenue-related key business metrics. We believe this measure is useful in evaluating our ability to consistently retain and grow our revenues within our existing accounts.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w:t>
      </w:r>
    </w:p>
    <w:p>
      <w:pPr>
        <w:spacing w:after="0" w:line="20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ARR is a key business metric that we believe is useful in evaluating the scale and growth of our business as well as to assist in the evaluation of underlying trends in our business. Furthermore, we believe ARR, considered in connection with our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leading indicator of revenue growth.</w:t>
      </w:r>
    </w:p>
    <w:p>
      <w:pPr>
        <w:spacing w:after="0" w:line="15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ARR resulting from the annualization of recurring contracts with consumption measurement durations of less than one year, as a percentage of total ARR, was 50%, 47%, and 43% as of December 31, 2024, 2023, and 2022, respectively, with our E365 subscription offering representing 45%, 41%, and 35% of total ARR as of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13"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In March 2022, in response to the Russia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Ukraine war, we announced a pause of sales in Russia and Belarus, in addition to our strict compliance with applicable sanctions, regimes, and other regulatory restrictions on business activities in those countries. As a result of the conflict, we deemed our overall business recurrence in the affected countries to have been reduced by approximately 50%, and accordingly, reduced our related ARR by $5,190 as of March 31, 2022. During the second quarter of 2022, the marked shifts in the Russian business environment and economic outlook led us to conclude it was no longer viable for us to continue operations in Russia. Accordingly, we made the decision to wind down business and exit the Russian market, which resulted in a further reduction in our ARR by $6,000.</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Constant currency ARR growth rate is the growth rate of ARR measured on a constant currency basis. In reporting period-over-period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ARR growth rate was favorably impacted by the ARR onboarding from our platform acquisition of PLS by 2.5% for the year ended December 31, 2022.</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Last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Months Recurring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-43815</wp:posOffset>
            </wp:positionV>
            <wp:extent cx="6413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8"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rates, as well as the addition of new accounts with recurring revenues.</w:t>
      </w:r>
    </w:p>
    <w:p>
      <w:pPr>
        <w:spacing w:after="0" w:line="89"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calculated as recurring revenues recognized over the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w:t>
      </w:r>
    </w:p>
    <w:p>
      <w:pPr>
        <w:spacing w:after="0" w:line="18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for the periods ended December 31, 2024, 2023, and 2022 compared to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of the comparative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increased by $141,327, $118,653, and $143,874, respectively.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as well as additional recurring revenues resulting from new accounts and acquisitions, including the favorable impact from our platform acquisitions of PLS and Seequent. For the twelve months ended December 31, 2024, 2023, and 2022, 91%, 89%, and 89%, respectively, of our revenues were recurring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 Retention Rate</w:t>
      </w:r>
    </w:p>
    <w:p>
      <w:pPr>
        <w:spacing w:after="0" w:line="14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Account retention rate is a key business metric that we believe is useful in evaluating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accounts.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spacing w:after="0" w:line="10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Recurring Revenues 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Retention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-43815</wp:posOffset>
            </wp:positionV>
            <wp:extent cx="6413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5"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key business metric that we believe is useful in evaluating our ability to consistently retain and grow our recurring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3"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that recurring revenues represented 91%, 89%, and 89% of our total revenues for the twelve months ended December 31, 2024, 2023, and 2022, respectively, this metric helps explain our revenue performance as primarily growth from existing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provide reconciliations between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their most directly comparable GAAP financial measures.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should be considered in addition to, not as a substitute for, or in isolation from, the financial information prepared in accordance with GAAP, including operating income, or other measures of performance.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may vary significantly from period to period for reasons unrelated to our operating performance and may differ from similarly titled measures presented by other companies.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OI w/SBC</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Adjusted OI w/SBC is a non-GAAP financial measure and is used to measure the operational strength and performance of our business, as well as to assist in the evaluation of underlying trends in our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OI w/SBC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operating income is a non-GAAP financial measure that we believe is useful to investors in making comparisons to other companies, although this measure may not be directly comparable to similar measures used by other companies.</w:t>
      </w:r>
    </w:p>
    <w:p>
      <w:pPr>
        <w:spacing w:after="0" w:line="121"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Adjusted operating income is defined as operating income adjusted for the following: amortization of purchased intangibles, expense (income) relating to deferred compensation plan liabilities, acquisition expenses, realignment expenses (income),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operating income to Adjusted OI w/SBC and to Adjusted operating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208,612</w:t>
            </w:r>
          </w:p>
        </w:tc>
      </w:tr>
      <w:tr>
        <w:trPr>
          <w:trHeight w:val="229"/>
        </w:trPr>
        <w:tc>
          <w:tcPr>
            <w:tcW w:w="20" w:type="dxa"/>
            <w:vAlign w:val="bottom"/>
          </w:tcPr>
          <w:p>
            <w:pPr>
              <w:spacing w:after="0"/>
              <w:rPr>
                <w:sz w:val="19"/>
                <w:szCs w:val="19"/>
                <w:color w:val="auto"/>
              </w:rPr>
            </w:pPr>
          </w:p>
        </w:tc>
        <w:tc>
          <w:tcPr>
            <w:tcW w:w="6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purchased intangibles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r>
      <w:tr>
        <w:trPr>
          <w:trHeight w:val="229"/>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30"/>
        </w:trPr>
        <w:tc>
          <w:tcPr>
            <w:tcW w:w="20" w:type="dxa"/>
            <w:vAlign w:val="bottom"/>
          </w:tcPr>
          <w:p>
            <w:pPr>
              <w:spacing w:after="0"/>
              <w:rPr>
                <w:sz w:val="19"/>
                <w:szCs w:val="19"/>
                <w:color w:val="auto"/>
              </w:rPr>
            </w:pPr>
          </w:p>
        </w:tc>
        <w:tc>
          <w:tcPr>
            <w:tcW w:w="6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25,398</w:t>
            </w:r>
          </w:p>
        </w:tc>
      </w:tr>
      <w:tr>
        <w:trPr>
          <w:trHeight w:val="229"/>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3"/>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 w/SBC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324,677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273,929</w:t>
            </w:r>
          </w:p>
        </w:tc>
      </w:tr>
      <w:tr>
        <w:trPr>
          <w:trHeight w:val="229"/>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74,566</w:t>
            </w:r>
          </w:p>
        </w:tc>
      </w:tr>
      <w:tr>
        <w:trPr>
          <w:trHeight w:val="223"/>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445,727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396,147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348,495</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explanation of certain of our adjustments in arriving at Adjusted OI w/SBC and Adjusted operating income are as follows:</w:t>
      </w:r>
    </w:p>
    <w:p>
      <w:pPr>
        <w:spacing w:after="0" w:line="111" w:lineRule="exact"/>
        <w:rPr>
          <w:sz w:val="20"/>
          <w:szCs w:val="20"/>
          <w:color w:val="auto"/>
        </w:rPr>
      </w:pPr>
    </w:p>
    <w:p>
      <w:pPr>
        <w:jc w:val="both"/>
        <w:ind w:left="340" w:hanging="332"/>
        <w:spacing w:after="0" w:line="201" w:lineRule="exact"/>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Amortization of purchased intangibles</w:t>
      </w:r>
      <w:r>
        <w:rPr>
          <w:rFonts w:ascii="Times New Roman" w:cs="Times New Roman" w:eastAsia="Times New Roman" w:hAnsi="Times New Roman"/>
          <w:sz w:val="16"/>
          <w:szCs w:val="16"/>
          <w:color w:val="auto"/>
        </w:rPr>
        <w:t>. Amortization of purchased intangibles varies in amount and frequency and is significantly impacted by the timing and size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acquisitions. Management finds it useful to exclude these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pacing w:after="0" w:line="87"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Deferred compensation plan</w:t>
      </w:r>
      <w:r>
        <w:rPr>
          <w:rFonts w:ascii="Times New Roman" w:cs="Times New Roman" w:eastAsia="Times New Roman" w:hAnsi="Times New Roman"/>
          <w:sz w:val="16"/>
          <w:szCs w:val="16"/>
          <w:color w:val="auto"/>
        </w:rPr>
        <w:t>. We exclude</w:t>
      </w:r>
      <w:r>
        <w:rPr>
          <w:rFonts w:ascii="Times New Roman" w:cs="Times New Roman" w:eastAsia="Times New Roman" w:hAnsi="Times New Roman"/>
          <w:sz w:val="16"/>
          <w:szCs w:val="16"/>
          <w:i w:val="1"/>
          <w:iCs w:val="1"/>
          <w:color w:val="auto"/>
        </w:rPr>
        <w:t xml:space="preserve"> Deferred compensation plan </w:t>
      </w:r>
      <w:r>
        <w:rPr>
          <w:rFonts w:ascii="Times New Roman" w:cs="Times New Roman" w:eastAsia="Times New Roman" w:hAnsi="Times New Roman"/>
          <w:sz w:val="16"/>
          <w:szCs w:val="16"/>
          <w:color w:val="auto"/>
        </w:rPr>
        <w:t>expense (income) when we evaluate our continuing operational performance because it is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6"/>
          <w:szCs w:val="16"/>
          <w:i w:val="1"/>
          <w:iCs w:val="1"/>
          <w:color w:val="auto"/>
        </w:rPr>
        <w:t xml:space="preserve">Deferred compensation plan </w:t>
      </w:r>
      <w:r>
        <w:rPr>
          <w:rFonts w:ascii="Times New Roman" w:cs="Times New Roman" w:eastAsia="Times New Roman" w:hAnsi="Times New Roman"/>
          <w:sz w:val="16"/>
          <w:szCs w:val="16"/>
          <w:color w:val="auto"/>
        </w:rPr>
        <w:t>in the consolidated statements of operations.</w:t>
      </w:r>
    </w:p>
    <w:p>
      <w:pPr>
        <w:spacing w:after="0" w:line="67" w:lineRule="exact"/>
        <w:rPr>
          <w:rFonts w:ascii="Times New Roman" w:cs="Times New Roman" w:eastAsia="Times New Roman" w:hAnsi="Times New Roman"/>
          <w:sz w:val="16"/>
          <w:szCs w:val="16"/>
          <w:color w:val="auto"/>
        </w:rPr>
      </w:pPr>
    </w:p>
    <w:p>
      <w:pPr>
        <w:jc w:val="both"/>
        <w:ind w:left="340" w:hanging="332"/>
        <w:spacing w:after="0" w:line="270"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Acquisition expenses</w:t>
      </w:r>
      <w:r>
        <w:rPr>
          <w:rFonts w:ascii="Times New Roman" w:cs="Times New Roman" w:eastAsia="Times New Roman" w:hAnsi="Times New Roman"/>
          <w:sz w:val="16"/>
          <w:szCs w:val="16"/>
          <w:color w:val="auto"/>
        </w:rPr>
        <w:t>. We incur expenses for professional services rendered in connection with business combinations, which are included in our GAAP presentation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 and administrative expense.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 For the year ended December 31, 2022, $9,804 of our acquisition expenses related to our platform acquisition of PLS.</w:t>
      </w:r>
    </w:p>
    <w:p>
      <w:pPr>
        <w:spacing w:after="0" w:line="63" w:lineRule="exact"/>
        <w:rPr>
          <w:rFonts w:ascii="Times New Roman" w:cs="Times New Roman" w:eastAsia="Times New Roman" w:hAnsi="Times New Roman"/>
          <w:sz w:val="16"/>
          <w:szCs w:val="16"/>
          <w:color w:val="auto"/>
        </w:rPr>
      </w:pPr>
    </w:p>
    <w:p>
      <w:pPr>
        <w:jc w:val="both"/>
        <w:ind w:left="340" w:hanging="332"/>
        <w:spacing w:after="0" w:line="197" w:lineRule="exact"/>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We exclude these charges and subsequent adjustments to our estimates when we evaluate our continuing operational performance because they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not reflective of our ongoing business and results of operations. We believe it is useful for investors to understand the effects of these items on our total operating expenses. During the fourth quarter of 2023, we approved the 2023 Program. For the years ended December 31, 2024 and 2023, we recognized realignment costs related to the aforementioned program of $847 and $12,579, respectively, which represent termination benefits for colleagues whose roles were impacted (see Note 21 to our consolidated financial statements included in Part II, Item 8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K). For the year ended December 31, 2023, </w:t>
      </w: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xml:space="preserve"> were partially offset by income associated with the continued wind down of our Russian entities. For the year ended December 31, 2022, </w:t>
      </w: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xml:space="preserve"> were comprised of asset impairments and termination benefits as a result of our decision to wind down business and exit the Russian market beginning in the second quarter of 2022.</w:t>
      </w:r>
    </w:p>
    <w:p>
      <w:pPr>
        <w:spacing w:after="0" w:line="56" w:lineRule="exact"/>
        <w:rPr>
          <w:rFonts w:ascii="Times New Roman" w:cs="Times New Roman" w:eastAsia="Times New Roman" w:hAnsi="Times New Roman"/>
          <w:sz w:val="16"/>
          <w:szCs w:val="16"/>
          <w:color w:val="auto"/>
        </w:rPr>
      </w:pPr>
    </w:p>
    <w:p>
      <w:pPr>
        <w:ind w:left="340" w:hanging="332"/>
        <w:spacing w:after="0" w:line="224" w:lineRule="exact"/>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 compensation expense</w:t>
      </w:r>
      <w:r>
        <w:rPr>
          <w:rFonts w:ascii="Times New Roman" w:cs="Times New Roman" w:eastAsia="Times New Roman" w:hAnsi="Times New Roman"/>
          <w:sz w:val="16"/>
          <w:szCs w:val="16"/>
          <w:color w:val="auto"/>
        </w:rPr>
        <w:t>. We exclude non-cash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expenses from certain of our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measures because we believe this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useful to investors in making comparisons to other companies.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13"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consolidated revenues to consolidated revenues in constant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Change 2023 to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1,223,362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1,224,176</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1,080,307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1,269,323</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1,270,460</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1,126,345</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1,353,095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1,353,941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9"/>
              </w:rPr>
              <w:t>Constant Currency Change 2022 to 2023:</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1,080,307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1,081,546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1,126,345</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1,128,147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1,003,597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102,752</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95,614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1,230,899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1,099,082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revenues by geographic region to revenues by geographic region in constant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Change 2023 to 2024:</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718,753</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650,926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650,688</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385,630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249,558</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223,251</w:t>
            </w:r>
          </w:p>
        </w:tc>
        <w:tc>
          <w:tcPr>
            <w:tcW w:w="0" w:type="dxa"/>
            <w:vAlign w:val="bottom"/>
          </w:tcPr>
          <w:p>
            <w:pPr>
              <w:spacing w:after="0"/>
              <w:rPr>
                <w:sz w:val="1"/>
                <w:szCs w:val="1"/>
                <w:color w:val="auto"/>
              </w:rPr>
            </w:pPr>
          </w:p>
        </w:tc>
      </w:tr>
      <w:tr>
        <w:trPr>
          <w:trHeight w:val="223"/>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1,353,095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1,353,941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1,227,371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Change 2022 to 2023:</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651,168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584,481</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229,022</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202,627</w:t>
            </w:r>
          </w:p>
        </w:tc>
        <w:tc>
          <w:tcPr>
            <w:tcW w:w="0" w:type="dxa"/>
            <w:vAlign w:val="bottom"/>
          </w:tcPr>
          <w:p>
            <w:pPr>
              <w:spacing w:after="0"/>
              <w:rPr>
                <w:sz w:val="1"/>
                <w:szCs w:val="1"/>
                <w:color w:val="auto"/>
              </w:rPr>
            </w:pPr>
          </w:p>
        </w:tc>
      </w:tr>
      <w:tr>
        <w:trPr>
          <w:trHeight w:val="223"/>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1,230,899</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1,099,082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1,100,063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cost of revenues to cost of revenues in constant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Change 2023 to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173,340</w:t>
            </w:r>
          </w:p>
        </w:tc>
        <w:tc>
          <w:tcPr>
            <w:tcW w:w="1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173,480</w:t>
            </w:r>
          </w:p>
        </w:tc>
        <w:tc>
          <w:tcPr>
            <w:tcW w:w="2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257,806</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2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9"/>
              </w:rPr>
              <w:t>Constant Currency Change 2022 to 2023:</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6"/>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97,449</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237,013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operating expenses to operating expenses in constant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Change 2023 to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282,064</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274,619</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274,636</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180,430</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793,178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794,355</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731,283</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Change 2022 to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6"/>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7"/>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4"/>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980" w:type="dxa"/>
            <w:vAlign w:val="bottom"/>
            <w:gridSpan w:val="2"/>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1"/>
                <w:szCs w:val="11"/>
                <w:color w:val="auto"/>
              </w:rPr>
            </w:pPr>
          </w:p>
        </w:tc>
        <w:tc>
          <w:tcPr>
            <w:tcW w:w="1380" w:type="dxa"/>
            <w:vAlign w:val="bottom"/>
            <w:gridSpan w:val="4"/>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2022</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195,622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4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735,077</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653,457</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653,435</w:t>
            </w:r>
          </w:p>
        </w:tc>
        <w:tc>
          <w:tcPr>
            <w:tcW w:w="0" w:type="dxa"/>
            <w:vAlign w:val="bottom"/>
          </w:tcPr>
          <w:p>
            <w:pPr>
              <w:spacing w:after="0"/>
              <w:rPr>
                <w:sz w:val="1"/>
                <w:szCs w:val="1"/>
                <w:color w:val="auto"/>
              </w:rPr>
            </w:pPr>
          </w:p>
        </w:tc>
      </w:tr>
      <w:tr>
        <w:trPr>
          <w:trHeight w:val="21"/>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2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domestically</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2,845</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 foreign subsidiaries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61,164</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64,009</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Our primary source of operating cash is from the sale of our subscriptions, perpetual licenses, and services. Our primary use of cash is payment of our operating costs, which consist mainly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made cash repatriations to the U.S. of approximately $138,000 and $93,000, respectively, from earnings generated by our foreign subsidiaries. In 2024 and 2023, the repatriations were primarily used to pay down our credit facility borrowings and to supplement our domestic working capital needs.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consummate acquisitions, or otherwise pursue our business strategies. We cannot provide assurance that we could obtain additional financing on favorable terms or at all.</w:t>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Activity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provided by (used in):</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81"/>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435,292</w:t>
            </w:r>
          </w:p>
        </w:tc>
        <w:tc>
          <w:tcPr>
            <w:tcW w:w="26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416,696</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rPr>
              <w:t>274,324</w:t>
            </w:r>
          </w:p>
        </w:tc>
      </w:tr>
      <w:tr>
        <w:trPr>
          <w:trHeight w:val="270"/>
        </w:trPr>
        <w:tc>
          <w:tcPr>
            <w:tcW w:w="360" w:type="dxa"/>
            <w:vAlign w:val="bottom"/>
          </w:tcPr>
          <w:p>
            <w:pPr>
              <w:spacing w:after="0"/>
              <w:rPr>
                <w:sz w:val="23"/>
                <w:szCs w:val="23"/>
                <w:color w:val="auto"/>
              </w:rPr>
            </w:pPr>
          </w:p>
        </w:tc>
        <w:tc>
          <w:tcPr>
            <w:tcW w:w="11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(143,267)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(770,127)</w:t>
            </w:r>
          </w:p>
        </w:tc>
      </w:tr>
      <w:tr>
        <w:trPr>
          <w:trHeight w:val="270"/>
        </w:trPr>
        <w:tc>
          <w:tcPr>
            <w:tcW w:w="360" w:type="dxa"/>
            <w:vAlign w:val="bottom"/>
          </w:tcPr>
          <w:p>
            <w:pPr>
              <w:spacing w:after="0"/>
              <w:rPr>
                <w:sz w:val="23"/>
                <w:szCs w:val="23"/>
                <w:color w:val="auto"/>
              </w:rPr>
            </w:pPr>
          </w:p>
        </w:tc>
        <w:tc>
          <w:tcPr>
            <w:tcW w:w="11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(289,850)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rPr>
              <w:t>243,034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-659765</wp:posOffset>
            </wp:positionV>
            <wp:extent cx="711517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-342265</wp:posOffset>
            </wp:positionV>
            <wp:extent cx="71151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5340" w:space="720"/>
            <w:col w:w="5180"/>
          </w:cols>
          <w:pgMar w:left="320" w:top="1440" w:right="339" w:bottom="1440" w:gutter="0" w:footer="0" w:header="0"/>
          <w:type w:val="continuous"/>
        </w:sect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For the year ended December 31, 2024, compared to the prior year, net cash provided by operating activities was higher by $18,596 due to a net increase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of $185,856, partially offset by a decrease in net income of $92,354 and a decrease in net cash flows from the change in operating assets and liabilities of $74,906. Both the decrease in net income and the net increase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were impacted by the fourth quarter of 2023 internal legal entity restructuring and related intra-entity transactions as part of our continuing efforts to align intellectual property ownership with our business operating model. The net impact of the internal legal entity restructuring was a net discrete tax benefit of $170,784 for the year ended December 31, 2023. See Note 16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The decrease in net cash flows from the change in operating assets and liabilities was primarily due to the timing of collections on our receivables, the overall timing of tax payments year over year, and a decrease in deferred revenues.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higher by $82,763 for the year ended December 31, 2024, compared to the prior year, primarily due to higher acquisition related payments of $104,384, partially offset by lower purchases of property and equipment and investment in capitalized software of $10,956 and lower purchases of investments of $10,167. We used available cash and borrowings under our 2017 Credit Facility to fund an acquisition in September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lower by $69,224 for the year ended December 31, 2024, compared to the prior year, primarily due to lower net paydowns of the credit facilities of $111,856, partially offset by higher payments for shares acquired of $17,926, including shares repurchased under the BSY Stock Repurchase Program (the “Repurchase Program”), and higher dividend payments of $13,359, primarily due to an increase in our quarterly dividend per share to $0.06 in 2024 from $0.05 in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1,388,088</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1,518,403</w:t>
            </w:r>
          </w:p>
        </w:tc>
      </w:tr>
      <w:tr>
        <w:trPr>
          <w:trHeight w:val="248"/>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1,388,088</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1,528,403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18, 2024, we entered into the Credit Facility, which provides us with a $1,300,000 revolving credit facility, including a $125,000 swingline loan and $125,000 in letters of credit. The Credit Facility also provides us with a $500,000 “accordion” feature to increase the facility in the form of both revolving indebtedness and/or incremental term loans. On October 18, 2024, we used borrowings under the Credit Facility to repay all indebtedness outstanding under the 2017 Credit Facility, including the outstanding senior secured term loan.</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$1,164,535 available under the Credit Facility, and we were in compliance with all covenants under the Credit Facility, the 2026 Notes, and the 2027 Notes.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spacing w:after="0" w:line="139"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Our credit facilities, 2026 Notes, and 2027 Notes are described in Note 10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BSY Stock Repurchase Program</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had authorized us to repurchase up to $200,000 of our Class B common stock and/or outstanding convertible senior notes through June 30, 2024 under the Repurchase Program. This authorization under the Repurchase Program expired on June 30, 2024. In March 2024, our Board of Directors approved an extension to the Repurchase Program authorizing us to repurchase up to $200,000 of our Class B common stock and/or outstanding convertible senior notes from June 30, 2024 through June 30, 2026. We may use available working capital, cash provided by operating activities, and/or external borrowings including available liquidity under our Credit Facility to make repurchases.</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repurchased 1,292,733 shares for $64,359 under the Repurchase Program. During the year ended December 31, 2023, we did not make repurchases under the Repurchase Program.</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Taxes on Certain Equity Awards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the right to require that certain equity awardees receive gross or net quantities of shares of our Class B common stock, including distributions from the DCP and share issuances under the amended and restated Bentley Systems, Incorporated Bonus Pool Plan (the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year ended December 31, 2024, we exercised our right to require that impacted equity awardees receive gross quantities of our Class B common stock. During the year ended December 31, 2023, we allowed impacted equity awardees the option to receive net quantities of shares of our Class B common stock during the first, second, and third quarters, but exercised our right to require that these awardees receive gross quantities of our Class B common stock during the fourth quarter. We will continue to evaluate whether share awards will be required to be received by awardees on a gross basis, or if net settlement may be elected by awardees.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$0.06 per share of common stock during the year ended December 31, 2024 and $0.05 per share of common stock during the year ended December 31, 2023.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Long-Term</w:t>
            </w:r>
          </w:p>
        </w:tc>
      </w:tr>
      <w:tr>
        <w:trPr>
          <w:trHeight w:val="253"/>
        </w:trPr>
        <w:tc>
          <w:tcPr>
            <w:tcW w:w="20" w:type="dxa"/>
            <w:vAlign w:val="bottom"/>
          </w:tcPr>
          <w:p>
            <w:pPr>
              <w:spacing w:after="0"/>
              <w:rPr>
                <w:sz w:val="22"/>
                <w:szCs w:val="22"/>
                <w:color w:val="auto"/>
              </w:rPr>
            </w:pPr>
          </w:p>
        </w:tc>
        <w:tc>
          <w:tcPr>
            <w:tcW w:w="6000" w:type="dxa"/>
            <w:vAlign w:val="bottom"/>
            <w:gridSpan w:val="2"/>
            <w:shd w:val="clear" w:color="auto" w:fill="CCEEFF"/>
          </w:tcPr>
          <w:p>
            <w:pPr>
              <w:ind w:left="20"/>
              <w:spacing w:after="0" w:line="253" w:lineRule="exact"/>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1,398,145</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1,398,145</w:t>
            </w:r>
          </w:p>
        </w:tc>
      </w:tr>
      <w:tr>
        <w:trPr>
          <w:trHeight w:val="229"/>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w:t>
            </w: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DCP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96,684</w:t>
            </w:r>
          </w:p>
        </w:tc>
      </w:tr>
      <w:tr>
        <w:trPr>
          <w:trHeight w:val="203"/>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Amounts represent the face value of debt and exclude interest payments.</w:t>
      </w:r>
    </w:p>
    <w:p>
      <w:pPr>
        <w:spacing w:after="0" w:line="190"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Our largest contractual obligations relate to our outstanding debt, which include convertible notes due in 2026 and 2027. Our Credit Facility matures on October 18, 2029, subject to a “revolving maturity date” on the date that is 91 days prior to the maturity date of our outstanding convertible debt, unless on such date we meet certain liquidity requirements. We typically fund and expect to continue to fund debt maturities and interest payments with cash flows generated from operations, existing cash and cash equivalents, or proceeds from additional financing. If an early conversion notice is received, we have the option to pay cash, deliver shares of our Class B common stock, or a combination thereof. See Note 10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on our debt obligations.</w:t>
      </w:r>
    </w:p>
    <w:p>
      <w:pPr>
        <w:spacing w:after="0" w:line="9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We have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for services related to cloud provisioning of our software solutions and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 Our purchase obligations are in addition to amounts included in our consolidated balance sheets. We have funded and expect to continue to be able to fund our purchase obligations with cash flows generated from operations, existing cash and cash equivalents or revolving loan borrowings under the Credit Facility. See Note 18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on our purchase obligations.</w:t>
      </w:r>
    </w:p>
    <w:p>
      <w:pPr>
        <w:spacing w:after="0" w:line="158"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Our DCP obligations represent DCP participants’ holdings in phantom investment funds, which are classified as liabilities as they will be settled in cash upon eventual distribution. We have funded and expect to continue to be able to fund our DCP obligations with cash flows generated from operations, existing cash and cash equivalents, or revolving loan borrowings under the Credit Facility. See Note 12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on our DCP obligations.</w:t>
      </w:r>
    </w:p>
    <w:p>
      <w:pPr>
        <w:spacing w:after="0" w:line="146"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Our other future contractual obligations are related to leases. See Note 8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on our lease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1"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Our contracts with customers may include promises to transfer licenses (perpetual or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Portfolio balancing exchange rights are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61"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Intangible assets arise from acquisitions and principally consist of goodwill, trademarks, customer relationships,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 and acquired software and technology. Intangible assets, other than goodwill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We allocate goodwill to reporting units on a relative fair value basis.</w:t>
      </w:r>
    </w:p>
    <w:p>
      <w:pPr>
        <w:spacing w:after="0" w:line="1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we may first qualitatively assess whether it is more likely than not (a likelihood of more than 50 percent) that a goodwill impairment exists. If it is determined that a quantitative assessment is required and the carrying amount exceeds its fair value, we will recognize goodwill impairment in the amount in which the carrying amount of the reporting unit exceeds its fair value, but not to exceed the carrying amount of goodwill within the reporting unit. The process of evaluating the potential impairment of goodwill is subjective and requires significant judgment at many points in the process. The value of our goodwill could also be impacted by future adverse changes including declines in our stock price, market capitalization, or cash flows, and slower growth rates in our industry. There was no impairment of goodwill as a result of our annual impairment assessments conducted for the years ended December 31, 2024, 2023, or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other than goodwill are tested annually for impairment on October 1, or more frequently if events occur or circumstances change that would more likely than not reduce its fair value below its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testing intangible assets other than goodwill for impairment, we may first qualitatively assess whether it is more likely than not (a likelihood of more than 50 percent) that an intangible asset impairment exists. If it is determined that a quantitative assessment is required, we will evaluate the cash flows generated by the underlying asset, including estimated future operation results, trends, or other determinants of fair value. If the total of the expected future undiscounted cash flows were less than the carrying amount of the asset, we would recognize an impairment charge to the extent the carrying amount of the asset exceeded its estimated fair value. There was no impairment of intangible assets for the years ended December 31, 2024, 2023, or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net operating loss (“NOL”)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perform a quarterly assessment of the recoverability of the net deferred tax assets. We consider all available evidence, both positive and negative, in determining whether all or a portion of a deferred tax asset is more likely than not to be realized. In the event we determine that all or a portion of the deferred tax assets is not more likely than not to be realized, an adjustment to the valuation allowance would be recorded that would increase the provision for income taxes. To the extent that the realization of a deferred tax asset is based upon forecasted future earnings, our judgment regarding future profitability may change due to future market conditions and other factors. Assumptions about future taxable income require significant judgment and, while these assumptions rely heavily on estimates, such estimates are consistent with the plans we are using to manage the underlying business. Any change in future profitability may require material adjustments to these net deferred tax assets, resulting in a reduction in net income in the period when such determination is made. Additionally,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spacing w:after="0" w:line="1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in numerous foreign jurisdictions. The calculation of our tax liabilities often involves dealing with uncertainties in the application of complex tax laws and regulations in a multitude of jurisdictions across our global operations. There are many transactions and calculations about which the ultimate tax outcome is uncertain. A benefit from an uncertain tax position may be recognized when it is more likely than not that the position will be sustained based upon the technical merits of the position. This may include expected resolutions upon examination, any related appeals, or through a litigation processes. As a result, our calculations involve estimates by management. Due to the complexity of some of these uncertainties, the ultimate resolution may result in a payment, potentially including interest and penalties, that is materially different from our current estimates of the unrecognized tax benefit liabilities. These differences, along with any related interest and penalties, will generally be reflected as increases or decreases to income tax expense in the period in which new information becomes available.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line in the consolidated statements of operations. Accrued interest and penalties are included within the related tax liability line in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revenues, earnings, cash flows, receivables, and payables are subject to fluctuations due to changes in foreign 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Canadian dollars, Australian dollars, Chinese yuan renminbi, and New Zealand dollars. For the year ended December 31, 2024, approximately 58% of our total revenues are derived from outside of the U.S. and approximately 34% of our revenues are denominated in a currency other than the U.S. dollar. In 2024, 66%, 11%, 6%, 3%, and 14% of our total revenues were denominated in U.S. dollars, euros, British pounds, Canadian dollars, and other currencies, respectively, and 58%, 11%, 8%, 7%, and 16% of our aggregate cost of revenues and operating expenses were denominated in U.S. dollars, euros, British pounds, Canadian dollars, and other currencies, respectively. Financial results therefore are affected by changes in foreign currency rates. We estimate that a 10% strengthening of the U.S. dollar versus our other currencies would have lowered our 2024 annual operating income by approximately $1.5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The interest rates on our Credit Facility fluctuate based on various market conditions that affect the Secured Overnight Financing Rate (“SOFR”), the prime rate, or the overnight bank funding effective rate. The cost of borrowing thereunder may be impacted as a result of our interest rate risk exposure. Effective on April 2, 2020, we entered into an interest rate swap with a notional amount of $200.0 million and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to reduce the interest rate risk associated with a portion of our floating rate debt. Under the terms of the interest rate swap, we pay a fixed interest rate of 72.9 basis points (“bps”), and will receive a floating interest rate equal to daily SOFR plus an Alternative Reference Rates Committee (“ARRC”) spread adjustment of 11.448 bps. We do not enter into investments or derivative instruments for trading or speculative purposes. The fair value of our 2026 Notes and 2027 Notes is subject to interest rate risk, market risk, and other factors due to the conversion feature. The capped call options that were entered into concurrently with the issuance of our 2026 Notes and 2027 Notes were completed to reduce the potential dilution from the conversion of the 2026 Notes and 2027 Notes. The fair value of the 2026 Notes and 2027 Notes will generally increase as interest rates fall and decrease as interest rates rise. In addition, the fair value of the 2026 Notes and 2027 Notes will generally increase as our Class B common stock price increases and will generally decrease as the common stock price declines. The interest and market value changes affect the fair value of the 2026 Notes and 2027 Notes, but do not impact our financial condition, results of operations, or cash flows due to the fixed nature of the debt obligation. Due to the short-term nature of our investments, we have not been exposed to, nor do we anticipate being exposed to, material risks due to changes in interest rates. We had cash and cash equivalents of $64.0 million and $68.4 million as of December 31, 2024 and 2023, respectively, which 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A hypothetical 10% change in interest rates during any of the periods presented would not have had a material impact on our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8"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The information required by this item is included at the end of this report beginning on page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Effectiveness of Disclosure Controls and Procedures</w:t>
      </w:r>
    </w:p>
    <w:p>
      <w:pPr>
        <w:spacing w:after="0" w:line="14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December 31, 2024, our disclosure controls and procedures were effective at the reasonable assurance level.</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4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15(f) under the Securities Exchange Act of 1934, as amended). Our management assessed the effectiveness of our internal control over financial reporting as of December 31, 2024. In making this assessment, our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concluded that, as of December 31, 2024,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Our independent registered public accounting firm, KPMG LLP, has issued an audit report on the effectiveness of our internal control over financial reporting, which is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management’s evaluation pursuant to Rules 13a or 15d of the Exchange Act that occurred during the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4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On November 19, 2024, Brock Ballard, the Company’s Chief Revenue Officer,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20,047 shares of our Class B common stock. Mr. Ballard’s plan expires on December 2, 2025.</w:t>
      </w:r>
    </w:p>
    <w:p>
      <w:pPr>
        <w:spacing w:after="0" w:line="15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On December 6, 2024, Michael M. Campbell, the Company’s former Chief Product Officer,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The Company estimates that Mr. Campbell could sell up to an aggregate of 9,000 shares of its Class B common stock under the plan, though the final number of shares sold will depend upon a variety of factors, including applicable tax rates. Mr. Campbell’s plan expires on October 1, 2025.</w:t>
      </w:r>
    </w:p>
    <w:p>
      <w:pPr>
        <w:spacing w:after="0" w:line="133"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On December 10, 2024, Gregory S. Bentley, the Company’s Executive Chair and President,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763,457 shares of our Class B common stock. Mr. Bentley’s plan expires on June 30, 2026.</w:t>
      </w:r>
    </w:p>
    <w:p>
      <w:pPr>
        <w:spacing w:after="0" w:line="158"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On December 12, 2024, David R. Shaman, the Company’s Chief Legal Officer and Secretary,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The Company estimates that Mr. Shaman could sell up to an aggregate of 127,942 shares of its Class B common stock under the plan. Mr. Shaman’s plan expires on December 20, 2025.</w:t>
      </w:r>
    </w:p>
    <w:p>
      <w:pPr>
        <w:spacing w:after="0" w:line="15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During the three months ended December 31, 2024, there were no other Company directors or executive officers who adopted or terminated any contract, instruction or written plan for the purchase or sale of Company securities that was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or any “non-Rule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Subsequent to December 31, 2024</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20, 2025, our Board of Directors declared a $0.07 per share dividend for the first quarter of 2025. The cash dividend will be payable on March 27, 2025 to all stockholders of record of Class A and Class B common stock as of the close of business on March 19, 2025. The Company publicly announced the dividend declaration on February 26,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days subsequent to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certain information as of February 26, 2025, regarding our 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920" w:type="dxa"/>
            <w:vAlign w:val="bottom"/>
          </w:tcPr>
          <w:p>
            <w:pPr>
              <w:spacing w:after="0"/>
              <w:rPr>
                <w:sz w:val="18"/>
                <w:szCs w:val="18"/>
                <w:color w:val="auto"/>
              </w:rPr>
            </w:pP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361"/>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S. Bentley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 and President</w:t>
            </w:r>
          </w:p>
        </w:tc>
      </w:tr>
      <w:tr>
        <w:trPr>
          <w:trHeight w:val="37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Nicholas H. Cumins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7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Werner Andre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Brock Ballard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37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Lee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7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R. Shaman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24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Bentley </w:t>
      </w:r>
      <w:r>
        <w:rPr>
          <w:rFonts w:ascii="Times New Roman" w:cs="Times New Roman" w:eastAsia="Times New Roman" w:hAnsi="Times New Roman"/>
          <w:sz w:val="18"/>
          <w:szCs w:val="18"/>
          <w:color w:val="auto"/>
        </w:rPr>
        <w:t>has served as our President since June 1996 and as our Executive Chair since July 2024. He served as our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August 2000 to July 2024. Prior to joining us in 1991, Mr. Bentley 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w:t>
      </w:r>
    </w:p>
    <w:p>
      <w:pPr>
        <w:spacing w:after="0" w:line="1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Nicholas H. Cumins </w:t>
      </w:r>
      <w:r>
        <w:rPr>
          <w:rFonts w:ascii="Times New Roman" w:cs="Times New Roman" w:eastAsia="Times New Roman" w:hAnsi="Times New Roman"/>
          <w:sz w:val="18"/>
          <w:szCs w:val="18"/>
          <w:color w:val="auto"/>
        </w:rPr>
        <w:t>has served as our Chief Executive Officer since July 1, 2024 and is responsible for our overall strategy and growth. Mr. Cumins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our Chief Operating Officer since January 1, 2022. Mr. Cumins joined us in September 2020 as our Chief Product Officer. Prior to joining us, Mr. Cumins served as general manager of SAP Marketing Cloud, a comprehensive marketing automation platform, from 2018 to 2020. Mr. Cumins also served as chief product officer of Scytl, a platform for online voting, in Barcelona from 2016 to 2018, and senior vice president of product with OpenX, a pioneer in programmatic advertising, in Los Angeles from 2013 to 2016. He holds Maîtrise de Droit (Law) and Maîtrise de Sciences de Gestion (Business) degrees from University Paris II Panthéon-Assas, Paris, France.</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Werner Andre </w:t>
      </w:r>
      <w:r>
        <w:rPr>
          <w:rFonts w:ascii="Times New Roman" w:cs="Times New Roman" w:eastAsia="Times New Roman" w:hAnsi="Times New Roman"/>
          <w:sz w:val="18"/>
          <w:szCs w:val="18"/>
          <w:color w:val="auto"/>
        </w:rPr>
        <w:t>has served as our Chief Financial Officer since January 1, 2022 and is responsible for all aspects of finance including worldwide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financial planning and analysis, tax, and treasury. Mr. Andre joined us in 2015 as Global Corporate Controller and served as our Chief Accounting Officer from 2020 through March 2024. Prior to joining us, Mr. Andre served as the assistant corporate controller – international accounting and reporting for Rockwood Holdings, Inc. from 2010 to 2015, and held several roles with PricewaterhouseCoopers LLP from 1995 to 2010. He holds B.S. and M.B.A. degrees in Accounting and Financial Reporting from the University for Economics and Business Administration in Vienna.</w:t>
      </w:r>
    </w:p>
    <w:p>
      <w:pPr>
        <w:spacing w:after="0" w:line="13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Brock Ballard </w:t>
      </w:r>
      <w:r>
        <w:rPr>
          <w:rFonts w:ascii="Times New Roman" w:cs="Times New Roman" w:eastAsia="Times New Roman" w:hAnsi="Times New Roman"/>
          <w:sz w:val="18"/>
          <w:szCs w:val="18"/>
          <w:color w:val="auto"/>
        </w:rPr>
        <w:t>has served as our Chief Revenue Officer since January 1, 2023 and is responsible for leading all of our accounts globally. Mr. Ballard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us in 2020 as Vice President and Regional Executive, Americas. Prior to joining us, Mr. Ballard served in sales leadership positions with Dassault Systèmes, Autodesk, Inc., and Océ. He holds a Bachelor of Arts in Communication and Information Sciences from the University of Alabama.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Lee </w:t>
      </w:r>
      <w:r>
        <w:rPr>
          <w:rFonts w:ascii="Times New Roman" w:cs="Times New Roman" w:eastAsia="Times New Roman" w:hAnsi="Times New Roman"/>
          <w:sz w:val="18"/>
          <w:szCs w:val="18"/>
          <w:color w:val="auto"/>
        </w:rPr>
        <w:t>has served as our Chief Operating Officer since joining us in January 2025. Mr. Lee is responsible for strengthening cross-functional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planning and execution, driving operational excellence, and overseeing corporate development. Prior to joining us, Mr. Lee joined Google in 2020 and served as the general manager of the startups and AI business at Google Cloud, an infrastructure and platform services business, since 2023. Prior to joining Google, Mr. Lee worked at SAP, an enterprise software solutions company, from 2008 to 2020, most recently serving as Chief Operating Officer for SAP Ariba and Fieldglass. He holds a Master of Business Administration from Harvard Business School, a Bachelor of Commerce from the University of British Columbia, and a Diploma in Piano Performance from the Royal Conservatory of Music.</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David R. Shaman</w:t>
      </w:r>
      <w:r>
        <w:rPr>
          <w:rFonts w:ascii="Times New Roman" w:cs="Times New Roman" w:eastAsia="Times New Roman" w:hAnsi="Times New Roman"/>
          <w:sz w:val="18"/>
          <w:szCs w:val="18"/>
          <w:color w:val="auto"/>
        </w:rPr>
        <w:t>, our Chief Legal Officer, has led our legal team since 2015 and is responsible for legal, regulatory compliance,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and license compliance activities. Mr. Shaman previously served as Deputy General Counsel from 2006 to 2015. Prior to joining us in 1998, Mr. Shaman was an associate at the law firm Covington &amp; Burling LLP. Mr. Shaman’s international experience includes eight years leading our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days subsequent to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days subsequent to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 120 days subsequent to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days subsequent to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05"/>
        </w:trPr>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2"/>
        </w:trPr>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02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1.  Financial Statements:</w:t>
            </w: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2"/>
        </w:trPr>
        <w:tc>
          <w:tcPr>
            <w:tcW w:w="380" w:type="dxa"/>
            <w:vAlign w:val="bottom"/>
          </w:tcPr>
          <w:p>
            <w:pPr>
              <w:spacing w:after="0"/>
              <w:rPr>
                <w:sz w:val="15"/>
                <w:szCs w:val="15"/>
                <w:color w:val="auto"/>
              </w:rPr>
            </w:pPr>
          </w:p>
        </w:tc>
        <w:tc>
          <w:tcPr>
            <w:tcW w:w="9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Philadelphia, Pennsylvania, PCAOB ID: 185)</w:t>
            </w:r>
          </w:p>
        </w:tc>
        <w:tc>
          <w:tcPr>
            <w:tcW w:w="360" w:type="dxa"/>
            <w:vAlign w:val="bottom"/>
          </w:tcPr>
          <w:p>
            <w:pPr>
              <w:spacing w:after="0"/>
              <w:rPr>
                <w:sz w:val="15"/>
                <w:szCs w:val="15"/>
                <w:color w:val="auto"/>
              </w:rPr>
            </w:pPr>
          </w:p>
        </w:tc>
        <w:tc>
          <w:tcPr>
            <w:tcW w:w="60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0000FF"/>
              </w:rPr>
              <w:t>F-1</w:t>
            </w:r>
          </w:p>
        </w:tc>
      </w:tr>
      <w:tr>
        <w:trPr>
          <w:trHeight w:val="210"/>
        </w:trPr>
        <w:tc>
          <w:tcPr>
            <w:tcW w:w="380" w:type="dxa"/>
            <w:vAlign w:val="bottom"/>
          </w:tcPr>
          <w:p>
            <w:pPr>
              <w:spacing w:after="0"/>
              <w:rPr>
                <w:sz w:val="18"/>
                <w:szCs w:val="18"/>
                <w:color w:val="auto"/>
              </w:rPr>
            </w:pPr>
          </w:p>
        </w:tc>
        <w:tc>
          <w:tcPr>
            <w:tcW w:w="42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F-3</w:t>
            </w:r>
          </w:p>
        </w:tc>
        <w:tc>
          <w:tcPr>
            <w:tcW w:w="34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060" w:type="dxa"/>
            <w:vAlign w:val="bottom"/>
            <w:gridSpan w:val="5"/>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F-4</w:t>
            </w:r>
          </w:p>
        </w:tc>
        <w:tc>
          <w:tcPr>
            <w:tcW w:w="34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3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61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F-5</w:t>
            </w:r>
          </w:p>
        </w:tc>
        <w:tc>
          <w:tcPr>
            <w:tcW w:w="340" w:type="dxa"/>
            <w:vAlign w:val="bottom"/>
          </w:tcPr>
          <w:p>
            <w:pPr>
              <w:spacing w:after="0"/>
              <w:rPr>
                <w:sz w:val="18"/>
                <w:szCs w:val="18"/>
                <w:color w:val="auto"/>
              </w:rPr>
            </w:pPr>
          </w:p>
        </w:tc>
      </w:tr>
      <w:tr>
        <w:trPr>
          <w:trHeight w:val="209"/>
        </w:trPr>
        <w:tc>
          <w:tcPr>
            <w:tcW w:w="380" w:type="dxa"/>
            <w:vAlign w:val="bottom"/>
          </w:tcPr>
          <w:p>
            <w:pPr>
              <w:spacing w:after="0"/>
              <w:rPr>
                <w:sz w:val="18"/>
                <w:szCs w:val="18"/>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36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F-6</w:t>
            </w:r>
          </w:p>
        </w:tc>
      </w:tr>
      <w:tr>
        <w:trPr>
          <w:trHeight w:val="20"/>
        </w:trPr>
        <w:tc>
          <w:tcPr>
            <w:tcW w:w="3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6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F-7</w:t>
            </w:r>
          </w:p>
        </w:tc>
      </w:tr>
      <w:tr>
        <w:trPr>
          <w:trHeight w:val="20"/>
        </w:trPr>
        <w:tc>
          <w:tcPr>
            <w:tcW w:w="38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6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F-9</w:t>
            </w:r>
          </w:p>
        </w:tc>
      </w:tr>
      <w:tr>
        <w:trPr>
          <w:trHeight w:val="20"/>
        </w:trPr>
        <w:tc>
          <w:tcPr>
            <w:tcW w:w="3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92" w:lineRule="exact"/>
        <w:rPr>
          <w:sz w:val="20"/>
          <w:szCs w:val="20"/>
          <w:color w:val="auto"/>
        </w:rPr>
      </w:pPr>
    </w:p>
    <w:p>
      <w:pPr>
        <w:ind w:left="380" w:hanging="341"/>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380" w:right="14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since they are either not required, not applicable, or the information is included in the consolidated financial statements or notes thereto.</w:t>
      </w:r>
    </w:p>
    <w:p>
      <w:pPr>
        <w:spacing w:after="0" w:line="261" w:lineRule="exact"/>
        <w:rPr>
          <w:rFonts w:ascii="Times New Roman" w:cs="Times New Roman" w:eastAsia="Times New Roman" w:hAnsi="Times New Roman"/>
          <w:sz w:val="18"/>
          <w:szCs w:val="18"/>
          <w:color w:val="auto"/>
        </w:rPr>
      </w:pPr>
    </w:p>
    <w:p>
      <w:pPr>
        <w:ind w:left="380" w:hanging="341"/>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640" w:type="dxa"/>
            <w:vAlign w:val="bottom"/>
            <w:gridSpan w:val="15"/>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5640" w:type="dxa"/>
            <w:vAlign w:val="bottom"/>
            <w:gridSpan w:val="15"/>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20" w:type="dxa"/>
            <w:vAlign w:val="bottom"/>
            <w:tcBorders>
              <w:top w:val="single" w:sz="8" w:color="auto"/>
            </w:tcBorders>
            <w:gridSpan w:val="17"/>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Certificate of Incorporation of Bentley Systems, Incorporated (filed as Exhibit 3.1 to our Current Report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25, 2020 (File No. 001-39548) and incorporated herein by reference)</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line="207"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Bylaws of Bentley Systems, Incorporated (filed as Exhibit 3.2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September 25, 2020 (File No. 001-39548) and incorporated herein by reference)</w:t>
              </w:r>
            </w:hyperlink>
          </w:p>
        </w:tc>
        <w:tc>
          <w:tcPr>
            <w:tcW w:w="3600" w:type="dxa"/>
            <w:vAlign w:val="bottom"/>
            <w:tcBorders>
              <w:top w:val="single" w:sz="8" w:color="0000FF"/>
            </w:tcBorders>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Bentley Systems, Incorporated Class B common stock certificate (filed as Exhibit 4.1 to our Registration Statement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1/A filed on September 18, 2020 (File No. 333-248246) and incorporated herein by reference)</w:t>
              </w:r>
            </w:hyperlink>
          </w:p>
        </w:tc>
        <w:tc>
          <w:tcPr>
            <w:tcW w:w="6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Indenture, dated as of January 26, 2021, between Bentley Systems, Incorporated and Wilmington Trust, National Association, as trustee</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(filed as Exhibit 4.1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January 26, 2021 (File No. 001-39548) and incorporated herein by</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reference)</w:t>
              </w:r>
            </w:hyperlink>
          </w:p>
        </w:tc>
        <w:tc>
          <w:tcPr>
            <w:tcW w:w="872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line="207"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0.125% Convertible Senior Note due 2026 (included as Exhibit A in Exhibit 4.1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January 26, 2021 (File No. 001-39548) and incorporated herein by reference)</w:t>
              </w:r>
            </w:hyperlink>
          </w:p>
        </w:tc>
        <w:tc>
          <w:tcPr>
            <w:tcW w:w="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Indenture, dated as of June 28, 2021, between Bentley Systems, Incorporated and Wilmington Trust, National Association, as trustee</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(filed as Exhibit 4.1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June 29, 2021 (File No. 001-39548) and incorporated herein by</w:t>
              </w:r>
            </w:hyperlink>
          </w:p>
        </w:tc>
        <w:tc>
          <w:tcPr>
            <w:tcW w:w="3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99">
              <w:r>
                <w:rPr>
                  <w:rFonts w:ascii="Times New Roman" w:cs="Times New Roman" w:eastAsia="Times New Roman" w:hAnsi="Times New Roman"/>
                  <w:sz w:val="18"/>
                  <w:szCs w:val="18"/>
                  <w:color w:val="0000FF"/>
                  <w:w w:val="98"/>
                </w:rPr>
                <w:t>reference)</w:t>
              </w:r>
            </w:hyperlink>
          </w:p>
        </w:tc>
        <w:tc>
          <w:tcPr>
            <w:tcW w:w="8480" w:type="dxa"/>
            <w:vAlign w:val="bottom"/>
            <w:tcBorders>
              <w:top w:val="single" w:sz="8" w:color="0000FF"/>
            </w:tcBorders>
            <w:gridSpan w:val="8"/>
          </w:tcPr>
          <w:p>
            <w:pPr>
              <w:spacing w:after="0"/>
              <w:rPr>
                <w:sz w:val="13"/>
                <w:szCs w:val="13"/>
                <w:color w:val="auto"/>
              </w:rPr>
            </w:pPr>
          </w:p>
        </w:tc>
        <w:tc>
          <w:tcPr>
            <w:tcW w:w="6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line="207"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0.375% Convertible Senior Note due 2027 (included as Exhibit A in Exhibit 4.1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June 29, 2021 (File No. 001-39548) and incorporated herein by reference)</w:t>
              </w:r>
            </w:hyperlink>
          </w:p>
        </w:tc>
        <w:tc>
          <w:tcPr>
            <w:tcW w:w="4240" w:type="dxa"/>
            <w:vAlign w:val="bottom"/>
            <w:tcBorders>
              <w:top w:val="single" w:sz="8" w:color="0000FF"/>
            </w:tcBorders>
            <w:gridSpan w:val="11"/>
          </w:tcPr>
          <w:p>
            <w:pPr>
              <w:spacing w:after="0"/>
              <w:rPr>
                <w:sz w:val="14"/>
                <w:szCs w:val="14"/>
                <w:color w:val="auto"/>
              </w:rPr>
            </w:pPr>
          </w:p>
        </w:tc>
        <w:tc>
          <w:tcPr>
            <w:tcW w:w="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7"/>
          </w:tcPr>
          <w:p>
            <w:pPr>
              <w:spacing w:after="0" w:line="207"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Description of Bentley Systems, Incorporated Securities (filed as Exhibit 4.4 to our Annual Report on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March 2, 2021</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(File No. 001-39548) and incorporated herein by reference)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80" w:type="dxa"/>
            <w:vAlign w:val="bottom"/>
            <w:gridSpan w:val="26"/>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6480" w:type="dxa"/>
            <w:vAlign w:val="bottom"/>
            <w:gridSpan w:val="26"/>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60" w:type="dxa"/>
            <w:vAlign w:val="bottom"/>
            <w:tcBorders>
              <w:top w:val="single" w:sz="8" w:color="auto"/>
            </w:tcBorders>
            <w:gridSpan w:val="2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Capped Call Confirmation relating to the 0.125% Convertible Senior Note due 2026 (filed as Exhibit 10.1 to our Current Report</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on Form 8</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K filed on January 26, 2021 (File No. 001-39548) and incorporated herein by reference)</w:t>
              </w:r>
            </w:hyperlink>
          </w:p>
        </w:tc>
        <w:tc>
          <w:tcPr>
            <w:tcW w:w="29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Capped Call Confirmation relating to the 0.375% Convertible Senior Note due 2027 (filed as Exhibit 10.1 to our Current Report</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June 29, 2021 (File No. 001-39548)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Second Amended and Restated Credit Agreement, dated as of October 18, 2024, by and among Bentley Systems, Incorporated, the</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lenders party thereto, and PNC Bank, National Association, as administrative agent (filed as Exhibit 10.1 to our Current Report on</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15"/>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8-K filed on October 22, 2024 (File No. 001-39548)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2"/>
                <w:szCs w:val="22"/>
                <w:color w:val="auto"/>
              </w:rPr>
            </w:pPr>
          </w:p>
        </w:tc>
        <w:tc>
          <w:tcPr>
            <w:tcW w:w="10160" w:type="dxa"/>
            <w:vAlign w:val="bottom"/>
            <w:gridSpan w:val="28"/>
          </w:tcPr>
          <w:p>
            <w:pPr>
              <w:spacing w:after="0" w:line="207"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Bentley Systems, Incorporated 2020 Omnibus Incentive Plan (filed as Exhibit 10.1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September 25, 2020 (File No. 001-39548) and incorporated herein by reference)</w:t>
              </w:r>
            </w:hyperlink>
          </w:p>
        </w:tc>
        <w:tc>
          <w:tcPr>
            <w:tcW w:w="43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Amendment No. 1 to the Bentley Systems, Incorporated 2020 Omnibus Incentive Plan (filed as Exhibit 10.10 to our Annual Report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March 1, 2022 (File No. 001-39548)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Restricted Stock Unit Award Agreement under the Bentley Systems, Incorporated 2020 Omnibus Incentive Plan (as amended)</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(filed as Exhibit 10.12 to our Annual Report on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February 28, 2023 (File No. 001-39548) and incorporated herein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reference)</w:t>
              </w:r>
            </w:hyperlink>
          </w:p>
        </w:tc>
        <w:tc>
          <w:tcPr>
            <w:tcW w:w="92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2"/>
                <w:szCs w:val="22"/>
                <w:color w:val="auto"/>
              </w:rPr>
            </w:pPr>
          </w:p>
        </w:tc>
        <w:tc>
          <w:tcPr>
            <w:tcW w:w="10160" w:type="dxa"/>
            <w:vAlign w:val="bottom"/>
            <w:gridSpan w:val="28"/>
          </w:tcPr>
          <w:p>
            <w:pPr>
              <w:spacing w:after="0" w:line="207"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Bentley Systems, Incorporated Global Employee Stock Purchase Plan (filed as Exhibit 10.2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September 25, 2020 (File No. 001-39548) and incorporated herein by reference)</w:t>
              </w:r>
            </w:hyperlink>
          </w:p>
        </w:tc>
        <w:tc>
          <w:tcPr>
            <w:tcW w:w="43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Bentley Systems, Incorporated Nonqualified Deferred Compensation Plan, as amended and restated effective as of September 22, 2020</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(filed as Exhibit 10.3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25, 2020 (File No. 001-39548) and incorporated herein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reference)</w:t>
              </w:r>
            </w:hyperlink>
          </w:p>
        </w:tc>
        <w:tc>
          <w:tcPr>
            <w:tcW w:w="92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Amendment No. 1 to the Amended and Restated Bentley Systems, Incorporated Nonqualified Deferred Compensation Plan (filed as</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10.1 to our Quarterly Report on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on November 9, 2021 (File No. 001-39548) and incorporated herein by</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reference)</w:t>
              </w:r>
            </w:hyperlink>
          </w:p>
        </w:tc>
        <w:tc>
          <w:tcPr>
            <w:tcW w:w="922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Bentley Systems, Incorporated Nonqualified Deferred Compensation Plan for Non-Employee Directors, as amended and restated</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effective as of January 1, 2015 (filed as Exhibit 10.7 to our Registration Statement on Form 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1/A filed on September 8, 2020 (File No.</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333-248246)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Bentley Systems, Incorporated Bonus Pool Plan, as amended and restated effective as of September 22, 2020 (filed as Exhibit 10.4 to our</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Current Report on Form 8</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K filed on September 25, 2020 (File No. 001-39548) and incorporated herein by reference)</w:t>
              </w:r>
            </w:hyperlink>
          </w:p>
        </w:tc>
        <w:tc>
          <w:tcPr>
            <w:tcW w:w="1600" w:type="dxa"/>
            <w:vAlign w:val="bottom"/>
            <w:tcBorders>
              <w:top w:val="single" w:sz="8" w:color="0000FF"/>
            </w:tcBorders>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Amendment No. 1 to the Amended and Restated Bentley Systems, Incorporated Bonus Pool Plan (filed as Exhibit 10.1 to our Quarterly</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Report on Form 10</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Q filed on November 8, 2022 (File No. 001-39548) and incorporated herein by reference)</w:t>
              </w:r>
            </w:hyperlink>
          </w:p>
        </w:tc>
        <w:tc>
          <w:tcPr>
            <w:tcW w:w="2020" w:type="dxa"/>
            <w:vAlign w:val="bottom"/>
            <w:tcBorders>
              <w:top w:val="single" w:sz="8" w:color="0000FF"/>
            </w:tcBorders>
            <w:gridSpan w:val="5"/>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2 to the Amended and Restated Bentley Systems, Incorporated Bonus Pool Plan (filed as Exhibit 10.3 to our Current</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K/A filed on June 28, 2024 (File No. 001</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39548) and incorporated herein by reference)</w:t>
              </w:r>
            </w:hyperlink>
          </w:p>
        </w:tc>
        <w:tc>
          <w:tcPr>
            <w:tcW w:w="244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10160" w:type="dxa"/>
            <w:vAlign w:val="bottom"/>
            <w:tcBorders>
              <w:bottom w:val="single" w:sz="8" w:color="0000FF"/>
            </w:tcBorders>
            <w:gridSpan w:val="28"/>
          </w:tcPr>
          <w:p>
            <w:pPr>
              <w:spacing w:after="0" w:line="207"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Bentley Systems, Incorporated Severance Policy for Key Executives (filed as Exhibit 10.1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K/A filed on</w:t>
              </w:r>
            </w:hyperlink>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0" w:type="dxa"/>
            <w:vAlign w:val="bottom"/>
            <w:gridSpan w:val="5"/>
          </w:tcPr>
          <w:p>
            <w:pPr>
              <w:spacing w:after="0" w:line="149"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June 28, 2024 (File No. 001</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39548) and incorporated herein by reference)</w:t>
              </w:r>
            </w:hyperlink>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3"/>
            <w:shd w:val="clear" w:color="auto" w:fill="0000FF"/>
          </w:tcPr>
          <w:p>
            <w:pPr>
              <w:spacing w:after="0" w:line="20" w:lineRule="exact"/>
              <w:rPr>
                <w:sz w:val="1"/>
                <w:szCs w:val="1"/>
                <w:color w:val="auto"/>
              </w:rPr>
            </w:pPr>
          </w:p>
        </w:tc>
        <w:tc>
          <w:tcPr>
            <w:tcW w:w="4320" w:type="dxa"/>
            <w:vAlign w:val="bottom"/>
            <w:gridSpan w:val="10"/>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2"/>
                <w:szCs w:val="22"/>
                <w:color w:val="auto"/>
              </w:rPr>
            </w:pPr>
          </w:p>
        </w:tc>
        <w:tc>
          <w:tcPr>
            <w:tcW w:w="10160" w:type="dxa"/>
            <w:vAlign w:val="bottom"/>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Letter Agreement by and among Nicholas H. Cumins, Bentley Systems, Incorporated, and Bentley Systems France S.a.r.l. (filed as</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Exhibit 10.2 to our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K/A filed on June 28, 2024 (File No. 001</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39548) and incorporated herein by reference)</w:t>
              </w:r>
            </w:hyperlink>
          </w:p>
        </w:tc>
        <w:tc>
          <w:tcPr>
            <w:tcW w:w="300" w:type="dxa"/>
            <w:vAlign w:val="bottom"/>
            <w:tcBorders>
              <w:top w:val="single" w:sz="8" w:color="0000FF"/>
            </w:tcBorders>
            <w:gridSpan w:val="5"/>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2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10.16</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6309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10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Common Stock Purchase Agreement, by and among Bentley Systems, Incorporated, Siemens AG, and the persons listed as “Key</w:t>
        </w:r>
      </w:hyperlink>
    </w:p>
    <w:p>
      <w:pPr>
        <w:spacing w:after="0" w:line="2" w:lineRule="exact"/>
        <w:rPr>
          <w:sz w:val="20"/>
          <w:szCs w:val="20"/>
          <w:color w:val="auto"/>
        </w:rPr>
      </w:pPr>
    </w:p>
    <w:p>
      <w:pPr>
        <w:ind w:right="20"/>
        <w:spacing w:after="0" w:line="209" w:lineRule="exact"/>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Holders” therein, dated September 23, 2016, as amended on October 28, 2016, and April 23, 2018 (filed as Exhibit 10.2 to our</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Registration Statement on Form 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 filed on August 21, 2020 (File No. 333-248246) and incorporated herein by reference)</w:t>
        </w:r>
      </w:hyperlink>
    </w:p>
    <w:p>
      <w:pPr>
        <w:spacing w:after="0" w:line="8" w:lineRule="exact"/>
        <w:rPr>
          <w:sz w:val="20"/>
          <w:szCs w:val="20"/>
          <w:color w:val="auto"/>
        </w:rPr>
      </w:pPr>
    </w:p>
    <w:p>
      <w:pPr>
        <w:sectPr>
          <w:pgSz w:w="11900" w:h="16838" w:orient="portrait"/>
          <w:cols w:equalWidth="0" w:num="2">
            <w:col w:w="880" w:space="440"/>
            <w:col w:w="9900"/>
          </w:cols>
          <w:pgMar w:left="320" w:top="1440" w:right="359" w:bottom="1440" w:gutter="0" w:footer="0" w:header="0"/>
        </w:sectPr>
      </w:pPr>
    </w:p>
    <w:tbl>
      <w:tblPr>
        <w:tblLayout w:type="fixed"/>
        <w:tblInd w:w="1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Bentley Systems, Incorporated Insider Trading Policy</w:t>
            </w:r>
          </w:p>
        </w:tc>
        <w:tc>
          <w:tcPr>
            <w:tcW w:w="6020" w:type="dxa"/>
            <w:vAlign w:val="bottom"/>
            <w:gridSpan w:val="4"/>
          </w:tcPr>
          <w:p>
            <w:pPr>
              <w:spacing w:after="0"/>
              <w:rPr>
                <w:sz w:val="17"/>
                <w:szCs w:val="17"/>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580" w:type="dxa"/>
            <w:vAlign w:val="bottom"/>
            <w:gridSpan w:val="3"/>
          </w:tcPr>
          <w:p>
            <w:pPr>
              <w:spacing w:after="0"/>
              <w:rPr>
                <w:sz w:val="22"/>
                <w:szCs w:val="22"/>
                <w:color w:val="auto"/>
              </w:rPr>
            </w:pPr>
          </w:p>
        </w:tc>
      </w:tr>
      <w:tr>
        <w:trPr>
          <w:trHeight w:val="26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CEO pursuant to Rule 13a-14(a) and Rule 15d-14(a) of the Securities Exchange Act of 1934, as amended</w:t>
            </w:r>
          </w:p>
        </w:tc>
        <w:tc>
          <w:tcPr>
            <w:tcW w:w="1140" w:type="dxa"/>
            <w:vAlign w:val="bottom"/>
          </w:tcPr>
          <w:p>
            <w:pPr>
              <w:spacing w:after="0"/>
              <w:rPr>
                <w:sz w:val="22"/>
                <w:szCs w:val="22"/>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CFO pursuant to Rule 13a-14(a) and Rule 15d-14(a) of the Securities Exchange Act of 1934, as amended</w:t>
            </w:r>
          </w:p>
        </w:tc>
        <w:tc>
          <w:tcPr>
            <w:tcW w:w="1160" w:type="dxa"/>
            <w:vAlign w:val="bottom"/>
            <w:gridSpan w:val="2"/>
          </w:tcPr>
          <w:p>
            <w:pPr>
              <w:spacing w:after="0"/>
              <w:rPr>
                <w:sz w:val="22"/>
                <w:szCs w:val="22"/>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CEO and CFO Pursuant to 18 U.S.C. Section 1350, as Adopted Pursuant to Section 906 of the Sarbanes-Oxley Act of</w:t>
            </w:r>
          </w:p>
        </w:tc>
      </w:tr>
      <w:tr>
        <w:trPr>
          <w:trHeight w:val="169"/>
        </w:trPr>
        <w:tc>
          <w:tcPr>
            <w:tcW w:w="116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1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76" w:lineRule="exact"/>
        <w:rPr>
          <w:sz w:val="20"/>
          <w:szCs w:val="20"/>
          <w:color w:val="auto"/>
        </w:rPr>
      </w:pPr>
    </w:p>
    <w:p>
      <w:pPr>
        <w:jc w:val="both"/>
        <w:ind w:left="1320" w:hanging="1159"/>
        <w:spacing w:after="0" w:line="200" w:lineRule="exact"/>
        <w:tabs>
          <w:tab w:leader="none" w:pos="1320" w:val="left"/>
        </w:tabs>
        <w:numPr>
          <w:ilvl w:val="0"/>
          <w:numId w:val="33"/>
        </w:numPr>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Bentley Systems, Incorporated Incentive Compensation Clawback Policy, as Adopted on August 17, 2023 Pursuant to Nasdaq Rule 5608</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(filed as Exhibit 97 to our Annual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on February 27, 2024 (File No. 001-39548) and incorporated herein by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reference)</w:t>
        </w:r>
      </w:hyperlink>
    </w:p>
    <w:p>
      <w:pPr>
        <w:spacing w:after="0" w:line="32" w:lineRule="exact"/>
        <w:rPr>
          <w:rFonts w:ascii="Times New Roman" w:cs="Times New Roman" w:eastAsia="Times New Roman" w:hAnsi="Times New Roman"/>
          <w:sz w:val="18"/>
          <w:szCs w:val="18"/>
          <w:u w:val="single" w:color="auto"/>
          <w:color w:val="0000FF"/>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r>
      <w:tr>
        <w:trPr>
          <w:trHeight w:val="234"/>
        </w:trPr>
        <w:tc>
          <w:tcPr>
            <w:tcW w:w="96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49" w:lineRule="exact"/>
        <w:rPr>
          <w:rFonts w:ascii="Times New Roman" w:cs="Times New Roman" w:eastAsia="Times New Roman" w:hAnsi="Times New Roman"/>
          <w:sz w:val="18"/>
          <w:szCs w:val="18"/>
          <w:u w:val="single" w:color="auto"/>
          <w:color w:val="0000FF"/>
        </w:rPr>
      </w:pPr>
    </w:p>
    <w:p>
      <w:pPr>
        <w:ind w:left="1320" w:hanging="1249"/>
        <w:spacing w:after="0"/>
        <w:tabs>
          <w:tab w:leader="none" w:pos="13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319"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u w:val="single" w:color="auto"/>
          <w:color w:val="0000FF"/>
        </w:rPr>
      </w:pPr>
    </w:p>
    <w:p>
      <w:pPr>
        <w:jc w:val="both"/>
        <w:ind w:left="480" w:hanging="454"/>
        <w:spacing w:after="0" w:line="223" w:lineRule="exact"/>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The certification attached as Exhibit 32 that accompanies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not deemed filed with the SEC and is not to be incorporated by reference into any filing of Bentley Systems, Incorporated under the Securities Act of 1933, as amended, or the Securities Exchange Act of 1934, as amended, whether made before or after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200" w:lineRule="exact"/>
        <w:rPr>
          <w:rFonts w:ascii="Times New Roman" w:cs="Times New Roman" w:eastAsia="Times New Roman" w:hAnsi="Times New Roman"/>
          <w:sz w:val="18"/>
          <w:szCs w:val="18"/>
          <w:u w:val="single" w:color="auto"/>
          <w:color w:val="0000FF"/>
        </w:rPr>
      </w:pPr>
    </w:p>
    <w:p>
      <w:pPr>
        <w:spacing w:after="0" w:line="25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98"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We hereby file the exhibits listed in the attached Exhibit Index.</w:t>
      </w:r>
    </w:p>
    <w:p>
      <w:pPr>
        <w:spacing w:after="0" w:line="185" w:lineRule="exact"/>
        <w:rPr>
          <w:rFonts w:ascii="Times New Roman" w:cs="Times New Roman" w:eastAsia="Times New Roman" w:hAnsi="Times New Roman"/>
          <w:sz w:val="18"/>
          <w:szCs w:val="18"/>
          <w:u w:val="single" w:color="auto"/>
          <w:color w:val="0000FF"/>
        </w:rPr>
      </w:pPr>
    </w:p>
    <w:p>
      <w:pPr>
        <w:ind w:left="340" w:right="8700" w:hanging="332"/>
        <w:spacing w:after="0" w:line="459" w:lineRule="auto"/>
        <w:tabs>
          <w:tab w:leader="none" w:pos="2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9"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2" w:name="page63"/>
    <w:bookmarkEnd w:id="6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90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tc>
      </w:tr>
      <w:tr>
        <w:trPr>
          <w:trHeight w:val="40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34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ICHOLAS</w:t>
            </w:r>
            <w:r>
              <w:rPr>
                <w:rFonts w:ascii="Times New Roman" w:cs="Times New Roman" w:eastAsia="Times New Roman" w:hAnsi="Times New Roman"/>
                <w:sz w:val="18"/>
                <w:szCs w:val="18"/>
                <w:color w:val="auto"/>
              </w:rPr>
              <w:t xml:space="preserve"> H. C</w:t>
            </w:r>
            <w:r>
              <w:rPr>
                <w:rFonts w:ascii="Times New Roman" w:cs="Times New Roman" w:eastAsia="Times New Roman" w:hAnsi="Times New Roman"/>
                <w:sz w:val="14"/>
                <w:szCs w:val="14"/>
                <w:color w:val="auto"/>
              </w:rPr>
              <w:t>UMINS</w:t>
            </w:r>
          </w:p>
        </w:tc>
      </w:tr>
      <w:tr>
        <w:trPr>
          <w:trHeight w:val="218"/>
        </w:trPr>
        <w:tc>
          <w:tcPr>
            <w:tcW w:w="4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Nicholas H. Cumins</w:t>
            </w:r>
          </w:p>
        </w:tc>
      </w:tr>
      <w:tr>
        <w:trPr>
          <w:trHeight w:val="234"/>
        </w:trPr>
        <w:tc>
          <w:tcPr>
            <w:tcW w:w="4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26,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140" w:type="dxa"/>
            <w:vAlign w:val="bottom"/>
            <w:gridSpan w:val="2"/>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20"/>
        </w:trPr>
        <w:tc>
          <w:tcPr>
            <w:tcW w:w="1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2"/>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ICHOLAS</w:t>
            </w:r>
            <w:r>
              <w:rPr>
                <w:rFonts w:ascii="Times New Roman" w:cs="Times New Roman" w:eastAsia="Times New Roman" w:hAnsi="Times New Roman"/>
                <w:sz w:val="18"/>
                <w:szCs w:val="18"/>
                <w:color w:val="auto"/>
              </w:rPr>
              <w:t xml:space="preserve"> H. C</w:t>
            </w:r>
            <w:r>
              <w:rPr>
                <w:rFonts w:ascii="Times New Roman" w:cs="Times New Roman" w:eastAsia="Times New Roman" w:hAnsi="Times New Roman"/>
                <w:sz w:val="14"/>
                <w:szCs w:val="14"/>
                <w:color w:val="auto"/>
              </w:rPr>
              <w:t>UMINS</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Nicholas H. Cumins</w:t>
            </w:r>
          </w:p>
        </w:tc>
        <w:tc>
          <w:tcPr>
            <w:tcW w:w="604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Werner Andre</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F. T</w:t>
            </w:r>
            <w:r>
              <w:rPr>
                <w:rFonts w:ascii="Times New Roman" w:cs="Times New Roman" w:eastAsia="Times New Roman" w:hAnsi="Times New Roman"/>
                <w:sz w:val="14"/>
                <w:szCs w:val="14"/>
                <w:color w:val="auto"/>
              </w:rPr>
              <w:t>RIMBACK</w:t>
            </w:r>
          </w:p>
        </w:tc>
        <w:tc>
          <w:tcPr>
            <w:tcW w:w="604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color w:val="auto"/>
                <w:w w:val="99"/>
              </w:rPr>
              <w:t>Chief Accounting Officer and Global Controller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Thomas F. Trimback</w:t>
            </w:r>
          </w:p>
        </w:tc>
        <w:tc>
          <w:tcPr>
            <w:tcW w:w="604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tc>
        <w:tc>
          <w:tcPr>
            <w:tcW w:w="604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color w:val="auto"/>
                <w:w w:val="99"/>
              </w:rPr>
              <w:t>Executive Chair and President</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Gregory S.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ARRY</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ENTLEY</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Barry J.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4"/>
                <w:szCs w:val="14"/>
                <w:color w:val="auto"/>
              </w:rPr>
              <w:t>EITH</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4"/>
                <w:szCs w:val="14"/>
                <w:color w:val="auto"/>
              </w:rPr>
              <w:t>ENTLEY</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Keith A.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AYMOND</w:t>
            </w:r>
            <w:r>
              <w:rPr>
                <w:rFonts w:ascii="Times New Roman" w:cs="Times New Roman" w:eastAsia="Times New Roman" w:hAnsi="Times New Roman"/>
                <w:sz w:val="18"/>
                <w:szCs w:val="18"/>
                <w:color w:val="auto"/>
              </w:rPr>
              <w:t xml:space="preserve"> B. B</w:t>
            </w:r>
            <w:r>
              <w:rPr>
                <w:rFonts w:ascii="Times New Roman" w:cs="Times New Roman" w:eastAsia="Times New Roman" w:hAnsi="Times New Roman"/>
                <w:sz w:val="14"/>
                <w:szCs w:val="14"/>
                <w:color w:val="auto"/>
              </w:rPr>
              <w:t>ENTLEY</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Raymond B.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4"/>
                <w:szCs w:val="14"/>
                <w:color w:val="auto"/>
              </w:rPr>
              <w:t>IRK</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4"/>
                <w:szCs w:val="14"/>
                <w:color w:val="auto"/>
              </w:rPr>
              <w:t>RISWOLD</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Kirk B. Griswold</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ANET</w:t>
            </w:r>
            <w:r>
              <w:rPr>
                <w:rFonts w:ascii="Times New Roman" w:cs="Times New Roman" w:eastAsia="Times New Roman" w:hAnsi="Times New Roman"/>
                <w:sz w:val="18"/>
                <w:szCs w:val="18"/>
                <w:color w:val="auto"/>
              </w:rPr>
              <w:t xml:space="preserve"> B. H</w:t>
            </w:r>
            <w:r>
              <w:rPr>
                <w:rFonts w:ascii="Times New Roman" w:cs="Times New Roman" w:eastAsia="Times New Roman" w:hAnsi="Times New Roman"/>
                <w:sz w:val="14"/>
                <w:szCs w:val="14"/>
                <w:color w:val="auto"/>
              </w:rPr>
              <w:t>AUGEN</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Janet B. Haugen</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w:t>
            </w:r>
            <w:r>
              <w:rPr>
                <w:rFonts w:ascii="Times New Roman" w:cs="Times New Roman" w:eastAsia="Times New Roman" w:hAnsi="Times New Roman"/>
                <w:sz w:val="14"/>
                <w:szCs w:val="14"/>
                <w:color w:val="auto"/>
                <w:w w:val="99"/>
              </w:rPr>
              <w:t>RIAN</w:t>
            </w:r>
            <w:r>
              <w:rPr>
                <w:rFonts w:ascii="Times New Roman" w:cs="Times New Roman" w:eastAsia="Times New Roman" w:hAnsi="Times New Roman"/>
                <w:sz w:val="18"/>
                <w:szCs w:val="18"/>
                <w:color w:val="auto"/>
                <w:w w:val="99"/>
              </w:rPr>
              <w:t xml:space="preserve"> F. H</w:t>
            </w:r>
            <w:r>
              <w:rPr>
                <w:rFonts w:ascii="Times New Roman" w:cs="Times New Roman" w:eastAsia="Times New Roman" w:hAnsi="Times New Roman"/>
                <w:sz w:val="14"/>
                <w:szCs w:val="14"/>
                <w:color w:val="auto"/>
                <w:w w:val="99"/>
              </w:rPr>
              <w:t>UGHES</w:t>
            </w:r>
          </w:p>
        </w:tc>
        <w:tc>
          <w:tcPr>
            <w:tcW w:w="6040" w:type="dxa"/>
            <w:vAlign w:val="bottom"/>
            <w:gridSpan w:val="3"/>
          </w:tcPr>
          <w:p>
            <w:pPr>
              <w:jc w:val="center"/>
              <w:ind w:left="24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Brian F. Hughes</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8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Bentley Systems, Incorporated and subsidiaries (the Company) as of December 31, 2024 and 2023, the related consolidated statements of operations, comprehensive income,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7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 systems used in subscriptions and licenses revenues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and disclosed in the consolidated statements of operations, the Company recorded $1,353,095 thousand of total revenues for the year ended December 31, 2024, of which $1,269,323 thousand related to subscriptions and licenses. There are high volumes of subscription and license transactions processed across multiple information technology (IT) systems.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subscriptions and licenses revenues as a critical audit matter. This matter required especially subjective auditor judgment because of the number of IT applications involved in the subscriptions and licenses revenue recognition process. This matter also included determining the nature and extent of audit evidence obtained over subscriptions and licenses revenues and required specialized skills and knowledge for the performance of certain procedures.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subscriptions and licenses revenues, including the determination of the IT applications subject to testing. We evaluated the design and tested the operating effectiveness of certain internal controls over the Company’s subscriptions and licenses revenue process, including associated IT controls. We assessed the recorded subscriptions and licenses revenues by selecting a sample of transactions and comparing the amounts recognized for consistency with underlying documentation, including contracts with customers. We also involved IT professionals with specialized skills and knowledge, who assisted in testing key reports, application controls and general IT controls over certain IT applications that are used by the Company in its subscriptions and licenses revenue recognition process. We evaluated the sufficiency of audit evidence obtained by assessing the results of procedures performed, including the appropriateness of the nature and extent of such evidence.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64,009</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68,412</w:t>
            </w:r>
          </w:p>
        </w:tc>
      </w:tr>
      <w:tr>
        <w:trPr>
          <w:trHeight w:val="233"/>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322,862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302,501</w:t>
            </w: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(8,965)</w:t>
            </w:r>
          </w:p>
        </w:tc>
      </w:tr>
      <w:tr>
        <w:trPr>
          <w:trHeight w:val="233"/>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w:t>
            </w: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50,531</w:t>
            </w:r>
          </w:p>
        </w:tc>
        <w:tc>
          <w:tcPr>
            <w:tcW w:w="26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44,797</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442,073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419,557</w:t>
            </w:r>
          </w:p>
        </w:tc>
      </w:tr>
      <w:tr>
        <w:trPr>
          <w:trHeight w:val="24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33,798</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40,100</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38,476</w:t>
            </w: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213,959</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248,787</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2,367,179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2,269,336</w:t>
            </w: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25,764</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23,480</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212,831</w:t>
            </w: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86,445</w:t>
            </w:r>
          </w:p>
        </w:tc>
        <w:tc>
          <w:tcPr>
            <w:tcW w:w="26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67,283</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3,399,807</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3,319,850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16,479</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18,094</w:t>
            </w:r>
          </w:p>
        </w:tc>
      </w:tr>
      <w:tr>
        <w:trPr>
          <w:trHeight w:val="233"/>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536,417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457,348</w:t>
            </w: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245,729</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253,785</w:t>
            </w:r>
          </w:p>
        </w:tc>
      </w:tr>
      <w:tr>
        <w:trPr>
          <w:trHeight w:val="233"/>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w:t>
            </w: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9,491</w:t>
            </w:r>
          </w:p>
        </w:tc>
      </w:tr>
      <w:tr>
        <w:trPr>
          <w:trHeight w:val="236"/>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6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814,334</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760,363</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1,388,088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1,518,403</w:t>
            </w: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96,684</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88,181</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30,626</w:t>
            </w: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16,641</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w:t>
            </w: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r>
      <w:tr>
        <w:trPr>
          <w:trHeight w:val="23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2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5,378</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2,358,687</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2,435,868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02"/>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100,000,000 shares; none issued or outstanding as of December 31,</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0"/>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2024 and 2023</w:t>
            </w:r>
          </w:p>
        </w:tc>
        <w:tc>
          <w:tcPr>
            <w:tcW w:w="36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authorized 100,000,000 shares; issued and outstanding 11,537,627 shares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of December 31, 2024 and 2023</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2"/>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common stock, $0.01 par value, authorized 1,800,000,000 shares; issued and outstanding 290,439,703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0"/>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284,728,210 shares as of December 31, 2024 and 2023,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r>
      <w:tr>
        <w:trPr>
          <w:trHeight w:val="24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1,217,986</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1,127,234</w:t>
            </w:r>
          </w:p>
        </w:tc>
      </w:tr>
      <w:tr>
        <w:trPr>
          <w:trHeight w:val="233"/>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(84,987)</w:t>
            </w:r>
          </w:p>
        </w:tc>
      </w:tr>
      <w:tr>
        <w:trPr>
          <w:trHeight w:val="25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(75,941)</w:t>
            </w:r>
          </w:p>
        </w:tc>
        <w:tc>
          <w:tcPr>
            <w:tcW w:w="26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(161,932)</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Bentley Systems stockholders’ equity</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1,040,987</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883,278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1,041,120</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883,982</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3,399,807</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3,319,850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65" w:right="339"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904" w:gutter="0" w:footer="0" w:header="0"/>
          <w:type w:val="continuous"/>
        </w:sectPr>
      </w:pPr>
    </w:p>
    <w:bookmarkStart w:id="66" w:name="page67"/>
    <w:bookmarkEnd w:id="66"/>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1,223,362</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1,080,307</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43,377</w:t>
            </w:r>
          </w:p>
        </w:tc>
        <w:tc>
          <w:tcPr>
            <w:tcW w:w="0" w:type="dxa"/>
            <w:vAlign w:val="bottom"/>
          </w:tcPr>
          <w:p>
            <w:pPr>
              <w:spacing w:after="0"/>
              <w:rPr>
                <w:sz w:val="1"/>
                <w:szCs w:val="1"/>
                <w:color w:val="auto"/>
              </w:rPr>
            </w:pPr>
          </w:p>
        </w:tc>
      </w:tr>
      <w:tr>
        <w:trPr>
          <w:trHeight w:val="250"/>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1,269,323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1,126,345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1,003,597</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102,068</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1,353,095</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1,099,082</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147,578</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84,427</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96,677</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89,435</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257,767</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266,083</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237,013</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1,095,328</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962,330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862,069</w:t>
            </w: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(income):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281,247</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257,856</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195,622</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210,374</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174,647</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793,178</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653,457</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208,612</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293,055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183,527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198,275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 of tax</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326,787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174,780</w:t>
            </w: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Bentley Systems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326,787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Bentley Systems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314,886,615</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312,358,823</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309,226,677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333,774,167</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332,503,633</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331,765,158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193040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7" w:name="page68"/>
    <w:bookmarkEnd w:id="67"/>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7"/>
        </w:trPr>
        <w:tc>
          <w:tcPr>
            <w:tcW w:w="60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326,787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174,780</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5"/>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(loss) on retirement plan, net of tax effect of $(45), $(89), and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1"/>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$(245), respectively</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5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income, net of taxes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331,540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176,814</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Bentley Systems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331,540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BENTLEY SYSTEMS, INCORPORATED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Bentley</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and Class B</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Systems</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360" w:type="dxa"/>
            <w:vAlign w:val="bottom"/>
            <w:gridSpan w:val="3"/>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14"/>
                <w:szCs w:val="14"/>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line="20" w:lineRule="exact"/>
              <w:rPr>
                <w:sz w:val="1"/>
                <w:szCs w:val="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8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jc w:val="center"/>
              <w:ind w:right="1788"/>
              <w:spacing w:after="0"/>
              <w:rPr>
                <w:sz w:val="20"/>
                <w:szCs w:val="20"/>
                <w:color w:val="auto"/>
              </w:rPr>
            </w:pPr>
            <w:r>
              <w:rPr>
                <w:rFonts w:ascii="Times New Roman" w:cs="Times New Roman" w:eastAsia="Times New Roman" w:hAnsi="Times New Roman"/>
                <w:sz w:val="14"/>
                <w:szCs w:val="14"/>
                <w:color w:val="auto"/>
              </w:rPr>
              <w:t>Balance,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282,526,719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937,805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(439,634)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409,222</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174,780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174,780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DCP,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3,541,375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DCP elective participant deferrals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Bonus Plan,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445,050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60" w:type="dxa"/>
            <w:vAlign w:val="bottom"/>
          </w:tcPr>
          <w:p>
            <w:pPr>
              <w:jc w:val="center"/>
              <w:ind w:right="1768"/>
              <w:spacing w:after="0"/>
              <w:rPr>
                <w:sz w:val="20"/>
                <w:szCs w:val="20"/>
                <w:color w:val="auto"/>
              </w:rPr>
            </w:pPr>
            <w:r>
              <w:rPr>
                <w:rFonts w:ascii="Times New Roman" w:cs="Times New Roman" w:eastAsia="Times New Roman" w:hAnsi="Times New Roman"/>
                <w:sz w:val="14"/>
                <w:szCs w:val="14"/>
                <w:color w:val="auto"/>
              </w:rPr>
              <w:t>purchase plan, net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2,613,659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option exercises,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for stock grants,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277,594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Class B common stock under approved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program</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jc w:val="center"/>
              <w:ind w:right="1788"/>
              <w:spacing w:after="0"/>
              <w:rPr>
                <w:sz w:val="20"/>
                <w:szCs w:val="20"/>
                <w:color w:val="auto"/>
              </w:rPr>
            </w:pPr>
            <w:r>
              <w:rPr>
                <w:rFonts w:ascii="Times New Roman" w:cs="Times New Roman" w:eastAsia="Times New Roman" w:hAnsi="Times New Roman"/>
                <w:sz w:val="14"/>
                <w:szCs w:val="14"/>
                <w:color w:val="auto"/>
              </w:rPr>
              <w:t>Balance, December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289,014,487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1,030,466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(370,866)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572,750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573,454</w:t>
            </w:r>
          </w:p>
        </w:tc>
        <w:tc>
          <w:tcPr>
            <w:tcW w:w="0" w:type="dxa"/>
            <w:vAlign w:val="bottom"/>
          </w:tcPr>
          <w:p>
            <w:pPr>
              <w:spacing w:after="0"/>
              <w:rPr>
                <w:sz w:val="1"/>
                <w:szCs w:val="1"/>
                <w:color w:val="auto"/>
              </w:rPr>
            </w:pPr>
          </w:p>
        </w:tc>
      </w:tr>
      <w:tr>
        <w:trPr>
          <w:trHeight w:val="18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326,787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326,787</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(58,756)</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DCP,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3,410,006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(38,456)</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DCP elective participant deferrals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Bonus Plan,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247,867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60" w:type="dxa"/>
            <w:vAlign w:val="bottom"/>
          </w:tcPr>
          <w:p>
            <w:pPr>
              <w:jc w:val="center"/>
              <w:ind w:right="1768"/>
              <w:spacing w:after="0"/>
              <w:rPr>
                <w:sz w:val="20"/>
                <w:szCs w:val="20"/>
                <w:color w:val="auto"/>
              </w:rPr>
            </w:pPr>
            <w:r>
              <w:rPr>
                <w:rFonts w:ascii="Times New Roman" w:cs="Times New Roman" w:eastAsia="Times New Roman" w:hAnsi="Times New Roman"/>
                <w:sz w:val="14"/>
                <w:szCs w:val="14"/>
                <w:color w:val="auto"/>
              </w:rPr>
              <w:t>purchase plan, net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2,621,959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for stock grants,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55,982</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tcPr>
          <w:p>
            <w:pPr>
              <w:jc w:val="center"/>
              <w:ind w:right="1788"/>
              <w:spacing w:after="0"/>
              <w:rPr>
                <w:sz w:val="20"/>
                <w:szCs w:val="20"/>
                <w:color w:val="auto"/>
              </w:rPr>
            </w:pPr>
            <w:r>
              <w:rPr>
                <w:rFonts w:ascii="Times New Roman" w:cs="Times New Roman" w:eastAsia="Times New Roman" w:hAnsi="Times New Roman"/>
                <w:sz w:val="14"/>
                <w:szCs w:val="14"/>
                <w:color w:val="auto"/>
              </w:rPr>
              <w:t>Balance, December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296,265,837</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1,127,234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(84,987)</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(161,932)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883,278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883,982</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234,787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234,787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234,433</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(72,115)</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DCP</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4,707,845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DCP elective participant deferrals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Bonus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60" w:type="dxa"/>
            <w:vAlign w:val="bottom"/>
            <w:tcBorders>
              <w:bottom w:val="single" w:sz="8" w:color="CCEEFF"/>
            </w:tcBorders>
            <w:shd w:val="clear" w:color="auto" w:fill="CCEEFF"/>
          </w:tcPr>
          <w:p>
            <w:pPr>
              <w:jc w:val="center"/>
              <w:ind w:right="1768"/>
              <w:spacing w:after="0"/>
              <w:rPr>
                <w:sz w:val="20"/>
                <w:szCs w:val="20"/>
                <w:color w:val="auto"/>
              </w:rPr>
            </w:pPr>
            <w:r>
              <w:rPr>
                <w:rFonts w:ascii="Times New Roman" w:cs="Times New Roman" w:eastAsia="Times New Roman" w:hAnsi="Times New Roman"/>
                <w:sz w:val="14"/>
                <w:szCs w:val="14"/>
                <w:color w:val="auto"/>
              </w:rPr>
              <w:t>purchase plan,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253,578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10,880</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844,283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for stock grants,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0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60,322</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904,789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Class B common stock under approved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program</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(1,292,733)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(64,359)</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60" w:type="dxa"/>
            <w:vAlign w:val="bottom"/>
          </w:tcPr>
          <w:p>
            <w:pPr>
              <w:jc w:val="center"/>
              <w:ind w:right="1788"/>
              <w:spacing w:after="0"/>
              <w:rPr>
                <w:sz w:val="20"/>
                <w:szCs w:val="20"/>
                <w:color w:val="auto"/>
              </w:rPr>
            </w:pPr>
            <w:r>
              <w:rPr>
                <w:rFonts w:ascii="Times New Roman" w:cs="Times New Roman" w:eastAsia="Times New Roman" w:hAnsi="Times New Roman"/>
                <w:sz w:val="14"/>
                <w:szCs w:val="14"/>
                <w:color w:val="auto"/>
              </w:rPr>
              <w:t>Balance, December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301,977,330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1,217,986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(104,078)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1,040,987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1,041,120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ectPr>
          <w:pgSz w:w="11900" w:h="16838" w:orient="portrait"/>
          <w:cols w:equalWidth="0" w:num="1">
            <w:col w:w="11200"/>
          </w:cols>
          <w:pgMar w:left="340" w:top="1440" w:right="359" w:bottom="837"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200660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837" w:gutter="0" w:footer="0" w:header="0"/>
          <w:type w:val="continuous"/>
        </w:sectPr>
      </w:pPr>
    </w:p>
    <w:bookmarkStart w:id="69" w:name="page70"/>
    <w:bookmarkEnd w:id="69"/>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9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234,433</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326,787</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174,780</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0"/>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amortization, and impairment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71,537</w:t>
            </w:r>
          </w:p>
        </w:tc>
      </w:tr>
      <w:tr>
        <w:trPr>
          <w:trHeight w:val="24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w:t>
            </w:r>
          </w:p>
        </w:tc>
      </w:tr>
      <w:tr>
        <w:trPr>
          <w:trHeight w:val="240"/>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75,206</w:t>
            </w:r>
          </w:p>
        </w:tc>
      </w:tr>
      <w:tr>
        <w:trPr>
          <w:trHeight w:val="24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 plan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(15,782)</w:t>
            </w:r>
          </w:p>
        </w:tc>
      </w:tr>
      <w:tr>
        <w:trPr>
          <w:trHeight w:val="240"/>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w:t>
            </w:r>
          </w:p>
        </w:tc>
      </w:tr>
      <w:tr>
        <w:trPr>
          <w:trHeight w:val="24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derivative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(27,083)</w:t>
            </w:r>
          </w:p>
        </w:tc>
      </w:tr>
      <w:tr>
        <w:trPr>
          <w:trHeight w:val="240"/>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remeasurement (gain) loss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4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r>
      <w:tr>
        <w:trPr>
          <w:trHeight w:val="233"/>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 from acquisitions: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(60,938)</w:t>
            </w:r>
          </w:p>
        </w:tc>
      </w:tr>
      <w:tr>
        <w:trPr>
          <w:trHeight w:val="240"/>
        </w:trPr>
        <w:tc>
          <w:tcPr>
            <w:tcW w:w="7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and other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w:t>
            </w:r>
          </w:p>
        </w:tc>
      </w:tr>
      <w:tr>
        <w:trPr>
          <w:trHeight w:val="246"/>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74,953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29,181</w:t>
            </w:r>
          </w:p>
        </w:tc>
      </w:tr>
      <w:tr>
        <w:trPr>
          <w:trHeight w:val="240"/>
        </w:trPr>
        <w:tc>
          <w:tcPr>
            <w:tcW w:w="7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revenues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r>
      <w:tr>
        <w:trPr>
          <w:trHeight w:val="246"/>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Income taxes payable, net of prepaid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(12,550)</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435,292</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416,696</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274,324</w:t>
            </w:r>
          </w:p>
        </w:tc>
      </w:tr>
      <w:tr>
        <w:trPr>
          <w:trHeight w:val="19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 and investment in capitalized software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(18,546)</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aircraft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(743,007)</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(10,954)</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investments</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(143,267)</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(60,504)</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(770,127)</w:t>
            </w:r>
          </w:p>
        </w:tc>
      </w:tr>
      <w:tr>
        <w:trPr>
          <w:trHeight w:val="19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517,643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588,154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833,292</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credit facilities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(474,356)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(841,723)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(487,694)</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convertible senior notes</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term loan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contingent and non-contingent consideration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dividends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(34,493)</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stock purchases under employee stock purchase plan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8,338</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shares acquired including shares withheld for taxes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(43,561)</w:t>
            </w:r>
          </w:p>
        </w:tc>
      </w:tr>
      <w:tr>
        <w:trPr>
          <w:trHeight w:val="24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Class B common stock under approved program</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w:t>
            </w:r>
          </w:p>
        </w:tc>
      </w:tr>
      <w:tr>
        <w:trPr>
          <w:trHeight w:val="24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(289,850)</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(359,074)</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243,034</w:t>
            </w:r>
          </w:p>
        </w:tc>
      </w:tr>
      <w:tr>
        <w:trPr>
          <w:trHeight w:val="21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w:t>
            </w:r>
          </w:p>
        </w:tc>
      </w:tr>
      <w:tr>
        <w:trPr>
          <w:trHeight w:val="20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(257,653)</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71,684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329,337</w:t>
            </w:r>
          </w:p>
        </w:tc>
      </w:tr>
      <w:tr>
        <w:trPr>
          <w:trHeight w:val="212"/>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64,009</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68,412</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71,684</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0" w:name="page71"/>
    <w:bookmarkEnd w:id="70"/>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BENTLEY SYSTEMS, INCORPORATED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38" w:orient="portrait"/>
          <w:cols w:equalWidth="0" w:num="1">
            <w:col w:w="11180"/>
          </w:cols>
          <w:pgMar w:left="36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tax refunds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method investment</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Contingent acquisition consideration</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Deferred, non-contingent consideration, net</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Share-settled Bonus Plan awards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DCP elective participant deferrals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21590</wp:posOffset>
            </wp:positionV>
            <wp:extent cx="23660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9" w:lineRule="exact"/>
        <w:rPr>
          <w:sz w:val="20"/>
          <w:szCs w:val="20"/>
          <w:color w:val="auto"/>
        </w:rPr>
      </w:pPr>
    </w:p>
    <w:tbl>
      <w:tblPr>
        <w:tblLayout w:type="fixed"/>
        <w:tblInd w:w="4100" w:type="dxa"/>
        <w:tblCellMar>
          <w:top w:w="0" w:type="dxa"/>
          <w:left w:w="0" w:type="dxa"/>
          <w:bottom w:w="0" w:type="dxa"/>
          <w:right w:w="0" w:type="dxa"/>
        </w:tblCellMar>
      </w:tblPr>
      <w:tr>
        <w:trPr>
          <w:trHeight w:val="225"/>
        </w:trPr>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8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1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29,478</w:t>
            </w:r>
          </w:p>
        </w:tc>
      </w:tr>
      <w:tr>
        <w:trPr>
          <w:trHeight w:val="270"/>
        </w:trPr>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70"/>
        </w:trPr>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26,581</w:t>
            </w:r>
          </w:p>
        </w:tc>
      </w:tr>
      <w:tr>
        <w:trPr>
          <w:trHeight w:val="499"/>
        </w:trPr>
        <w:tc>
          <w:tcPr>
            <w:tcW w:w="2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70"/>
        </w:trPr>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r>
      <w:tr>
        <w:trPr>
          <w:trHeight w:val="270"/>
        </w:trPr>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-1662430</wp:posOffset>
            </wp:positionV>
            <wp:extent cx="711517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-1345565</wp:posOffset>
            </wp:positionV>
            <wp:extent cx="711517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-1002665</wp:posOffset>
            </wp:positionV>
            <wp:extent cx="711517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-685165</wp:posOffset>
            </wp:positionV>
            <wp:extent cx="711517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-342265</wp:posOffset>
            </wp:positionV>
            <wp:extent cx="711517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193040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00" w:space="60"/>
            <w:col w:w="7820"/>
          </w:cols>
          <w:pgMar w:left="360" w:top="1440" w:right="359" w:bottom="1440" w:gutter="0" w:footer="0" w:header="0"/>
          <w:type w:val="continuous"/>
        </w:sectPr>
      </w:pPr>
    </w:p>
    <w:bookmarkStart w:id="71" w:name="page72"/>
    <w:bookmarkEnd w:id="71"/>
    <w:p>
      <w:pPr>
        <w:spacing w:after="0" w:line="14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ind w:right="5080"/>
        <w:spacing w:after="0" w:line="464" w:lineRule="auto"/>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 Business and Operations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Bentley Systems is the infrastructure engineering software company. The Company’s purpose is to advance the world’s infrastructure for better quality of life. The Company’s products and solutions empower people to design, build, and operate better and more resilient infrastructure through the adoption of Bentley Systems’ intelligent digital twin solutions.</w:t>
      </w:r>
    </w:p>
    <w:p>
      <w:pPr>
        <w:spacing w:after="0" w:line="13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 xml:space="preserve">The Company serves enterprises and professionals across the infrastructure lifecycle by improving project delivery and asset performance. The Company’s </w:t>
      </w:r>
      <w:r>
        <w:rPr>
          <w:rFonts w:ascii="Times New Roman" w:cs="Times New Roman" w:eastAsia="Times New Roman" w:hAnsi="Times New Roman"/>
          <w:sz w:val="18"/>
          <w:szCs w:val="18"/>
          <w:i w:val="1"/>
          <w:iCs w:val="1"/>
          <w:color w:val="auto"/>
        </w:rPr>
        <w:t>Bentley Open</w:t>
      </w:r>
      <w:r>
        <w:rPr>
          <w:rFonts w:ascii="Times New Roman" w:cs="Times New Roman" w:eastAsia="Times New Roman" w:hAnsi="Times New Roman"/>
          <w:sz w:val="18"/>
          <w:szCs w:val="18"/>
          <w:color w:val="auto"/>
        </w:rPr>
        <w:t xml:space="preserve"> engineering applications and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color w:val="auto"/>
        </w:rPr>
        <w:t xml:space="preserve"> geoprofessional applications are primarily cloud-connected desktop modeling and simulation applications that support the breadth of engineering and geoprofessional disciplines.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provided via cloud and hybrid environments, extends enterprise collaboration during project delivery, and helps manage engineering information during operations and maintenance. </w:t>
      </w:r>
      <w:r>
        <w:rPr>
          <w:rFonts w:ascii="Times New Roman" w:cs="Times New Roman" w:eastAsia="Times New Roman" w:hAnsi="Times New Roman"/>
          <w:sz w:val="18"/>
          <w:szCs w:val="18"/>
          <w:i w:val="1"/>
          <w:iCs w:val="1"/>
          <w:color w:val="auto"/>
        </w:rPr>
        <w:t>Bentley Asset Analytics</w:t>
      </w:r>
      <w:r>
        <w:rPr>
          <w:rFonts w:ascii="Times New Roman" w:cs="Times New Roman" w:eastAsia="Times New Roman" w:hAnsi="Times New Roman"/>
          <w:sz w:val="18"/>
          <w:szCs w:val="18"/>
          <w:color w:val="auto"/>
        </w:rPr>
        <w:t xml:space="preserve"> solutions automatically detect and analyze issues to trigger key operational workflows, improving overall asset performance. Powering these products is our </w:t>
      </w:r>
      <w:r>
        <w:rPr>
          <w:rFonts w:ascii="Times New Roman" w:cs="Times New Roman" w:eastAsia="Times New Roman" w:hAnsi="Times New Roman"/>
          <w:sz w:val="18"/>
          <w:szCs w:val="18"/>
          <w:i w:val="1"/>
          <w:iCs w:val="1"/>
          <w:color w:val="auto"/>
        </w:rPr>
        <w:t>Cesium and iTwin Platform</w:t>
      </w:r>
      <w:r>
        <w:rPr>
          <w:rFonts w:ascii="Times New Roman" w:cs="Times New Roman" w:eastAsia="Times New Roman" w:hAnsi="Times New Roman"/>
          <w:sz w:val="18"/>
          <w:szCs w:val="18"/>
          <w:color w:val="auto"/>
        </w:rPr>
        <w:t>, the Company’s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native technology platform to create, curate, and leverage infrastructure digital twins, which was augmented through the acquisition of Cesium in September 2024. Through the Company’s platform, existing products are becoming increasingly </w:t>
      </w:r>
      <w:r>
        <w:rPr>
          <w:rFonts w:ascii="Times New Roman" w:cs="Times New Roman" w:eastAsia="Times New Roman" w:hAnsi="Times New Roman"/>
          <w:sz w:val="18"/>
          <w:szCs w:val="18"/>
          <w:i w:val="1"/>
          <w:iCs w:val="1"/>
          <w:color w:val="auto"/>
        </w:rPr>
        <w:t>iTwin</w:t>
      </w:r>
      <w:r>
        <w:rPr>
          <w:rFonts w:ascii="Times New Roman" w:cs="Times New Roman" w:eastAsia="Times New Roman" w:hAnsi="Times New Roman"/>
          <w:sz w:val="18"/>
          <w:szCs w:val="18"/>
          <w:color w:val="auto"/>
        </w:rPr>
        <w:t xml:space="preserve">-enabled to take advantage of digital twin capabilities, and the Company is developing a new generation of </w:t>
      </w:r>
      <w:r>
        <w:rPr>
          <w:rFonts w:ascii="Times New Roman" w:cs="Times New Roman" w:eastAsia="Times New Roman" w:hAnsi="Times New Roman"/>
          <w:sz w:val="18"/>
          <w:szCs w:val="18"/>
          <w:i w:val="1"/>
          <w:iCs w:val="1"/>
          <w:color w:val="auto"/>
        </w:rPr>
        <w:t>iTwin</w:t>
      </w:r>
      <w:r>
        <w:rPr>
          <w:rFonts w:ascii="Times New Roman" w:cs="Times New Roman" w:eastAsia="Times New Roman" w:hAnsi="Times New Roman"/>
          <w:sz w:val="18"/>
          <w:szCs w:val="18"/>
          <w:color w:val="auto"/>
        </w:rPr>
        <w:t>-native, data-centric applications that leverage AI to increase engineering productivity.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consolidated subsidiaries. The consolidated financial statements and accompanying notes have been prepared in U.S. dollars and in accordance with GAAP. The Company is party to joint ventures, which are accounted for using the equity method. All intercompany accounts and transactions have been eliminated in consolidation.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Gains and losses resulting from foreign currency transactions denominated in currencies other than the functional currency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in the consolidated statements of operations. The assets and liabilities of foreign subsidiaries are translated from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in the consolidated statements of comprehensive income.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GAAP, which require us to select accounting policies and make estimates that affect the reported amount of assets, liabilities, revenues, and expenses, and the related disclosure of contingent assets and contingent liabilities. Actual results could differ materially from these estimates.</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13"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consolidated statements of operations primarily include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incurred for servicing the Company’s customers using cloud provisioned solutions and the Company’s license administration platform.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xml:space="preserve"> also include channel partner compensation for providing sales coverage to users, depreciation of property and equipment, and amortization of capitalized software costs associated with servicing software subscriptions and the Company’s ACDP described below, and amortization of intangible assets associated with acquired software and technology.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in the consolidated statements of operations primarily include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as well as depreciation of property and equipment and amortization of capitalized software costs, used for providing training, implementation, configuration, and customization services to customers.</w:t>
      </w:r>
    </w:p>
    <w:p>
      <w:pPr>
        <w:spacing w:after="0" w:line="168"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Software Development Costs </w:t>
      </w:r>
      <w:r>
        <w:rPr>
          <w:rFonts w:ascii="Times New Roman" w:cs="Times New Roman" w:eastAsia="Times New Roman" w:hAnsi="Times New Roman"/>
          <w:sz w:val="18"/>
          <w:szCs w:val="18"/>
          <w:color w:val="auto"/>
        </w:rPr>
        <w:t>— The Company’s software development costs, including costs to develop software products or the software component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products to be sold, leased, or marketed to external accounts, before technological feasibility is reached, are included in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in the consolidated statements of operations. Research and development expenses, which are generally expensed as incurred, primarily consist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 general, technological feasibility is reached shortly before the release of such products.</w:t>
      </w:r>
    </w:p>
    <w:p>
      <w:pPr>
        <w:spacing w:after="0" w:line="8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Under its ACDP (the Company’s structured approach to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business incubator function), the Company capitalizes certain development costs related to certain projects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risk development issues. Once the software is ready for its intended use, amortization is recorded over the software’s estimated useful life (generally three years). For the years ended December 31, 2024, 2023, and 2022, total costs capitalized under the ACDP were $3,878, $4,558, and $7,060, respectively. Additionally, for the years ended December 31, 2024, 2023, and 2022, total ACDP related amortization recorded in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subscriptions and licenses </w:t>
      </w:r>
      <w:r>
        <w:rPr>
          <w:rFonts w:ascii="Times New Roman" w:cs="Times New Roman" w:eastAsia="Times New Roman" w:hAnsi="Times New Roman"/>
          <w:sz w:val="18"/>
          <w:szCs w:val="18"/>
          <w:color w:val="auto"/>
        </w:rPr>
        <w:t>in the consolidated statements of operations was $3,720, $7,711, and $6,626, respectively. The Company evaluates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recoverability of capitalized ACDP costs whenever events or changes in circumstances indicate that the carrying value of these assets may not be recoverable. No impairment of capitalized ACDP costs occurred for the years ended December 31, 2024 or 2022. During the year ended December 31, 2023, the Company recognized impairment charges of $1,835 related to certain ACDP projects, which were recorded as amortization expense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subscriptions and licenses </w:t>
      </w:r>
      <w:r>
        <w:rPr>
          <w:rFonts w:ascii="Times New Roman" w:cs="Times New Roman" w:eastAsia="Times New Roman" w:hAnsi="Times New Roman"/>
          <w:sz w:val="18"/>
          <w:szCs w:val="18"/>
          <w:color w:val="auto"/>
        </w:rPr>
        <w:t>in the consolidated statements of operations. As of December 31, 2024 and 2023, $12,961 and $13,148 of ACDP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costs were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 respectively.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Expense </w:t>
      </w:r>
      <w:r>
        <w:rPr>
          <w:rFonts w:ascii="Times New Roman" w:cs="Times New Roman" w:eastAsia="Times New Roman" w:hAnsi="Times New Roman"/>
          <w:sz w:val="18"/>
          <w:szCs w:val="18"/>
          <w:color w:val="auto"/>
        </w:rPr>
        <w:t>— The Company expenses advertising costs as incurred. Advertising expense of $6,383, $5,365, and $6,888 is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in the consolidated statements of operations for the years ended December 31, 2024, 2023, and 2022, respectively.</w:t>
      </w:r>
    </w:p>
    <w:p>
      <w:pPr>
        <w:spacing w:after="0" w:line="12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a maturity of three months or less at the date of purchase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cash equivalents. As of December 31, 2024 and 2023, all of the Company’s cash and cash equivalents consisted of money market funds and cash held in checking accounts maintained at various financial institutions. Cash equivalents are recorded at cost, which approximates fair value.</w:t>
      </w:r>
    </w:p>
    <w:p>
      <w:pPr>
        <w:spacing w:after="0" w:line="13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and Allowance for Doubtful Accounts </w:t>
      </w:r>
      <w:r>
        <w:rPr>
          <w:rFonts w:ascii="Times New Roman" w:cs="Times New Roman" w:eastAsia="Times New Roman" w:hAnsi="Times New Roman"/>
          <w:sz w:val="18"/>
          <w:szCs w:val="18"/>
          <w:color w:val="auto"/>
        </w:rPr>
        <w:t>— Accounts receivable primarily represent receivables from customers for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invoiced by the Company for which payment is outstanding and also unbilled accounts receivable (see Note 3). Receivables are recorded at the invoiced amount and do not bear interest.</w:t>
      </w:r>
    </w:p>
    <w:p>
      <w:pPr>
        <w:spacing w:after="0" w:line="134"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is presented separately in the consolidated balance sheets and reduces the accounts receivable balance to the net realizable value of the outstanding accounts receivable. The development of the allowance for doubtful accounts is based on an expected loss model which considers historical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takes into account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receivables could be further adjusted.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reserve</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 primarily of its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 No single customer accounted for more than 2% of the Company’s total revenues for the years ended December 31, 2024, 2023, or 2022.</w:t>
      </w:r>
    </w:p>
    <w:p>
      <w:pPr>
        <w:spacing w:after="0" w:line="1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Internal-Use Software Implementation Costs </w:t>
      </w:r>
      <w:r>
        <w:rPr>
          <w:rFonts w:ascii="Times New Roman" w:cs="Times New Roman" w:eastAsia="Times New Roman" w:hAnsi="Times New Roman"/>
          <w:sz w:val="18"/>
          <w:szCs w:val="18"/>
          <w:color w:val="auto"/>
        </w:rPr>
        <w:t xml:space="preserve">— The Company has entered into cloud-based software hosting arrangements related to new internal-use information technology systems, including a new enterprise resource planning system, human capital management system, and customer relationship management system for which it incurs implementation costs. Certain costs are capitalized and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 depending on the short- or long-term nature of such costs. Costs incurred during the preliminary project stage and post-implementation stage are expensed as incurred. Capitalized internal-use software implementation costs are amortized, beginning on the date the related software is ready for its intended use, on a straight-line basis over the remaining term of the hosting arrangement primarily as a component of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in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Options to extend the hosting arrangement are considered in determining the remaining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 xml:space="preserve">when it is reasonably certain that the option will be exercised. </w:t>
      </w:r>
      <w:r>
        <w:rPr>
          <w:rFonts w:ascii="Times New Roman" w:cs="Times New Roman" w:eastAsia="Times New Roman" w:hAnsi="Times New Roman"/>
          <w:sz w:val="18"/>
          <w:szCs w:val="18"/>
          <w:color w:val="000000"/>
        </w:rPr>
        <w:t>As of December 31, 2024 and 2023, capitalized internal-use software implementation costs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were $18,791 and $4,779,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48"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however, other than additional disclosure, the Company does not expect a change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3"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 March 2024, the SEC adopted the final rule under SEC Release No.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11275, </w:t>
      </w:r>
      <w:r>
        <w:rPr>
          <w:rFonts w:ascii="Times New Roman" w:cs="Times New Roman" w:eastAsia="Times New Roman" w:hAnsi="Times New Roman"/>
          <w:sz w:val="18"/>
          <w:szCs w:val="18"/>
          <w:i w:val="1"/>
          <w:iCs w:val="1"/>
          <w:color w:val="auto"/>
        </w:rPr>
        <w:t>The Enhancement and Standardization of Climate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The final rule requires registrants to disclose certain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information in registration statements and annual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rule disclosure requirements will begin phasing in prospectively for the Company’s fiscal year beginning January 1, 2025. Subsequent to issuance, the final rule became the subject of litigation and the SEC issued a stay to allow the legal process to proceed. The Company is currently evaluating the impact of the final rule on its consolidated financial statements disclosures.</w:t>
      </w:r>
    </w:p>
    <w:p>
      <w:pPr>
        <w:spacing w:after="0" w:line="131" w:lineRule="exact"/>
        <w:rPr>
          <w:sz w:val="20"/>
          <w:szCs w:val="20"/>
          <w:color w:val="auto"/>
        </w:rPr>
      </w:pPr>
    </w:p>
    <w:p>
      <w:pPr>
        <w:jc w:val="both"/>
        <w:ind w:firstLine="324"/>
        <w:spacing w:after="0" w:line="238" w:lineRule="exact"/>
        <w:rPr>
          <w:sz w:val="20"/>
          <w:szCs w:val="20"/>
          <w:color w:val="auto"/>
        </w:rPr>
      </w:pPr>
      <w:r>
        <w:rPr>
          <w:rFonts w:ascii="Times New Roman" w:cs="Times New Roman" w:eastAsia="Times New Roman" w:hAnsi="Times New Roman"/>
          <w:sz w:val="18"/>
          <w:szCs w:val="18"/>
          <w:color w:val="auto"/>
        </w:rPr>
        <w:t>In December 2023, the FASB issued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which expands disclosures in an entity’s income tax rate reconciliation table and regarding cash taxes paid both in the U.S. and foreign jurisdictions.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is effective for the Company for the annual reporting period beginning after December 15, 2024. Early adoption is permitted. The Company is currently evaluating the impact of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148"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In November 2023, the FASB issued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which expands disclosures about a public entity’s reportable segments and requires more enhanced information about a reportable segment’s expenses, segment profit or loss, and how the Company’s CODM uses reported segment profit or loss information in assessing segment performance and allocating resources on an interim and annual basis. The Company adopted this ASU during the year ended December 31, 2024 (see Note 19).</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revenues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Enterprise subscriptions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530,367</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433,321</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345,678</w:t>
            </w:r>
          </w:p>
        </w:tc>
      </w:tr>
      <w:tr>
        <w:trPr>
          <w:trHeight w:val="270"/>
        </w:trPr>
        <w:tc>
          <w:tcPr>
            <w:tcW w:w="6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264,308</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434,491</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388,698</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350,234</w:t>
            </w:r>
          </w:p>
        </w:tc>
      </w:tr>
      <w:tr>
        <w:trPr>
          <w:trHeight w:val="250"/>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1,223,362</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1,080,307</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960,220</w:t>
            </w: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43,377</w:t>
            </w:r>
          </w:p>
        </w:tc>
      </w:tr>
      <w:tr>
        <w:trPr>
          <w:trHeight w:val="250"/>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1,269,323</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1,126,345</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1,003,597</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85,698</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77,681</w:t>
            </w:r>
          </w:p>
        </w:tc>
      </w:tr>
      <w:tr>
        <w:trPr>
          <w:trHeight w:val="250"/>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83,772</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102,068</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95,485</w:t>
            </w: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1,353,095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1,099,082</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35" w:lineRule="exact"/>
        <w:rPr>
          <w:sz w:val="20"/>
          <w:szCs w:val="20"/>
          <w:color w:val="auto"/>
        </w:rPr>
      </w:pPr>
    </w:p>
    <w:p>
      <w:pPr>
        <w:ind w:left="340" w:right="20" w:hanging="332"/>
        <w:spacing w:after="0" w:line="280"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subscriptions are primarily revenues attributable to E365 subscriptions of $517,997, $411,025, and $306,901 for the years ended December 31, 2024, 2023, and 2022, respectively.</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years ended December 31, 2024, 2023, and 2022, the Company recognized $679,811, $592,737, and $513,736 of license related revenues, respectively, of which $633,850, $546,699, and $470,359, respectively, were attributable to the term license component of the Company’s subscription based commercial offerings recorded in Subscriptions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650,926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584,794</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388,384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312,804</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201,484</w:t>
            </w: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1,353,095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1,099,082</w:t>
            </w:r>
          </w:p>
        </w:tc>
      </w:tr>
      <w:tr>
        <w:trPr>
          <w:trHeight w:val="21"/>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35" w:lineRule="exact"/>
        <w:rPr>
          <w:sz w:val="20"/>
          <w:szCs w:val="20"/>
          <w:color w:val="auto"/>
        </w:rPr>
      </w:pPr>
    </w:p>
    <w:p>
      <w:pPr>
        <w:ind w:left="340" w:hanging="332"/>
        <w:spacing w:after="0" w:line="280"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Americas includes the U.S., Canada, and Latin America (including the Caribbean). Revenue attributable to the U.S. totaled $561,683, $511,828, and $459,511 for the years ended December 31, 2024, 2023, and 2022, respectively.</w:t>
      </w:r>
    </w:p>
    <w:p>
      <w:pPr>
        <w:spacing w:after="0" w:line="13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its products and subscriptions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Channel partners are authorized to promote the sale of an authorized set of the Company’s products and subscriptions within an authorized geography under a Channel Partner Agreement. The Company derived 7%, 8%, and 8% of its total revenues through channel partners for the years ended December 31, 2024,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upon the transfer of promised goods or services to customers in an amount that reflects the expected consideration received in exchange for those goods or services. The Company generates revenues from subscriptions, perpetual licenses, and services.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Subscriptions and perpetual licenses are typically paid upfront, and services are typically paid in arrears, based on the contract terms as described below, generally with payment terms of 30 days. The Company does not have any material variable consideration, such as obligations for returns, refunds, or warranties.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Subscriptions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provides enterprise subscription offerings, which provide its enterprise accounts with complete and unlimited global access to the Company’s comprehensive portfolio of solutions. E365 subscriptions require a CSS as described below and are charged to accounts primarily based upon daily usage. The daily usage fee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primarily defined as distinct user access on a daily basis. E365 subscriptions can contain quarterly usage floors or ceilings. The term of E365 subscriptions aligns with calendar quarters and revenue is recognized based on actual usage.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 Subscriptions</w:t>
      </w:r>
    </w:p>
    <w:p>
      <w:pPr>
        <w:spacing w:after="0" w:line="200"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provides prepaid annual recurring subscriptions that accounts (which are based on distinct contractual and billing 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200"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Company provides annual, quarterly, and monthly term licenses for 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For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1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Visas are QTLs or ATLs enabling users to access specific project or enterprise information and entitles users to certain functionality of the Company’s </w:t>
      </w:r>
      <w:r>
        <w:rPr>
          <w:rFonts w:ascii="Times New Roman" w:cs="Times New Roman" w:eastAsia="Times New Roman" w:hAnsi="Times New Roman"/>
          <w:sz w:val="18"/>
          <w:szCs w:val="18"/>
          <w:i w:val="1"/>
          <w:iCs w:val="1"/>
          <w:color w:val="auto"/>
        </w:rPr>
        <w:t xml:space="preserve">ProjectWise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systems. The Company’s standard offerings are usage based with monetization through the Company’s CSS program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0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Certain of the Company’s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arrangements, including its Success Services offerings, are structured as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61"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Unbilled Accounts Receivable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Unbilled accounts receivable represent amounts that are unbilled due to agreed-upon contractual terms in which billing occurs subsequent to revenue recognition, and are included in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in the consolidated balance sheets. As of December 31, 2024 and 2023, unbilled accounts receivable were $159,924 and $129,494,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Contract assets were not material as of December 31, 2024 or 2023.</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services. The primary changes in the Company’s deferred revenues are due to our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$231,114 of revenues that were included in the December 31, 2023 deferred revenues balance were recognized. There were additional deferrals of $233,910, which were primarily related to new billings. For the year ended December 31, 2023, $213,021 of revenues that were included in the December 31, 2022 deferred revenues balance were recognized. There were additional deferrals of $237,193, which were primarily related to new billings and acquisitions.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 deferred $18,540 and $18,269, respectively,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a Contract with a Customer</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costs under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w:t>
      </w:r>
    </w:p>
    <w:p>
      <w:pPr>
        <w:spacing w:after="0" w:line="1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and 2023, deferred costs of $4,490 and $4,958, respectively, were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and $10,715 and $10,242, respectively, were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 Amortization expense related to assets recognized from costs to obtain a contract with a customer was $5,241, $5,567, and $3,898 and is included in </w:t>
      </w:r>
      <w:r>
        <w:rPr>
          <w:rFonts w:ascii="Times New Roman" w:cs="Times New Roman" w:eastAsia="Times New Roman" w:hAnsi="Times New Roman"/>
          <w:sz w:val="18"/>
          <w:szCs w:val="18"/>
          <w:i w:val="1"/>
          <w:iCs w:val="1"/>
          <w:color w:val="auto"/>
        </w:rPr>
        <w:t>Cost of subscriptions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Selling and marketing </w:t>
      </w:r>
      <w:r>
        <w:rPr>
          <w:rFonts w:ascii="Times New Roman" w:cs="Times New Roman" w:eastAsia="Times New Roman" w:hAnsi="Times New Roman"/>
          <w:sz w:val="18"/>
          <w:szCs w:val="18"/>
          <w:color w:val="auto"/>
        </w:rPr>
        <w:t>in the consolidated statements of operations for the years ended December 31, 2024, 2023, and 2022,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 of contract cost assets were not material during the years ended December 31, 2024, 2023, or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2024, amounts allocated to these remaining performance obligations are $262,370, of which the Company expects to recognize approximately 94% over the next 12 months with the remaining amount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details of the Company’s acquisition activity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40" w:type="dxa"/>
            <w:vAlign w:val="bottom"/>
            <w:gridSpan w:val="6"/>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rPr>
              <w:t>Acquisitions Completed During</w:t>
            </w:r>
          </w:p>
        </w:tc>
        <w:tc>
          <w:tcPr>
            <w:tcW w:w="1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acquisitions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Pr>
          <w:p>
            <w:pPr>
              <w:spacing w:after="0"/>
              <w:rPr>
                <w:sz w:val="23"/>
                <w:szCs w:val="23"/>
                <w:color w:val="auto"/>
              </w:rPr>
            </w:pPr>
          </w:p>
        </w:tc>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Cash paid at closing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143,299</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763,228</w:t>
            </w:r>
          </w:p>
        </w:tc>
      </w:tr>
      <w:tr>
        <w:trPr>
          <w:trHeight w:val="270"/>
        </w:trPr>
        <w:tc>
          <w:tcPr>
            <w:tcW w:w="20" w:type="dxa"/>
            <w:vAlign w:val="bottom"/>
          </w:tcPr>
          <w:p>
            <w:pPr>
              <w:spacing w:after="0"/>
              <w:rPr>
                <w:sz w:val="23"/>
                <w:szCs w:val="23"/>
                <w:color w:val="auto"/>
              </w:rPr>
            </w:pPr>
          </w:p>
        </w:tc>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w:t>
            </w:r>
          </w:p>
        </w:tc>
      </w:tr>
      <w:tr>
        <w:trPr>
          <w:trHeight w:val="223"/>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paid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743,007</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Of the cash paid at closing, $11,000 was held in an escrow account to secure any potential indemnification and other obligations of the seller as of December 31, 2024.</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31, 2022, the Company completed the acquisition of PLS, a leader in software for the design of overhead electric power transmission lines and their structures, for $695,968 in cash, net of cash acquired. The operating results of the acquired businesses were not material, individually or in the aggregate, to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non-contingent consideration from acquisitions is included in the consolidated balance sheets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40" w:type="dxa"/>
            <w:vAlign w:val="bottom"/>
            <w:gridSpan w:val="6"/>
          </w:tcPr>
          <w:p>
            <w:pPr>
              <w:jc w:val="center"/>
              <w:ind w:left="731"/>
              <w:spacing w:after="0"/>
              <w:rPr>
                <w:sz w:val="20"/>
                <w:szCs w:val="20"/>
                <w:color w:val="auto"/>
              </w:rPr>
            </w:pPr>
            <w:r>
              <w:rPr>
                <w:rFonts w:ascii="Times New Roman" w:cs="Times New Roman" w:eastAsia="Times New Roman" w:hAnsi="Times New Roman"/>
                <w:sz w:val="16"/>
                <w:szCs w:val="16"/>
                <w:b w:val="1"/>
                <w:bCs w:val="1"/>
                <w:color w:val="auto"/>
              </w:rPr>
              <w:t>Acquisitions Completed During</w:t>
            </w:r>
          </w:p>
        </w:tc>
        <w:tc>
          <w:tcPr>
            <w:tcW w:w="1200" w:type="dxa"/>
            <w:vAlign w:val="bottom"/>
          </w:tcPr>
          <w:p>
            <w:pPr>
              <w:spacing w:after="0"/>
              <w:rPr>
                <w:sz w:val="18"/>
                <w:szCs w:val="18"/>
                <w:color w:val="auto"/>
              </w:rPr>
            </w:pPr>
          </w:p>
        </w:tc>
      </w:tr>
      <w:tr>
        <w:trPr>
          <w:trHeight w:val="219"/>
        </w:trPr>
        <w:tc>
          <w:tcPr>
            <w:tcW w:w="6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143,299</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763,228</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non-contingent consideration, net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765,098</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 acquired and liabilities assumed:</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20,221</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5, 3, and 5 years,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1"/>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25"/>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(weighted average useful life of 3, 6, and 10 years,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1"/>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82,278</w:t>
            </w:r>
          </w:p>
        </w:tc>
      </w:tr>
      <w:tr>
        <w:trPr>
          <w:trHeight w:val="27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10, 5 and 8 years, respectively)</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5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131,529</w:t>
            </w:r>
          </w:p>
        </w:tc>
      </w:tr>
      <w:tr>
        <w:trPr>
          <w:trHeight w:val="25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(25,237)</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106,292</w:t>
            </w:r>
          </w:p>
        </w:tc>
      </w:tr>
      <w:tr>
        <w:trPr>
          <w:trHeight w:val="27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120,214</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658,806</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153"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Company allocates the purchase price for each acquisition to the net tangible and intangible assets acquired and liabilities assumed based on their estimated fair value at the respective acquisition date, with the exception of deferred revenues which are recognized and measured on the acquisition date in accordance with the Company’s revenue recognition policies in Note 3. The fair values of the working capital, other assets (liabilities), and property and equipment approximated their respective carrying values as of the acquisition date. 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 Goodwill is measured as the excess of the purchase price over the value of net identifiable assets acquired. While best estimates and assumptions are used to accurately value assets acquired and liabilities assumed at the acquisition date, as well as contingent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contingent consideration, where applicable, the Company’s estimates are inherently uncertain and subject to refinement. Any adjustments to estimated fair value are recorded to goodwill, provided that the Company is within the measurement period (up to one year from the acquisition date) and that the Company continues to collect information to determine estimated fair value. Subsequent to the measurement period or the Company’s final determination of estimated fair value, whichever comes first, adjustments are recorded in the consolidated statements of operations.</w:t>
      </w:r>
    </w:p>
    <w:p>
      <w:pPr>
        <w:spacing w:after="0" w:line="1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The Company expects $26,444 of the goodwill recorded relating to the 2024 acquisitions will be deductible for income tax purposes.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in the process of finalizing the purchase accounting for certain acquisitions completed during the year ended December 31, 2024.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are amounts for tax assets and liabilities and residual goodwill.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95,413</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91,964</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(51,864)</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33,798</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$13,684, $12,368, and $10,706,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13"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calculated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useful lives of property and equipment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2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6"/>
                <w:szCs w:val="16"/>
                <w:color w:val="auto"/>
              </w:rPr>
              <w:t>years</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6"/>
                <w:szCs w:val="16"/>
                <w:color w:val="auto"/>
              </w:rPr>
              <w:t>years</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7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years</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6"/>
                <w:szCs w:val="16"/>
                <w:color w:val="auto"/>
              </w:rPr>
              <w:t>years</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17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6"/>
                <w:szCs w:val="16"/>
                <w:color w:val="auto"/>
              </w:rPr>
              <w:t>years</w:t>
            </w: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property and equipment whenever events or changes in circumstances indicate that the carrying value of these assets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Impairments of property and equipment were not material during the years ended December 31, 2024 or 2023. No impairment of property and equipment occurred for the year ended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Equipment Sale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for the year ended December 31, 2022 (see Note 20). Subsequent to the transaction, ongoing operating and fixed costs of the aircraft are shared on a proportional use basis subject to a cost-sharing agreement. Such costs were not material during the years ended December 31, 2024, 2023, and 2022. The Company determined this transaction was with a related party.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202"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 Company’s intangible assets primarily arise from acquisitions and principally consist of goodwill, trademarks, customer relationships, and acquired software and technology. Intangible assets, other than goodwill,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changes in the carrying amount of goodwill are as follows:</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48" w:hanging="748"/>
        <w:spacing w:after="0"/>
        <w:tabs>
          <w:tab w:leader="none" w:pos="7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2,237,184</w:t>
      </w:r>
    </w:p>
    <w:p>
      <w:pPr>
        <w:spacing w:after="0" w:line="63" w:lineRule="exact"/>
        <w:rPr>
          <w:rFonts w:ascii="Times New Roman" w:cs="Times New Roman" w:eastAsia="Times New Roman" w:hAnsi="Times New Roman"/>
          <w:sz w:val="18"/>
          <w:szCs w:val="18"/>
          <w:color w:val="auto"/>
        </w:rPr>
      </w:pPr>
    </w:p>
    <w:p>
      <w:pPr>
        <w:ind w:left="9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19,934</w:t>
      </w:r>
    </w:p>
    <w:p>
      <w:pPr>
        <w:spacing w:after="0" w:line="63" w:lineRule="exact"/>
        <w:rPr>
          <w:rFonts w:ascii="Times New Roman" w:cs="Times New Roman" w:eastAsia="Times New Roman" w:hAnsi="Times New Roman"/>
          <w:sz w:val="18"/>
          <w:szCs w:val="18"/>
          <w:color w:val="auto"/>
        </w:rPr>
      </w:pPr>
    </w:p>
    <w:p>
      <w:pPr>
        <w:ind w:left="9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11,732</w:t>
      </w:r>
    </w:p>
    <w:p>
      <w:pPr>
        <w:spacing w:after="0" w:line="63"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486</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2,269,336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120,214</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(21,538)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(833)</w:t>
      </w:r>
    </w:p>
    <w:p>
      <w:pPr>
        <w:spacing w:after="0" w:line="36" w:lineRule="exact"/>
        <w:rPr>
          <w:sz w:val="20"/>
          <w:szCs w:val="20"/>
          <w:color w:val="auto"/>
        </w:rPr>
      </w:pPr>
    </w:p>
    <w:p>
      <w:pPr>
        <w:ind w:left="748" w:hanging="748"/>
        <w:spacing w:after="0"/>
        <w:tabs>
          <w:tab w:leader="none" w:pos="7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2,367,179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72" w:space="720"/>
            <w:col w:w="1548"/>
          </w:cols>
          <w:pgMar w:left="320" w:top="1440" w:right="339" w:bottom="1440" w:gutter="0" w:footer="0" w:header="0"/>
        </w:sectPr>
      </w:pPr>
    </w:p>
    <w:p>
      <w:pPr>
        <w:spacing w:after="0" w:line="10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The Company allocates goodwill to reporting units on a relative fair value basis.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the Company may first qualitatively assess whether it is more likely than not (a likelihood of more than 50 percent) that a goodwill impairment exists. If it is determined that a quantitative assessment is required and the carrying amount exceeds its fair value, the Company will recognize goodwill impairment in the amount in which the carrying amount of the reporting unit exceeds its fair value, but not to exceed the carrying amount of goodwill within the reporting unit. There was no impairment of goodwill as a result of the Company’s annual impairment assessments conducted for the years ended December 31, 2024, 2023, or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intangible assets other than goodwill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subject to</w:t>
            </w: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and technology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3-5 years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(61,671)</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24,907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89,693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30,648</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(162,175)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153,598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323,442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181,064</w:t>
            </w:r>
          </w:p>
        </w:tc>
        <w:tc>
          <w:tcPr>
            <w:tcW w:w="0" w:type="dxa"/>
            <w:vAlign w:val="bottom"/>
          </w:tcPr>
          <w:p>
            <w:pPr>
              <w:spacing w:after="0"/>
              <w:rPr>
                <w:sz w:val="1"/>
                <w:szCs w:val="1"/>
                <w:color w:val="auto"/>
              </w:rPr>
            </w:pPr>
          </w:p>
        </w:tc>
      </w:tr>
      <w:tr>
        <w:trPr>
          <w:trHeight w:val="240"/>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35,441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70,710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37,001</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476,735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(262,776)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213,959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484,195</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248,787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was reflected in the Company’s consolidated statements of operations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 for the years following December 31, 2024 are estimated as follows: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9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44,615</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other than goodwill are tested annually for impairment on October 1, or more frequently if events occur or circumstances change that would more likely than not reduce its fair value below its carrying amount.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testing intangible assets other than goodwill for impairment, the Company may first qualitatively assess whether it is more likely than not (a likelihood of more than 50 percent) that an intangible asset impairment exists. If it is determined that a quantitative assessment is required, the Company will evaluate the cash flows generated by the underlying asset, including estimated future operation results, trends, or other determinants of fair value. If the total of the expected future undiscounted cash flows were less than the carrying amount of the asset, the Company would recognize an impairment charge to the extent the carrying amount of the asset exceeded its estimated fair value. There was no impairment of intangible assets for the years ended December 31, 2024, 2023, or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Method Investments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applies the cost method of accounting for its investment in which it does not have the ability to exercise significant influence over operating and financial policies. Under the cost method, the Company records the investment based on original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w:t>
      </w:r>
    </w:p>
    <w:p>
      <w:pPr>
        <w:spacing w:after="0" w:line="15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contribution of the Thread business resulted in an insignificant gain,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for the year ended December 31, 2023. In July 2022, the Company acquired an equity interest in Teralytics Holdings AG (“Teralytics”), a global platform company for human mobility analysis, via contribution of its Streetlytics mobility data business (“Streetlytics”) and cash.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contribution of Streetlytics resulted in an insignificant gain,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tests its investments for impairment whenever circumstances indicate that the carrying value of the investment may not be recoverable. Impairment of investments was not material during the year ended December 31, 2024. During the year ended December 31, 2023, the Company recognized impairment charges of $14,588 to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certain cost method investments to their fair value primarily as a result of the investees’ decline in operating performance and the overall decline in the venture investment valuation environment. The impairment charges included $11,130 to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off the Company’s investment in Teralytics. The impairment charges were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for the year ended December 31, 2023 (see Note 20). No impairment of investments occurred for the year ended December 31, 2022.</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recognized gains on investments of $2,360, which were recorded in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in the consolidated statements of operations (see Note 20).</w:t>
      </w:r>
    </w:p>
    <w:p>
      <w:pPr>
        <w:spacing w:after="0" w:line="1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invested a total of $1,435. During the year ended December 31, 2023, the Company invested a total of $12,841, including $8,928 of cash and non-cash for its investment in Worldsensing. As of December 31, 2024 and 2023, the Company’s investment balance in Worldsensing was $8,928.</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acquired a business from Teralytics for $5,000. During the fourth quarter of 2024, the Company sold its ownership percentage in Teralytics, which resulted in no gain. The carrying value of Teralytics was zero as of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applies the equity method of accounting for its investment in which it does have the ability to exercise significant influence over operating and financial policies. Under the equity method, the Company recognizes its initial investment at cost and updates the carrying value of its investment by its proportional share of income or losses from the investment. In addition, the Company decreases the carrying value by any dividends received from the investee. The Company does not otherwise adjust the carrying value to reflect changes to the fair market value of the investment. The Company’s equity method investments in joint ventures are considered related parties.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investments were made during the year ended December 31, 2024. During the year ended December 31, 2023, the Company invested $2,261. During the years ended December 31, 2024 and 2023, transactions between the Company and its joint ventures were not material to the Company’s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automobiles. As of December 31, 2024, the Company’s leases have remaining terms of less than one year to nine years, some of which include one or more options to renew, with renewal terms from one year to five years and some of which include options to terminate the leases from less than one year to five years.</w:t>
      </w:r>
    </w:p>
    <w:p>
      <w:pPr>
        <w:spacing w:after="0" w:line="95"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231F20"/>
        </w:rPr>
        <w:t xml:space="preserve">The Company determines if an arrangement is a lease at inception. Operating leases are included in </w:t>
      </w:r>
      <w:r>
        <w:rPr>
          <w:rFonts w:ascii="Times New Roman" w:cs="Times New Roman" w:eastAsia="Times New Roman" w:hAnsi="Times New Roman"/>
          <w:sz w:val="18"/>
          <w:szCs w:val="18"/>
          <w:i w:val="1"/>
          <w:iCs w:val="1"/>
          <w:color w:val="231F20"/>
        </w:rPr>
        <w:t>Operating lease right</w:t>
      </w:r>
      <w:r>
        <w:rPr>
          <w:rFonts w:ascii="MS PGothic" w:cs="MS PGothic" w:eastAsia="MS PGothic" w:hAnsi="MS PGothic"/>
          <w:sz w:val="18"/>
          <w:szCs w:val="18"/>
          <w:i w:val="1"/>
          <w:iCs w:val="1"/>
          <w:color w:val="231F20"/>
        </w:rPr>
        <w:t>‑</w:t>
      </w:r>
      <w:r>
        <w:rPr>
          <w:rFonts w:ascii="Times New Roman" w:cs="Times New Roman" w:eastAsia="Times New Roman" w:hAnsi="Times New Roman"/>
          <w:sz w:val="18"/>
          <w:szCs w:val="18"/>
          <w:i w:val="1"/>
          <w:iCs w:val="1"/>
          <w:color w:val="231F20"/>
        </w:rPr>
        <w:t>of</w:t>
      </w:r>
      <w:r>
        <w:rPr>
          <w:rFonts w:ascii="MS PGothic" w:cs="MS PGothic" w:eastAsia="MS PGothic" w:hAnsi="MS PGothic"/>
          <w:sz w:val="18"/>
          <w:szCs w:val="18"/>
          <w:i w:val="1"/>
          <w:iCs w:val="1"/>
          <w:color w:val="231F20"/>
        </w:rPr>
        <w:t>‑</w:t>
      </w:r>
      <w:r>
        <w:rPr>
          <w:rFonts w:ascii="Times New Roman" w:cs="Times New Roman" w:eastAsia="Times New Roman" w:hAnsi="Times New Roman"/>
          <w:sz w:val="18"/>
          <w:szCs w:val="18"/>
          <w:i w:val="1"/>
          <w:iCs w:val="1"/>
          <w:color w:val="231F20"/>
        </w:rPr>
        <w:t>use assets, Operating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lease liabilities</w:t>
      </w:r>
      <w:r>
        <w:rPr>
          <w:rFonts w:ascii="Times New Roman" w:cs="Times New Roman" w:eastAsia="Times New Roman" w:hAnsi="Times New Roman"/>
          <w:sz w:val="18"/>
          <w:szCs w:val="18"/>
          <w:color w:val="231F20"/>
        </w:rPr>
        <w:t>, and</w:t>
      </w:r>
      <w:r>
        <w:rPr>
          <w:rFonts w:ascii="Times New Roman" w:cs="Times New Roman" w:eastAsia="Times New Roman" w:hAnsi="Times New Roman"/>
          <w:sz w:val="18"/>
          <w:szCs w:val="18"/>
          <w:i w:val="1"/>
          <w:iCs w:val="1"/>
          <w:color w:val="231F20"/>
        </w:rPr>
        <w:t xml:space="preserve"> Long</w:t>
      </w:r>
      <w:r>
        <w:rPr>
          <w:rFonts w:ascii="MS PGothic" w:cs="MS PGothic" w:eastAsia="MS PGothic" w:hAnsi="MS PGothic"/>
          <w:sz w:val="18"/>
          <w:szCs w:val="18"/>
          <w:i w:val="1"/>
          <w:iCs w:val="1"/>
          <w:color w:val="231F20"/>
        </w:rPr>
        <w:t>‑</w:t>
      </w:r>
      <w:r>
        <w:rPr>
          <w:rFonts w:ascii="Times New Roman" w:cs="Times New Roman" w:eastAsia="Times New Roman" w:hAnsi="Times New Roman"/>
          <w:sz w:val="18"/>
          <w:szCs w:val="18"/>
          <w:i w:val="1"/>
          <w:iCs w:val="1"/>
          <w:color w:val="231F20"/>
        </w:rPr>
        <w:t xml:space="preserve">term operating lease liabilities </w:t>
      </w:r>
      <w:r>
        <w:rPr>
          <w:rFonts w:ascii="Times New Roman" w:cs="Times New Roman" w:eastAsia="Times New Roman" w:hAnsi="Times New Roman"/>
          <w:sz w:val="18"/>
          <w:szCs w:val="18"/>
          <w:color w:val="231F20"/>
        </w:rPr>
        <w:t>in the consolidated balance sheets. Operating lease right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of</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use assets represent the Company’s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right to use an underlying asset for the lease term and operating lease liabilities represent the Company’s obligation to make lease payments arising from the lease. Operating lease right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of</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of</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13"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For contracts with lease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and utilities. The Company has elected not to recognize a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or lease liability for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(leases with a term of twelve months or less).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are recognized in the consolidated statements of operations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statements of operations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20,772</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25,446</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cost includes rent cost related to operating leases for office facilities of $16,927, $19,199, and $20,027 for the years ended December 31, 2024, 2023, and 2022, respectively.</w:t>
      </w:r>
    </w:p>
    <w:p>
      <w:pPr>
        <w:spacing w:after="0" w:line="105"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Supplemental operating cash flows and other information related to leases was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w:t>
            </w:r>
          </w:p>
        </w:tc>
      </w:tr>
      <w:tr>
        <w:trPr>
          <w:trHeight w:val="312"/>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Right-of-use assets obtained in exchange for new operating lease liabilities </w:t>
            </w:r>
            <w:r>
              <w:rPr>
                <w:rFonts w:ascii="Times New Roman" w:cs="Times New Roman" w:eastAsia="Times New Roman" w:hAnsi="Times New Roman"/>
                <w:sz w:val="23"/>
                <w:szCs w:val="23"/>
                <w:color w:val="auto"/>
                <w:vertAlign w:val="superscript"/>
              </w:rPr>
              <w:t>(1)</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9030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53" w:lineRule="exact"/>
        <w:rPr>
          <w:sz w:val="20"/>
          <w:szCs w:val="20"/>
          <w:color w:val="auto"/>
        </w:rPr>
      </w:pPr>
    </w:p>
    <w:p>
      <w:pPr>
        <w:ind w:left="340" w:right="20" w:hanging="332"/>
        <w:spacing w:after="0" w:line="217" w:lineRule="exact"/>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 obtained in exchange for new operating lease liabilities does not include the impact from acquisitions of $103, $397, and $1,237 for the years ended December 31, 2024, 2023, and 2022, respectively.</w:t>
      </w:r>
    </w:p>
    <w:p>
      <w:pPr>
        <w:spacing w:after="0" w:line="16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was 4.3 years and 4.6 years as of December 31, 2024 and 2023, respectively. The weighted average discount rate was 5.2% and 4.8% as of December 31, 2024 and 2023, respectively.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43,770</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additional minimum operating lease payments of $496 for executed leases that have not yet commenced, primarily for office locations.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13"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The Company evaluates the recoverability of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whenever events or changes in circumstances indicate that the carrying value of these assets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During the year ended December 31, 2024 and 2023, the Company recognized impairment charges of $2,823 and $2,239, respectively, to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certain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to their fair value primarily as a result of the decision to vacate certain leased facilities. The impairment charges were recorded within various cost of revenues and operating expense line items in the consolidated statements of operations based on the function of the associated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No impairment of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occurred for the years ended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366,895</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indirect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acquisition stay bonus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cloud provisioning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realignment costs</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536,417</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457,348</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Long-Term Debt</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8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82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Credit facilities: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Revolving loan facility due October 2029</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Revolving loan facility due November 2025</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Term loan due November 2025</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2026 Notes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2027 Notes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tabs>
          <w:tab w:leader="none" w:pos="860" w:val="left"/>
          <w:tab w:leader="none" w:pos="1800" w:val="left"/>
          <w:tab w:leader="none" w:pos="3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135,315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-4976495</wp:posOffset>
            </wp:positionH>
            <wp:positionV relativeFrom="paragraph">
              <wp:posOffset>17145</wp:posOffset>
            </wp:positionV>
            <wp:extent cx="711517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-299085</wp:posOffset>
            </wp:positionV>
            <wp:extent cx="7115175"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3" w:lineRule="exact"/>
        <w:rPr>
          <w:sz w:val="20"/>
          <w:szCs w:val="20"/>
          <w:color w:val="auto"/>
        </w:rPr>
      </w:pPr>
    </w:p>
    <w:p>
      <w:pPr>
        <w:ind w:left="1300"/>
        <w:spacing w:after="0"/>
        <w:tabs>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92,028</w:t>
      </w:r>
    </w:p>
    <w:p>
      <w:pPr>
        <w:spacing w:after="0" w:line="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—190,000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687,830687,830</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575,000575,000</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(10,057)(16,455)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-4976495</wp:posOffset>
            </wp:positionH>
            <wp:positionV relativeFrom="paragraph">
              <wp:posOffset>-422275</wp:posOffset>
            </wp:positionV>
            <wp:extent cx="711517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-130810</wp:posOffset>
            </wp:positionV>
            <wp:extent cx="7115175"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7140" w:space="720"/>
            <w:col w:w="33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1,388,088</w:t>
            </w: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1,528,403</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1,388,088</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1,518,403</w:t>
            </w:r>
          </w:p>
        </w:tc>
      </w:tr>
      <w:tr>
        <w:trPr>
          <w:trHeight w:val="21"/>
        </w:trPr>
        <w:tc>
          <w:tcPr>
            <w:tcW w:w="7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October 18, 2024, the Company entered into the Credit Facility, which provides the Company with a $1,300,000 revolving credit facility, including a $125,000 swingline loan and $125,000 in letters of credit. The Credit Facility also provides the Company with a $500,000 “accordion” feature to increase the facility in the form of both revolving indebtedness and/or incremental term loans. On October 18, 2024, the Company used borrowings under the Credit Facility to repay a portion of the revolving indebtedness outstanding under the 2017 Credit Facility and all of the outstanding senior secured term loan. In connection with the termination of the 2017 Credit Facility and entrance into the Credit Facility, the Company performed an extinguishment versus modification assessment on a lender-by-lender basis resulting in the write-off of an insignificant amount of unamortized debt issuance costs. Additionally, $6,184 of capitalized fees paid to lenders and third parties associated with the Credit Facility were recorded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in the consolidated balance sheets, depending on the short- or long-term nature of such costs. Debt issuance costs are amortized to</w:t>
      </w:r>
      <w:r>
        <w:rPr>
          <w:rFonts w:ascii="Times New Roman" w:cs="Times New Roman" w:eastAsia="Times New Roman" w:hAnsi="Times New Roman"/>
          <w:sz w:val="18"/>
          <w:szCs w:val="18"/>
          <w:i w:val="1"/>
          <w:iCs w:val="1"/>
          <w:color w:val="auto"/>
        </w:rPr>
        <w:t xml:space="preserve"> Interest expense, net</w:t>
      </w:r>
      <w:r>
        <w:rPr>
          <w:rFonts w:ascii="Times New Roman" w:cs="Times New Roman" w:eastAsia="Times New Roman" w:hAnsi="Times New Roman"/>
          <w:sz w:val="18"/>
          <w:szCs w:val="18"/>
          <w:color w:val="auto"/>
        </w:rPr>
        <w:t>, in the consolidated statements of operations through the maturity date.</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Facility matures on October 18, 2029, subject to a “revolving maturity date” on the date that is 91 days prior to the maturity date of the Company’s outstanding convertible debt, unless on such date the Company meets certain liquidity requirements. Voluntary prepayments under the Credit Facility are permitted at any time without payment of any prepayment premiums.</w:t>
      </w:r>
    </w:p>
    <w:p>
      <w:pPr>
        <w:spacing w:after="0" w:line="13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Revolving loan borrowings under the Credit Facility bear interest, at the Company’s option, at the Alternative Base Rate or Term SOFR that reset every one, three, or six months. Under the Term SOFR elections, revolving loan borrowings bear an interest rate of the applicable Term SOFR rate plus a credit spread adjustment of 10 bps, plus a spread ranging from 125 bps to 225 bps as determined by the Company’s net leverage ratio.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SOFR elections, revolving loan borrowings bear a base interest rate of the highest of (i) the prime rate, (ii) the overnight bank funding effective rate plus 50 bps, or (iii) the daily simple SOFR rate plus 100 bps, plus a spread ranging from 25 bps to 125 bps as determined by the Company’s net leverage ratio.</w:t>
      </w:r>
    </w:p>
    <w:p>
      <w:pPr>
        <w:spacing w:after="0" w:line="1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Swingline borrowings under the Credit Facility bear interest that resets daily. Interest on swingline borrowings bear an interest rate of the daily simple SOFR rate plus a credit spread adjustment of 10 bps, plus a spread ranging from 125 bps to 225 bps as determined by the Company’s net leverage ratio.</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 commitment fee for the unused revolving credit facility ranges from 20 bps to 30 bps per annum as determined by the Company’s net leverage ratio.</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are guaranteed by the Company’s material first tier domestic subsidiaries and are secured by a first priority security interest in substantially all of the Company’s and the guarantors’ U.S. assets, including pledges of the stock of each of their directly owned domestic and foreign subsidiaries, with the latter limited to 65% of such stock.</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Credit Facility contains customary affirmative and negative covenants, including restrictions on our ability to pay dividends, repurchase our Class B common stock, and make other restricted payments, as well as events of default, including, without limitation, payment defaults, breaches of representations and warranties, covenants defaults, cross-defaults to certain other indebtedness in excess of $100,000, certain events of bankruptcy and insolvency, judgment defaults in excess of $10,000, failure of any security document supporting the Credit Facility to be in full force and effect, and a change of control. The Credit Facility also contains customary financial covenants, including net leverage ratio, net senior secured leverage ratio, and interest coverage ratio.</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entering into the Credit Facility, the Company’s 2017 Credit Facility provided for an $850,000 senior secured revolving loan facility that was scheduled to mature on November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53"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On December 22, 2021, the Company amended the 2017 Credit Facility to provide for a $200,000 senior secured term loan with a maturity of November 15, 2025 (the “Term Loan”). The Term Loan required principal repayment at the end of each calendar quarter. Beginning with March 31, 2022 and ending with December 31, 2023, the Company was required to repay $1,250 per quarter. Beginning with March 31, 2024 and ending with the last such date prior to the maturity date, the Company was required to repay $2,500 per quarter. The Company used borrowings under the Term Loan to pay down borrowings under the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revolving loan facility under the Credit Facility.</w:t>
      </w:r>
    </w:p>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$150 of letters of credit outstanding and $1,164,535 available under the Credit Facility as of December 31, 2024. The Company had $150 of letters of credit outstanding and $757,822 available under the 2017 Credit facility as of December 31, 2023.</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 Company was in compliance with all covenants in its credit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18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On January 26, 2021, the Company completed a private offering of $690,000 of 0.125% convertible senior notes due 2026. The 2026 Notes were 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15 and July 15 of each year, with the first payment due on July 15, 2021. The 2026 Notes will mature on January 15, 2026, unless earlier converted, redeemed or repurchased.</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fourth quarter of 2022, the Company paid $1,998 in cash to repurchase $2,170 aggregate principal amount of its outstanding 2026 Notes through open market transactions resulting in an insignificant gain,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for the year ended December 31, 2022. The 2026 Notes were repurchased under the Company’s Repurchase Program authorization (see Note 13).</w:t>
      </w:r>
    </w:p>
    <w:p>
      <w:pPr>
        <w:spacing w:after="0" w:line="1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the option to redeem the 2026 Notes in whole or in part at any time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160"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158"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Under the 2026 Indenture, the 2026 Notes may be accelerated upon the occurrence of certain customary events of default. If certain bankruptcy and insolvency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2026 Notes were accounted for as debt, with no bifurcation of the embedded conversion feature. Transaction costs were recorded as a direct deduction from the related debt liability in the consolidated balance sheets and are amortized to interest expense over the term of the 2026 Notes. The effective interest rate for the 2026 Notes is 0.658%.</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none of the conditions of the 2026 Notes to early convert has been met.</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2026 Notes are the Company’s senior, unsecured obligations that rank senior in right of payment to the Company’s future indebtedness that is expressly subordinated to the 2026 Notes, rank equally in right of payment with the Company’s existing and future senior unsecured indebtedness that is not so subordinated (including the Company’s 2027 Notes, refer to the section titled “2027 Notes” below),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December 31, 2024 and 2023, the Company was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Capped Call Options </w:t>
      </w:r>
      <w:r>
        <w:rPr>
          <w:rFonts w:ascii="Times New Roman" w:cs="Times New Roman" w:eastAsia="Times New Roman" w:hAnsi="Times New Roman"/>
          <w:sz w:val="18"/>
          <w:szCs w:val="18"/>
          <w:color w:val="auto"/>
        </w:rPr>
        <w:t>— In connection with the pricing of the 2026 Notes, the Company entered into capped call options with certain of the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Bentley Systems stockholders’ equity. As such, the premiums paid for the capped call options were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sheets as of December 31,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18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 and July 1 of each year, with the first payment due on January 1, 2022. The 2027 Notes will mature on July 1, 2027, unless earlier converted, redeemed or repurchased.</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the option to redeem the 2027 Notes in whole or in part at any time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5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171"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Under the 2027 Indenture, the 2027 Notes may be accelerated upon the occurrence of certain customary events of default. If certain bankruptcy and insolvency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2027 Notes were accounted for as debt, with no bifurcation of the embedded conversion feature. Transaction costs were recorded as a direct deduction from the related debt liability in the consolidated balance sheets and are amortized to interest expense over the term of the 2027 Notes. The effective interest rate for the 2027 Notes is 0.864%.</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none of the conditions of the 2027 Notes to early convert has been met.</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December 31, 2024 and 2023, the Company was in compliance with all covenants in the 2027 Notes.</w:t>
      </w:r>
    </w:p>
    <w:p>
      <w:pPr>
        <w:spacing w:after="0" w:line="14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Capped Call Options </w:t>
      </w:r>
      <w:r>
        <w:rPr>
          <w:rFonts w:ascii="Times New Roman" w:cs="Times New Roman" w:eastAsia="Times New Roman" w:hAnsi="Times New Roman"/>
          <w:sz w:val="18"/>
          <w:szCs w:val="18"/>
          <w:color w:val="auto"/>
        </w:rPr>
        <w:t>— In connection with the pricing of the 2027 Notes, the Company entered into capped call options with certain of the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purchasers or their respective affiliates and certain other financial institutions.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Bentley Systems stockholders’ equity. As such, the premiums paid for the capped call options were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Arrangements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derivative instruments as an asset or liability 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spacing w:after="0" w:line="106"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Effective on April 2, 2020, the Company entered into an interest rate swap with a notional amount of $200,000 and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term to reduce the interest rate risk associated with a portion of the Company’s floating rate debt. Effective on June 26, 2023, the Company amended the interest rate swap agreement to replace the London Interbank Offered Rate rate with SOFR under the ISDA Fallback Protocols included within the agreement. Subsequent to the amendment, the Company will continue to pay a fixed interest rate of 72.9 bps, and will receive a floating interest rate equal to daily SOFR plus an ARRC spread adjustment of 11.448 bps. The interest rate swap is not designated as a hedging instrument for accounting purposes. The Company accounts for the interest rate swap as either an asset or a liability on the consolidated balance sheets and carries the derivative at fair value (see Note 17). Gain (loss) from the change in fair value and payments related to the interest rate swap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(see Note 20).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net consists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(26,275)</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on credit facility borrowings were 7.22%, 7.13%, and 3.84% for the years ended December 31, 2024, 2023, and 2022, respectively.</w:t>
      </w:r>
    </w:p>
    <w:p>
      <w:pPr>
        <w:spacing w:after="0" w:line="8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Scheduled maturities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687,830</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scheduled maturities of long-term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1,398,145</w:t>
            </w:r>
          </w:p>
        </w:tc>
      </w:tr>
      <w:tr>
        <w:trPr>
          <w:trHeight w:val="20"/>
        </w:trPr>
        <w:tc>
          <w:tcPr>
            <w:tcW w:w="9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Executive Incentive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Bonus Plan</w:t>
      </w:r>
    </w:p>
    <w:p>
      <w:pPr>
        <w:spacing w:after="0" w:line="18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 Company maintains the Bonus Plan, which is a legacy plan from decades prior to the Company’s IPO and was established to compensate a limited set of executives with substantial holdings of the Company’s common stock. As of January 1, 2024, Gregory S. Bentley was the sole remaining participant in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Sustainability Committee of the Company’s Board of Directors (the “Committee”),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participants and participant charitable contributions.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Gregory S. Bentley’s transition to the role of Executive Chair effective July 1, 2024, on June 26, 2024, the Committee approved Amendment No. 2 to the Bonus Plan pursuant to which (in addition to other conforming changes) Mr. Bentley’s fractional interest under the Bonus Pool Plan was reduced from 12/33 to 4/33 effective July 1, 2024.</w:t>
      </w:r>
    </w:p>
    <w:p>
      <w:pPr>
        <w:spacing w:after="0" w:line="108"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auto"/>
        </w:rPr>
        <w:t>On November 2, 2022, the Committee approved an amendment to the Bonus Plan such that with respect to fiscal year 2022,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third of the Company’s Chief Investment Officer’s allocated percentage interest will be multiplied by a coefficient derived from the performance of the Company’s </w:t>
      </w:r>
      <w:r>
        <w:rPr>
          <w:rFonts w:ascii="Times New Roman" w:cs="Times New Roman" w:eastAsia="Times New Roman" w:hAnsi="Times New Roman"/>
          <w:sz w:val="18"/>
          <w:szCs w:val="18"/>
          <w:i w:val="1"/>
          <w:iCs w:val="1"/>
          <w:color w:val="auto"/>
        </w:rPr>
        <w:t xml:space="preserve">BSY Investments </w:t>
      </w:r>
      <w:r>
        <w:rPr>
          <w:rFonts w:ascii="Times New Roman" w:cs="Times New Roman" w:eastAsia="Times New Roman" w:hAnsi="Times New Roman"/>
          <w:sz w:val="18"/>
          <w:szCs w:val="18"/>
          <w:color w:val="auto"/>
        </w:rPr>
        <w:t>group (the Company’s executive team focused on portfolio development, mergers and acquisitions, venture capital investing,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integrator business activities, and various incubating and accelerating business activities). This coefficient is generally determined by calculating the annual increase (or decrease) in value of the </w:t>
      </w:r>
      <w:r>
        <w:rPr>
          <w:rFonts w:ascii="Times New Roman" w:cs="Times New Roman" w:eastAsia="Times New Roman" w:hAnsi="Times New Roman"/>
          <w:sz w:val="18"/>
          <w:szCs w:val="18"/>
          <w:i w:val="1"/>
          <w:iCs w:val="1"/>
          <w:color w:val="auto"/>
        </w:rPr>
        <w:t>BSY Investments</w:t>
      </w:r>
      <w:r>
        <w:rPr>
          <w:rFonts w:ascii="Times New Roman" w:cs="Times New Roman" w:eastAsia="Times New Roman" w:hAnsi="Times New Roman"/>
          <w:sz w:val="18"/>
          <w:szCs w:val="18"/>
          <w:color w:val="auto"/>
        </w:rPr>
        <w:t xml:space="preserve"> portfolio, taking into account applicable fees and an annual hurdle rate, in all cases, as approved by the Company’s non-employee directors. The Company’s Chief Investment Officer retired effective March 31, 2023 and received one Bonus Plan payout during 2023 in respect to the 2022 fiscal year under the amended allocated percentage interest.</w:t>
      </w:r>
    </w:p>
    <w:p>
      <w:pPr>
        <w:spacing w:after="0" w:line="15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DCP (see Note 12). The Bonus Plan provides, in part, that a participant may elect to receive any portion, or all, of such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issued under the Bentley Systems, Incorporated 2020 Omnibus Incentive Plan (the “2020 Plan”), subject to the limitation described below. The Company records the election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bonuses exceeds $7,500, the portion of each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the incentive compensation, including cash payments, election to receive shares of fully vested Class B common stock, and deferred compensation to plan participants, recognized under this plan (net of all applicable holdbacks) was $16,337, $21,463, and $33,242,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Stock Program</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Nicholas H. Cumins’ transition to the role of Chief Executive Officer effective July 1, 2024, on June 26, 2024, the Committee adopted a compensatory program (the “Career Stock Program”) pursuant to which the Company may grant restricted stock units (“RSUs”) awards under the 2020 Plan. As of December 31, 2024, Mr. Cumins is the sole participant in the Career Stock Program. Under the Career Stock Program, the Committee may from time to time grant RSU awards to program participants, the amount of which is to be determined based upon the Company’s Adjusted OI w/SBC growth in the year preceding the date of grant (the “Performance Year”), specifically, an amount equal to 10 percent of the difference between realized Adjusted OI w/SBC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 As of December 31, 2024, the Committee has not yet made any awards to Mr. Cumins with respect to the Career Stock Program.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0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Under the Company’s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 The DCP has 50,000,000 shares of Class B common stock reserved for issuance. As of December 31, 2024, shares of Class B common stock available for future issuance under the DCP were 4,349,950.</w:t>
      </w:r>
    </w:p>
    <w:p>
      <w:pPr>
        <w:spacing w:after="0" w:line="16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 w:cs="Times New Roman" w:eastAsia="Times New Roman" w:hAnsi="Times New Roman"/>
          <w:sz w:val="18"/>
          <w:szCs w:val="18"/>
          <w:i w:val="1"/>
          <w:iCs w:val="1"/>
          <w:color w:val="auto"/>
        </w:rPr>
        <w:t>Accruals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Deferred compensation plan liabilities </w:t>
      </w:r>
      <w:r>
        <w:rPr>
          <w:rFonts w:ascii="Times New Roman" w:cs="Times New Roman" w:eastAsia="Times New Roman" w:hAnsi="Times New Roman"/>
          <w:sz w:val="18"/>
          <w:szCs w:val="18"/>
          <w:color w:val="auto"/>
        </w:rPr>
        <w:t>in the consolidated balance sheets as they will be settled in cash upon eventual distribution.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in the consolidated statements of operations.</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expense (income) was $12,382, $13,580, and $(15,782) for the years ended December 31, 2024,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DCP elective participant deferrals were $188, $1,765, and $6,580, respectively. No discretionary contributions were made to the DCP during the years ended December 31, 2024, 2023, and 2022. As of December 31, 2024 and 2023, phantom shares of the Company’s Class B common stock issuable by the DCP were 12,728,808 and 17,364,980,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liabilities related to the DCP is included in the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96,684</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88,181</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DCP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100,482</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Plans</w:t>
      </w:r>
    </w:p>
    <w:p>
      <w:pPr>
        <w:spacing w:after="0" w:line="161"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The Company maintains a qualified 401(k) profit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plan (the “401(k) Plan”) for the benefit of substantially all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colleagues. The Company may make discretionary profit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contributions to the 401(k) Plan. The Company matches 50%, up to a maximum of 6% of qualified cash compensation for each eligible participating colleague. The Company’s matching contributions to the 401(k) Plan were $5,472, $5,260, and $4,933, for the years ended December 31, 2024, 2023, and 2022, respectively.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maintains various retirement benefit plans (primarily defined contribution plans) for colleagues of its international subsidiaries. The Company’s contributions to these plans were $13,531, $13,208, and $11,803, for the years ended December 31, 2024,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Preferred and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Authorized and Selected Terms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up to 100,000,000 shares of preferred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has rights, preferences, and privileges which may be designated from time to time by the Company’s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Authorized and Selected Terms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up to 100,000,000 shares of Class A common stock and up to 1,800,000,000 shares of Class B common stock.</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(Barry J. Bentley, Gregory S. Bentley, Keith A. Bentley, Raymond B. Bentley, and Richard P. Bentley, collectively) serves as a Company director or executive officer. Class A common stock also will automatically convert into shares of Class B common stock upon the affirmative vote of at least 90% of the then outstanding shares of Class A common stock or such time that the Bentley family (the Bentleys, certain other family members and trusts and other entities controlled by or primarily for the benefit of the Bentleys and their families, collectively) directly or indirectly, own less than 20% of the issued and outstanding Class B common stock on a fully-diluted basis (assuming the conversion of all issued and outstanding Class A common stock).</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2023, 64,130 shares of Class A common stock were converted to Class B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BSY Stock Repurchase Program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May 2022, the Company announced that its Board of Directors approved the Repurchase Program authorizing the Company to repurchase up to $200,000 of the Company’s Class B common stock through June 30, 2024. In December 2022, the Company’s Board of Directors amended the Repurchase Program to allow the Company also to repurchase its outstanding convertible senior notes. This additional authorization did not increase the overall dollar limit of the Repurchase Program. The Company’s authorization under the Repurchase Program approved in May 2022 expired on June 30, 2024. In March 2024, the Company’s Board of Directors approved an extension to the Repurchase Program authorizing the Company to repurchase up to $200,000 of the Company’s Class B common stock and/or outstanding convertible senior notes from June 30, 2024 through June 30, 2026. As of December 31, 2024, $173,155 was available under the Company’s Board of Directors authorization for future repurchases of Class B common stock and/or outstanding convertible senior notes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shares and outstanding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outstanding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outstanding convertible senior notes to be repurchased by the Company is not guaranteed, and the Repurchase Program may be suspended, modified, or discontinued at any time without prior notice.</w:t>
      </w:r>
    </w:p>
    <w:p>
      <w:pPr>
        <w:spacing w:after="0" w:line="1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1,292,733 shares for $64,359 under the Repurchase Program. The Company did not make repurchases under the Repurchase Program during the year ended December 31, 2023. During the year ended December 31, 2022, the Company repurchased 896,126 shares for $28,250, and $2,170 aggregate principal amount of the Company’s outstanding 2026 Notes for $1,998 (see Note 10) under the Repurchase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Issuances, Sales, and Repurchases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issued 4,707,845 shares of Class B common stock to DCP participants in connection with distributions from the plan. There were no shares sold back to the Company as they were issued on a gross basis during the year ended December 31, 2024. During the year ended December 31, 2023, the Company issued 3,410,006 shares of Class B common stock to DCP participants in connection with distributions from the plan, net of 935,939 shares which were sold back to the Company in the same period to pay for applicable income tax withholdings of $38,456. During the year ended December 31, 2022, the Company issued 3,541,375 shares of Class B common stock to DCP participants in connection with distributions from the plan, net of 500,332 shares which were sold back to the Company in the same period to pay for applicable income tax withholdings of $24,246.</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issued 282,340 shares of Class B common stock, respectively, in connection with Bonus Plan incentive compensation. There were no shares sold back to the Company as they were issued on a gross basis during the year ended December 31, 2024. During the year ended December 31, 2023, the Company issued 247,867 shares of Class B common stock in connection with the Bonus Plan incentive compensation, net of 135,314 shares which were sold back to the Company in the same period to pay for applicable income tax withholdings of $5,756. During the year ended December 31, 2022, the Company issued 445,050 shares of Class B common stock in connection with the Bonus Plan incentive compensation, net of 124,116 shares which were sold back to the Company in the same period to pay for applicable income tax withholdings of $5,197.</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2,621,959 shares of Class B common stock to colleagues who exercised their stock options, net of 238,627 shares withheld at exercise to pay for the cost of the stock options, as well as for $6,581 of applicable income tax withholdings. The Company received $11,715 in cash proceeds from the exercise of stock options.</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issued 2,613,659 shares of Class B common stock to colleagues who exercised their stock options, net of 397,501 shares withheld at exercise to pay for the cost of the stock options, as well as for $9,188 of applicable income tax withholdings. The Company received $8,338 in cash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issued 185,178 shares of Class B common stock related to the exercise of acquisition options (see Note 15), net of 714,822 shares withheld at exercise to pay for the cost of the options. The Company did not receive any proceeds from the exercise of these options.</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Class B Common Stock Purchase Agreement with a strategic investor (the “Common Stock Purchase Agreement”), pursuant to which the investor acquired the maximum purchase amount of $250,000 of the Company’s Class B common stock. The Common Stock Purchase Agreement grants to the strategic investor certain informational and protective rights, including, for so long as the Company remains party to a long-term strategic collaboration agreement with the investor the right to participate in any sale process the Company may undertake. The Common Stock Purchase Agreement expires in 2030.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declared cash dividends during the periods presented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7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14,702</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58,756</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34,353</w:t>
            </w:r>
          </w:p>
        </w:tc>
      </w:tr>
      <w:tr>
        <w:trPr>
          <w:trHeight w:val="20"/>
        </w:trPr>
        <w:tc>
          <w:tcPr>
            <w:tcW w:w="7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Subsequent to December 31, 2024</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2025, our Board of Directors approved cash dividends of $0.07 per share payable on March 27, 2025 to all stockholders of record of Class A and Class B common stock as of the close of business on March 19,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Employee Stock Purchase Plan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Bentley Systems, Incorporated Global Employee Stock Purchase Plan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determined by the Board of Directors, the ESPP has been implemented by means of consecutive offering periods, which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offering period).</w:t>
      </w:r>
    </w:p>
    <w:p>
      <w:pPr>
        <w:spacing w:after="0" w:line="1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During the year ended December 31, 2024, colleagues who elected to participate in the ESPP purchased a total of 253,578 shares of Class B common stock, net of shares withheld, resulting in cash proceeds to the Company of $11,228. Of the total 260,437 shares purchased, 6,859 shares were sold back to the Company to pay for applicable income tax withholdings of $348. During the year ended December 31, 2023, colleagues who elected to participate in the ESPP purchased a total of 315,840 shares of Class B common stock, net of shares withheld, resulting in cash proceeds to the Company of $9,988. Of the total 333,324 shares purchased, 17,484 shares were sold back to the Company to pay for applicable income tax withholdings of $845. During the year ended December 31, 2022, colleagues who elected to participate in the ESPP purchased a total of 307,406 shares of Class B common stock, net of shares withheld, resulting in cash proceeds to the Company of $10,335. Of the total 314,471 shares purchased, 7,065 shares were sold back to the Company to pay for applicable income tax withholdings of $273. As of December 31, 2024 and 2023, $5,577 and $5,790 of ESPP withholdings via colleague payroll deduction were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 As of December 31, 2024, shares of Class B common stock available for future issuance under the ESPP were 24,018,460.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05"/>
        </w:trPr>
        <w:tc>
          <w:tcPr>
            <w:tcW w:w="5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(89,408)</w:t>
            </w:r>
          </w:p>
        </w:tc>
        <w:tc>
          <w:tcPr>
            <w:tcW w:w="2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(89,740)</w:t>
            </w:r>
          </w:p>
        </w:tc>
      </w:tr>
      <w:tr>
        <w:trPr>
          <w:trHeight w:val="25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7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tcPr>
          <w:p>
            <w:pPr>
              <w:spacing w:after="0"/>
              <w:rPr>
                <w:sz w:val="23"/>
                <w:szCs w:val="2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0"/>
        </w:trPr>
        <w:tc>
          <w:tcPr>
            <w:tcW w:w="5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05"/>
        </w:trPr>
        <w:tc>
          <w:tcPr>
            <w:tcW w:w="57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1"/>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(84,634)</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05"/>
        </w:trPr>
        <w:tc>
          <w:tcPr>
            <w:tcW w:w="5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(104,078)</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16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and RSUs expense</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40,754</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Bonus Plan expense (see Note 11)</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28,571</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expense (see Note 13)</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grants expense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70"/>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DCP elective participant deferrals expense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(see Note 12)</w:t>
            </w: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8"/>
        </w:trPr>
        <w:tc>
          <w:tcPr>
            <w:tcW w:w="60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DCP elective participant deferrals expense excludes deferred incentive bonus payable pursuant to the Bonus Plan.</w:t>
      </w:r>
    </w:p>
    <w:p>
      <w:pPr>
        <w:spacing w:after="0" w:line="70"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December 31, 2024 and 2023, $1,556 and $4,043 remained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 respectively.</w:t>
      </w:r>
    </w:p>
    <w:p>
      <w:pPr>
        <w:spacing w:after="0" w:line="137" w:lineRule="exact"/>
        <w:rPr>
          <w:rFonts w:ascii="Times New Roman" w:cs="Times New Roman" w:eastAsia="Times New Roman" w:hAnsi="Times New Roman"/>
          <w:sz w:val="16"/>
          <w:szCs w:val="16"/>
          <w:color w:val="auto"/>
        </w:rPr>
      </w:pPr>
    </w:p>
    <w:p>
      <w:pPr>
        <w:ind w:left="340"/>
        <w:spacing w:after="0" w:line="207"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operations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75,206</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15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valuations, the Company’s financial condition, and historical financial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Bentley Systems, Incorporated 2020 Omnibus Incentive Plan</w:t>
      </w:r>
    </w:p>
    <w:p>
      <w:pPr>
        <w:spacing w:after="0" w:line="16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Company’s 2020 Plan provides for the granting of stock, stock options, restricted stock, RSUs,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December 31, 2024, equity awards available for future grants under the 2020 Plan were 19,709,483.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RSUs</w:t>
      </w:r>
    </w:p>
    <w:p>
      <w:pPr>
        <w:spacing w:after="0" w:line="16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Under the 2020 Plan, the Company may grant both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vesting is determined by the achievement of certain business growth targets, which include growth in ARR,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Performance targets are generally set for performance periods of one year to three years. The fair value of restricted stock and RSUs is determined by the product of the number of shares granted and the Company’s Class B common stock price on the grant date.</w:t>
      </w:r>
    </w:p>
    <w:p>
      <w:pPr>
        <w:spacing w:after="0" w:line="117" w:lineRule="exact"/>
        <w:rPr>
          <w:sz w:val="20"/>
          <w:szCs w:val="20"/>
          <w:color w:val="auto"/>
        </w:rPr>
      </w:pPr>
    </w:p>
    <w:p>
      <w:pPr>
        <w:jc w:val="both"/>
        <w:ind w:firstLine="324"/>
        <w:spacing w:after="0" w:line="238" w:lineRule="exact"/>
        <w:rPr>
          <w:sz w:val="20"/>
          <w:szCs w:val="20"/>
          <w:color w:val="auto"/>
        </w:rPr>
      </w:pPr>
      <w:r>
        <w:rPr>
          <w:rFonts w:ascii="Times New Roman" w:cs="Times New Roman" w:eastAsia="Times New Roman" w:hAnsi="Times New Roman"/>
          <w:sz w:val="18"/>
          <w:szCs w:val="18"/>
          <w:color w:val="auto"/>
        </w:rPr>
        <w:t>Shares of restricted stock have voting rights and, subject to the terms of the award agreements, the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awards generally accrue declared dividends which are paid upon vesting. RSUs, which may be cash 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depending on the award, do not have voting rights and, subject to the terms of the award agreements, the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have dividend equivalent rights and do not accrue cash dividends. Recipients of the Company’s outstanding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awards and RSUs are paid dividends prior to vesting.</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unvested restricted stock and RSUs activity and related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Based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Time-</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7"/>
                <w:szCs w:val="17"/>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20" w:type="dxa"/>
            <w:vAlign w:val="bottom"/>
          </w:tcPr>
          <w:p>
            <w:pPr>
              <w:spacing w:after="0"/>
              <w:rPr>
                <w:sz w:val="17"/>
                <w:szCs w:val="17"/>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17"/>
                <w:szCs w:val="17"/>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20" w:type="dxa"/>
            <w:vAlign w:val="bottom"/>
          </w:tcPr>
          <w:p>
            <w:pPr>
              <w:spacing w:after="0"/>
              <w:rPr>
                <w:sz w:val="17"/>
                <w:szCs w:val="17"/>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2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3,303,849</w:t>
            </w:r>
          </w:p>
        </w:tc>
        <w:tc>
          <w:tcPr>
            <w:tcW w:w="4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2,938,208</w:t>
            </w:r>
          </w:p>
        </w:tc>
        <w:tc>
          <w:tcPr>
            <w:tcW w:w="440" w:type="dxa"/>
            <w:vAlign w:val="bottom"/>
            <w:tcBorders>
              <w:top w:val="single" w:sz="8" w:color="CCEEFF"/>
            </w:tcBorders>
            <w:shd w:val="clear" w:color="auto" w:fill="CCEEFF"/>
          </w:tcPr>
          <w:p>
            <w:pPr>
              <w:jc w:val="right"/>
              <w:ind w:right="222"/>
              <w:spacing w:after="0" w:line="136" w:lineRule="exact"/>
              <w:rPr>
                <w:sz w:val="20"/>
                <w:szCs w:val="20"/>
                <w:color w:val="auto"/>
              </w:rPr>
            </w:pPr>
            <w:r>
              <w:rPr>
                <w:rFonts w:ascii="Times New Roman" w:cs="Times New Roman" w:eastAsia="Times New Roman" w:hAnsi="Times New Roman"/>
                <w:sz w:val="12"/>
                <w:szCs w:val="12"/>
                <w:color w:val="auto"/>
                <w:w w:val="99"/>
              </w:rPr>
              <w:t>(3)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365,641</w:t>
            </w:r>
          </w:p>
        </w:tc>
        <w:tc>
          <w:tcPr>
            <w:tcW w:w="440" w:type="dxa"/>
            <w:vAlign w:val="bottom"/>
            <w:tcBorders>
              <w:top w:val="single" w:sz="8" w:color="CCEEFF"/>
            </w:tcBorders>
            <w:shd w:val="clear" w:color="auto" w:fill="CCEEFF"/>
          </w:tcPr>
          <w:p>
            <w:pPr>
              <w:jc w:val="right"/>
              <w:ind w:right="222"/>
              <w:spacing w:after="0" w:line="136" w:lineRule="exact"/>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70"/>
        </w:trPr>
        <w:tc>
          <w:tcPr>
            <w:tcW w:w="20" w:type="dxa"/>
            <w:vAlign w:val="bottom"/>
          </w:tcPr>
          <w:p>
            <w:pPr>
              <w:spacing w:after="0"/>
              <w:rPr>
                <w:sz w:val="23"/>
                <w:szCs w:val="23"/>
                <w:color w:val="auto"/>
              </w:rPr>
            </w:pPr>
          </w:p>
        </w:tc>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1,661,929</w:t>
            </w: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85"/>
              </w:rPr>
              <w:t>(1)</w:t>
            </w: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1,455,017</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206,912</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(6)</w:t>
            </w:r>
          </w:p>
        </w:tc>
        <w:tc>
          <w:tcPr>
            <w:tcW w:w="16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50.48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49.49</w:t>
            </w:r>
          </w:p>
        </w:tc>
      </w:tr>
      <w:tr>
        <w:trPr>
          <w:trHeight w:val="270"/>
        </w:trPr>
        <w:tc>
          <w:tcPr>
            <w:tcW w:w="20" w:type="dxa"/>
            <w:vAlign w:val="bottom"/>
          </w:tcPr>
          <w:p>
            <w:pPr>
              <w:spacing w:after="0"/>
              <w:rPr>
                <w:sz w:val="23"/>
                <w:szCs w:val="23"/>
                <w:color w:val="auto"/>
              </w:rPr>
            </w:pPr>
          </w:p>
        </w:tc>
        <w:tc>
          <w:tcPr>
            <w:tcW w:w="3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(1,237,464)</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(1,055,674)</w:t>
            </w:r>
          </w:p>
        </w:tc>
        <w:tc>
          <w:tcPr>
            <w:tcW w:w="4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(181,790)</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70"/>
        </w:trPr>
        <w:tc>
          <w:tcPr>
            <w:tcW w:w="20" w:type="dxa"/>
            <w:vAlign w:val="bottom"/>
          </w:tcPr>
          <w:p>
            <w:pPr>
              <w:spacing w:after="0"/>
              <w:rPr>
                <w:sz w:val="23"/>
                <w:szCs w:val="23"/>
                <w:color w:val="auto"/>
              </w:rPr>
            </w:pPr>
          </w:p>
        </w:tc>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(311,305)</w:t>
            </w: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(269,848)</w:t>
            </w:r>
          </w:p>
        </w:tc>
        <w:tc>
          <w:tcPr>
            <w:tcW w:w="440" w:type="dxa"/>
            <w:vAlign w:val="bottom"/>
          </w:tcPr>
          <w:p>
            <w:pPr>
              <w:spacing w:after="0"/>
              <w:rPr>
                <w:sz w:val="23"/>
                <w:szCs w:val="23"/>
                <w:color w:val="auto"/>
              </w:rPr>
            </w:pPr>
          </w:p>
        </w:tc>
        <w:tc>
          <w:tcPr>
            <w:tcW w:w="17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(41,457)</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48"/>
        </w:trPr>
        <w:tc>
          <w:tcPr>
            <w:tcW w:w="20" w:type="dxa"/>
            <w:vAlign w:val="bottom"/>
          </w:tcPr>
          <w:p>
            <w:pPr>
              <w:spacing w:after="0"/>
              <w:rPr>
                <w:sz w:val="21"/>
                <w:szCs w:val="21"/>
                <w:color w:val="auto"/>
              </w:rPr>
            </w:pPr>
          </w:p>
        </w:tc>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2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3,417,009</w:t>
            </w:r>
          </w:p>
        </w:tc>
        <w:tc>
          <w:tcPr>
            <w:tcW w:w="420" w:type="dxa"/>
            <w:vAlign w:val="bottom"/>
            <w:tcBorders>
              <w:top w:val="single" w:sz="8" w:color="CCEEFF"/>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(2)</w:t>
            </w:r>
          </w:p>
        </w:tc>
        <w:tc>
          <w:tcPr>
            <w:tcW w:w="12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3,067,703</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349,306</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3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the Company only granted RSUs.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34,652 RSUs which are expected to be settled in cash.</w:t>
      </w:r>
    </w:p>
    <w:p>
      <w:pPr>
        <w:spacing w:after="0" w:line="36" w:lineRule="exact"/>
        <w:rPr>
          <w:rFonts w:ascii="Times New Roman" w:cs="Times New Roman" w:eastAsia="Times New Roman" w:hAnsi="Times New Roman"/>
          <w:sz w:val="16"/>
          <w:szCs w:val="16"/>
          <w:color w:val="auto"/>
        </w:rPr>
      </w:pPr>
    </w:p>
    <w:p>
      <w:pPr>
        <w:ind w:left="340" w:hanging="332"/>
        <w:spacing w:after="0" w:line="184" w:lineRule="exact"/>
        <w:tabs>
          <w:tab w:leader="none" w:pos="34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Includes 199,076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RSUs granted during the three months ended March 31, 2022 to certain officers and key employees, which cliff vest on January 31, 2025.</w:t>
      </w:r>
    </w:p>
    <w:p>
      <w:pPr>
        <w:spacing w:after="0" w:line="88" w:lineRule="exact"/>
        <w:rPr>
          <w:rFonts w:ascii="Times New Roman" w:cs="Times New Roman" w:eastAsia="Times New Roman" w:hAnsi="Times New Roman"/>
          <w:sz w:val="16"/>
          <w:szCs w:val="16"/>
          <w:color w:val="231F20"/>
        </w:rPr>
      </w:pPr>
    </w:p>
    <w:p>
      <w:pPr>
        <w:ind w:left="340" w:hanging="332"/>
        <w:spacing w:after="0" w:line="210" w:lineRule="exact"/>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300,964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RSUs granted during the three months ended June 30, 2024 to certain officers, which vest 20% on each of December 15, 2025, 2026, 2027, 2028, and 2029.</w:t>
      </w:r>
    </w:p>
    <w:p>
      <w:pPr>
        <w:ind w:left="340" w:hanging="332"/>
        <w:spacing w:after="0" w:line="216" w:lineRule="exact"/>
        <w:tabs>
          <w:tab w:leader="none" w:pos="34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Primarily relates to the 2023 annual performance period. Includes 185,186 performance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RSUs granted during the year ended December 31, 2022 with extraordinary terms, which are described below.</w:t>
      </w:r>
    </w:p>
    <w:p>
      <w:pPr>
        <w:spacing w:after="0" w:line="47" w:lineRule="exact"/>
        <w:rPr>
          <w:rFonts w:ascii="Times New Roman" w:cs="Times New Roman" w:eastAsia="Times New Roman" w:hAnsi="Times New Roman"/>
          <w:sz w:val="16"/>
          <w:szCs w:val="16"/>
          <w:color w:val="231F20"/>
        </w:rPr>
      </w:pPr>
    </w:p>
    <w:p>
      <w:pPr>
        <w:ind w:left="340" w:hanging="332"/>
        <w:spacing w:after="0" w:line="280" w:lineRule="auto"/>
        <w:tabs>
          <w:tab w:leader="none" w:pos="34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Primarily relates to the 2024 annual performance period. Includes 1,335 additional shares earned based on the achievement of 2023 performance goals for performance-based RSUs granted during the year ended December 31, 2023.</w:t>
      </w:r>
    </w:p>
    <w:p>
      <w:pPr>
        <w:spacing w:after="0" w:line="93"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During the year ended December 31, 2022, the Company granted 185,186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of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will be subject to a cliff, whereby no vesting of that portion will occur unless the Company’s applicable margin metrics (which, for 2022 was Adjusted EBITDA margin, and for 2023 and 2024 was Adjusted OI w/SBC margin, excluding the impact of foreign currency exchange fluctuations) also equals or exceeds the relevant target level for such year. Provided that the applicable margin targets are met, the total number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that will vest is determined by the achievement of growth targets, which include growth in ARR,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As of December 31, 2024, 162,038 of the aforementioned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were outstanding. On January 31, 2025, 162,038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were determined to be vested based on the achievement of the performance goals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2"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In 2016, the Company granted RSUs subject to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as determined by the achievement of certain business growth targets. Certain colleagues elected to defer delivery of such shares upon vesting. During the years ended December 31, 2024, 2023, and 2022, 1,569, 1,562, and 10,888 shares, respectively, were delivered to colleagues, and 32, 36, and 30 additional shares, respectively, were earned as a result of dividends. As of December 31, 2024, 2023, and 2022, 6,300, 7,837, and 9,363 shares, respectively, of these vested and deferred RSUs remained outstanding.</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RSUs granted were $50.36, $42.29, and $38.18 for the years ended December 31, 2024, 2023, and 2022, respectively.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restricted stock and RSUs were issued net of 197,328, 161,841, and 112,698 shares, respectively, which were sold back to the Company to settle applicable income tax withholdings of $9,966, $7,299, and $4,491, respectively.</w:t>
      </w:r>
    </w:p>
    <w:p>
      <w:pPr>
        <w:spacing w:after="0" w:line="80"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As of December 31, 2024, there was $96,151 of unrecognized compensation expense related to unvested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and RSUs, which is expected to be recognized over a weighted average period of approximately 1.9 years. As of December 31, 2024, there was $1,802 of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is expected to be recognized over a weighted average period of approximately 2.0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Grants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2020 Plan, the Company may grant unrestricted, fully vested shares of Class B common stock. The fair value of stock grants is determined by the product of the number of fully vested Class B common stock granted and the Company’s common stock price on the grant date. The total expense related to stock grants is recognized on the grant date as the issued awards are fully vested.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granted 11,391, 12,639, and 13,632 fully vested shares of Class B common stock, respectively, with a fair value of $600, $600, and $450,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4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The fair value of each stock option award was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Stock options generally vest ratably on each of the first four anniversaries of the grant date. The Company did not grant stock options during the years ended December 31, 2024, 2023, and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and related information:</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16"/>
        </w:trPr>
        <w:tc>
          <w:tcPr>
            <w:tcW w:w="8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6"/>
        </w:trPr>
        <w:tc>
          <w:tcPr>
            <w:tcW w:w="80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19"/>
        </w:trPr>
        <w:tc>
          <w:tcPr>
            <w:tcW w:w="806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9"/>
                <w:szCs w:val="19"/>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26"/>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916,429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7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(911,429)</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7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8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received cash proceeds of $4,007, $11,715, and $8,338, respectively, related to the exercise of stock options. The total intrinsic value of stock options exercised for the years ended December 31, 2024, 2023, and 2022 was $40,775, $112,025, and $101,643, respectively.</w:t>
      </w:r>
    </w:p>
    <w:p>
      <w:pPr>
        <w:spacing w:after="0" w:line="149" w:lineRule="exact"/>
        <w:rPr>
          <w:sz w:val="20"/>
          <w:szCs w:val="20"/>
          <w:color w:val="auto"/>
        </w:rPr>
      </w:pPr>
    </w:p>
    <w:p>
      <w:pPr>
        <w:ind w:right="2140" w:firstLine="324"/>
        <w:spacing w:after="0" w:line="453" w:lineRule="auto"/>
        <w:rPr>
          <w:sz w:val="20"/>
          <w:szCs w:val="20"/>
          <w:color w:val="auto"/>
        </w:rPr>
      </w:pPr>
      <w:r>
        <w:rPr>
          <w:rFonts w:ascii="Times New Roman" w:cs="Times New Roman" w:eastAsia="Times New Roman" w:hAnsi="Times New Roman"/>
          <w:sz w:val="18"/>
          <w:szCs w:val="18"/>
          <w:color w:val="auto"/>
        </w:rPr>
        <w:t xml:space="preserve">As of December 31, 2024, there was no remaining unrecognized compensation expense related to unvested stock options. </w:t>
      </w:r>
      <w:r>
        <w:rPr>
          <w:rFonts w:ascii="Times New Roman" w:cs="Times New Roman" w:eastAsia="Times New Roman" w:hAnsi="Times New Roman"/>
          <w:sz w:val="18"/>
          <w:szCs w:val="18"/>
          <w:b w:val="1"/>
          <w:bCs w:val="1"/>
          <w:i w:val="1"/>
          <w:iCs w:val="1"/>
          <w:color w:val="auto"/>
        </w:rPr>
        <w:t>Acquisition Options</w:t>
      </w:r>
    </w:p>
    <w:p>
      <w:pPr>
        <w:spacing w:after="0" w:line="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connection with an acquisition completed in March 2018, the Company issued to certain selling shareholder entities options to acquire an aggregate of up to 900,000 shares of Class B common stock. As of December 31, 2020, the Company fully recognized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associated with these options. During the year ended December 31, 2022, 900,000 options were exercised. No acquisition options remained outstanding as of December 31,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ESPP</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ESPP is considered a compensatory plan as it provides eligible colleagues an option to purchase shares of the Company’s Class B common stock for 85% of the lower of the price of the first day of the offering period or the last day of the offering period (i.e., the purchase date).</w:t>
      </w:r>
    </w:p>
    <w:p>
      <w:pPr>
        <w:spacing w:after="0" w:line="80"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The fair value of each purchase right under the ESPP was calculated as the sum of its components, which includes the discount, a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call option, and a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put option. The call and put options were valued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recognized ratably over the respective offering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Subsequent to December 31, 2024</w:t>
      </w:r>
    </w:p>
    <w:p>
      <w:pPr>
        <w:spacing w:after="0" w:line="14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In January 2025, in connection with the appointment of the Company’s Chief Operating Officer, the Company granted 165,344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vest as follows: 14% on May 13, 2025, 14% on December 15, 2025, and 18% on each of December 15, 2026, 2027, 2028, and 2029. The unrecognized compensation expense related to these RSUs is approximately $7,700, which is expected to be recognized over a weighted average period of approximately 4.9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98,188</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174,431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100,087</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293,055</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198,275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consists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57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(7,194)</w:t>
            </w:r>
          </w:p>
        </w:tc>
        <w:tc>
          <w:tcPr>
            <w:tcW w:w="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9"/>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(36,287)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(40,171)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(22,715)</w:t>
            </w:r>
          </w:p>
        </w:tc>
      </w:tr>
      <w:tr>
        <w:trPr>
          <w:trHeight w:val="223"/>
        </w:trPr>
        <w:tc>
          <w:tcPr>
            <w:tcW w:w="5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(46,155)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w:t>
            </w:r>
          </w:p>
        </w:tc>
      </w:tr>
      <w:tr>
        <w:trPr>
          <w:trHeight w:val="20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134,516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34,848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3"/>
        </w:trPr>
        <w:tc>
          <w:tcPr>
            <w:tcW w:w="57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(12,571)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198,878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(58,726)</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143,241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968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A reconciliation of the U.S. statutory federal income tax rate to the Company’s effective income tax rate is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6"/>
        </w:trPr>
        <w:tc>
          <w:tcPr>
            <w:tcW w:w="5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11"/>
        </w:trPr>
        <w:tc>
          <w:tcPr>
            <w:tcW w:w="57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2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2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2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tax on foreign earnings (GILTI/FDII)</w:t>
            </w:r>
          </w:p>
        </w:tc>
        <w:tc>
          <w:tcPr>
            <w:tcW w:w="2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impact of internal legal entity restructuring</w:t>
            </w:r>
          </w:p>
        </w:tc>
        <w:tc>
          <w:tcPr>
            <w:tcW w:w="2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For the year ended December 31, 2024, the effective tax rate was higher as compared to the year ended December 31, 2023 primarily due to the discrete tax benefit recognized as a result of the internal legal entity restructuring during the fourth quarter of 2023 described below, as well as a decrease in discrete tax benefits related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 partially offset by the decrease in the adverse effective tax rate impact of the net tax on foreign earnings. The decrease in net tax on foreign earnings is primarily related to increased foreign creditable taxes available to reduce the net impact of the GILTI inclusion. For the year ended December 31, 2023, the effective tax rate was lower as compared to the year ended December 31, 2022 primarily due to the discrete tax benefit recognized as a result of the internal legal entity restructuring during the fourth quarter of 2023 described below. For the years ended December 31, 2024, 2023, and 2022, the Company recorded discrete tax benefits of $5,583, $14,648, and $20,501, respectively,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During the fourth quarter of 2023, the Company recognized a net discrete income tax benefit of $170,784 attributable to internal legal entity restructuring and related intra-entity transactions as part of its continuing efforts to align intellectual property ownership with the Company’s business operating model. These transactions resulted in the recognition of deferred tax benefits arising from the net increase in deferred tax assets related to intangibles and goodwill of $171,622. As of December 31, 2023, the deferred tax assets represented the undiscounted future anticipated cash tax impacts of basis differences, which were expected to be realized through tax amortization over the next 13 years, beginning in 2024. The benefit of the internal legal entity restructuring was partially offset by an increase in the effective tax rate impact of the GILTI inclusion due to the mandatory capitalization of research and development expenses for U.S. tax purposes and a decrease in discrete tax benefits related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 recognized during the year ended December 31, 2023 as compared to the prior year.</w:t>
      </w:r>
    </w:p>
    <w:p>
      <w:pPr>
        <w:spacing w:after="0" w:line="171"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The U.S. Tax Cuts and Jobs Act (the “JOBS Act”) requires certain GILTI earned by a controlled foreign corporation (“CFC”) to be included in the gross income of the CFC’s U.S. shareholder. The Company has elected the “period cost method” and treats taxes due on future U.S. inclusions in taxable income related to GILTI as a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expense when incurred. The JOBS Act allows a U.S. corporation a deduction equal to a certain percentage of its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intangible income (“FDII”).</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significant components of the Company’s deferred tax assets and liabilities: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32,875</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NOL and credit carryforwards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including goodwill</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142,293</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137,576</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and 163(j) limitation</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14,364</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accruals not currently deductible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5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227,055</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5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206,286</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224,391</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and losses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000"/>
        <w:spacing w:after="0"/>
        <w:tabs>
          <w:tab w:leader="none" w:pos="2800" w:val="left"/>
        </w:tabs>
        <w:rPr>
          <w:sz w:val="20"/>
          <w:szCs w:val="20"/>
          <w:color w:val="auto"/>
        </w:rPr>
      </w:pPr>
      <w:r>
        <w:rPr>
          <w:rFonts w:ascii="Times New Roman" w:cs="Times New Roman" w:eastAsia="Times New Roman" w:hAnsi="Times New Roman"/>
          <w:sz w:val="18"/>
          <w:szCs w:val="18"/>
          <w:color w:val="auto"/>
        </w:rPr>
        <w:t>(4,607)</w:t>
      </w:r>
      <w:r>
        <w:rPr>
          <w:sz w:val="20"/>
          <w:szCs w:val="20"/>
          <w:color w:val="auto"/>
        </w:rPr>
        <w:tab/>
      </w:r>
      <w:r>
        <w:rPr>
          <w:rFonts w:ascii="Times New Roman" w:cs="Times New Roman" w:eastAsia="Times New Roman" w:hAnsi="Times New Roman"/>
          <w:sz w:val="18"/>
          <w:szCs w:val="18"/>
          <w:color w:val="auto"/>
        </w:rPr>
        <w:t>(6,762)</w:t>
      </w:r>
    </w:p>
    <w:p>
      <w:pPr>
        <w:spacing w:after="0" w:line="63" w:lineRule="exact"/>
        <w:rPr>
          <w:sz w:val="20"/>
          <w:szCs w:val="20"/>
          <w:color w:val="auto"/>
        </w:rPr>
      </w:pPr>
    </w:p>
    <w:p>
      <w:pPr>
        <w:ind w:left="1140"/>
        <w:spacing w:after="0"/>
        <w:tabs>
          <w:tab w:leader="none" w:pos="280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color w:val="auto"/>
        </w:rPr>
        <w:t>(2,746)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00"/>
        <w:spacing w:after="0"/>
        <w:tabs>
          <w:tab w:leader="none" w:pos="2800" w:val="left"/>
        </w:tabs>
        <w:rPr>
          <w:sz w:val="20"/>
          <w:szCs w:val="20"/>
          <w:color w:val="auto"/>
        </w:rPr>
      </w:pPr>
      <w:r>
        <w:rPr>
          <w:rFonts w:ascii="Times New Roman" w:cs="Times New Roman" w:eastAsia="Times New Roman" w:hAnsi="Times New Roman"/>
          <w:sz w:val="18"/>
          <w:szCs w:val="18"/>
          <w:color w:val="auto"/>
        </w:rPr>
        <w:t>(8,522)</w:t>
      </w:r>
      <w:r>
        <w:rPr>
          <w:sz w:val="20"/>
          <w:szCs w:val="20"/>
          <w:color w:val="auto"/>
        </w:rPr>
        <w:tab/>
      </w:r>
      <w:r>
        <w:rPr>
          <w:rFonts w:ascii="Times New Roman" w:cs="Times New Roman" w:eastAsia="Times New Roman" w:hAnsi="Times New Roman"/>
          <w:sz w:val="18"/>
          <w:szCs w:val="18"/>
          <w:color w:val="auto"/>
        </w:rPr>
        <w:t>(8,131)</w:t>
      </w:r>
    </w:p>
    <w:p>
      <w:pPr>
        <w:spacing w:after="0" w:line="63" w:lineRule="exact"/>
        <w:rPr>
          <w:sz w:val="20"/>
          <w:szCs w:val="20"/>
          <w:color w:val="auto"/>
        </w:rPr>
      </w:pPr>
    </w:p>
    <w:p>
      <w:pPr>
        <w:ind w:left="1000"/>
        <w:spacing w:after="0"/>
        <w:tabs>
          <w:tab w:leader="none" w:pos="2800" w:val="left"/>
        </w:tabs>
        <w:rPr>
          <w:sz w:val="20"/>
          <w:szCs w:val="20"/>
          <w:color w:val="auto"/>
        </w:rPr>
      </w:pPr>
      <w:r>
        <w:rPr>
          <w:rFonts w:ascii="Times New Roman" w:cs="Times New Roman" w:eastAsia="Times New Roman" w:hAnsi="Times New Roman"/>
          <w:sz w:val="18"/>
          <w:szCs w:val="18"/>
          <w:color w:val="auto"/>
        </w:rPr>
        <w:t>(2,769)</w:t>
      </w:r>
      <w:r>
        <w:rPr>
          <w:sz w:val="20"/>
          <w:szCs w:val="20"/>
          <w:color w:val="auto"/>
        </w:rPr>
        <w:tab/>
      </w:r>
      <w:r>
        <w:rPr>
          <w:rFonts w:ascii="Times New Roman" w:cs="Times New Roman" w:eastAsia="Times New Roman" w:hAnsi="Times New Roman"/>
          <w:sz w:val="18"/>
          <w:szCs w:val="18"/>
          <w:color w:val="auto"/>
        </w:rPr>
        <w:t>(3,639)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920"/>
        <w:spacing w:after="0"/>
        <w:tabs>
          <w:tab w:leader="none" w:pos="2720" w:val="left"/>
        </w:tabs>
        <w:rPr>
          <w:sz w:val="20"/>
          <w:szCs w:val="20"/>
          <w:color w:val="auto"/>
        </w:rPr>
      </w:pPr>
      <w:r>
        <w:rPr>
          <w:rFonts w:ascii="Times New Roman" w:cs="Times New Roman" w:eastAsia="Times New Roman" w:hAnsi="Times New Roman"/>
          <w:sz w:val="18"/>
          <w:szCs w:val="18"/>
          <w:color w:val="auto"/>
        </w:rPr>
        <w:t>(16,612)</w:t>
      </w:r>
      <w:r>
        <w:rPr>
          <w:sz w:val="20"/>
          <w:szCs w:val="20"/>
          <w:color w:val="auto"/>
        </w:rPr>
        <w:tab/>
      </w:r>
      <w:r>
        <w:rPr>
          <w:rFonts w:ascii="Times New Roman" w:cs="Times New Roman" w:eastAsia="Times New Roman" w:hAnsi="Times New Roman"/>
          <w:sz w:val="18"/>
          <w:szCs w:val="18"/>
          <w:color w:val="auto"/>
        </w:rPr>
        <w:t>(21,278)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513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spacing w:after="0"/>
        <w:tabs>
          <w:tab w:leader="none" w:pos="880" w:val="left"/>
          <w:tab w:leader="none" w:pos="1820" w:val="left"/>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189,674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203,113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5138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2151380"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140" w:space="720"/>
            <w:col w:w="3380"/>
          </w:cols>
          <w:pgMar w:left="320" w:top="1440" w:right="339" w:bottom="1440" w:gutter="0" w:footer="0" w:header="0"/>
          <w:type w:val="continuous"/>
        </w:sectPr>
      </w:pP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expected future tax consequences of NOL 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5" w:name="page106"/>
    <w:bookmarkEnd w:id="105"/>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deferred tax assets for tax credits and NOLs, net of unrecognized tax positions, primarily related to:</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2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Begin to Expire</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NOL</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6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research and development credits</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foreign tax credits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NOL</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research and development credits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 NOL</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research and development credits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research and development credit</w:t>
            </w: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r>
    </w:tbl>
    <w:p>
      <w:pPr>
        <w:spacing w:after="0" w:line="2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has a valuation allowance recorded against net deferred tax assets related to NOLs and tax attributes in certain jurisdictions of $4,474 and $2,664, respectively. During the year ended December 31, 2024, the Company increased the valuation allowance by $1,810, which was primarily related to taxable losses in various foreign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14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We have provided for any applicable income taxes associated with current year distributions, as well as any earnings that are expected to be distributed in the future, in the calculation of the income tax provision. No additional provision has been made for U.S.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income taxes on the undistributed earnings of subsidiaries that are expected to be indefinitely reinvested. As of December 31, 2024, certain subsidiaries had approximately $298,041 of cumulative undistributed earnings that have been deemed permanently reinvested.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changes in gross unrecognized tax benefits: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beginning of year</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for tax positions of prior years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for tax positions of prior years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with taxing authorities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as a result of lapse of the statute of limitations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end of year</w:t>
            </w: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2023, and 2022, the Company had total unrecognized tax benefits including interest and penalties of $0, $557, and $1,194, respectively, of which $0, $554, and $1,181, respectively, would impact the Company’s effective tax rate if recognized. Interest expense and penalties related to unrecognized tax benefits included in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were $91, $194, $89 for the years ended December 31, 2024, 2023, and 2022, respectively. The cumulative accrued interest and penalties related to unrecognized tax benefits were $0, $91, and $284 as of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3"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Company is subject to income tax in the U.S. (federal and state) and numerous foreign jurisdictions. Significant judgment is required in evaluating the Company’s tax positions and determining the provision for income taxes. During the ordinary course of business, there are many transactions and calculations for which the ultimate tax determination is uncertain. The Company establishes reserves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uncertainties based on estimates of whether, and the extent to which, additional taxes will be due. These reserves are established when the Company believes that certain positions might be challenged despite its belief that the Company’s tax return positions are fully supportable. The tax benefit recognized is based on the largest amount that is greater than 50 percent likely of being realized upon ultimate settlement. The Company adjusts these reserves in light of changing facts and circumstances, such as the outcome of tax audits.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statements of operations includes the impact of reserve provisions and changes to reserves that are considered appropriate. The Company records accrued interest and/or penalties, where applicable, related to unrecognized tax benefits as part of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statements of operations. The Company records the amount of uncertain taxes expected to be paid in the next 12 months as a current liability and records the remaining amount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currently under audit in the U.K. for years 2018 through 2022 and in Canada for years 2021 through 2023. In addition, the Company is under audit in various other foreign taxing jurisdictions that are not material to the consolidated financial statements. The Company’s U.S. consolidated federal income tax returns for years 2021 through 2024 may be subject to examination by the Internal Revenue Service. The Company also may be subject to examination by other significant jurisdictions, including the Irish Revenue Commissioners for Irish tax purposes for years 2015 through 2024 and by the Inland Revenue Department for New Zealand Tax purposes for years 2019 through 2024.</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while other aspects are expected to become effective in 2025. Due to the uncertainty regarding which countries will enact Pillar 2 legislation and in what form the legislation will be adopted, as well as uncertainty regarding the timing of individual country legislative action and the underlying complexity of the rules, we are still assessing the impact, if any, of the Pillar 2 legislation on the Company. Pillar 2 legislation did not have a material impact on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statements for the year ended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16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Company categorizes its assets and liabilities measured at fair value into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based on the 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hierarchy consists of the following three levels: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8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198"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26" w:lineRule="exact"/>
        <w:rPr>
          <w:sz w:val="20"/>
          <w:szCs w:val="20"/>
          <w:color w:val="auto"/>
        </w:rPr>
      </w:pPr>
    </w:p>
    <w:p>
      <w:pPr>
        <w:jc w:val="both"/>
        <w:ind w:right="20" w:firstLine="324"/>
        <w:spacing w:after="0" w:line="24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Current Assets and Current Liabilities </w:t>
      </w:r>
      <w:r>
        <w:rPr>
          <w:rFonts w:ascii="Times New Roman" w:cs="Times New Roman" w:eastAsia="Times New Roman" w:hAnsi="Times New Roman"/>
          <w:sz w:val="18"/>
          <w:szCs w:val="18"/>
          <w:color w:val="auto"/>
        </w:rPr>
        <w:t>— In general, the carrying amounts reported on the Company’s consolidated balance sheets for current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current liabilities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those instruments.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measurements for Level 2 financial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 </w:t>
      </w:r>
      <w:r>
        <w:rPr>
          <w:rFonts w:ascii="Times New Roman" w:cs="Times New Roman" w:eastAsia="Times New Roman" w:hAnsi="Times New Roman"/>
          <w:sz w:val="18"/>
          <w:szCs w:val="18"/>
          <w:color w:val="auto"/>
        </w:rPr>
        <w:t>— The fair value of the Company’s interest rate swap asset or liability is determined using an income approach and is measured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implied forward rates for the remaining term of the interest rate swap. The Company considers these valuation inputs to be Level 2 inputs in the fair value hierarchy.</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color w:val="auto"/>
        </w:rPr>
        <w:t>— The fair value of the Company’s credit facility borrowings approximated its carrying value based upon discounted cash flows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market rates for instruments with similar remaining terms. The Company considers these valuation inputs to be Level 2 inputs in the fair value hierarchy. As of December 31, 2024, the estimated fair value of the 2026 Notes and 2027 Notes was $671,123 and $519,271, respectively. As of December 31, 2023, the estimated fair value of the 2026 Notes and 2027 Notes was $684,205 and $516,051,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4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Liabilities </w:t>
      </w:r>
      <w:r>
        <w:rPr>
          <w:rFonts w:ascii="Times New Roman" w:cs="Times New Roman" w:eastAsia="Times New Roman" w:hAnsi="Times New Roman"/>
          <w:sz w:val="18"/>
          <w:szCs w:val="18"/>
          <w:color w:val="auto"/>
        </w:rPr>
        <w:t>— The fair value of deferred compensation plan liabilities, including the liability classified phantom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the DCP, are marked to market at the end of each reporting period.</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assets and financial liabilities carried at fair value measured on a recurring basis consist of the following:</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7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32,172</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100,482</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100,482</w:t>
            </w:r>
          </w:p>
        </w:tc>
      </w:tr>
      <w:tr>
        <w:trPr>
          <w:trHeight w:val="27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100,922</w:t>
            </w: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Pr>
          <w:p>
            <w:pPr>
              <w:spacing w:after="0"/>
              <w:rPr>
                <w:sz w:val="23"/>
                <w:szCs w:val="23"/>
                <w:color w:val="auto"/>
              </w:rPr>
            </w:pPr>
          </w:p>
        </w:tc>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32,163</w:t>
            </w: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w:t>
            </w:r>
          </w:p>
        </w:tc>
      </w:tr>
      <w:tr>
        <w:trPr>
          <w:trHeight w:val="270"/>
        </w:trPr>
        <w:tc>
          <w:tcPr>
            <w:tcW w:w="20" w:type="dxa"/>
            <w:vAlign w:val="bottom"/>
          </w:tcPr>
          <w:p>
            <w:pPr>
              <w:spacing w:after="0"/>
              <w:rPr>
                <w:sz w:val="23"/>
                <w:szCs w:val="23"/>
                <w:color w:val="auto"/>
              </w:rPr>
            </w:pPr>
          </w:p>
        </w:tc>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91,317</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33"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Cash and cash equivalents</w:t>
      </w:r>
      <w:r>
        <w:rPr>
          <w:rFonts w:ascii="Times New Roman" w:cs="Times New Roman" w:eastAsia="Times New Roman" w:hAnsi="Times New Roman"/>
          <w:sz w:val="16"/>
          <w:szCs w:val="16"/>
          <w:color w:val="auto"/>
        </w:rPr>
        <w:t xml:space="preserve"> in the consolidated balance sheets.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Other assets</w:t>
      </w:r>
      <w:r>
        <w:rPr>
          <w:rFonts w:ascii="Times New Roman" w:cs="Times New Roman" w:eastAsia="Times New Roman" w:hAnsi="Times New Roman"/>
          <w:sz w:val="16"/>
          <w:szCs w:val="16"/>
          <w:color w:val="auto"/>
        </w:rPr>
        <w:t xml:space="preserve"> in the consolidated balance sheets.</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compensation plan liabilities</w:t>
      </w:r>
      <w:r>
        <w:rPr>
          <w:rFonts w:ascii="Times New Roman" w:cs="Times New Roman" w:eastAsia="Times New Roman" w:hAnsi="Times New Roman"/>
          <w:sz w:val="16"/>
          <w:szCs w:val="16"/>
          <w:color w:val="auto"/>
        </w:rPr>
        <w:t xml:space="preserve">, except for current liabilities of $3,798 and $2,355 as of December 31, 2024 and 2023, respectively, which are included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w:t>
      </w: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0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the normal course of business, the Company enters into various purchase commitments for goods and services. During the years ended December 31, 2024 and 2023, the Company entered into approximately $45,500 and $158,000, respectively,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for services related to cloud provisioning of the Company’s software solutions and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 As of December 31, 2024, 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were approximately $113,700, of which the Company expects approximately $59,200 to be paid over the next 12 months and approximately $54,500 to be paid through September 2029. The Company expects to fully consume its contractual commitments in the ordinary course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89"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The Company’s software license agreements typically provide for indemnification of customers for intellectual property infringement 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19: Segment and Geographic Information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and manages its business in a single reportable segment, the development and marketing of computer software and related services. The Company defines its CODM to be its Chief Executive Officer, who reviews financial information presented on a consolidated basis. The Company’s reported measures of profit or loss for segment reporting purposes are Net income and Adjusted OI w/SBC. The CODM is regularly provided Net income and Adjusted OI w/SBC to understand the Company’s financial and operating results across accounting periods and for comparison of the Company’s results to those of other companies. The CODM regularly reviews Adjusted OI w/SBC for internal budgeting and forecasting purposes, to evaluate operating performance, and to make decisions on allocation of resources. The CODM does not use segment asset information to evaluate operating performance or allocate resources.</w:t>
      </w:r>
    </w:p>
    <w:p>
      <w:pPr>
        <w:spacing w:after="0" w:line="121" w:lineRule="exact"/>
        <w:rPr>
          <w:sz w:val="20"/>
          <w:szCs w:val="20"/>
          <w:color w:val="auto"/>
        </w:rPr>
      </w:pPr>
    </w:p>
    <w:p>
      <w:pPr>
        <w:jc w:val="both"/>
        <w:ind w:right="20" w:firstLine="324"/>
        <w:spacing w:after="0" w:line="236" w:lineRule="exact"/>
        <w:rPr>
          <w:sz w:val="20"/>
          <w:szCs w:val="20"/>
          <w:color w:val="auto"/>
        </w:rPr>
      </w:pPr>
      <w:r>
        <w:rPr>
          <w:rFonts w:ascii="Times New Roman" w:cs="Times New Roman" w:eastAsia="Times New Roman" w:hAnsi="Times New Roman"/>
          <w:sz w:val="18"/>
          <w:szCs w:val="18"/>
          <w:color w:val="auto"/>
        </w:rPr>
        <w:t>The presentation of Net income is included in the Company’s consolidated statements of operations. Adjusted OI w/SBC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and is defined as operating income adjusted for the following: amortization of purchased intangibles, expense (income) relating to deferred compensation plan liabilities, acquisition expenses, and realignment expenses (income), for the respective periods.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of operating income to Adjusted OI w/SBC:</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208,612</w:t>
            </w:r>
          </w:p>
        </w:tc>
      </w:tr>
      <w:tr>
        <w:trPr>
          <w:trHeight w:val="229"/>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 (see Note 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r>
      <w:tr>
        <w:trPr>
          <w:trHeight w:val="230"/>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29"/>
        </w:trPr>
        <w:tc>
          <w:tcPr>
            <w:tcW w:w="20" w:type="dxa"/>
            <w:vAlign w:val="bottom"/>
          </w:tcPr>
          <w:p>
            <w:pPr>
              <w:spacing w:after="0"/>
              <w:rPr>
                <w:sz w:val="19"/>
                <w:szCs w:val="19"/>
                <w:color w:val="auto"/>
              </w:rPr>
            </w:pPr>
          </w:p>
        </w:tc>
        <w:tc>
          <w:tcPr>
            <w:tcW w:w="6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25,398</w:t>
            </w:r>
          </w:p>
        </w:tc>
      </w:tr>
      <w:tr>
        <w:trPr>
          <w:trHeight w:val="229"/>
        </w:trPr>
        <w:tc>
          <w:tcPr>
            <w:tcW w:w="20" w:type="dxa"/>
            <w:vAlign w:val="bottom"/>
          </w:tcPr>
          <w:p>
            <w:pPr>
              <w:spacing w:after="0"/>
              <w:rPr>
                <w:sz w:val="19"/>
                <w:szCs w:val="19"/>
                <w:color w:val="auto"/>
              </w:rPr>
            </w:pPr>
          </w:p>
        </w:tc>
        <w:tc>
          <w:tcPr>
            <w:tcW w:w="6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3"/>
        </w:trPr>
        <w:tc>
          <w:tcPr>
            <w:tcW w:w="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 w/SBC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372,222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273,929</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explanation of certain of the Company’s adjustments in arriving at Adjusted OI w/SBC are as follows:</w:t>
      </w:r>
    </w:p>
    <w:p>
      <w:pPr>
        <w:spacing w:after="0" w:line="111" w:lineRule="exact"/>
        <w:rPr>
          <w:sz w:val="20"/>
          <w:szCs w:val="20"/>
          <w:color w:val="auto"/>
        </w:rPr>
      </w:pPr>
    </w:p>
    <w:p>
      <w:pPr>
        <w:jc w:val="both"/>
        <w:ind w:left="340" w:hanging="332"/>
        <w:spacing w:after="0" w:line="273"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Acquisition expenses</w:t>
      </w:r>
      <w:r>
        <w:rPr>
          <w:rFonts w:ascii="Times New Roman" w:cs="Times New Roman" w:eastAsia="Times New Roman" w:hAnsi="Times New Roman"/>
          <w:sz w:val="16"/>
          <w:szCs w:val="16"/>
          <w:color w:val="auto"/>
        </w:rPr>
        <w:t>. The Company incurs expenses for professional services rendered in connection with business combinations, which are recorded in</w:t>
      </w:r>
      <w:r>
        <w:rPr>
          <w:rFonts w:ascii="Times New Roman" w:cs="Times New Roman" w:eastAsia="Times New Roman" w:hAnsi="Times New Roman"/>
          <w:sz w:val="16"/>
          <w:szCs w:val="16"/>
          <w:i w:val="1"/>
          <w:iCs w:val="1"/>
          <w:color w:val="auto"/>
        </w:rPr>
        <w:t xml:space="preserve"> General and administrative </w:t>
      </w:r>
      <w:r>
        <w:rPr>
          <w:rFonts w:ascii="Times New Roman" w:cs="Times New Roman" w:eastAsia="Times New Roman" w:hAnsi="Times New Roman"/>
          <w:sz w:val="16"/>
          <w:szCs w:val="16"/>
          <w:color w:val="auto"/>
        </w:rPr>
        <w:t>in the consolidated statements of operations. Also included in the Company’s acquisition expenses are retention incentives paid to executives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acquired companies. For the year ended December 31, 2022, $9,804 of the Company’s acquisition expenses related to the Company’s platform acquisition of PLS.</w:t>
      </w:r>
    </w:p>
    <w:p>
      <w:pPr>
        <w:spacing w:after="0" w:line="60"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During the fourth quarter of 2023, the Company approved the 2023 Program. For the years ended December 31, 2024 and 2023,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recognized realignment costs related to the aforementioned program of $847 and $12,579, respectively, which represent termination benefits for colleagues whose roles were impacted (see Note 21). For the year ended December 31, 2023, </w:t>
      </w: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xml:space="preserve"> were partially offset by income associated with the continued wind down of the Company’s Russian entities. For the year ended December 31, 2022, </w:t>
      </w: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xml:space="preserve"> were comprised of asset impairments and termination benefits as a result of the Company’s decision to wind down business and exit the Russian market beginning in the second quarter of 2022.</w:t>
      </w:r>
    </w:p>
    <w:p>
      <w:pPr>
        <w:spacing w:after="0" w:line="92"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auto"/>
        </w:rPr>
        <w:t>“Headcount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are considered the Company’s significant expense category and primarily include salaries, benefits,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employment taxes, travel, training, and realignment of the Company’s colleagues,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expenses and related overhead. The CODM is regularly provided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of $787,248, $748,772, and $665,310 are included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subscriptions and licenses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Cost of 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Selling and marketing</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General and administrative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Under the Company’s Net income measure of profit or loss for segment reporting purposes, other segment items were $331,414, $152,854, and $258,992 for the years ended December 31, 2024, 2023, and 2022, respectively. These other segment items primarily include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incurred for servicing the Company’s accounts using cloud provisioned solutions and the Company’s license administration platform, channel partner compensation for providing sales coverage to users, marketing costs, acquisition costs, depreciation expense, and amortization expense recorded in </w:t>
      </w:r>
      <w:r>
        <w:rPr>
          <w:rFonts w:ascii="Times New Roman" w:cs="Times New Roman" w:eastAsia="Times New Roman" w:hAnsi="Times New Roman"/>
          <w:sz w:val="18"/>
          <w:szCs w:val="18"/>
          <w:i w:val="1"/>
          <w:iCs w:val="1"/>
          <w:color w:val="auto"/>
        </w:rPr>
        <w:t>Cost of subscriptions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licenses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Cost of 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Selling and marketing</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General and administrative</w:t>
      </w:r>
      <w:r>
        <w:rPr>
          <w:rFonts w:ascii="Times New Roman" w:cs="Times New Roman" w:eastAsia="Times New Roman" w:hAnsi="Times New Roman"/>
          <w:sz w:val="18"/>
          <w:szCs w:val="18"/>
          <w:color w:val="auto"/>
        </w:rPr>
        <w:t>. Additionally, other segment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 (income), </w:t>
      </w:r>
      <w:r>
        <w:rPr>
          <w:rFonts w:ascii="Times New Roman" w:cs="Times New Roman" w:eastAsia="Times New Roman" w:hAnsi="Times New Roman"/>
          <w:sz w:val="18"/>
          <w:szCs w:val="18"/>
          <w:i w:val="1"/>
          <w:iCs w:val="1"/>
          <w:color w:val="auto"/>
        </w:rPr>
        <w:t>Amortization of purchased intangibles</w:t>
      </w:r>
      <w:r>
        <w:rPr>
          <w:rFonts w:ascii="Times New Roman" w:cs="Times New Roman" w:eastAsia="Times New Roman" w:hAnsi="Times New Roman"/>
          <w:sz w:val="18"/>
          <w:szCs w:val="18"/>
          <w:color w:val="auto"/>
        </w:rPr>
        <w: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expense (income) amounts presented in the consolidated statements of operations.</w:t>
      </w:r>
    </w:p>
    <w:p>
      <w:pPr>
        <w:spacing w:after="0" w:line="160"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Under the Company’s Adjusted OI w/SBC measure of profit or loss for segment reporting purposes, other segment items were $202,994, $179,246, and $173,483 for the years ended December 31, 2024, 2023, and 2022, respectively. These other segment items primarily include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incurred for servicing the Company’s accounts using cloud provisioned solutions and the Company’s license administration platform, channel partner compensation for providing sales coverage to users, marketing costs, and depreciation expense recorded in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Selling and marketing</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General and administrative</w:t>
      </w:r>
      <w:r>
        <w:rPr>
          <w:rFonts w:ascii="Times New Roman" w:cs="Times New Roman" w:eastAsia="Times New Roman" w:hAnsi="Times New Roman"/>
          <w:sz w:val="18"/>
          <w:szCs w:val="18"/>
          <w:color w:val="auto"/>
        </w:rPr>
        <w:t>. Within the reconciliation of Adjusted OI w/SBC,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paid to executives of acquired companies included as a component of acquisition expenses and costs associated with the 2023 Program included as a component of realignment expenses totaling $9,369, $24,282, and $13,640 for the years ended December 31, 2024, 2023, and 2022, respectively, are excluded from the calculation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w:t>
      </w:r>
    </w:p>
    <w:p>
      <w:pPr>
        <w:spacing w:after="0" w:line="103"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Revenues by geographic region are presented in Note 3.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net of depreciation and amortization by geographic region (see Notes 5, 6, and 8)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20" w:type="dxa"/>
            <w:vAlign w:val="bottom"/>
          </w:tcPr>
          <w:p>
            <w:pPr>
              <w:spacing w:after="0"/>
              <w:rPr>
                <w:sz w:val="19"/>
                <w:szCs w:val="19"/>
                <w:color w:val="auto"/>
              </w:rPr>
            </w:pPr>
          </w:p>
        </w:tc>
        <w:tc>
          <w:tcPr>
            <w:tcW w:w="7820" w:type="dxa"/>
            <w:vAlign w:val="bottom"/>
            <w:gridSpan w:val="2"/>
            <w:shd w:val="clear" w:color="auto" w:fill="CCEEFF"/>
          </w:tcPr>
          <w:p>
            <w:pPr>
              <w:ind w:left="40"/>
              <w:spacing w:after="0" w:line="22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272,492</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40,411</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APAC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280,060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327,363</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Americas includes the U.S., Canada, and Latin America (including the Caribbean).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4" w:lineRule="exact"/>
        <w:rPr>
          <w:rFonts w:ascii="Times New Roman" w:cs="Times New Roman" w:eastAsia="Times New Roman" w:hAnsi="Times New Roman"/>
          <w:sz w:val="16"/>
          <w:szCs w:val="16"/>
          <w:color w:val="auto"/>
        </w:rPr>
      </w:pPr>
    </w:p>
    <w:p>
      <w:pPr>
        <w:ind w:left="5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20: Other Income (Expense),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20" w:type="dxa"/>
            <w:vAlign w:val="bottom"/>
          </w:tcPr>
          <w:p>
            <w:pPr>
              <w:spacing w:after="0"/>
              <w:rPr>
                <w:sz w:val="18"/>
                <w:szCs w:val="18"/>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 (see Note 17)</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r>
      <w:tr>
        <w:trPr>
          <w:trHeight w:val="270"/>
        </w:trPr>
        <w:tc>
          <w:tcPr>
            <w:tcW w:w="20" w:type="dxa"/>
            <w:vAlign w:val="bottom"/>
          </w:tcPr>
          <w:p>
            <w:pPr>
              <w:spacing w:after="0"/>
              <w:rPr>
                <w:sz w:val="23"/>
                <w:szCs w:val="23"/>
                <w:color w:val="auto"/>
              </w:rPr>
            </w:pPr>
          </w:p>
        </w:tc>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r>
      <w:tr>
        <w:trPr>
          <w:trHeight w:val="270"/>
        </w:trPr>
        <w:tc>
          <w:tcPr>
            <w:tcW w:w="20" w:type="dxa"/>
            <w:vAlign w:val="bottom"/>
          </w:tcPr>
          <w:p>
            <w:pPr>
              <w:spacing w:after="0"/>
              <w:rPr>
                <w:sz w:val="23"/>
                <w:szCs w:val="23"/>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 (see Note 5)</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0"/>
        </w:trPr>
        <w:tc>
          <w:tcPr>
            <w:tcW w:w="20" w:type="dxa"/>
            <w:vAlign w:val="bottom"/>
          </w:tcPr>
          <w:p>
            <w:pPr>
              <w:spacing w:after="0"/>
              <w:rPr>
                <w:sz w:val="23"/>
                <w:szCs w:val="23"/>
                <w:color w:val="auto"/>
              </w:rPr>
            </w:pPr>
          </w:p>
        </w:tc>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 (see Note 17)</w:t>
            </w: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Receipts related to interest rate swap</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29"/>
        </w:trPr>
        <w:tc>
          <w:tcPr>
            <w:tcW w:w="20" w:type="dxa"/>
            <w:vAlign w:val="bottom"/>
          </w:tcPr>
          <w:p>
            <w:pPr>
              <w:spacing w:after="0"/>
              <w:rPr>
                <w:sz w:val="19"/>
                <w:szCs w:val="19"/>
                <w:color w:val="auto"/>
              </w:rPr>
            </w:pPr>
          </w:p>
        </w:tc>
        <w:tc>
          <w:tcPr>
            <w:tcW w:w="60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3"/>
        </w:trPr>
        <w:tc>
          <w:tcPr>
            <w:tcW w:w="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24,298</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135" w:lineRule="exact"/>
        <w:rPr>
          <w:sz w:val="20"/>
          <w:szCs w:val="20"/>
          <w:color w:val="auto"/>
        </w:rPr>
      </w:pPr>
    </w:p>
    <w:p>
      <w:pPr>
        <w:ind w:left="340" w:hanging="332"/>
        <w:spacing w:after="0" w:line="280"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 (loss) is primarily attributable to foreign currency translation derived mainly from U.S. dollar denominated cash and cash equivalents, account receivables, customer deposits, and intercompany balances held by foreign subsidiaries.</w:t>
      </w:r>
    </w:p>
    <w:p>
      <w:pPr>
        <w:spacing w:after="0" w:line="16"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(expense), net for the year ended December 31, 2023 includes investment impairment and other charges of $(16,988), partially offset by gains on investments of $2,360 (see Note 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Realignment Costs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the Company approved a strategic realignment program to better serve the Company’s accounts and to better align resources with the strategy of the business, including reinvestment in go-to-market functions, as well as in AI in product development. For the years ended December 31, 2024 and 2023, the Company incurred realignment costs related to the aforementioned program of $847 and $12,579, respectively, which represent termination benefits for colleagues whose roles were impacted. The 2023 Program activities have been broadly implemented across the Company’s various businesses, which were substantially completed by the end of the second quarter of 2024, and payments of termination benefits were completed as of December 31,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Realignment costs (income) by expense classification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r>
      <w:tr>
        <w:trPr>
          <w:trHeight w:val="237"/>
        </w:trPr>
        <w:tc>
          <w:tcPr>
            <w:tcW w:w="78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0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realignment costs</w:t>
            </w: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 included amounts related to the realignment activities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Realignment costs</w:t>
            </w: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70"/>
        </w:trPr>
        <w:tc>
          <w:tcPr>
            <w:tcW w:w="9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0"/>
        </w:trPr>
        <w:tc>
          <w:tcPr>
            <w:tcW w:w="9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Realignment costs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70"/>
        </w:trPr>
        <w:tc>
          <w:tcPr>
            <w:tcW w:w="9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0" w:type="dxa"/>
            <w:vAlign w:val="bottom"/>
          </w:tcPr>
          <w:p>
            <w:pPr>
              <w:spacing w:after="0"/>
              <w:rPr>
                <w:sz w:val="1"/>
                <w:szCs w:val="1"/>
                <w:color w:val="auto"/>
              </w:rPr>
            </w:pPr>
          </w:p>
        </w:tc>
      </w:tr>
      <w:tr>
        <w:trPr>
          <w:trHeight w:val="270"/>
        </w:trPr>
        <w:tc>
          <w:tcPr>
            <w:tcW w:w="9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6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Adjustments include foreign currency translation and other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Net Income Per Share Attributable to Bentley Systems Stockholders</w:t>
      </w:r>
    </w:p>
    <w:p>
      <w:pPr>
        <w:spacing w:after="0" w:line="20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212529"/>
        </w:rPr>
        <w:t xml:space="preserve">To compute the numerator of basic </w:t>
      </w:r>
      <w:r>
        <w:rPr>
          <w:rFonts w:ascii="Times New Roman" w:cs="Times New Roman" w:eastAsia="Times New Roman" w:hAnsi="Times New Roman"/>
          <w:sz w:val="18"/>
          <w:szCs w:val="18"/>
          <w:color w:val="000000"/>
        </w:rPr>
        <w:t>net income per share attributable to Bentley Systems stockholders</w:t>
      </w:r>
      <w:r>
        <w:rPr>
          <w:rFonts w:ascii="Times New Roman" w:cs="Times New Roman" w:eastAsia="Times New Roman" w:hAnsi="Times New Roman"/>
          <w:sz w:val="18"/>
          <w:szCs w:val="18"/>
          <w:color w:val="212529"/>
        </w:rPr>
        <w:t>, u</w:t>
      </w:r>
      <w:r>
        <w:rPr>
          <w:rFonts w:ascii="Times New Roman" w:cs="Times New Roman" w:eastAsia="Times New Roman" w:hAnsi="Times New Roman"/>
          <w:sz w:val="18"/>
          <w:szCs w:val="18"/>
          <w:color w:val="000000"/>
        </w:rPr>
        <w:t>ndistributed net income attributable to Bentley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Systems allocated to participating securities (described further below) using the required two</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December 31, 2024, 2023, and 2022, there were 349,306, 365,641, and 362,773 participating securities outstanding, respectively.</w:t>
      </w:r>
    </w:p>
    <w:p>
      <w:pPr>
        <w:spacing w:after="0" w:line="13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212529"/>
        </w:rPr>
        <w:t xml:space="preserve">To compute the numerator of diluted </w:t>
      </w:r>
      <w:r>
        <w:rPr>
          <w:rFonts w:ascii="Times New Roman" w:cs="Times New Roman" w:eastAsia="Times New Roman" w:hAnsi="Times New Roman"/>
          <w:sz w:val="18"/>
          <w:szCs w:val="18"/>
          <w:color w:val="000000"/>
        </w:rPr>
        <w:t>net income per share attributable to Bentley Systems stockholders</w:t>
      </w:r>
      <w:r>
        <w:rPr>
          <w:rFonts w:ascii="Times New Roman" w:cs="Times New Roman" w:eastAsia="Times New Roman" w:hAnsi="Times New Roman"/>
          <w:sz w:val="18"/>
          <w:szCs w:val="18"/>
          <w:color w:val="212529"/>
        </w:rPr>
        <w:t xml:space="preserve">, interest expense, net of tax, attributable to the assumed conversion of the </w:t>
      </w:r>
      <w:r>
        <w:rPr>
          <w:rFonts w:ascii="Times New Roman" w:cs="Times New Roman" w:eastAsia="Times New Roman" w:hAnsi="Times New Roman"/>
          <w:sz w:val="18"/>
          <w:szCs w:val="18"/>
          <w:color w:val="000000"/>
        </w:rPr>
        <w:t>convertible senior notes using the if</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converted method</w:t>
      </w:r>
      <w:r>
        <w:rPr>
          <w:rFonts w:ascii="Times New Roman" w:cs="Times New Roman" w:eastAsia="Times New Roman" w:hAnsi="Times New Roman"/>
          <w:sz w:val="18"/>
          <w:szCs w:val="18"/>
          <w:color w:val="212529"/>
        </w:rPr>
        <w:t xml:space="preserve"> is added back to basic net income </w:t>
      </w:r>
      <w:r>
        <w:rPr>
          <w:rFonts w:ascii="Times New Roman" w:cs="Times New Roman" w:eastAsia="Times New Roman" w:hAnsi="Times New Roman"/>
          <w:sz w:val="18"/>
          <w:szCs w:val="18"/>
          <w:color w:val="000000"/>
        </w:rPr>
        <w:t>attributable to Bentley Systems</w:t>
      </w:r>
      <w:r>
        <w:rPr>
          <w:rFonts w:ascii="Times New Roman" w:cs="Times New Roman" w:eastAsia="Times New Roman" w:hAnsi="Times New Roman"/>
          <w:sz w:val="18"/>
          <w:szCs w:val="18"/>
          <w:color w:val="212529"/>
        </w:rPr>
        <w:t xml:space="preserve">. To compute the denominator of diluted </w:t>
      </w:r>
      <w:r>
        <w:rPr>
          <w:rFonts w:ascii="Times New Roman" w:cs="Times New Roman" w:eastAsia="Times New Roman" w:hAnsi="Times New Roman"/>
          <w:sz w:val="18"/>
          <w:szCs w:val="18"/>
          <w:color w:val="000000"/>
        </w:rPr>
        <w:t>net income per share attributable to Bentley Systems stockholders</w:t>
      </w:r>
      <w:r>
        <w:rPr>
          <w:rFonts w:ascii="Times New Roman" w:cs="Times New Roman" w:eastAsia="Times New Roman" w:hAnsi="Times New Roman"/>
          <w:sz w:val="18"/>
          <w:szCs w:val="18"/>
          <w:color w:val="212529"/>
        </w:rPr>
        <w:t xml:space="preserve">, the basic weighted average number of shares is adjusted for the effect of dilutive securities, including awards under the Company’s equity compensation plans and ESPP </w:t>
      </w:r>
      <w:r>
        <w:rPr>
          <w:rFonts w:ascii="Times New Roman" w:cs="Times New Roman" w:eastAsia="Times New Roman" w:hAnsi="Times New Roman"/>
          <w:sz w:val="18"/>
          <w:szCs w:val="18"/>
          <w:color w:val="000000"/>
        </w:rPr>
        <w:t>using the treasury stock method</w:t>
      </w:r>
      <w:r>
        <w:rPr>
          <w:rFonts w:ascii="Times New Roman" w:cs="Times New Roman" w:eastAsia="Times New Roman" w:hAnsi="Times New Roman"/>
          <w:sz w:val="18"/>
          <w:szCs w:val="18"/>
          <w:color w:val="212529"/>
        </w:rPr>
        <w:t xml:space="preserve">, and for the dilutive </w:t>
      </w:r>
      <w:r>
        <w:rPr>
          <w:rFonts w:ascii="Times New Roman" w:cs="Times New Roman" w:eastAsia="Times New Roman" w:hAnsi="Times New Roman"/>
          <w:sz w:val="18"/>
          <w:szCs w:val="18"/>
          <w:color w:val="000000"/>
        </w:rPr>
        <w:t>effect of the assumed conversion of the convertible senior notes using the if</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converted.</w:t>
      </w:r>
    </w:p>
    <w:p>
      <w:pPr>
        <w:spacing w:after="0" w:line="144"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3" w:name="page114"/>
    <w:bookmarkEnd w:id="113"/>
    <w:p>
      <w:pPr>
        <w:ind w:left="340"/>
        <w:spacing w:after="0"/>
        <w:rPr>
          <w:sz w:val="20"/>
          <w:szCs w:val="20"/>
          <w:color w:val="auto"/>
        </w:rPr>
      </w:pPr>
      <w:r>
        <w:rPr>
          <w:rFonts w:ascii="Times New Roman" w:cs="Times New Roman" w:eastAsia="Times New Roman" w:hAnsi="Times New Roman"/>
          <w:sz w:val="18"/>
          <w:szCs w:val="18"/>
          <w:color w:val="auto"/>
        </w:rPr>
        <w:t>The details of basic and diluted net income per share attributable to Bentley Systems stockholders are as follows</w:t>
      </w:r>
      <w:r>
        <w:rPr>
          <w:rFonts w:ascii="Times New Roman" w:cs="Times New Roman" w:eastAsia="Times New Roman" w:hAnsi="Times New Roman"/>
          <w:sz w:val="18"/>
          <w:szCs w:val="18"/>
          <w:color w:val="212529"/>
        </w:rPr>
        <w:t>:</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6"/>
        </w:trPr>
        <w:tc>
          <w:tcPr>
            <w:tcW w:w="6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7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Bentley Systems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326,787</w:t>
            </w:r>
          </w:p>
        </w:tc>
        <w:tc>
          <w:tcPr>
            <w:tcW w:w="2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174,780</w:t>
            </w:r>
          </w:p>
        </w:tc>
      </w:tr>
      <w:tr>
        <w:trPr>
          <w:trHeight w:val="22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Bentley Systems allocated to participating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attributable to Bentley Systems stockholders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174,738</w:t>
            </w:r>
          </w:p>
        </w:tc>
      </w:tr>
      <w:tr>
        <w:trPr>
          <w:trHeight w:val="22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 of tax, attributable to assumed conversion of convertible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attributable to Bentley Systems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241,583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333,587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181,548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314,886,615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312,358,823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309,226,677</w:t>
            </w:r>
          </w:p>
        </w:tc>
      </w:tr>
      <w:tr>
        <w:trPr>
          <w:trHeight w:val="27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restricted stock, and RSUs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1,185,014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2,435,456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4,705,172</w:t>
            </w:r>
          </w:p>
        </w:tc>
      </w:tr>
      <w:tr>
        <w:trPr>
          <w:trHeight w:val="27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ESPP</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75,568</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166,606</w:t>
            </w:r>
          </w:p>
        </w:tc>
      </w:tr>
      <w:tr>
        <w:trPr>
          <w:trHeight w:val="270"/>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effect of assumed conversion of convertible senior notes</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17,633,786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17,633,786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17,666,703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333,774,167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332,503,633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331,765,158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Bentley Systems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There were no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securities for the years ended December 31, 2024 or 2023. For the year ended December 31, 2022, 718,105 RSUs were excluded from the calculation of diluted net income per share attributable to Bentley Systems stockholders as including them would have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417" w:right="339" w:bottom="1440" w:gutter="0" w:footer="0" w:header="0"/>
        </w:sectPr>
      </w:pPr>
    </w:p>
    <w:bookmarkStart w:id="114" w:name="page115"/>
    <w:bookmarkEnd w:id="114"/>
    <w:p>
      <w:pPr>
        <w:ind w:left="996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3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provides guidelines with respect to transactions in the securities of Bentley Systems,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handling of confidential information about the Company and the companies with which the Company does business. The Company’s Board of Directors has adopted this Policy to promote compliance with United States federal and state and applicable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22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This Policy is divided into two parts: the first part prohibits trading in certain circumstances and applies to all persons described below and the second part imposes special additional trading restrictions and applies to all persons listed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as well as any other person designated by the Trading Compliance Officer (as defined below) as being subject to those additional procedures, as well as the Family Members and Controlled Entities of those persons (collectively, the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If you are a Covered Person or otherwise designated by the Trading Compliance Officer, you will be notified by the Trading Compliance Officer.</w:t>
      </w: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SUBJECT TO THE POLICY</w:t>
      </w:r>
    </w:p>
    <w:p>
      <w:pPr>
        <w:spacing w:after="0" w:line="3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SUBJECT TO THE POLICY</w:t>
      </w:r>
    </w:p>
    <w:p>
      <w:pPr>
        <w:spacing w:after="0" w:line="2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Policy applies to transactions in the Company’s securities (collectively referred to in this Policy as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including the Company’s common stock, options to purchase common stock, or any other type of securities that the Company may issue, including (but not limited to) preferred stock, bonds, convertible debentures and warrants and other derivative securities, as well as derivative securities that are not issued by the Company, such as exchange-traded put or call options or swaps relating to the Company’s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INDIVIDUAL RESPONSIBILITY</w:t>
      </w:r>
    </w:p>
    <w:p>
      <w:pPr>
        <w:sectPr>
          <w:pgSz w:w="11900" w:h="16838" w:orient="portrait"/>
          <w:cols w:equalWidth="0" w:num="1">
            <w:col w:w="10900"/>
          </w:cols>
          <w:pgMar w:left="440" w:top="1094" w:right="559" w:bottom="1440" w:gutter="0" w:footer="0" w:header="0"/>
        </w:sectPr>
      </w:pPr>
    </w:p>
    <w:bookmarkStart w:id="115" w:name="page116"/>
    <w:bookmarkEnd w:id="115"/>
    <w:p>
      <w:pPr>
        <w:jc w:val="both"/>
        <w:ind w:right="200" w:firstLine="648"/>
        <w:spacing w:after="0" w:line="249"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Trading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 OF THE POLICY</w:t>
      </w:r>
    </w:p>
    <w:p>
      <w:pPr>
        <w:spacing w:after="0" w:line="264" w:lineRule="exact"/>
        <w:rPr>
          <w:sz w:val="20"/>
          <w:szCs w:val="20"/>
          <w:color w:val="auto"/>
        </w:rPr>
      </w:pPr>
    </w:p>
    <w:p>
      <w:pPr>
        <w:ind w:right="20" w:firstLine="725"/>
        <w:spacing w:after="0" w:line="271" w:lineRule="auto"/>
        <w:rPr>
          <w:sz w:val="20"/>
          <w:szCs w:val="20"/>
          <w:color w:val="auto"/>
        </w:rPr>
      </w:pPr>
      <w:r>
        <w:rPr>
          <w:rFonts w:ascii="Times New Roman" w:cs="Times New Roman" w:eastAsia="Times New Roman" w:hAnsi="Times New Roman"/>
          <w:sz w:val="22"/>
          <w:szCs w:val="22"/>
          <w:color w:val="auto"/>
        </w:rPr>
        <w:t>The Company has tasked the Chief Legal Officer or his or her designee (the “</w:t>
      </w:r>
      <w:r>
        <w:rPr>
          <w:rFonts w:ascii="Times New Roman" w:cs="Times New Roman" w:eastAsia="Times New Roman" w:hAnsi="Times New Roman"/>
          <w:sz w:val="22"/>
          <w:szCs w:val="22"/>
          <w:u w:val="single" w:color="auto"/>
          <w:color w:val="auto"/>
        </w:rPr>
        <w:t>Trading Compliance Officer</w:t>
      </w:r>
      <w:r>
        <w:rPr>
          <w:rFonts w:ascii="Times New Roman" w:cs="Times New Roman" w:eastAsia="Times New Roman" w:hAnsi="Times New Roman"/>
          <w:sz w:val="22"/>
          <w:szCs w:val="22"/>
          <w:color w:val="auto"/>
        </w:rPr>
        <w:t>”) with administering this Policy, including:</w:t>
      </w:r>
    </w:p>
    <w:p>
      <w:pPr>
        <w:spacing w:after="0" w:line="198" w:lineRule="exact"/>
        <w:rPr>
          <w:sz w:val="20"/>
          <w:szCs w:val="20"/>
          <w:color w:val="auto"/>
        </w:rPr>
      </w:pPr>
    </w:p>
    <w:p>
      <w:pPr>
        <w:ind w:left="1280" w:hanging="636"/>
        <w:spacing w:after="0"/>
        <w:tabs>
          <w:tab w:leader="none" w:pos="12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with implementation and enforcement of this Policy;</w:t>
      </w:r>
    </w:p>
    <w:p>
      <w:pPr>
        <w:spacing w:after="0" w:line="260" w:lineRule="exact"/>
        <w:rPr>
          <w:rFonts w:ascii="Times New Roman" w:cs="Times New Roman" w:eastAsia="Times New Roman" w:hAnsi="Times New Roman"/>
          <w:sz w:val="22"/>
          <w:szCs w:val="22"/>
          <w:color w:val="auto"/>
        </w:rPr>
      </w:pPr>
    </w:p>
    <w:p>
      <w:pPr>
        <w:ind w:left="1300" w:hanging="656"/>
        <w:spacing w:after="0" w:line="271" w:lineRule="auto"/>
        <w:tabs>
          <w:tab w:leader="none" w:pos="12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circulating this Policy to all employees and directors and ensuring that this Policy is amended as necessary to remain up-to-date with insider trading laws;</w:t>
      </w:r>
    </w:p>
    <w:p>
      <w:pPr>
        <w:spacing w:after="0" w:line="198" w:lineRule="exact"/>
        <w:rPr>
          <w:rFonts w:ascii="Times New Roman" w:cs="Times New Roman" w:eastAsia="Times New Roman" w:hAnsi="Times New Roman"/>
          <w:sz w:val="22"/>
          <w:szCs w:val="22"/>
          <w:color w:val="auto"/>
        </w:rPr>
      </w:pPr>
    </w:p>
    <w:p>
      <w:pPr>
        <w:ind w:left="1300" w:right="20" w:hanging="656"/>
        <w:spacing w:after="0" w:line="271" w:lineRule="auto"/>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pre-clearing all trading in Company Securities by all Covered Persons in accordance with the procedures set forth under the heading “Additional Procedures; Pre-Clearance Procedures;” and</w:t>
      </w:r>
    </w:p>
    <w:p>
      <w:pPr>
        <w:spacing w:after="0" w:line="198" w:lineRule="exact"/>
        <w:rPr>
          <w:rFonts w:ascii="Times New Roman" w:cs="Times New Roman" w:eastAsia="Times New Roman" w:hAnsi="Times New Roman"/>
          <w:sz w:val="22"/>
          <w:szCs w:val="22"/>
          <w:color w:val="auto"/>
        </w:rPr>
      </w:pPr>
    </w:p>
    <w:p>
      <w:pPr>
        <w:ind w:left="1300" w:right="20" w:hanging="656"/>
        <w:spacing w:after="0" w:line="271" w:lineRule="auto"/>
        <w:tabs>
          <w:tab w:leader="none" w:pos="12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approval of any Rule 10b5-1 plans, as described under the heading “Rule 10b5-1 Plans,” and any prohibited transactions, as described under the heading “Special and Prohibited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POLICY</w:t>
      </w:r>
    </w:p>
    <w:p>
      <w:pPr>
        <w:spacing w:after="0" w:line="26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It is the policy of the Company that no director, officer or other employee of the Company or its subsidiaries who is aware of material nonpublic information relating to the Company may, directly or indirectly through family members or other persons or entities:</w:t>
      </w:r>
    </w:p>
    <w:p>
      <w:pPr>
        <w:spacing w:after="0" w:line="213" w:lineRule="exact"/>
        <w:rPr>
          <w:sz w:val="20"/>
          <w:szCs w:val="20"/>
          <w:color w:val="auto"/>
        </w:rPr>
      </w:pPr>
    </w:p>
    <w:p>
      <w:pPr>
        <w:jc w:val="both"/>
        <w:ind w:left="1300" w:right="20" w:hanging="656"/>
        <w:spacing w:after="0" w:line="257" w:lineRule="auto"/>
        <w:tabs>
          <w:tab w:leader="none" w:pos="12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Company Securities, except as otherwise specified in this Policy under the headings “Transactions Under Company Plans and Certain Other Exceptions,” “Transactions Not Involving a Purchase or Sale” and “Rule 10b5-1 Plans;”</w:t>
      </w:r>
    </w:p>
    <w:p>
      <w:pPr>
        <w:spacing w:after="0" w:line="213"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the purchase or sale of any Company Securities;</w:t>
      </w:r>
    </w:p>
    <w:p>
      <w:pPr>
        <w:spacing w:after="0" w:line="260" w:lineRule="exact"/>
        <w:rPr>
          <w:rFonts w:ascii="Times New Roman" w:cs="Times New Roman" w:eastAsia="Times New Roman" w:hAnsi="Times New Roman"/>
          <w:sz w:val="22"/>
          <w:szCs w:val="22"/>
          <w:color w:val="auto"/>
        </w:rPr>
      </w:pPr>
    </w:p>
    <w:p>
      <w:pPr>
        <w:ind w:left="1300" w:right="20" w:hanging="656"/>
        <w:spacing w:after="0" w:line="271" w:lineRule="auto"/>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(“tip”) material nonpublic information to persons within the Company whose jobs do not require them to have that information, or outside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1408" w:right="539" w:bottom="1440" w:gutter="0" w:footer="0" w:header="0"/>
        </w:sectPr>
      </w:pPr>
    </w:p>
    <w:bookmarkStart w:id="116" w:name="page117"/>
    <w:bookmarkEnd w:id="116"/>
    <w:p>
      <w:pPr>
        <w:jc w:val="both"/>
        <w:ind w:left="1300" w:right="20"/>
        <w:spacing w:after="0" w:line="263" w:lineRule="auto"/>
        <w:rPr>
          <w:sz w:val="20"/>
          <w:szCs w:val="20"/>
          <w:color w:val="auto"/>
        </w:rPr>
      </w:pPr>
      <w:r>
        <w:rPr>
          <w:rFonts w:ascii="Times New Roman" w:cs="Times New Roman" w:eastAsia="Times New Roman" w:hAnsi="Times New Roman"/>
          <w:sz w:val="22"/>
          <w:szCs w:val="22"/>
          <w:color w:val="auto"/>
        </w:rPr>
        <w:t>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94" w:lineRule="exact"/>
        <w:rPr>
          <w:sz w:val="20"/>
          <w:szCs w:val="20"/>
          <w:color w:val="auto"/>
        </w:rPr>
      </w:pPr>
    </w:p>
    <w:p>
      <w:pPr>
        <w:ind w:left="1280" w:hanging="636"/>
        <w:spacing w:after="0"/>
        <w:tabs>
          <w:tab w:leader="none" w:pos="12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6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In addition, no director, officer or other employee of the Company or its subsidiaries may trade securities of another company at any time when the individual has material nonpublic Information about that company, including, without limitation, any of our customers, when that information was obtained as a result of the individual’s employment or relationship to the Company.</w:t>
      </w:r>
    </w:p>
    <w:p>
      <w:pPr>
        <w:spacing w:after="0" w:line="203"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Information is considered “material” if it is likely that a reasonable investor would consider it important in making a decision to buy, sell, or hold a security.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227" w:lineRule="exact"/>
        <w:rPr>
          <w:sz w:val="20"/>
          <w:szCs w:val="20"/>
          <w:color w:val="auto"/>
        </w:rPr>
      </w:pPr>
    </w:p>
    <w:p>
      <w:pPr>
        <w:ind w:left="640" w:hanging="320"/>
        <w:spacing w:after="0"/>
        <w:tabs>
          <w:tab w:leader="none" w:pos="6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or expected operating or financial performance, including quarterly and annual results;</w:t>
      </w:r>
    </w:p>
    <w:p>
      <w:pPr>
        <w:spacing w:after="0" w:line="260" w:lineRule="exact"/>
        <w:rPr>
          <w:rFonts w:ascii="Times New Roman" w:cs="Times New Roman" w:eastAsia="Times New Roman" w:hAnsi="Times New Roman"/>
          <w:sz w:val="22"/>
          <w:szCs w:val="22"/>
          <w:color w:val="auto"/>
        </w:rPr>
      </w:pPr>
    </w:p>
    <w:p>
      <w:pPr>
        <w:ind w:left="640" w:right="800" w:hanging="320"/>
        <w:spacing w:after="0" w:line="295" w:lineRule="auto"/>
        <w:tabs>
          <w:tab w:leader="none" w:pos="63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guidance on earnings estimates (and changing or confirming such guidance on a later date or other significant variances in results from previous guidance) or other projections of future financial performance;</w:t>
      </w:r>
    </w:p>
    <w:p>
      <w:pPr>
        <w:spacing w:after="0" w:line="175" w:lineRule="exact"/>
        <w:rPr>
          <w:rFonts w:ascii="Times New Roman" w:cs="Times New Roman" w:eastAsia="Times New Roman" w:hAnsi="Times New Roman"/>
          <w:sz w:val="21"/>
          <w:szCs w:val="21"/>
          <w:color w:val="auto"/>
        </w:rPr>
      </w:pPr>
    </w:p>
    <w:p>
      <w:pPr>
        <w:ind w:left="640" w:hanging="320"/>
        <w:spacing w:after="0"/>
        <w:tabs>
          <w:tab w:leader="none" w:pos="6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dispositions, joint ventures and other strategic transactions;</w:t>
      </w:r>
    </w:p>
    <w:p>
      <w:pPr>
        <w:spacing w:after="0" w:line="260"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our dividend rates;</w:t>
      </w:r>
    </w:p>
    <w:p>
      <w:pPr>
        <w:spacing w:after="0" w:line="260" w:lineRule="exact"/>
        <w:rPr>
          <w:rFonts w:ascii="Times New Roman" w:cs="Times New Roman" w:eastAsia="Times New Roman" w:hAnsi="Times New Roman"/>
          <w:sz w:val="22"/>
          <w:szCs w:val="22"/>
          <w:color w:val="auto"/>
        </w:rPr>
      </w:pPr>
    </w:p>
    <w:p>
      <w:pPr>
        <w:ind w:left="640" w:right="520" w:hanging="320"/>
        <w:spacing w:after="0" w:line="271" w:lineRule="auto"/>
        <w:tabs>
          <w:tab w:leader="none" w:pos="63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financings and other events regarding the Company’s securities (e.g., defaults on securities, calls of securities for redemption, stock repurchase plans, stock splits,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1408" w:right="539" w:bottom="1440" w:gutter="0" w:footer="0" w:header="0"/>
        </w:sectPr>
      </w:pPr>
    </w:p>
    <w:bookmarkStart w:id="117" w:name="page118"/>
    <w:bookmarkEnd w:id="117"/>
    <w:p>
      <w:pPr>
        <w:ind w:left="640"/>
        <w:spacing w:after="0"/>
        <w:rPr>
          <w:sz w:val="20"/>
          <w:szCs w:val="20"/>
          <w:color w:val="auto"/>
        </w:rPr>
      </w:pPr>
      <w:r>
        <w:rPr>
          <w:rFonts w:ascii="Times New Roman" w:cs="Times New Roman" w:eastAsia="Times New Roman" w:hAnsi="Times New Roman"/>
          <w:sz w:val="22"/>
          <w:szCs w:val="22"/>
          <w:color w:val="auto"/>
        </w:rPr>
        <w:t>or private sales of securities, changes in dividends and changes to the rights of securityholders);</w:t>
      </w:r>
    </w:p>
    <w:p>
      <w:pPr>
        <w:spacing w:after="0" w:line="247" w:lineRule="exact"/>
        <w:rPr>
          <w:sz w:val="20"/>
          <w:szCs w:val="20"/>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products or technologies or significant developments with respect to existing products or technologies;</w:t>
      </w:r>
    </w:p>
    <w:p>
      <w:pPr>
        <w:spacing w:after="0" w:line="260"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material intellectual property;</w:t>
      </w:r>
    </w:p>
    <w:p>
      <w:pPr>
        <w:spacing w:after="0" w:line="260"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accounts or suppliers, including the acquisition or loss of an important contract;</w:t>
      </w:r>
    </w:p>
    <w:p>
      <w:pPr>
        <w:spacing w:after="0" w:line="260"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w:t>
      </w:r>
    </w:p>
    <w:p>
      <w:pPr>
        <w:spacing w:after="0" w:line="246"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write-offs;</w:t>
      </w:r>
    </w:p>
    <w:p>
      <w:pPr>
        <w:spacing w:after="0" w:line="260"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executive compensation policy;</w:t>
      </w:r>
    </w:p>
    <w:p>
      <w:pPr>
        <w:spacing w:after="0" w:line="260" w:lineRule="exact"/>
        <w:rPr>
          <w:rFonts w:ascii="Times New Roman" w:cs="Times New Roman" w:eastAsia="Times New Roman" w:hAnsi="Times New Roman"/>
          <w:sz w:val="22"/>
          <w:szCs w:val="22"/>
          <w:color w:val="auto"/>
        </w:rPr>
      </w:pPr>
    </w:p>
    <w:p>
      <w:pPr>
        <w:ind w:left="640" w:right="720" w:hanging="320"/>
        <w:spacing w:after="0" w:line="271"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or dispute with the Company’s independent registered public accounting firm or notification that the Company may no longer rely on such firm’s report;</w:t>
      </w:r>
    </w:p>
    <w:p>
      <w:pPr>
        <w:spacing w:after="0" w:line="198" w:lineRule="exact"/>
        <w:rPr>
          <w:rFonts w:ascii="Times New Roman" w:cs="Times New Roman" w:eastAsia="Times New Roman" w:hAnsi="Times New Roman"/>
          <w:sz w:val="22"/>
          <w:szCs w:val="22"/>
          <w:color w:val="auto"/>
        </w:rPr>
      </w:pPr>
    </w:p>
    <w:p>
      <w:pPr>
        <w:ind w:left="640" w:right="320" w:hanging="320"/>
        <w:spacing w:after="0" w:line="271"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threatened litigation or governmental investigations or significant developments with respect to litigation or governmental investigations;</w:t>
      </w:r>
    </w:p>
    <w:p>
      <w:pPr>
        <w:spacing w:after="0" w:line="198" w:lineRule="exact"/>
        <w:rPr>
          <w:rFonts w:ascii="Times New Roman" w:cs="Times New Roman" w:eastAsia="Times New Roman" w:hAnsi="Times New Roman"/>
          <w:sz w:val="22"/>
          <w:szCs w:val="22"/>
          <w:color w:val="auto"/>
        </w:rPr>
      </w:pPr>
    </w:p>
    <w:p>
      <w:pPr>
        <w:ind w:left="640" w:right="560" w:hanging="320"/>
        <w:spacing w:after="0" w:line="257"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disruption in the Company’s operations, or loss, potential loss, breach or unauthorized access of the Company’s property or assets, including information technology infrastructure and cybersecurity and privacy incidents or events; and</w:t>
      </w:r>
    </w:p>
    <w:p>
      <w:pPr>
        <w:spacing w:after="0" w:line="213"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corporate restructuring or receivership.</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Information that something is likely to happen or even just that it may happen can be material. Courts often resolve close cases in favor of finding the information to be material. You should keep in mind that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rules and regulations provide that the mere fact that a person is aware of the information is a bar to trading. It is no excuse that your reasons for trading were not based on the information.</w:t>
      </w:r>
    </w:p>
    <w:p>
      <w:pPr>
        <w:spacing w:after="0" w:line="2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When in doubt about whether particular non-public information is material, presume it is material. If you are unsure whether information is material, you should consult the Trading Compliance Officer before making any decision to disclose such information (other than to persons who need to know it) or to trade in or recommend securities to which that information relates.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WHEN INFORMATION IS CONSIDERED PUBLIC</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Insider trading prohibitions come into play only when you possess information that is material and “nonpublic.” The fact that information has been disclosed to a few members of the public does not make it public for insider trading purposes. To be “public” the information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1408" w:right="539" w:bottom="1440" w:gutter="0" w:footer="0" w:header="0"/>
        </w:sectPr>
      </w:pPr>
    </w:p>
    <w:bookmarkStart w:id="118" w:name="page119"/>
    <w:bookmarkEnd w:id="118"/>
    <w:p>
      <w:pPr>
        <w:jc w:val="both"/>
        <w:spacing w:after="0" w:line="256" w:lineRule="auto"/>
        <w:rPr>
          <w:sz w:val="20"/>
          <w:szCs w:val="20"/>
          <w:color w:val="auto"/>
        </w:rPr>
      </w:pPr>
      <w:r>
        <w:rPr>
          <w:rFonts w:ascii="Times New Roman" w:cs="Times New Roman" w:eastAsia="Times New Roman" w:hAnsi="Times New Roman"/>
          <w:sz w:val="22"/>
          <w:szCs w:val="22"/>
          <w:color w:val="auto"/>
        </w:rPr>
        <w:t>have been disseminated in a manner designed to reach investors generally, and the investors must be given the opportunity to absorb the information. Generally, you should assume that information has NOT been widely disseminated unless it has been disclosed by the Company in a press release distributed through a widely disseminated news or wire service or it has been disclosed by the Company in a publicly available filing made with the SEC.</w:t>
      </w:r>
    </w:p>
    <w:p>
      <w:pPr>
        <w:spacing w:after="0" w:line="2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Further, the information disseminated must be some form of “official” announcement or disclosure, which, in the case of information about the Company, must be made by the Company. In other words, the fact that rumors, speculation, or statements attributed to unidentified sources are public is insufficient to be considered widely disseminated even when the information is accurate.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afford the investing public with sufficient time to absorb the information. As a general rule, information should not be considered fully absorbed by the marketplace until at least one full trading sessions have elapsed on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after the information was publicly disclosed. If, for example, the Company were to make an announcement after the market opened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22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As with questions of materiality, if you are not sure whether information is considered public, you should either consult with the Trading Compliance Officer or assume that the information is “non-public” and treat it as confidential.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BY FAMILY MEMBERS AND OTHERS</w:t>
      </w:r>
    </w:p>
    <w:p>
      <w:pPr>
        <w:spacing w:after="0" w:line="2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 (for example, by an independent trustee of a trust).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BY ENTITIES THAT YOU INFLUENCE OR CONTROL</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22"/>
          <w:szCs w:val="22"/>
          <w:u w:val="single" w:color="auto"/>
          <w:color w:val="auto"/>
        </w:rPr>
        <w:t>Controlled Entities</w:t>
      </w:r>
      <w:r>
        <w:rPr>
          <w:rFonts w:ascii="Times New Roman" w:cs="Times New Roman" w:eastAsia="Times New Roman" w:hAnsi="Times New Roman"/>
          <w:sz w:val="22"/>
          <w:szCs w:val="22"/>
          <w:color w:val="auto"/>
        </w:rPr>
        <w:t>”). You are responsible for the transactions of your Controlled Entities and therefore should make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1408" w:right="559" w:bottom="1440" w:gutter="0" w:footer="0" w:header="0"/>
        </w:sectPr>
      </w:pPr>
    </w:p>
    <w:bookmarkStart w:id="119" w:name="page120"/>
    <w:bookmarkEnd w:id="119"/>
    <w:p>
      <w:pPr>
        <w:jc w:val="both"/>
        <w:spacing w:after="0" w:line="271" w:lineRule="auto"/>
        <w:rPr>
          <w:sz w:val="20"/>
          <w:szCs w:val="20"/>
          <w:color w:val="auto"/>
        </w:rPr>
      </w:pPr>
      <w:r>
        <w:rPr>
          <w:rFonts w:ascii="Times New Roman" w:cs="Times New Roman" w:eastAsia="Times New Roman" w:hAnsi="Times New Roman"/>
          <w:sz w:val="22"/>
          <w:szCs w:val="22"/>
          <w:color w:val="auto"/>
        </w:rPr>
        <w:t>aware of the need to confer with you before they trade in Company Securities, and you should treat all such transactions for the purposes of this Policy and applicable securities laws as if the transactions were for your own account.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UNDER COMPANY PLANS AND CERTAIN OTHER EXCEPTIONS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This Policy does not apply in the case of the following transactions, except as specifically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noted:</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STOCK OPTION EXERCISES</w:t>
      </w:r>
      <w:r>
        <w:rPr>
          <w:rFonts w:ascii="Times New Roman" w:cs="Times New Roman" w:eastAsia="Times New Roman" w:hAnsi="Times New Roman"/>
          <w:sz w:val="22"/>
          <w:szCs w:val="22"/>
          <w:color w:val="auto"/>
        </w:rPr>
        <w:t>. This Policy does not apply to the exercise of an employee stock option (including any net-settled stock option exercise) acquired pursuant to the Company’s plans. This Policy also does not apply to the withholding of shares subject to an option to satisfy tax withholding requirements. This Policy does apply, however, to any market sale of stock acquired upon such exercise, including as part of a broker-assisted cashless exercise of an option, or any other market sale for the purpose of generating the cash needed to pay the exercise price of an option.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RESTRICTED STOCK AND RESTRICTED STOCK UNIT AWARDS</w:t>
      </w:r>
      <w:r>
        <w:rPr>
          <w:rFonts w:ascii="Times New Roman" w:cs="Times New Roman" w:eastAsia="Times New Roman" w:hAnsi="Times New Roman"/>
          <w:sz w:val="22"/>
          <w:szCs w:val="22"/>
          <w:color w:val="auto"/>
        </w:rPr>
        <w:t>. This Policy does not apply to the vesting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or restricted stock units, or the exercise of a tax withholding right pursuant to which you elect to have the Company withhold shares of stock to satisfy tax withholding requirements upon the vesting of any restricted stock. This Policy also does not apply to the withholding (whether mandated by the Company or pursuant to a tax withholding right) of shares of restricted stock or shares underlying restricted stock units to satisfy tax withholding requirements. The Policy does apply, however, to any market sale of shares acquired upon vesting of these awards.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DEFERRED COMPENSATION PLANS</w:t>
      </w:r>
      <w:r>
        <w:rPr>
          <w:rFonts w:ascii="Times New Roman" w:cs="Times New Roman" w:eastAsia="Times New Roman" w:hAnsi="Times New Roman"/>
          <w:sz w:val="22"/>
          <w:szCs w:val="22"/>
          <w:color w:val="auto"/>
        </w:rPr>
        <w:t>. This Policy does not apply to the election by participants in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compensation plans to allocate their deferred compensation to common stock equivalents, provided that such election is made in advance in accordance with the terms of such plans.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OTHER PLAN TRANSACTIONS. </w:t>
      </w:r>
      <w:r>
        <w:rPr>
          <w:rFonts w:ascii="Times New Roman" w:cs="Times New Roman" w:eastAsia="Times New Roman" w:hAnsi="Times New Roman"/>
          <w:sz w:val="22"/>
          <w:szCs w:val="22"/>
          <w:color w:val="auto"/>
        </w:rPr>
        <w:t>To the extent the Company offers its securities as an investment option in an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purchase plan, this Policy does not apply to the purchase of stock through the Company’s employee stock purchase plan. The Policy does apply, however, to the sale of any such stock and changing instructions regarding the level of withholding contributions which are used to purchase stock.</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To the extent the Company offers a dividend reinvestment plan (“DRIP”), this Policy does not apply to the purchase of stock through the DRIP resulting from reinvestment of dividends paid on the Company’s securities. The Policy does apply, however, to (i) a voluntary purchase of the Company’s securities that results from additional contributions a participant chooses to make to the DRIP, and to a participant’s election to participate, cease participation or otherwise alter his or her participation in the DRIP, and (ii) a participant’s sale of any of the Company’s securities purchased pursuant to the DRIP.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1341" w:right="5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color w:val="auto"/>
        </w:rPr>
        <w:t xml:space="preserve">CERTAIN OTHER EXCEPTIONS. </w:t>
      </w:r>
      <w:r>
        <w:rPr>
          <w:rFonts w:ascii="Times New Roman" w:cs="Times New Roman" w:eastAsia="Times New Roman" w:hAnsi="Times New Roman"/>
          <w:sz w:val="22"/>
          <w:szCs w:val="22"/>
          <w:color w:val="auto"/>
        </w:rPr>
        <w:t>The trading restrictions in this Policy do not apply to:</w:t>
      </w:r>
    </w:p>
    <w:p>
      <w:pPr>
        <w:spacing w:after="0" w:line="251" w:lineRule="exact"/>
        <w:rPr>
          <w:sz w:val="20"/>
          <w:szCs w:val="20"/>
          <w:color w:val="auto"/>
        </w:rPr>
      </w:pPr>
    </w:p>
    <w:p>
      <w:pPr>
        <w:ind w:left="1300" w:right="160" w:hanging="332"/>
        <w:spacing w:after="0" w:line="263" w:lineRule="auto"/>
        <w:tabs>
          <w:tab w:leader="none" w:pos="12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shares to an entity that does not divest the transferor of beneficial ownership of the shares (for example, to an inter vivos trust of which you are the sole beneficiary during your lifetime or a grantor trust of which you are one of the trustees); and</w:t>
      </w:r>
    </w:p>
    <w:p>
      <w:pPr>
        <w:spacing w:after="0" w:line="194" w:lineRule="exact"/>
        <w:rPr>
          <w:rFonts w:ascii="Times New Roman" w:cs="Times New Roman" w:eastAsia="Times New Roman" w:hAnsi="Times New Roman"/>
          <w:sz w:val="22"/>
          <w:szCs w:val="22"/>
          <w:color w:val="auto"/>
        </w:rPr>
      </w:pPr>
    </w:p>
    <w:p>
      <w:pPr>
        <w:ind w:left="1300" w:right="760" w:hanging="332"/>
        <w:spacing w:after="0" w:line="271" w:lineRule="auto"/>
        <w:tabs>
          <w:tab w:leader="none" w:pos="12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Company Securities as a selling stockholder in a registered public offering in accordance with applicable securities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SPECIAL AND PROHIBITED TRANSACTIONS</w:t>
      </w:r>
    </w:p>
    <w:p>
      <w:pPr>
        <w:spacing w:after="0" w:line="251"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9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b w:val="1"/>
          <w:bCs w:val="1"/>
          <w:color w:val="auto"/>
        </w:rPr>
        <w:t>SHORT SALES</w:t>
      </w:r>
      <w:r>
        <w:rPr>
          <w:rFonts w:ascii="Times New Roman" w:cs="Times New Roman" w:eastAsia="Times New Roman" w:hAnsi="Times New Roman"/>
          <w:sz w:val="22"/>
          <w:szCs w:val="22"/>
          <w:color w:val="auto"/>
        </w:rPr>
        <w:t>. Short sales of Company Securities (i.e., the sale of a security that the seller does not own) may evidence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“Exchange Act”), prohibits directors and certain officers from engaging in short sales. (Short sales arising from certain types of hedging transactions are governed by the paragraph below captioned “Hedging Transactions.”)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PUBLICLY-TRADED OPTIONS</w:t>
      </w:r>
      <w:r>
        <w:rPr>
          <w:rFonts w:ascii="Times New Roman" w:cs="Times New Roman" w:eastAsia="Times New Roman" w:hAnsi="Times New Roman"/>
          <w:sz w:val="22"/>
          <w:szCs w:val="22"/>
          <w:color w:val="auto"/>
        </w:rPr>
        <w:t>. Given the relatively short term of publicly-traded options, transactions in options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create the appearance that a director, officer or employee is trading based on material nonpublic information and focus a director’s, officer’s or other employee’s attention on short-term performance at the expense of the Company’s long-term objectives.</w:t>
      </w:r>
    </w:p>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Accordingly, transactions in put options, call options or other derivative securities, on an exchange or in any other organized market, are prohibited by this Policy. (Option positions arising from certain types of hedging transactions are governed by the paragraph below captioned “Hedging Transactions”.)</w:t>
      </w:r>
    </w:p>
    <w:p>
      <w:pPr>
        <w:spacing w:after="0" w:line="20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b w:val="1"/>
          <w:bCs w:val="1"/>
          <w:color w:val="auto"/>
        </w:rPr>
        <w:t>HEDGING TRANSACTIONS</w:t>
      </w:r>
      <w:r>
        <w:rPr>
          <w:rFonts w:ascii="Times New Roman" w:cs="Times New Roman" w:eastAsia="Times New Roman" w:hAnsi="Times New Roman"/>
          <w:sz w:val="22"/>
          <w:szCs w:val="22"/>
          <w:color w:val="auto"/>
        </w:rPr>
        <w:t>. Hedging or monetization transactions can be accomplished through a number of possible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stockholders. Therefore, directors, officers and employees must first obtain pre-clearance from the Trading Compliance Officer in accordance with the procedures outlined below in Part II under “Pre-Clearance Procedures” to engage in a hedging or monetization transaction. Notwithstanding these procedures, any request for such pre- 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1404" w:right="5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must be submitted at least two weeks prior to engaging in the transaction, which request will not be unreasonably denied.</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MARGIN ACCOUNTS</w:t>
      </w:r>
      <w:r>
        <w:rPr>
          <w:rFonts w:ascii="Times New Roman" w:cs="Times New Roman" w:eastAsia="Times New Roman" w:hAnsi="Times New Roman"/>
          <w:sz w:val="22"/>
          <w:szCs w:val="22"/>
          <w:color w:val="auto"/>
        </w:rPr>
        <w:t>. Securities held in a margin account as collateral for a margin loan may be sold by the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the customer’s consent if the customer fails to meet a margin call. Because a margin sale may occur at a time when the pledgor is aware of material nonpublic information or otherwise is not permitted to trade in Company Securities, directors. officers and employees wishing to hold Company Securities in a margin account must first obtain pre- clearance in accordance with the procedures outlined below in Part II under “Pre-Clearance Procedures” to do so. Notwithstanding these procedures, any request for pre-clearance must be submitted at least two weeks prior to setting up the account.</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PLEDGED SECURITIES </w:t>
      </w:r>
      <w:r>
        <w:rPr>
          <w:rFonts w:ascii="Times New Roman" w:cs="Times New Roman" w:eastAsia="Times New Roman" w:hAnsi="Times New Roman"/>
          <w:sz w:val="22"/>
          <w:szCs w:val="22"/>
          <w:color w:val="auto"/>
        </w:rPr>
        <w:t>. Securities pledged (or hypothecated) as collateral for a loan may be sold in foreclosure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pledgor’s consent if the borrower defaults on the loan. Because a foreclosure sale may occur at a time when the pledgor is aware of material nonpublic information or otherwise is not permitted to trade in Company Securities, directors, officers and employees wishing to enter into such an arrangement must first submit the proposed transaction for pre- clearance in accordance with the procedures outlined below in Part II under “Pre-Clearance Procedures”. Notwithstanding these procedures, any such request for pre-clearance must be submitted to the Trading Compliance Officer at least two weeks prior to the proposed execution of documents evidencing the proposed transaction and must set forth a justification for the proposed transaction. (Pledges of Company Securities arising from certain types of hedging transactions are governed by the paragraph above captioned “Hedging Transactions.”)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STANDING AND LIMIT ORDERS</w:t>
      </w:r>
      <w:r>
        <w:rPr>
          <w:rFonts w:ascii="Times New Roman" w:cs="Times New Roman" w:eastAsia="Times New Roman" w:hAnsi="Times New Roman"/>
          <w:sz w:val="22"/>
          <w:szCs w:val="22"/>
          <w:color w:val="auto"/>
        </w:rPr>
        <w:t>. Standing and limit orders (except standing and limit orders under approved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he or she must use a standing order or limit order, the order should be limited to two trading days and should otherwise comply with the restrictions and procedures outlined below under the heading “Additional Procedures.”</w:t>
      </w:r>
    </w:p>
    <w:p>
      <w:pPr>
        <w:spacing w:after="0" w:line="22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MUTUAL FUNDS AND ETFS. </w:t>
      </w:r>
      <w:r>
        <w:rPr>
          <w:rFonts w:ascii="Times New Roman" w:cs="Times New Roman" w:eastAsia="Times New Roman" w:hAnsi="Times New Roman"/>
          <w:sz w:val="22"/>
          <w:szCs w:val="22"/>
          <w:color w:val="auto"/>
        </w:rPr>
        <w:t>Investments in mutual fund(s) or exchange traded fund(s) that invest in a broad index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sector that also invest in Company Securities, are not prohibited, although the purchase, sale or hedging of mutual fund or ETF shares based on material nonpublic information about the Company would violate this Policy and implicate the securities laws.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However, the SEC and other regulators have taken steps to stop market timing practices and punish people who have broken the insider trading laws through market timing. In light of this close scrutiny, frequent and excessive trading in mutual fund(s) and ETFs that invest in Company Securities is prohibited, and short-term trading in-and-out of such funds and Company Securities generally, especially during periods surrounding the Company’s scheduled release of financial results, is strongly discouraged.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1341" w:right="539" w:bottom="1440" w:gutter="0" w:footer="0" w:header="0"/>
        </w:sectPr>
      </w:pPr>
    </w:p>
    <w:bookmarkStart w:id="122" w:name="page123"/>
    <w:bookmarkEnd w:id="122"/>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PROCEDURES</w:t>
      </w:r>
    </w:p>
    <w:p>
      <w:pPr>
        <w:spacing w:after="0" w:line="332"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21"/>
          <w:szCs w:val="21"/>
          <w:color w:val="auto"/>
        </w:rPr>
        <w:t>The Company has established additional procedures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PRE-CLEARANCE PROCEDURES</w:t>
      </w:r>
      <w:r>
        <w:rPr>
          <w:rFonts w:ascii="Times New Roman" w:cs="Times New Roman" w:eastAsia="Times New Roman" w:hAnsi="Times New Roman"/>
          <w:sz w:val="21"/>
          <w:szCs w:val="21"/>
          <w:color w:val="auto"/>
        </w:rPr>
        <w:t>. Covered Persons, and any other person designated by the Trading Compliance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Officer as being subject to these procedures, may not engage in any transaction in Company Securities, including hedging or pledging transactions, other than exceptions explicitly provided for under this Policy, without first obtaining pre-clearance of the transaction from the Trading Compliance Officer. Transactions by the Trading Compliance Officer or his or her Family Members or Controlled Entities must be pre-cleared by the Chief Financial Officer. A request for pre-clearance should be submitted in writing or by electronic transmission to the Trading Compliance Officer at least two business days in advance of the proposed transaction, unless a longer period is otherwise explicitly required under this Policy. </w:t>
      </w:r>
      <w:r>
        <w:rPr>
          <w:rFonts w:ascii="Times New Roman" w:cs="Times New Roman" w:eastAsia="Times New Roman" w:hAnsi="Times New Roman"/>
          <w:sz w:val="21"/>
          <w:szCs w:val="21"/>
          <w:b w:val="1"/>
          <w:bCs w:val="1"/>
          <w:color w:val="auto"/>
        </w:rPr>
        <w:t>Approval will generally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granted only during a Window Period and must be in writing or otherwise evidenced by electronic transmission.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Trading Compliance Officer is under no obligation to approve a transaction submitted for pre-clearance, and may determine not to permit the transaction. Unless revoked, a grant of permission will normally remain valid until the close of trading two business days following the day on which it was granted. If the transaction does not occur during the two-day period, pre-clearance of the transaction must be re-requested. If a person seeks pre-clearance and permission to engage in the transaction is denied or is otherwise not provided, then he or she should refrain from initiating any transaction in Company Securities, and should not inform any other person of the restriction.</w:t>
      </w:r>
    </w:p>
    <w:p>
      <w:pPr>
        <w:spacing w:after="0" w:line="216"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color w:val="auto"/>
        </w:rPr>
        <w:t>When a request for pre-clearance is made, the requestor should carefully consider whether he or she may be aware of any material nonpublic information about the Company, and should describe fully those circumstances to the Trading Compliance Officer. The Trading Compliance Officer will generally require a representation from the requestor that he or she is not aware of any material, nonpublic information. If the requestor is a director or officer (as defined in Rule 16a-1 under the Exchange Act)(collectively, “Section 16 Persons”), the requestor should also indicate whether he or she has effected any non-exempt “opposite-way” transactions within the past six months, and should be prepared to report the proposed transaction on an appropriate Form 4 or Form 5, if required. The requestor should also be prepared to comply with SEC Rule 144 and file a Form 144, if necessary, at the time of any sale.</w:t>
      </w:r>
    </w:p>
    <w:p>
      <w:pPr>
        <w:spacing w:after="0" w:line="2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timely reporting of transactions by Section 16 Persons requires tight interface with brokers handling transactions.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need to comply with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40" w:top="1440" w:right="539" w:bottom="1440" w:gutter="0" w:footer="0" w:header="0"/>
        </w:sectPr>
      </w:pPr>
    </w:p>
    <w:bookmarkStart w:id="123" w:name="page124"/>
    <w:bookmarkEnd w:id="123"/>
    <w:p>
      <w:pPr>
        <w:jc w:val="both"/>
        <w:ind w:left="1300" w:hanging="656"/>
        <w:spacing w:after="0" w:line="263" w:lineRule="auto"/>
        <w:tabs>
          <w:tab w:leader="none" w:pos="12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enter any order (except for orders under pre-approved Rule 10b5-1 plans) without first verifying with the Company that your transaction was pre-cleared and complying with the brokerage firm’s compliance procedures (e.g., Rule 144); and</w:t>
      </w:r>
    </w:p>
    <w:p>
      <w:pPr>
        <w:spacing w:after="0" w:line="194" w:lineRule="exact"/>
        <w:rPr>
          <w:rFonts w:ascii="Times New Roman" w:cs="Times New Roman" w:eastAsia="Times New Roman" w:hAnsi="Times New Roman"/>
          <w:sz w:val="22"/>
          <w:szCs w:val="22"/>
          <w:color w:val="auto"/>
        </w:rPr>
      </w:pPr>
    </w:p>
    <w:p>
      <w:pPr>
        <w:jc w:val="both"/>
        <w:ind w:left="1300" w:hanging="656"/>
        <w:spacing w:after="0" w:line="256" w:lineRule="auto"/>
        <w:tabs>
          <w:tab w:leader="none" w:pos="12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report before the close of business on the day of the execution of the transaction to the Company by telephone and in writing via e-mail to the Chief Legal Officer or his or her designee, the complete (i.e., date, type of transaction, number of shares and price) details of every transaction involving the Company’s equity securities, including gifts, transfers, pledges and all 10b5-1 transactions.</w:t>
      </w:r>
    </w:p>
    <w:p>
      <w:pPr>
        <w:spacing w:after="0" w:line="21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color w:val="auto"/>
        </w:rPr>
        <w:t>QUARTERLY TRADING RESTRICTIONS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Covered Persons, as well as any other person designated by the Trading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Compliance Officer as subject to this restriction, as well as their Family Members or Controlled Entities, may not conduct any transactions involving the Company’s Securities (other than Exceptions) during a “Blackout Period” beginning two weeks before the end of each fiscal quarter and ending after one full trading session on Nasdaq has elapsed since the public release of the Company’s earnings results for that quarter. In other words, these persons may only conduct transactions in Company Securities during the “Window Period” beginning after at least one full trading session on Nasdaq has elapsed following the public release of the Company’s quarterly earnings and ending two weeks before the close of the then-current fiscal quarter.</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order to assist Covered Persons in complying with this Policy, the Company will deliver an e- mail (or other communication) notifying all Covered Persons when the Blackout Period begins and when the Window Period opens. The Company’s delivery or nondelivery of these e-mails (or other communication) does not relieve Covered Persons from their obligation to only trade in Company Securities in full compliance with this Policy.</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EVENT-SPECIFIC TRADING RESTRICTION PERIODS</w:t>
      </w:r>
      <w:r>
        <w:rPr>
          <w:rFonts w:ascii="Times New Roman" w:cs="Times New Roman" w:eastAsia="Times New Roman" w:hAnsi="Times New Roman"/>
          <w:sz w:val="22"/>
          <w:szCs w:val="22"/>
          <w:color w:val="auto"/>
        </w:rPr>
        <w:t>. From time to time, an event may occur that is material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is known by only a few directors, officers and/or employees. So long as the event remains material and nonpublic, the persons designated by the Trading Compliance Officer may not trade Company Securities. In addition, the Company’s financial results may be sufficiently material in a particular fiscal quarter that, in the judgment of the Trading Compliance Officer, designated persons should refrain from trading in Company Securities even sooner than the typical start of the Blackout Period described above. In that situation, the Trading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Trading Compliance Officer has not designated you as a person who should not trade due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1408" w:right="539" w:bottom="1440" w:gutter="0" w:footer="0" w:header="0"/>
        </w:sectPr>
      </w:pPr>
    </w:p>
    <w:bookmarkStart w:id="124" w:name="page125"/>
    <w:bookmarkEnd w:id="12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event-specific restriction, you should not trade while aware of material nonpublic information. Exceptions will not be granted during an event-specific trading restriction period.</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EXCEPTIONS</w:t>
      </w:r>
      <w:r>
        <w:rPr>
          <w:rFonts w:ascii="Times New Roman" w:cs="Times New Roman" w:eastAsia="Times New Roman" w:hAnsi="Times New Roman"/>
          <w:sz w:val="22"/>
          <w:szCs w:val="22"/>
          <w:color w:val="auto"/>
        </w:rPr>
        <w:t>. The quarterly trading restrictions and event-driven trading restrictions do not apply to those transactions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this Policy does not apply (collectively, “Exceptions”), as described herein under the headings “Transactions Under Company Plans and Certain Other Exceptions”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PLANS</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 10b5-1 trading plan is a binding, written contract between you and your broker that specifies the price, amount, and date of trades to be executed in your account in the future, or provides a formula or mechanism that your broker will follow. These trading restrictions do not apply to transactions under a pre-existing written plan, contract, instruction, or arrangement under SEC Rule 10b5-1 (an “</w:t>
      </w:r>
      <w:r>
        <w:rPr>
          <w:rFonts w:ascii="Times New Roman" w:cs="Times New Roman" w:eastAsia="Times New Roman" w:hAnsi="Times New Roman"/>
          <w:sz w:val="22"/>
          <w:szCs w:val="22"/>
          <w:u w:val="single" w:color="auto"/>
          <w:color w:val="auto"/>
        </w:rPr>
        <w:t>Approved 10b5-1 Plan</w:t>
      </w:r>
      <w:r>
        <w:rPr>
          <w:rFonts w:ascii="Times New Roman" w:cs="Times New Roman" w:eastAsia="Times New Roman" w:hAnsi="Times New Roman"/>
          <w:sz w:val="22"/>
          <w:szCs w:val="22"/>
          <w:color w:val="auto"/>
        </w:rPr>
        <w:t>”) that:</w:t>
      </w:r>
    </w:p>
    <w:p>
      <w:pPr>
        <w:spacing w:after="0" w:line="217" w:lineRule="exact"/>
        <w:rPr>
          <w:sz w:val="20"/>
          <w:szCs w:val="20"/>
          <w:color w:val="auto"/>
        </w:rPr>
      </w:pPr>
    </w:p>
    <w:p>
      <w:pPr>
        <w:jc w:val="both"/>
        <w:ind w:left="1300" w:right="20" w:hanging="656"/>
        <w:spacing w:after="0" w:line="275" w:lineRule="auto"/>
        <w:tabs>
          <w:tab w:leader="none" w:pos="128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submitted to the Trading Compliance Officer for review and approval at least ten trading days before the execution thereof (or, if revised or amended, such revisions or amendments have been submitted to the Trading Compliance Officer for review and approval at least ten trading days before their effectiveness);</w:t>
      </w:r>
    </w:p>
    <w:p>
      <w:pPr>
        <w:spacing w:after="0" w:line="195" w:lineRule="exact"/>
        <w:rPr>
          <w:rFonts w:ascii="Times New Roman" w:cs="Times New Roman" w:eastAsia="Times New Roman" w:hAnsi="Times New Roman"/>
          <w:sz w:val="21"/>
          <w:szCs w:val="21"/>
          <w:color w:val="auto"/>
        </w:rPr>
      </w:pPr>
    </w:p>
    <w:p>
      <w:pPr>
        <w:ind w:left="1300" w:hanging="656"/>
        <w:spacing w:after="0" w:line="271" w:lineRule="auto"/>
        <w:tabs>
          <w:tab w:leader="none" w:pos="12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entered into in good faith by the person covered by this Policy at a time when such person was not in possession of material nonpublic information about the Company; and</w:t>
      </w:r>
    </w:p>
    <w:p>
      <w:pPr>
        <w:spacing w:after="0" w:line="198" w:lineRule="exact"/>
        <w:rPr>
          <w:rFonts w:ascii="Times New Roman" w:cs="Times New Roman" w:eastAsia="Times New Roman" w:hAnsi="Times New Roman"/>
          <w:sz w:val="22"/>
          <w:szCs w:val="22"/>
          <w:color w:val="auto"/>
        </w:rPr>
      </w:pPr>
    </w:p>
    <w:p>
      <w:pPr>
        <w:jc w:val="both"/>
        <w:ind w:left="1300" w:hanging="656"/>
        <w:spacing w:after="0" w:line="253" w:lineRule="auto"/>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gives a third party the discretionary authority to execute such purchases and sales, outside the influence and control of the person covered by this Policy,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21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rules regarding 10b5-1 trading plans are complex and you must fully comply with them. You must consult with the Trading Compliance Officer prior to entering into any 10b5-1 trading plan and should consult with your legal advisor before proceeding.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NOTIFICATION OF GIFT TRANSACTIONS</w:t>
      </w:r>
    </w:p>
    <w:p>
      <w:pPr>
        <w:spacing w:after="0" w:line="264"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Covered Persons must first notify the Trading Compliance Officer in writing or by electronic transmission at least two business days in advance of any proposed gifts of Company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1341" w:right="539" w:bottom="1440" w:gutter="0" w:footer="0" w:header="0"/>
        </w:sectPr>
      </w:pPr>
    </w:p>
    <w:bookmarkStart w:id="125" w:name="page126"/>
    <w:bookmarkEnd w:id="125"/>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the earlier of (A) when that information has become public or is no longer material or (B) three months, or for all Covered Persons, until the opening of the first Window Period, after termination of employment or other relationship with the Company, except that, unless notified otherwise by the Company, the pre-clearance requirements set forth above under “Pre-Clearance Procedures” continue to apply to Section 16 Persons for six months after the termination of their status as a Covered Person.</w:t>
      </w: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CONSEQUENCES OF VIOLATIONS</w:t>
      </w:r>
    </w:p>
    <w:p>
      <w:pPr>
        <w:spacing w:after="0" w:line="33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Company Securities, is prohibited by U.S. federal and state laws, as well as the laws of foreign jurisdictions. Trading in securities during the “Window Period” and outside of any trading suspension periods should not be considered a “safe harbor.” Insider trading violations are pursued vigorously by the SEC, U.S. Attorneys and state enforcement authorities. A person who violates insider trading laws by engaging in transactions in a company’s securities when he or she is aware of material nonpublic information can be sentenced to a substantial jail term and required to pay a criminal penalty of several times the amount of profits gained or losses avoided.</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spacing w:after="0" w:line="221"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LEGAL EFFECT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1341" w:right="539" w:bottom="1440" w:gutter="0" w:footer="0" w:header="0"/>
        </w:sectPr>
      </w:pPr>
    </w:p>
    <w:bookmarkStart w:id="126" w:name="page127"/>
    <w:bookmarkEnd w:id="126"/>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Policy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applicable laws. Therefore, these procedures are not intended to serve as a basis for establishing civil or criminal liability that would not otherwise exist.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ASSISTANCE</w:t>
      </w:r>
    </w:p>
    <w:p>
      <w:pPr>
        <w:spacing w:after="0" w:line="264" w:lineRule="exact"/>
        <w:rPr>
          <w:sz w:val="20"/>
          <w:szCs w:val="20"/>
          <w:color w:val="auto"/>
        </w:rPr>
      </w:pPr>
    </w:p>
    <w:p>
      <w:pPr>
        <w:jc w:val="both"/>
        <w:ind w:firstLine="721"/>
        <w:spacing w:after="0" w:line="257"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Trading Compliance Officer, who can be reached by telephone at (610) 458-5000 or by e-mail at Legal@bentley.com.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All persons subject to this Policy must certify their understanding of, and intent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September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40" w:top="1341" w:right="559" w:bottom="1440" w:gutter="0" w:footer="0" w:header="0"/>
        </w:sectPr>
      </w:pPr>
    </w:p>
    <w:bookmarkStart w:id="127" w:name="page128"/>
    <w:bookmarkEnd w:id="127"/>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6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6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24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Persons Subject to Pre-Clearance Procedures and Quarterly Trading Blackouts</w:t>
      </w:r>
    </w:p>
    <w:p>
      <w:pPr>
        <w:spacing w:after="0" w:line="260" w:lineRule="exact"/>
        <w:rPr>
          <w:sz w:val="20"/>
          <w:szCs w:val="20"/>
          <w:color w:val="auto"/>
        </w:rPr>
      </w:pPr>
    </w:p>
    <w:p>
      <w:pPr>
        <w:ind w:left="640" w:hanging="320"/>
        <w:spacing w:after="0"/>
        <w:tabs>
          <w:tab w:leader="none" w:pos="6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officer of the Company (as defined in Rule 16a-1 under the Exchange Act)</w:t>
      </w:r>
    </w:p>
    <w:p>
      <w:pPr>
        <w:spacing w:after="0" w:line="219"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Board of Directors of the Company</w:t>
      </w:r>
    </w:p>
    <w:p>
      <w:pPr>
        <w:spacing w:after="0" w:line="219"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Financial Officer and each member of the accounting and finance team</w:t>
      </w:r>
    </w:p>
    <w:p>
      <w:pPr>
        <w:spacing w:after="0" w:line="219"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Legal Officer and each member of the legal team</w:t>
      </w:r>
    </w:p>
    <w:p>
      <w:pPr>
        <w:spacing w:after="0" w:line="233"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Chief Communications Officer and each member of the communications or investment relations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19"/>
          </w:cols>
          <w:pgMar w:left="440" w:top="1337" w:right="1440" w:bottom="1440" w:gutter="0" w:footer="0" w:header="0"/>
        </w:sectPr>
      </w:pPr>
    </w:p>
    <w:bookmarkStart w:id="128" w:name="page129"/>
    <w:bookmarkEnd w:id="128"/>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CERTIFICATION</w:t>
      </w:r>
      <w:r>
        <w:rPr>
          <w:rFonts w:ascii="Times New Roman" w:cs="Times New Roman" w:eastAsia="Times New Roman" w:hAnsi="Times New Roman"/>
          <w:sz w:val="28"/>
          <w:szCs w:val="28"/>
          <w:b w:val="1"/>
          <w:bCs w:val="1"/>
          <w:color w:val="auto"/>
          <w:vertAlign w:val="superscript"/>
        </w:rPr>
        <w:t>1</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 certify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0" w:hanging="381"/>
        <w:spacing w:after="0" w:line="271" w:lineRule="auto"/>
        <w:tabs>
          <w:tab w:leader="none" w:pos="78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Company’s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 understand that the Trading Compliance Officer is available to answer any questions I have regarding the Policy.</w:t>
      </w:r>
    </w:p>
    <w:p>
      <w:pPr>
        <w:spacing w:after="0" w:line="198" w:lineRule="exact"/>
        <w:rPr>
          <w:rFonts w:ascii="Times New Roman" w:cs="Times New Roman" w:eastAsia="Times New Roman" w:hAnsi="Times New Roman"/>
          <w:sz w:val="22"/>
          <w:szCs w:val="22"/>
          <w:color w:val="auto"/>
        </w:rPr>
      </w:pPr>
    </w:p>
    <w:p>
      <w:pPr>
        <w:ind w:left="800" w:hanging="381"/>
        <w:spacing w:after="0" w:line="271" w:lineRule="auto"/>
        <w:tabs>
          <w:tab w:leader="none" w:pos="78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the Policy became effective, or such shorter period of time that I have been an employee or director of the Company, I have complied with the Policy.</w:t>
      </w:r>
    </w:p>
    <w:p>
      <w:pPr>
        <w:spacing w:after="0" w:line="198" w:lineRule="exact"/>
        <w:rPr>
          <w:rFonts w:ascii="Times New Roman" w:cs="Times New Roman" w:eastAsia="Times New Roman" w:hAnsi="Times New Roman"/>
          <w:sz w:val="22"/>
          <w:szCs w:val="22"/>
          <w:color w:val="auto"/>
        </w:rPr>
      </w:pPr>
    </w:p>
    <w:p>
      <w:pPr>
        <w:ind w:left="800" w:hanging="380"/>
        <w:spacing w:after="0"/>
        <w:tabs>
          <w:tab w:leader="none" w:pos="8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continue to comply with the Policy for as long as I am subject to the Policy.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-160020</wp:posOffset>
            </wp:positionV>
            <wp:extent cx="22542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19685</wp:posOffset>
            </wp:positionV>
            <wp:extent cx="22542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-151130</wp:posOffset>
            </wp:positionV>
            <wp:extent cx="22542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4477385</wp:posOffset>
            </wp:positionV>
            <wp:extent cx="21170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hanging="84"/>
        <w:spacing w:after="0"/>
        <w:tabs>
          <w:tab w:leader="none" w:pos="1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If preferred this can be made a click-through certification.</w:t>
      </w:r>
    </w:p>
    <w:p>
      <w:pPr>
        <w:sectPr>
          <w:pgSz w:w="11900" w:h="16838" w:orient="portrait"/>
          <w:cols w:equalWidth="0" w:num="1">
            <w:col w:w="11000"/>
          </w:cols>
          <w:pgMar w:left="340" w:top="140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340" w:top="1404" w:right="559"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SUBSIDIARIES OF BENTLEY SYSTEMS, INCORPORATED</w:t>
            </w:r>
          </w:p>
        </w:tc>
        <w:tc>
          <w:tcPr>
            <w:tcW w:w="3120" w:type="dxa"/>
            <w:vAlign w:val="bottom"/>
          </w:tcPr>
          <w:p>
            <w:pPr>
              <w:spacing w:after="0"/>
              <w:rPr>
                <w:sz w:val="20"/>
                <w:szCs w:val="20"/>
                <w:color w:val="auto"/>
              </w:rPr>
            </w:pPr>
          </w:p>
        </w:tc>
      </w:tr>
      <w:tr>
        <w:trPr>
          <w:trHeight w:val="324"/>
        </w:trPr>
        <w:tc>
          <w:tcPr>
            <w:tcW w:w="8120" w:type="dxa"/>
            <w:vAlign w:val="bottom"/>
            <w:gridSpan w:val="2"/>
          </w:tcPr>
          <w:p>
            <w:pPr>
              <w:ind w:left="4700"/>
              <w:spacing w:after="0"/>
              <w:rPr>
                <w:sz w:val="20"/>
                <w:szCs w:val="20"/>
                <w:color w:val="auto"/>
              </w:rPr>
            </w:pPr>
            <w:r>
              <w:rPr>
                <w:rFonts w:ascii="Times New Roman" w:cs="Times New Roman" w:eastAsia="Times New Roman" w:hAnsi="Times New Roman"/>
                <w:sz w:val="18"/>
                <w:szCs w:val="18"/>
                <w:b w:val="1"/>
                <w:bCs w:val="1"/>
                <w:color w:val="auto"/>
              </w:rPr>
              <w:t>a Delaware Corporation</w:t>
            </w:r>
          </w:p>
        </w:tc>
        <w:tc>
          <w:tcPr>
            <w:tcW w:w="3120" w:type="dxa"/>
            <w:vAlign w:val="bottom"/>
          </w:tcPr>
          <w:p>
            <w:pPr>
              <w:spacing w:after="0"/>
              <w:rPr>
                <w:sz w:val="24"/>
                <w:szCs w:val="24"/>
                <w:color w:val="auto"/>
              </w:rPr>
            </w:pPr>
          </w:p>
        </w:tc>
      </w:tr>
      <w:tr>
        <w:trPr>
          <w:trHeight w:val="324"/>
        </w:trPr>
        <w:tc>
          <w:tcPr>
            <w:tcW w:w="8120" w:type="dxa"/>
            <w:vAlign w:val="bottom"/>
            <w:gridSpan w:val="2"/>
          </w:tcPr>
          <w:p>
            <w:pPr>
              <w:ind w:left="47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120" w:type="dxa"/>
            <w:vAlign w:val="bottom"/>
          </w:tcPr>
          <w:p>
            <w:pPr>
              <w:spacing w:after="0"/>
              <w:rPr>
                <w:sz w:val="24"/>
                <w:szCs w:val="24"/>
                <w:color w:val="auto"/>
              </w:rPr>
            </w:pPr>
          </w:p>
        </w:tc>
      </w:tr>
      <w:tr>
        <w:trPr>
          <w:trHeight w:val="513"/>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AarhusGeosoftware ApS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ARGOS.IO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Canada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Ltd. - Dalian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Limited - Xi’an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Ltd. - Beijing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Software International,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Software Solutions Philippines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Software,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(Beijing) Co.,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(Beijing) Co., Ltd - Guangzhou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(Malaysia) Sdn. Bhd.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(New Zealand)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(UK)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AG</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Aviation,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Brasil Ltda.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Coop Holdings,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CR s.r.o.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de Mexico SA de CV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 Filialas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Lithuania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 - Dubai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Dubai</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Finland Oy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France S.a.r.l.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Germany GmbH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Hong Kong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Iberica S.A.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Iceland ehf.</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India Private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Development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Holdings,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 - Portuguese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 - Slovakia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Slovakia</w:t>
            </w:r>
          </w:p>
        </w:tc>
      </w:tr>
    </w:tbl>
    <w:p>
      <w:pPr>
        <w:sectPr>
          <w:pgSz w:w="11900" w:h="16838" w:orient="portrait"/>
          <w:cols w:equalWidth="0" w:num="1">
            <w:col w:w="11240"/>
          </w:cols>
          <w:pgMar w:left="320" w:top="1089"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 - Saudi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Italia S.r.l.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Kazakhstan LLP</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Kazakhstan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Korea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Netherlands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Pakistan (Pvt.)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Polska Sp z o.o.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Romania S.R.L.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Russia (OOO)*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Scandinavia ApS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Scandinavia NUF</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Singapore Pte.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32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Software Solutions LLC Turkey (Bentley Systems Yazılım Çözümleri Limited Şirketi)</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Solutions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South Africa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Sweden AB</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Incorporated, Taiwan</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Blyncsy,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Holding GmbH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Holdings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Holdings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International Holdings Coöperatief U.A.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Cadventure International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Cadventure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Cesium GS,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Africa Holdings Proprietary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Australia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Brasil LTDA.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Canada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Netherlands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Netherlands Holdings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Polska Sp z o.o.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Sonata Proprietary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Botswana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South Africa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South Africa Holdings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Spain, S.L.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UK Group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Ukraine</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Ukraine</w:t>
            </w:r>
          </w:p>
        </w:tc>
      </w:tr>
    </w:tbl>
    <w:p>
      <w:pPr>
        <w:sectPr>
          <w:pgSz w:w="11900" w:h="16838" w:orient="portrait"/>
          <w:cols w:equalWidth="0" w:num="1">
            <w:col w:w="11240"/>
          </w:cols>
          <w:pgMar w:left="320" w:top="1143"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30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Cohesive USA,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E7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Ennova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E-ON Software SARL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Geosoft Africa (Pty)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Geosoft USA Holdings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Geosoft USA Research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Minalytix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Oxplus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Plaxinvest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Plaxis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Power Line Systems,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PT Cohesive Indonesia Group</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QG Australia Pty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Australia Pty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Chile SpA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Holdings New Zealand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Holdings ULC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Peru S.A.C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Peru</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Solutions Canada II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South Africa Pty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ULC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Seequent USA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Sensemetrics,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3000" w:type="dxa"/>
            <w:vAlign w:val="bottom"/>
            <w:tcBorders>
              <w:bottom w:val="single" w:sz="8" w:color="auto"/>
            </w:tcBorders>
          </w:tcPr>
          <w:p>
            <w:pPr>
              <w:spacing w:after="0"/>
              <w:rPr>
                <w:sz w:val="21"/>
                <w:szCs w:val="21"/>
                <w:color w:val="auto"/>
              </w:rPr>
            </w:pPr>
          </w:p>
        </w:tc>
        <w:tc>
          <w:tcPr>
            <w:tcW w:w="5120" w:type="dxa"/>
            <w:vAlign w:val="bottom"/>
            <w:gridSpan w:val="2"/>
          </w:tcPr>
          <w:p>
            <w:pPr>
              <w:spacing w:after="0"/>
              <w:rPr>
                <w:sz w:val="21"/>
                <w:szCs w:val="21"/>
                <w:color w:val="auto"/>
              </w:rPr>
            </w:pPr>
          </w:p>
        </w:tc>
        <w:tc>
          <w:tcPr>
            <w:tcW w:w="3120" w:type="dxa"/>
            <w:vAlign w:val="bottom"/>
          </w:tcPr>
          <w:p>
            <w:pPr>
              <w:spacing w:after="0"/>
              <w:rPr>
                <w:sz w:val="21"/>
                <w:szCs w:val="21"/>
                <w:color w:val="auto"/>
              </w:rPr>
            </w:pPr>
          </w:p>
        </w:tc>
      </w:tr>
      <w:tr>
        <w:trPr>
          <w:trHeight w:val="345"/>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Inactive</w:t>
            </w:r>
          </w:p>
        </w:tc>
        <w:tc>
          <w:tcPr>
            <w:tcW w:w="312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5"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333-249004)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our report dated February 26, 2025, with respect to the consolidated financial statements of Bentley Systems, Incorporated and the effectiveness of internal control over financial reporting.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1089"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H. Cumins, certify that:</w:t>
      </w:r>
    </w:p>
    <w:p>
      <w:pPr>
        <w:spacing w:after="0" w:line="157" w:lineRule="exact"/>
        <w:rPr>
          <w:sz w:val="20"/>
          <w:szCs w:val="20"/>
          <w:color w:val="auto"/>
        </w:rPr>
      </w:pPr>
    </w:p>
    <w:p>
      <w:pPr>
        <w:ind w:left="340" w:hanging="332"/>
        <w:spacing w:after="0" w:line="207" w:lineRule="exact"/>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Bentley Systems, Incorporated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ICHOLAS</w:t>
      </w:r>
      <w:r>
        <w:rPr>
          <w:rFonts w:ascii="Times New Roman" w:cs="Times New Roman" w:eastAsia="Times New Roman" w:hAnsi="Times New Roman"/>
          <w:sz w:val="18"/>
          <w:szCs w:val="18"/>
          <w:color w:val="auto"/>
        </w:rPr>
        <w:t xml:space="preserve"> H. C</w:t>
      </w:r>
      <w:r>
        <w:rPr>
          <w:rFonts w:ascii="Times New Roman" w:cs="Times New Roman" w:eastAsia="Times New Roman" w:hAnsi="Times New Roman"/>
          <w:sz w:val="14"/>
          <w:szCs w:val="14"/>
          <w:color w:val="auto"/>
        </w:rPr>
        <w:t>UMINS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Nicholas H. Cumins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Werner Andre, certify that:</w:t>
      </w:r>
    </w:p>
    <w:p>
      <w:pPr>
        <w:spacing w:after="0" w:line="157" w:lineRule="exact"/>
        <w:rPr>
          <w:sz w:val="20"/>
          <w:szCs w:val="20"/>
          <w:color w:val="auto"/>
        </w:rPr>
      </w:pPr>
    </w:p>
    <w:p>
      <w:pPr>
        <w:ind w:left="340" w:hanging="332"/>
        <w:spacing w:after="0" w:line="207" w:lineRule="exact"/>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Bentley Systems, Incorporated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Annual Report of Bentley Systems, Incorporated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1"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140" w:firstLine="332"/>
        <w:spacing w:after="0" w:line="485" w:lineRule="auto"/>
        <w:tabs>
          <w:tab w:leader="none" w:pos="6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26, 2025</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ICHOLAS</w:t>
      </w:r>
      <w:r>
        <w:rPr>
          <w:rFonts w:ascii="Times New Roman" w:cs="Times New Roman" w:eastAsia="Times New Roman" w:hAnsi="Times New Roman"/>
          <w:sz w:val="18"/>
          <w:szCs w:val="18"/>
          <w:color w:val="auto"/>
        </w:rPr>
        <w:t xml:space="preserve"> H. C</w:t>
      </w:r>
      <w:r>
        <w:rPr>
          <w:rFonts w:ascii="Times New Roman" w:cs="Times New Roman" w:eastAsia="Times New Roman" w:hAnsi="Times New Roman"/>
          <w:sz w:val="14"/>
          <w:szCs w:val="14"/>
          <w:color w:val="auto"/>
        </w:rPr>
        <w:t>UMINS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Nicholas H. Cumins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lvl>
    <w:lvl w:ilvl="1">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lowerRoman"/>
      <w:start w:val="2"/>
    </w:lvl>
  </w:abstractNum>
  <w:abstractNum w:abstractNumId="21">
    <w:nsid w:val="6A2342EC"/>
    <w:multiLevelType w:val="hybridMultilevel"/>
    <w:lvl w:ilvl="0">
      <w:lvlJc w:val="left"/>
      <w:lvlText w:val="(%1)"/>
      <w:numFmt w:val="lowerRoman"/>
      <w:start w:val="2"/>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lvl>
    <w:lvl w:ilvl="1">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2"/>
    </w:lvl>
  </w:abstractNum>
  <w:abstractNum w:abstractNumId="32">
    <w:nsid w:val="7644A45C"/>
    <w:multiLevelType w:val="hybridMultilevel"/>
    <w:lvl w:ilvl="0">
      <w:lvlJc w:val="left"/>
      <w:lvlText w:val="%1"/>
      <w:numFmt w:val="decimal"/>
      <w:start w:val="97"/>
    </w:lvl>
  </w:abstractNum>
  <w:abstractNum w:abstractNumId="33">
    <w:nsid w:val="32FFF902"/>
    <w:multiLevelType w:val="hybridMultilevel"/>
    <w:lvl w:ilvl="0">
      <w:lvlJc w:val="left"/>
      <w:lvlText w:val="†"/>
      <w:numFmt w:val="bullet"/>
      <w:start w:val="1"/>
    </w:lvl>
    <w:lvl w:ilvl="1">
      <w:lvlJc w:val="left"/>
      <w:lvlText w:val="%2"/>
      <w:numFmt w:val="decimal"/>
      <w:start w:val="104"/>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lowerLetter"/>
      <w:start w:val="3"/>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emdash "/>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lowerRoman"/>
      <w:start w:val="1"/>
    </w:lvl>
  </w:abstractNum>
  <w:abstractNum w:abstractNumId="50">
    <w:nsid w:val="1CF10FD8"/>
    <w:multiLevelType w:val="hybridMultilevel"/>
    <w:lvl w:ilvl="0">
      <w:lvlJc w:val="left"/>
      <w:lvlText w:val="(%1)"/>
      <w:numFmt w:val="lowerRoman"/>
      <w:start w:val="1"/>
    </w:lvl>
  </w:abstractNum>
  <w:abstractNum w:abstractNumId="51">
    <w:nsid w:val="180115BE"/>
    <w:multiLevelType w:val="hybridMultilevel"/>
    <w:lvl w:ilvl="0">
      <w:lvlJc w:val="left"/>
      <w:lvlText w:val="(%1)"/>
      <w:numFmt w:val="lowerRoman"/>
      <w:start w:val="4"/>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lowerRoman"/>
      <w:start w:val="1"/>
    </w:lvl>
  </w:abstractNum>
  <w:abstractNum w:abstractNumId="56">
    <w:nsid w:val="741226BB"/>
    <w:multiLevelType w:val="hybridMultilevel"/>
    <w:lvl w:ilvl="0">
      <w:lvlJc w:val="left"/>
      <w:lvlText w:val="(%1)"/>
      <w:numFmt w:val="lowerRoman"/>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101"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63" Type="http://schemas.openxmlformats.org/officeDocument/2006/relationships/hyperlink" Target="https://www.sec.gov/ix?doc=/Archives/edgar/data/0001031308/000103130824000002/bsy-20231231.htm" TargetMode="External"/><Relationship Id="rId95" Type="http://schemas.openxmlformats.org/officeDocument/2006/relationships/hyperlink" Target="https://www.sec.gov/Archives/edgar/data/1031308/000110465920108913/tm2031809d1_ex3-1.htm" TargetMode="External"/><Relationship Id="rId96" Type="http://schemas.openxmlformats.org/officeDocument/2006/relationships/hyperlink" Target="https://www.sec.gov/Archives/edgar/data/1031308/000110465920108913/tm2031809d1_ex3-2.htm" TargetMode="External"/><Relationship Id="rId97" Type="http://schemas.openxmlformats.org/officeDocument/2006/relationships/hyperlink" Target="https://www.sec.gov/Archives/edgar/data/1031308/000110465920106251/tm1922834d8_ex4-1.htm" TargetMode="External"/><Relationship Id="rId98" Type="http://schemas.openxmlformats.org/officeDocument/2006/relationships/hyperlink" Target="https://www.sec.gov/Archives/edgar/data/1031308/000110465921007707/tm214173d1_ex4-1.htm" TargetMode="External"/><Relationship Id="rId99" Type="http://schemas.openxmlformats.org/officeDocument/2006/relationships/hyperlink" Target="https://www.sec.gov/Archives/edgar/data/1031308/000110465921086363/tm2120726d1_ex4-1.htm" TargetMode="External"/><Relationship Id="rId100" Type="http://schemas.openxmlformats.org/officeDocument/2006/relationships/hyperlink" Target="https://www.sec.gov/Archives/edgar/data/0001031308/000162828021003727/exhibit44.htm" TargetMode="External"/><Relationship Id="rId102" Type="http://schemas.openxmlformats.org/officeDocument/2006/relationships/hyperlink" Target="https://www.sec.gov/Archives/edgar/data/1031308/000110465921007707/tm214173d1_ex10-1.htm" TargetMode="External"/><Relationship Id="rId103" Type="http://schemas.openxmlformats.org/officeDocument/2006/relationships/hyperlink" Target="https://www.sec.gov/Archives/edgar/data/1031308/000110465921086363/tm2120726d1_ex10-1.htm" TargetMode="External"/><Relationship Id="rId104" Type="http://schemas.openxmlformats.org/officeDocument/2006/relationships/hyperlink" Target="https://www.sec.gov/Archives/edgar/data/1031308/000110465924110564/tm2426498d1_ex10-1.htm" TargetMode="External"/><Relationship Id="rId105" Type="http://schemas.openxmlformats.org/officeDocument/2006/relationships/hyperlink" Target="https://www.sec.gov/Archives/edgar/data/1031308/000110465920108913/tm2031809d1_ex10-1.htm" TargetMode="External"/><Relationship Id="rId106" Type="http://schemas.openxmlformats.org/officeDocument/2006/relationships/hyperlink" Target="https://www.sec.gov/Archives/edgar/data/1031308/000162828022004474/exhibit1010-amendmentno120.htm" TargetMode="External"/><Relationship Id="rId107" Type="http://schemas.openxmlformats.org/officeDocument/2006/relationships/hyperlink" Target="https://www.sec.gov/Archives/edgar/data/1031308/000162828023005568/exhibit1012.htm" TargetMode="External"/><Relationship Id="rId108" Type="http://schemas.openxmlformats.org/officeDocument/2006/relationships/hyperlink" Target="https://www.sec.gov/Archives/edgar/data/1031308/000110465920108913/tm2031809d1_ex10-2.htm" TargetMode="External"/><Relationship Id="rId109" Type="http://schemas.openxmlformats.org/officeDocument/2006/relationships/hyperlink" Target="https://www.sec.gov/Archives/edgar/data/1031308/000110465920108913/tm2031809d1_ex10-3.htm" TargetMode="External"/><Relationship Id="rId110" Type="http://schemas.openxmlformats.org/officeDocument/2006/relationships/hyperlink" Target="https://www.sec.gov/Archives/edgar/data/0001031308/000162828021022518/exhibit101-2021q3.htm" TargetMode="External"/><Relationship Id="rId111" Type="http://schemas.openxmlformats.org/officeDocument/2006/relationships/hyperlink" Target="https://www.sec.gov/Archives/edgar/data/1031308/000155837020011058/bsy-20200908xex10d7.htm" TargetMode="External"/><Relationship Id="rId112" Type="http://schemas.openxmlformats.org/officeDocument/2006/relationships/hyperlink" Target="https://www.sec.gov/Archives/edgar/data/1031308/000110465920108913/tm2031809d1_ex10-4.htm" TargetMode="External"/><Relationship Id="rId113" Type="http://schemas.openxmlformats.org/officeDocument/2006/relationships/hyperlink" Target="https://www.sec.gov/Archives/edgar/data/1031308/000162828022028900/exhibit101.htm" TargetMode="External"/><Relationship Id="rId114" Type="http://schemas.openxmlformats.org/officeDocument/2006/relationships/hyperlink" Target="https://www.sec.gov/Archives/edgar/data/1031308/000110465924076289/tm2418463d1_ex10-3.htm" TargetMode="External"/><Relationship Id="rId115" Type="http://schemas.openxmlformats.org/officeDocument/2006/relationships/hyperlink" Target="https://www.sec.gov/Archives/edgar/data/1031308/000110465924076289/tm2418463d1_ex10-1.htm" TargetMode="External"/><Relationship Id="rId116" Type="http://schemas.openxmlformats.org/officeDocument/2006/relationships/hyperlink" Target="https://www.sec.gov/Archives/edgar/data/1031308/000110465924076289/tm2418463d1_ex10-2.htm" TargetMode="External"/><Relationship Id="rId120" Type="http://schemas.openxmlformats.org/officeDocument/2006/relationships/hyperlink" Target="https://www.sec.gov/Archives/edgar/data/1031308/000155837020010811/bsy-20200821xex10d2.htm" TargetMode="External"/><Relationship Id="rId121" Type="http://schemas.openxmlformats.org/officeDocument/2006/relationships/hyperlink" Target="https://www.sec.gov/Archives/edgar/data/1031308/000103130824000002/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2025-02-26T15:56:55Z</dcterms:created>
  <dcterms:modified xsi:type="dcterms:W3CDTF">2025-02-26T15:56:55Z</dcterms:modified>
</cp:coreProperties>
</file>