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ind w:left="0" w:right="0" w:firstLine="360"/>
        <w:jc w:val="both"/>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FORM 10-Q</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45"/>
        <w:gridCol w:w="302"/>
        <w:gridCol w:w="305"/>
        <w:gridCol w:w="2706"/>
        <w:gridCol w:w="2706"/>
        <w:gridCol w:w="3841"/>
      </w:tblGrid>
      <w:tr>
        <w:trPr/>
        <w:tc>
          <w:tcPr>
            <w:tcW w:w="34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c>
          <w:tcPr>
            <w:tcW w:w="3841"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(Mark One)</w:t>
            </w:r>
          </w:p>
        </w:tc>
        <w:tc>
          <w:tcPr>
            <w:tcW w:w="9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925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color w:val="000000"/>
                <w:sz w:val="18"/>
              </w:rPr>
            </w:pPr>
            <w:r>
              <w:rPr>
                <w:rFonts w:ascii="Times New Roman;sans-serif" w:hAnsi="Times New Roman;sans-serif"/>
                <w:b/>
                <w:color w:val="000000"/>
                <w:sz w:val="18"/>
              </w:rPr>
              <w:t>For the quarterly period ended June 30, 2024</w:t>
            </w:r>
          </w:p>
        </w:tc>
      </w:tr>
      <w:tr>
        <w:trPr/>
        <w:tc>
          <w:tcPr>
            <w:tcW w:w="10205"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OR</w:t>
            </w:r>
          </w:p>
        </w:tc>
      </w:tr>
      <w:tr>
        <w:trPr/>
        <w:tc>
          <w:tcPr>
            <w:tcW w:w="952" w:type="dxa"/>
            <w:gridSpan w:val="3"/>
            <w:tcBorders/>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w:t>
            </w:r>
          </w:p>
        </w:tc>
        <w:tc>
          <w:tcPr>
            <w:tcW w:w="925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color w:val="000000"/>
                <w:sz w:val="18"/>
              </w:rPr>
            </w:pPr>
            <w:r>
              <w:rPr>
                <w:rFonts w:ascii="Times New Roman;sans-serif" w:hAnsi="Times New Roman;sans-serif"/>
                <w:b/>
                <w:color w:val="000000"/>
                <w:sz w:val="18"/>
              </w:rPr>
              <w:t>For the transition period from              to</w:t>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Commission File Number: 001-39548</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BENTLEY SYSTEMS, INCORPORATED</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w:t>
      </w:r>
    </w:p>
    <w:tbl>
      <w:tblPr>
        <w:tblW w:w="7286" w:type="dxa"/>
        <w:jc w:val="center"/>
        <w:tblInd w:w="0" w:type="dxa"/>
        <w:tblLayout w:type="fixed"/>
        <w:tblCellMar>
          <w:top w:w="28" w:type="dxa"/>
          <w:left w:w="28" w:type="dxa"/>
          <w:bottom w:w="28" w:type="dxa"/>
          <w:right w:w="28" w:type="dxa"/>
        </w:tblCellMar>
      </w:tblPr>
      <w:tblGrid>
        <w:gridCol w:w="1549"/>
        <w:gridCol w:w="1364"/>
        <w:gridCol w:w="1376"/>
        <w:gridCol w:w="109"/>
        <w:gridCol w:w="109"/>
        <w:gridCol w:w="109"/>
        <w:gridCol w:w="778"/>
        <w:gridCol w:w="778"/>
        <w:gridCol w:w="1114"/>
      </w:tblGrid>
      <w:tr>
        <w:trPr/>
        <w:tc>
          <w:tcPr>
            <w:tcW w:w="154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color w:val="000000"/>
                <w:sz w:val="18"/>
              </w:rPr>
            </w:pPr>
            <w:r>
              <w:rPr>
                <w:rFonts w:ascii="Times New Roman;sans-serif" w:hAnsi="Times New Roman;sans-serif"/>
                <w:b/>
                <w:color w:val="000000"/>
                <w:sz w:val="18"/>
              </w:rPr>
              <w:t>95-3936623</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685 Stockton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Exton, 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19341</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bidi w:val="0"/>
        <w:spacing w:lineRule="auto" w:line="288" w:before="0" w:after="0"/>
        <w:jc w:val="center"/>
        <w:rPr/>
      </w:pPr>
      <w:r>
        <w:rPr>
          <w:rFonts w:ascii="Times New Roman;sans-serif" w:hAnsi="Times New Roman;sans-serif"/>
          <w:b w:val="false"/>
          <w:color w:val="000000"/>
          <w:sz w:val="16"/>
        </w:rPr>
        <w:t>Registrant’s telephone number, including area code:</w:t>
      </w:r>
      <w:r>
        <w:rPr>
          <w:color w:val="000000"/>
        </w:rPr>
        <w:t xml:space="preserve"> </w:t>
      </w:r>
      <w:r>
        <w:rPr>
          <w:rFonts w:ascii="Times New Roman;sans-serif" w:hAnsi="Times New Roman;sans-serif"/>
          <w:b/>
          <w:color w:val="000000"/>
          <w:sz w:val="18"/>
        </w:rPr>
        <w:t>(610) 458-5000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p>
      <w:pPr>
        <w:pStyle w:val="TextBody"/>
        <w:bidi w:val="0"/>
        <w:spacing w:before="0" w:after="0"/>
        <w:ind w:left="0" w:right="0" w:firstLine="360"/>
        <w:jc w:val="left"/>
        <w:rPr/>
      </w:pPr>
      <w:r>
        <w:rPr/>
      </w:r>
    </w:p>
    <w:tbl>
      <w:tblPr>
        <w:tblW w:w="8198" w:type="dxa"/>
        <w:jc w:val="center"/>
        <w:tblInd w:w="0" w:type="dxa"/>
        <w:tblLayout w:type="fixed"/>
        <w:tblCellMar>
          <w:top w:w="28" w:type="dxa"/>
          <w:left w:w="28" w:type="dxa"/>
          <w:bottom w:w="28" w:type="dxa"/>
          <w:right w:w="28" w:type="dxa"/>
        </w:tblCellMar>
      </w:tblPr>
      <w:tblGrid>
        <w:gridCol w:w="1115"/>
        <w:gridCol w:w="973"/>
        <w:gridCol w:w="987"/>
        <w:gridCol w:w="109"/>
        <w:gridCol w:w="109"/>
        <w:gridCol w:w="109"/>
        <w:gridCol w:w="414"/>
        <w:gridCol w:w="414"/>
        <w:gridCol w:w="416"/>
        <w:gridCol w:w="109"/>
        <w:gridCol w:w="109"/>
        <w:gridCol w:w="109"/>
        <w:gridCol w:w="945"/>
        <w:gridCol w:w="945"/>
        <w:gridCol w:w="1335"/>
      </w:tblGrid>
      <w:tr>
        <w:trPr/>
        <w:tc>
          <w:tcPr>
            <w:tcW w:w="1115"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Name of each exchange on which registered</w:t>
            </w:r>
          </w:p>
        </w:tc>
      </w:tr>
      <w:tr>
        <w:trPr/>
        <w:tc>
          <w:tcPr>
            <w:tcW w:w="30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 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BSY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The Nasdaq Stock Market LLC</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w:t>
        <w:noBreakHyphen/>
        <w:t>T (§232.405 of this chapter) during the preceding 12 months (or for such shorter period that the registrant was required to submit such files). Yes ☒  No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w:t>
        <w:noBreakHyphen/>
        <w:t>accelerated filer, a smaller reporting company, or an emerging growth company. See the definitions of “large accelerated filer,” “accelerated filer,” “smaller reporting company,” and “emerging growth company” in Rule 12b</w:t>
        <w:noBreakHyphen/>
        <w:t>2 of the Exchange Act.</w:t>
      </w:r>
    </w:p>
    <w:tbl>
      <w:tblPr>
        <w:tblW w:w="4184" w:type="dxa"/>
        <w:jc w:val="center"/>
        <w:tblInd w:w="0" w:type="dxa"/>
        <w:tblLayout w:type="fixed"/>
        <w:tblCellMar>
          <w:top w:w="28" w:type="dxa"/>
          <w:left w:w="28" w:type="dxa"/>
          <w:bottom w:w="28" w:type="dxa"/>
          <w:right w:w="28" w:type="dxa"/>
        </w:tblCellMar>
      </w:tblPr>
      <w:tblGrid>
        <w:gridCol w:w="674"/>
        <w:gridCol w:w="592"/>
        <w:gridCol w:w="594"/>
        <w:gridCol w:w="679"/>
        <w:gridCol w:w="679"/>
        <w:gridCol w:w="966"/>
      </w:tblGrid>
      <w:tr>
        <w:trPr/>
        <w:tc>
          <w:tcPr>
            <w:tcW w:w="67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 ☒</w:t>
            </w:r>
          </w:p>
        </w:tc>
        <w:tc>
          <w:tcPr>
            <w:tcW w:w="232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 ☐</w:t>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 ☐</w:t>
            </w:r>
          </w:p>
        </w:tc>
        <w:tc>
          <w:tcPr>
            <w:tcW w:w="2324"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16"/>
              </w:rPr>
              <w:t xml:space="preserve">Smaller reporting company </w:t>
            </w:r>
            <w:r>
              <w:rPr>
                <w:color w:val="000000"/>
              </w:rPr>
              <w:t>☐</w:t>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16"/>
              </w:rPr>
              <w:t xml:space="preserve">Emerging growth company </w:t>
            </w:r>
            <w:r>
              <w:rPr>
                <w:color w:val="000000"/>
              </w:rPr>
              <w:t>☐</w:t>
            </w:r>
          </w:p>
        </w:tc>
      </w:tr>
    </w:tbl>
    <w:p>
      <w:pPr>
        <w:pStyle w:val="TextBody"/>
        <w:bidi w:val="0"/>
        <w:spacing w:lineRule="auto" w:line="288" w:before="0" w:after="0"/>
        <w:ind w:left="0" w:right="0" w:firstLine="360"/>
        <w:jc w:val="both"/>
        <w:rPr>
          <w:rFonts w:ascii="Times New Roman;sans-serif" w:hAnsi="Times New Roman;sans-serif"/>
          <w:b w:val="false"/>
          <w:color w:val="000000"/>
          <w:sz w:val="16"/>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shell company (as defined in Rule 12b</w:t>
        <w:noBreakHyphen/>
        <w:t>2 of the Exchange Act). Yes ☐  No ☒</w:t>
      </w:r>
    </w:p>
    <w:p>
      <w:pPr>
        <w:pStyle w:val="TextBody"/>
        <w:bidi w:val="0"/>
        <w:spacing w:before="0" w:after="0"/>
        <w:ind w:left="0" w:right="0" w:firstLine="360"/>
        <w:jc w:val="left"/>
        <w:rPr/>
      </w:pPr>
      <w:r>
        <w:rPr/>
      </w:r>
    </w:p>
    <w:p>
      <w:pPr>
        <w:pStyle w:val="TextBody"/>
        <w:bidi w:val="0"/>
        <w:spacing w:lineRule="auto" w:line="288" w:before="0" w:after="120"/>
        <w:ind w:left="0" w:right="0" w:firstLine="360"/>
        <w:jc w:val="both"/>
        <w:rPr>
          <w:rFonts w:ascii="Times New Roman;sans-serif" w:hAnsi="Times New Roman;sans-serif"/>
          <w:b w:val="false"/>
          <w:color w:val="000000"/>
          <w:sz w:val="16"/>
        </w:rPr>
      </w:pPr>
      <w:r>
        <w:rPr>
          <w:rFonts w:ascii="Times New Roman;sans-serif" w:hAnsi="Times New Roman;sans-serif"/>
          <w:b w:val="false"/>
          <w:color w:val="000000"/>
          <w:sz w:val="16"/>
        </w:rPr>
        <w:t>As of July 30, 2024, the registrant had 11,537,627 shares of Class A and 290,620,299 shares of Class B common stock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ind w:left="0" w:right="0" w:firstLine="360"/>
                        <w:jc w:val="both"/>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BENTLEY SYSTEMS, INCORPORATED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before="0" w:after="0"/>
        <w:jc w:val="center"/>
        <w:rPr/>
      </w:pPr>
      <w:r>
        <w:rPr/>
      </w:r>
    </w:p>
    <w:tbl>
      <w:tblPr>
        <w:tblW w:w="8847" w:type="dxa"/>
        <w:jc w:val="center"/>
        <w:tblInd w:w="0" w:type="dxa"/>
        <w:tblLayout w:type="fixed"/>
        <w:tblCellMar>
          <w:top w:w="28" w:type="dxa"/>
          <w:left w:w="28" w:type="dxa"/>
          <w:bottom w:w="28" w:type="dxa"/>
          <w:right w:w="28" w:type="dxa"/>
        </w:tblCellMar>
      </w:tblPr>
      <w:tblGrid>
        <w:gridCol w:w="2889"/>
        <w:gridCol w:w="2543"/>
        <w:gridCol w:w="2547"/>
        <w:gridCol w:w="109"/>
        <w:gridCol w:w="109"/>
        <w:gridCol w:w="109"/>
        <w:gridCol w:w="158"/>
        <w:gridCol w:w="158"/>
        <w:gridCol w:w="225"/>
      </w:tblGrid>
      <w:tr>
        <w:trPr/>
        <w:tc>
          <w:tcPr>
            <w:tcW w:w="2889"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c>
          <w:tcPr>
            <w:tcW w:w="2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3565b9411143479ae8d9a724c53b68_19">
              <w:r>
                <w:rPr>
                  <w:rStyle w:val="InternetLink"/>
                  <w:rFonts w:ascii="Times New Roman;sans-serif" w:hAnsi="Times New Roman;sans-serif"/>
                  <w:b w:val="false"/>
                  <w:color w:val="0000FF"/>
                  <w:sz w:val="20"/>
                  <w:u w:val="single"/>
                </w:rPr>
                <w:t>PART I. FINANCIAL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3565b9411143479ae8d9a724c53b68_19">
              <w:r>
                <w:rPr>
                  <w:rStyle w:val="InternetLink"/>
                  <w:rFonts w:ascii="Times New Roman;sans-serif" w:hAnsi="Times New Roman;sans-serif"/>
                  <w:b w:val="false"/>
                  <w:color w:val="0000FF"/>
                  <w:sz w:val="20"/>
                  <w:u w:val="single"/>
                </w:rPr>
                <w:t>Item 1. Unaudited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3565b9411143479ae8d9a724c53b68_19">
              <w:r>
                <w:rPr>
                  <w:rStyle w:val="InternetLink"/>
                  <w:rFonts w:ascii="Times New Roman;sans-serif" w:hAnsi="Times New Roman;sans-serif"/>
                  <w:b w:val="false"/>
                  <w:color w:val="0000FF"/>
                  <w:sz w:val="20"/>
                  <w:u w:val="single"/>
                </w:rPr>
                <w:t>Consolidated Balance Sheets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19">
              <w:r>
                <w:rPr>
                  <w:rStyle w:val="InternetLink"/>
                  <w:rFonts w:ascii="Times New Roman;sans-serif" w:hAnsi="Times New Roman;sans-serif"/>
                  <w:b w:val="false"/>
                  <w:color w:val="0000FF"/>
                  <w:sz w:val="20"/>
                  <w:u w:val="single"/>
                </w:rPr>
                <w:t>4</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433565b9411143479ae8d9a724c53b68_22">
              <w:r>
                <w:rPr>
                  <w:rStyle w:val="InternetLink"/>
                  <w:rFonts w:ascii="Times New Roman;sans-serif" w:hAnsi="Times New Roman;sans-serif"/>
                  <w:b w:val="false"/>
                  <w:color w:val="0000FF"/>
                  <w:sz w:val="20"/>
                  <w:u w:val="single"/>
                </w:rPr>
                <w:t>Consolidated Statements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22">
              <w:r>
                <w:rPr>
                  <w:rStyle w:val="InternetLink"/>
                  <w:rFonts w:ascii="Times New Roman;sans-serif" w:hAnsi="Times New Roman;sans-serif"/>
                  <w:b w:val="false"/>
                  <w:color w:val="0000FF"/>
                  <w:sz w:val="20"/>
                  <w:u w:val="single"/>
                </w:rPr>
                <w:t>5</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433565b9411143479ae8d9a724c53b68_28">
              <w:r>
                <w:rPr>
                  <w:rStyle w:val="InternetLink"/>
                  <w:rFonts w:ascii="Times New Roman;sans-serif" w:hAnsi="Times New Roman;sans-serif"/>
                  <w:b w:val="false"/>
                  <w:color w:val="0000FF"/>
                  <w:sz w:val="20"/>
                  <w:u w:val="single"/>
                </w:rPr>
                <w:t>Consolidated Statements of Comprehensive Income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28">
              <w:r>
                <w:rPr>
                  <w:rStyle w:val="InternetLink"/>
                  <w:rFonts w:ascii="Times New Roman;sans-serif" w:hAnsi="Times New Roman;sans-serif"/>
                  <w:b w:val="false"/>
                  <w:color w:val="0000FF"/>
                  <w:sz w:val="20"/>
                  <w:u w:val="single"/>
                </w:rPr>
                <w:t>6</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433565b9411143479ae8d9a724c53b68_34">
              <w:r>
                <w:rPr>
                  <w:rStyle w:val="InternetLink"/>
                  <w:rFonts w:ascii="Times New Roman;sans-serif" w:hAnsi="Times New Roman;sans-serif"/>
                  <w:b w:val="false"/>
                  <w:color w:val="0000FF"/>
                  <w:sz w:val="20"/>
                  <w:u w:val="single"/>
                </w:rPr>
                <w:t>Consolidated Statements of Stockholders’ Equity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34">
              <w:r>
                <w:rPr>
                  <w:rStyle w:val="InternetLink"/>
                  <w:rFonts w:ascii="Times New Roman;sans-serif" w:hAnsi="Times New Roman;sans-serif"/>
                  <w:b w:val="false"/>
                  <w:color w:val="0000FF"/>
                  <w:sz w:val="20"/>
                  <w:u w:val="single"/>
                </w:rPr>
                <w:t>7</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433565b9411143479ae8d9a724c53b68_40">
              <w:r>
                <w:rPr>
                  <w:rStyle w:val="InternetLink"/>
                  <w:rFonts w:ascii="Times New Roman;sans-serif" w:hAnsi="Times New Roman;sans-serif"/>
                  <w:b w:val="false"/>
                  <w:color w:val="0000FF"/>
                  <w:sz w:val="20"/>
                  <w:u w:val="single"/>
                </w:rPr>
                <w:t>Consolidated Statements of Cash Flows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40">
              <w:r>
                <w:rPr>
                  <w:rStyle w:val="InternetLink"/>
                  <w:rFonts w:ascii="Times New Roman;sans-serif" w:hAnsi="Times New Roman;sans-serif"/>
                  <w:b w:val="false"/>
                  <w:color w:val="0000FF"/>
                  <w:sz w:val="20"/>
                  <w:u w:val="single"/>
                </w:rPr>
                <w:t>9</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3565b9411143479ae8d9a724c53b68_49">
              <w:r>
                <w:rPr>
                  <w:rStyle w:val="InternetLink"/>
                  <w:rFonts w:ascii="Times New Roman;sans-serif" w:hAnsi="Times New Roman;sans-serif"/>
                  <w:b w:val="false"/>
                  <w:color w:val="0000FF"/>
                  <w:sz w:val="20"/>
                  <w:u w:val="single"/>
                </w:rPr>
                <w:t>Notes to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49">
              <w:r>
                <w:rPr>
                  <w:rStyle w:val="InternetLink"/>
                  <w:rFonts w:ascii="Times New Roman;sans-serif" w:hAnsi="Times New Roman;sans-serif"/>
                  <w:b w:val="false"/>
                  <w:color w:val="0000FF"/>
                  <w:sz w:val="20"/>
                  <w:u w:val="single"/>
                </w:rPr>
                <w:t>11</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3565b9411143479ae8d9a724c53b68_376">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376">
              <w:r>
                <w:rPr>
                  <w:rStyle w:val="InternetLink"/>
                  <w:rFonts w:ascii="Times New Roman;sans-serif" w:hAnsi="Times New Roman;sans-serif"/>
                  <w:b w:val="false"/>
                  <w:color w:val="0000FF"/>
                  <w:sz w:val="20"/>
                  <w:u w:val="single"/>
                </w:rPr>
                <w:t>32</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3565b9411143479ae8d9a724c53b68_568">
              <w:r>
                <w:rPr>
                  <w:rStyle w:val="InternetLink"/>
                  <w:rFonts w:ascii="Times New Roman;sans-serif" w:hAnsi="Times New Roman;sans-serif"/>
                  <w:b w:val="false"/>
                  <w:color w:val="0000FF"/>
                  <w:sz w:val="20"/>
                  <w:u w:val="single"/>
                </w:rPr>
                <w:t>Item 3. 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568">
              <w:r>
                <w:rPr>
                  <w:rStyle w:val="InternetLink"/>
                  <w:rFonts w:ascii="Times New Roman;sans-serif" w:hAnsi="Times New Roman;sans-serif"/>
                  <w:b w:val="false"/>
                  <w:color w:val="0000FF"/>
                  <w:sz w:val="20"/>
                  <w:u w:val="single"/>
                </w:rPr>
                <w:t>46</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3565b9411143479ae8d9a724c53b68_574">
              <w:r>
                <w:rPr>
                  <w:rStyle w:val="InternetLink"/>
                  <w:rFonts w:ascii="Times New Roman;sans-serif" w:hAnsi="Times New Roman;sans-serif"/>
                  <w:b w:val="false"/>
                  <w:color w:val="0000FF"/>
                  <w:sz w:val="20"/>
                  <w:u w:val="single"/>
                </w:rPr>
                <w:t>Item 4. 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574">
              <w:r>
                <w:rPr>
                  <w:rStyle w:val="InternetLink"/>
                  <w:rFonts w:ascii="Times New Roman;sans-serif" w:hAnsi="Times New Roman;sans-serif"/>
                  <w:b w:val="false"/>
                  <w:color w:val="0000FF"/>
                  <w:sz w:val="20"/>
                  <w:u w:val="single"/>
                </w:rPr>
                <w:t>46</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3565b9411143479ae8d9a724c53b68_577">
              <w:r>
                <w:rPr>
                  <w:rStyle w:val="InternetLink"/>
                  <w:rFonts w:ascii="Times New Roman;sans-serif" w:hAnsi="Times New Roman;sans-serif"/>
                  <w:b w:val="false"/>
                  <w:color w:val="0000FF"/>
                  <w:sz w:val="20"/>
                  <w:u w:val="single"/>
                </w:rPr>
                <w:t>PART II. 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3565b9411143479ae8d9a724c53b68_577">
              <w:r>
                <w:rPr>
                  <w:rStyle w:val="InternetLink"/>
                  <w:rFonts w:ascii="Times New Roman;sans-serif" w:hAnsi="Times New Roman;sans-serif"/>
                  <w:b w:val="false"/>
                  <w:color w:val="0000FF"/>
                  <w:sz w:val="20"/>
                  <w:u w:val="single"/>
                </w:rPr>
                <w:t>Item 1. 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577">
              <w:r>
                <w:rPr>
                  <w:rStyle w:val="InternetLink"/>
                  <w:rFonts w:ascii="Times New Roman;sans-serif" w:hAnsi="Times New Roman;sans-serif"/>
                  <w:b w:val="false"/>
                  <w:color w:val="0000FF"/>
                  <w:sz w:val="20"/>
                  <w:u w:val="single"/>
                </w:rPr>
                <w:t>48</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3565b9411143479ae8d9a724c53b68_580">
              <w:r>
                <w:rPr>
                  <w:rStyle w:val="InternetLink"/>
                  <w:rFonts w:ascii="Times New Roman;sans-serif" w:hAnsi="Times New Roman;sans-serif"/>
                  <w:b w:val="false"/>
                  <w:color w:val="0000FF"/>
                  <w:sz w:val="20"/>
                  <w:u w:val="single"/>
                </w:rPr>
                <w:t>Item 1A. 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580">
              <w:r>
                <w:rPr>
                  <w:rStyle w:val="InternetLink"/>
                  <w:rFonts w:ascii="Times New Roman;sans-serif" w:hAnsi="Times New Roman;sans-serif"/>
                  <w:b w:val="false"/>
                  <w:color w:val="0000FF"/>
                  <w:sz w:val="20"/>
                  <w:u w:val="single"/>
                </w:rPr>
                <w:t>48</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433565b9411143479ae8d9a724c53b68_586">
              <w:r>
                <w:rPr>
                  <w:rStyle w:val="InternetLink"/>
                  <w:rFonts w:ascii="Times New Roman;sans-serif" w:hAnsi="Times New Roman;sans-serif"/>
                  <w:b w:val="false"/>
                  <w:color w:val="0000FF"/>
                  <w:sz w:val="20"/>
                  <w:u w:val="single"/>
                </w:rPr>
                <w:t>Item 2. Unregistered Sales of Equity Securities and Use of Proceeds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586">
              <w:r>
                <w:rPr>
                  <w:rStyle w:val="InternetLink"/>
                  <w:rFonts w:ascii="Times New Roman;sans-serif" w:hAnsi="Times New Roman;sans-serif"/>
                  <w:b w:val="false"/>
                  <w:color w:val="0000FF"/>
                  <w:sz w:val="20"/>
                  <w:u w:val="single"/>
                </w:rPr>
                <w:t>48</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3565b9411143479ae8d9a724c53b68_592">
              <w:r>
                <w:rPr>
                  <w:rStyle w:val="InternetLink"/>
                  <w:rFonts w:ascii="Times New Roman;sans-serif" w:hAnsi="Times New Roman;sans-serif"/>
                  <w:b w:val="false"/>
                  <w:color w:val="0000FF"/>
                  <w:sz w:val="20"/>
                  <w:u w:val="single"/>
                </w:rPr>
                <w:t>Item 5. 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592">
              <w:r>
                <w:rPr>
                  <w:rStyle w:val="InternetLink"/>
                  <w:rFonts w:ascii="Times New Roman;sans-serif" w:hAnsi="Times New Roman;sans-serif"/>
                  <w:b w:val="false"/>
                  <w:color w:val="0000FF"/>
                  <w:sz w:val="20"/>
                  <w:u w:val="single"/>
                </w:rPr>
                <w:t>49</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3565b9411143479ae8d9a724c53b68_601">
              <w:r>
                <w:rPr>
                  <w:rStyle w:val="InternetLink"/>
                  <w:rFonts w:ascii="Times New Roman;sans-serif" w:hAnsi="Times New Roman;sans-serif"/>
                  <w:b w:val="false"/>
                  <w:color w:val="0000FF"/>
                  <w:sz w:val="20"/>
                  <w:u w:val="single"/>
                </w:rPr>
                <w:t>Item 6. 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601">
              <w:r>
                <w:rPr>
                  <w:rStyle w:val="InternetLink"/>
                  <w:rFonts w:ascii="Times New Roman;sans-serif" w:hAnsi="Times New Roman;sans-serif"/>
                  <w:b w:val="false"/>
                  <w:color w:val="0000FF"/>
                  <w:sz w:val="20"/>
                  <w:u w:val="single"/>
                </w:rPr>
                <w:t>50</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3565b9411143479ae8d9a724c53b68_604">
              <w:r>
                <w:rPr>
                  <w:rStyle w:val="InternetLink"/>
                  <w:rFonts w:ascii="Times New Roman;sans-serif" w:hAnsi="Times New Roman;sans-serif"/>
                  <w:b w:val="false"/>
                  <w:color w:val="0000FF"/>
                  <w:sz w:val="20"/>
                  <w:u w:val="single"/>
                </w:rPr>
                <w:t>SIGNATURE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604">
              <w:r>
                <w:rPr>
                  <w:rStyle w:val="InternetLink"/>
                  <w:rFonts w:ascii="Times New Roman;sans-serif" w:hAnsi="Times New Roman;sans-serif"/>
                  <w:b w:val="false"/>
                  <w:color w:val="0000FF"/>
                  <w:sz w:val="20"/>
                  <w:u w:val="single"/>
                </w:rPr>
                <w:t>51</w:t>
              </w:r>
            </w:hyperlink>
          </w:p>
        </w:tc>
      </w:tr>
    </w:tbl>
    <w:p>
      <w:pPr>
        <w:pStyle w:val="TextBody"/>
        <w:bidi w:val="0"/>
        <w:spacing w:before="0" w:after="24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EXPLANATORY NOTE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w:t>
        <w:noBreakHyphen/>
        <w:t>Q is for the three and six months ended June 30, 2024. This Quarterly Report on Form 10</w:t>
        <w:noBreakHyphen/>
        <w:t>Q modifies and supersedes documents filed before it. The United States (“U.S.”)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on Form 10</w:t>
        <w:noBreakHyphen/>
        <w:t>Q. In addition, information that we file with the SEC in the future will automatically update and supersede information contained in this Quarterly Report on Form 10</w:t>
        <w:noBreakHyphen/>
        <w:t>Q.</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Unless indicated otherwise, throughout this Quarterly Report on Form 10</w:t>
        <w:noBreakHyphen/>
        <w:t>Q, we refer to Bentley Systems, Incorporated and its consolidated subsidiaries, as “Bentley Systems,” “Bentley,” the “Company,” “we,” “us,” and “our.”</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w:t>
        <w:noBreakHyphen/>
        <w:t>Q contains trademarks, service marks, brands, or product names owned by us, as well as those owned by others.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Numerical information in this report is presented on a rounded basis using actual amounts. Minor differences in totals and percentage calculations may exist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w:t>
        <w:noBreakHyphen/>
        <w:t>Q includes forward</w:t>
        <w:noBreakHyphen/>
        <w:t>looking statements. All statements contained in this Quarterly Report on Form 10</w:t>
        <w:noBreakHyphen/>
        <w:t>Q other than statements of historical facts, including statements regarding our future results of operations and financial position, our business strategy, and plans and our objectives for future operations, are forward</w:t>
        <w:noBreakHyphen/>
        <w:t>looking statements. The words “believe,” “may,” “will,” “could,” “would,” “seeks,” “estimate,” “continue,” “anticipate,” “intend,” “expect,” and similar expressions, as well as statements regarding our focus for the future, are intended to identify forward</w:t>
        <w:noBreakHyphen/>
        <w:t>looking statements. We have based these forward</w:t>
        <w:noBreakHyphen/>
        <w:t>looking statements largely on our current expectations, projections, and assumptions about future events and financial trends that we believe may affect our financial condition, results of operations, business strategy, short</w:t>
        <w:noBreakHyphen/>
        <w:t>term and long</w:t>
        <w:noBreakHyphen/>
        <w:t>term business operations and objectives, and financial needs. These forward</w:t>
        <w:noBreakHyphen/>
        <w:t>looking statements are subject to a number of risks, uncertainties, and assumptions, including those described in the section titled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w:t>
        <w:noBreakHyphen/>
        <w:t>looking statements we may make. In light of these risks, uncertainties, and assumptions, the future events and trends discussed in this Quarterly Report on Form 10</w:t>
        <w:noBreakHyphen/>
        <w:t>Q may not occur and actual results could differ materially and adversely from those anticipated or implied in the forward</w:t>
        <w:noBreakHyphen/>
        <w:t>looking statements. The forward</w:t>
        <w:noBreakHyphen/>
        <w:t>looking statements, as well as our Quarterly Report on Form 10</w:t>
        <w:noBreakHyphen/>
        <w:t>Q as a whole, are subject to risks and uncertainties.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w:t>
        <w:noBreakHyphen/>
        <w:t>looking statements. We discuss many of these risks in this Quarterly Report on Form 10</w:t>
        <w:noBreakHyphen/>
        <w:t>Q in greater detail in the section titled “Risk Factors” and elsewhere in this Quarterly Report on Form 10</w:t>
        <w:noBreakHyphen/>
        <w:t>Q. You should not rely upon forward</w:t>
        <w:noBreakHyphen/>
        <w:t>looking statements as predictions of future events.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believe that the expectations reflected in the forward</w:t>
        <w:noBreakHyphen/>
        <w:t>looking statements are reasonable, we cannot guarantee future results, levels of activity, performance, achievements, events, or circumstances reflected in the forward</w:t>
        <w:noBreakHyphen/>
        <w:t>looking statements will occur. Except as required by law, we undertake no obligation to update any of these forward</w:t>
        <w:noBreakHyphen/>
        <w:t>looking statements after the date of this Quarterly Report on Form 10</w:t>
        <w:noBreakHyphen/>
        <w:t>Q to conform these statements to actual results or revised expectations.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1. Unaudited Consolidated Financial Statements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BENTLEY SYSTEMS, INCORPORATED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Balance Sheets</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 except share and per share data)</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797"/>
        <w:gridCol w:w="2116"/>
        <w:gridCol w:w="2095"/>
        <w:gridCol w:w="109"/>
        <w:gridCol w:w="109"/>
        <w:gridCol w:w="109"/>
        <w:gridCol w:w="196"/>
        <w:gridCol w:w="871"/>
        <w:gridCol w:w="109"/>
        <w:gridCol w:w="109"/>
        <w:gridCol w:w="109"/>
        <w:gridCol w:w="109"/>
        <w:gridCol w:w="219"/>
        <w:gridCol w:w="973"/>
        <w:gridCol w:w="175"/>
      </w:tblGrid>
      <w:tr>
        <w:trPr/>
        <w:tc>
          <w:tcPr>
            <w:tcW w:w="2797"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7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68,412 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302,501 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Allowance for doubtful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(8,965)</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12,812 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44,797 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386,685 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419,557 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40,100 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38,476 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248,787 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2,265,174 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2,269,336 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23,480 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212,831 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67,283 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3,257,180 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3,319,850 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18,094 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Accruals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457,348 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253,785 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11,645 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785,778 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760,363 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1,334,618 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1,518,403 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compensation plan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88,181 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30,626 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15,862 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9,718 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2,272,674 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2,435,868 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$0.01 par value, authorized 100,000,000 shares; none issued or outstanding as of June 30, 2024 and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$0.01 par value, authorized 100,000,000 shares; issued and outstanding 11,537,627 shares as of June 30, 2024 and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Class B common stock, $0.01 par value, authorized 1,800,000,000 shares; issued and outstanding 288,209,506 and 284,728,210 shares as of June 30, 2024 and December 31, 2023,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1,176,630 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1,127,234 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(84,987)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(161,932)</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984,506 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883,982 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3,257,180 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3,319,850 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240"/>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BENTLEY SYSTEMS, INCORPORATED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share and per share data)</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330"/>
        <w:gridCol w:w="1166"/>
        <w:gridCol w:w="1175"/>
        <w:gridCol w:w="109"/>
        <w:gridCol w:w="109"/>
        <w:gridCol w:w="109"/>
        <w:gridCol w:w="241"/>
        <w:gridCol w:w="945"/>
        <w:gridCol w:w="109"/>
        <w:gridCol w:w="109"/>
        <w:gridCol w:w="109"/>
        <w:gridCol w:w="109"/>
        <w:gridCol w:w="241"/>
        <w:gridCol w:w="945"/>
        <w:gridCol w:w="109"/>
        <w:gridCol w:w="109"/>
        <w:gridCol w:w="109"/>
        <w:gridCol w:w="109"/>
        <w:gridCol w:w="241"/>
        <w:gridCol w:w="945"/>
        <w:gridCol w:w="109"/>
        <w:gridCol w:w="109"/>
        <w:gridCol w:w="109"/>
        <w:gridCol w:w="109"/>
        <w:gridCol w:w="241"/>
        <w:gridCol w:w="945"/>
        <w:gridCol w:w="155"/>
      </w:tblGrid>
      <w:tr>
        <w:trPr/>
        <w:tc>
          <w:tcPr>
            <w:tcW w:w="1330"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3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3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537,088 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Perpetual licenses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 and licenses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308,307 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624,908 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558,353 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330,337 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668,100 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611,160 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subscriptions and licenses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133,610 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477,550 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purchased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370,969 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358,460 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119,090 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99,768 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Equity in net income of investees,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94,175 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 share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314,980,580 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311,914,602 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314,660,906 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311,366,371 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333,780,984 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332,352,725 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333,725,315 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331,831,973 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BENTLEY SYSTEMS, INCORPORATED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672"/>
        <w:gridCol w:w="1448"/>
        <w:gridCol w:w="1462"/>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55"/>
      </w:tblGrid>
      <w:tr>
        <w:trPr/>
        <w:tc>
          <w:tcPr>
            <w:tcW w:w="1672"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4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4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5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94,175 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net of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Actuarial gain on retirement plan, net of tax effect of $0, $(1), $(28), and $(7),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(loss) income, net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96,087 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BENTLEY SYSTEMS, INCORPORATED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share data)</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tbl>
      <w:tblPr>
        <w:tblW w:w="10366" w:type="dxa"/>
        <w:jc w:val="center"/>
        <w:tblInd w:w="0" w:type="dxa"/>
        <w:tblLayout w:type="fixed"/>
        <w:tblCellMar>
          <w:top w:w="28" w:type="dxa"/>
          <w:left w:w="28" w:type="dxa"/>
          <w:bottom w:w="28" w:type="dxa"/>
          <w:right w:w="28" w:type="dxa"/>
        </w:tblCellMar>
      </w:tblPr>
      <w:tblGrid>
        <w:gridCol w:w="677"/>
        <w:gridCol w:w="268"/>
        <w:gridCol w:w="226"/>
        <w:gridCol w:w="525"/>
        <w:gridCol w:w="526"/>
        <w:gridCol w:w="171"/>
        <w:gridCol w:w="109"/>
        <w:gridCol w:w="109"/>
        <w:gridCol w:w="109"/>
        <w:gridCol w:w="196"/>
        <w:gridCol w:w="556"/>
        <w:gridCol w:w="109"/>
        <w:gridCol w:w="109"/>
        <w:gridCol w:w="109"/>
        <w:gridCol w:w="109"/>
        <w:gridCol w:w="196"/>
        <w:gridCol w:w="871"/>
        <w:gridCol w:w="109"/>
        <w:gridCol w:w="109"/>
        <w:gridCol w:w="109"/>
        <w:gridCol w:w="109"/>
        <w:gridCol w:w="196"/>
        <w:gridCol w:w="716"/>
        <w:gridCol w:w="109"/>
        <w:gridCol w:w="109"/>
        <w:gridCol w:w="109"/>
        <w:gridCol w:w="109"/>
        <w:gridCol w:w="196"/>
        <w:gridCol w:w="751"/>
        <w:gridCol w:w="109"/>
        <w:gridCol w:w="109"/>
        <w:gridCol w:w="109"/>
        <w:gridCol w:w="109"/>
        <w:gridCol w:w="218"/>
        <w:gridCol w:w="470"/>
        <w:gridCol w:w="123"/>
        <w:gridCol w:w="109"/>
        <w:gridCol w:w="109"/>
        <w:gridCol w:w="109"/>
        <w:gridCol w:w="196"/>
        <w:gridCol w:w="736"/>
        <w:gridCol w:w="154"/>
      </w:tblGrid>
      <w:tr>
        <w:trPr/>
        <w:tc>
          <w:tcPr>
            <w:tcW w:w="67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 June 30, 2024</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A and 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Stockholders’</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Equity</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March 31, 2024</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298,014,682 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1,154,137 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(92,619)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(132,595)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932,607 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Shares issued in connection with deferred compensation plan </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1,936,318 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compensation plan elective participant deferrals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Shares issued in connection with executive bonus plan </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102,352 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for stock grants,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11,391 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related to restricted stock,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109,473 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Class B common stock under approved program</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(427,083)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June 30, 2024</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299,747,133 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1,176,630 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(93,264)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(102,561)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704 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984,506 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366" w:type="dxa"/>
        <w:jc w:val="center"/>
        <w:tblInd w:w="0" w:type="dxa"/>
        <w:tblLayout w:type="fixed"/>
        <w:tblCellMar>
          <w:top w:w="28" w:type="dxa"/>
          <w:left w:w="28" w:type="dxa"/>
          <w:bottom w:w="28" w:type="dxa"/>
          <w:right w:w="28" w:type="dxa"/>
        </w:tblCellMar>
      </w:tblPr>
      <w:tblGrid>
        <w:gridCol w:w="720"/>
        <w:gridCol w:w="225"/>
        <w:gridCol w:w="226"/>
        <w:gridCol w:w="525"/>
        <w:gridCol w:w="526"/>
        <w:gridCol w:w="171"/>
        <w:gridCol w:w="109"/>
        <w:gridCol w:w="109"/>
        <w:gridCol w:w="109"/>
        <w:gridCol w:w="196"/>
        <w:gridCol w:w="556"/>
        <w:gridCol w:w="109"/>
        <w:gridCol w:w="109"/>
        <w:gridCol w:w="109"/>
        <w:gridCol w:w="109"/>
        <w:gridCol w:w="196"/>
        <w:gridCol w:w="871"/>
        <w:gridCol w:w="109"/>
        <w:gridCol w:w="109"/>
        <w:gridCol w:w="109"/>
        <w:gridCol w:w="109"/>
        <w:gridCol w:w="196"/>
        <w:gridCol w:w="716"/>
        <w:gridCol w:w="109"/>
        <w:gridCol w:w="109"/>
        <w:gridCol w:w="109"/>
        <w:gridCol w:w="109"/>
        <w:gridCol w:w="196"/>
        <w:gridCol w:w="751"/>
        <w:gridCol w:w="109"/>
        <w:gridCol w:w="109"/>
        <w:gridCol w:w="109"/>
        <w:gridCol w:w="109"/>
        <w:gridCol w:w="218"/>
        <w:gridCol w:w="470"/>
        <w:gridCol w:w="123"/>
        <w:gridCol w:w="109"/>
        <w:gridCol w:w="109"/>
        <w:gridCol w:w="109"/>
        <w:gridCol w:w="196"/>
        <w:gridCol w:w="736"/>
        <w:gridCol w:w="154"/>
      </w:tblGrid>
      <w:tr>
        <w:trPr/>
        <w:tc>
          <w:tcPr>
            <w:tcW w:w="72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Six Months Ended June 30, 2024</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A and 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Stockholders’</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Equity</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December 31, 2023</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296,265,837 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1,127,234 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(84,987)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(161,932)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883,982 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Shares issued in connection with deferred compensation plan </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2,474,063 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compensation plan elective participant deferrals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Shares issued in connection with executive bonus plan </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168,291 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in connection with employee stock purchase plan,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122,020 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 exercises,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844,283 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for stock grants,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11,391 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related to restricted stock,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590,929 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(7,256)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Class B common stock under approved program</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(729,681)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June 30, 2024</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299,747,133 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1,176,630 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(93,264)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(102,561)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704 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984,506 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BENTLEY SYSTEMS, INCORPORATED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share data)</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tbl>
      <w:tblPr>
        <w:tblW w:w="10366" w:type="dxa"/>
        <w:jc w:val="center"/>
        <w:tblInd w:w="0" w:type="dxa"/>
        <w:tblLayout w:type="fixed"/>
        <w:tblCellMar>
          <w:top w:w="28" w:type="dxa"/>
          <w:left w:w="28" w:type="dxa"/>
          <w:bottom w:w="28" w:type="dxa"/>
          <w:right w:w="28" w:type="dxa"/>
        </w:tblCellMar>
      </w:tblPr>
      <w:tblGrid>
        <w:gridCol w:w="677"/>
        <w:gridCol w:w="268"/>
        <w:gridCol w:w="226"/>
        <w:gridCol w:w="525"/>
        <w:gridCol w:w="526"/>
        <w:gridCol w:w="171"/>
        <w:gridCol w:w="109"/>
        <w:gridCol w:w="109"/>
        <w:gridCol w:w="109"/>
        <w:gridCol w:w="196"/>
        <w:gridCol w:w="556"/>
        <w:gridCol w:w="109"/>
        <w:gridCol w:w="109"/>
        <w:gridCol w:w="109"/>
        <w:gridCol w:w="109"/>
        <w:gridCol w:w="196"/>
        <w:gridCol w:w="871"/>
        <w:gridCol w:w="109"/>
        <w:gridCol w:w="109"/>
        <w:gridCol w:w="109"/>
        <w:gridCol w:w="109"/>
        <w:gridCol w:w="196"/>
        <w:gridCol w:w="716"/>
        <w:gridCol w:w="109"/>
        <w:gridCol w:w="109"/>
        <w:gridCol w:w="109"/>
        <w:gridCol w:w="109"/>
        <w:gridCol w:w="196"/>
        <w:gridCol w:w="751"/>
        <w:gridCol w:w="109"/>
        <w:gridCol w:w="109"/>
        <w:gridCol w:w="109"/>
        <w:gridCol w:w="109"/>
        <w:gridCol w:w="218"/>
        <w:gridCol w:w="470"/>
        <w:gridCol w:w="123"/>
        <w:gridCol w:w="109"/>
        <w:gridCol w:w="109"/>
        <w:gridCol w:w="109"/>
        <w:gridCol w:w="196"/>
        <w:gridCol w:w="736"/>
        <w:gridCol w:w="154"/>
      </w:tblGrid>
      <w:tr>
        <w:trPr/>
        <w:tc>
          <w:tcPr>
            <w:tcW w:w="67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 June 30, 2023</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A and 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Stockholders’</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Equity</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March 31, 2023</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291,501,271 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(89,374)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(360,897)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614,190 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in connection with deferred compensation plan,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1,729,443 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(22,703)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compensation plan elective participant deferrals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in connection with executive bonus plan,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57,393 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 exercises,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1,308,527 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for stock grants,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12,639 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related to restricted stock,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103,710 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June 30, 2023</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294,712,983 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1,085,066 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(87,828)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(357,117)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704 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643,772 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366" w:type="dxa"/>
        <w:jc w:val="center"/>
        <w:tblInd w:w="0" w:type="dxa"/>
        <w:tblLayout w:type="fixed"/>
        <w:tblCellMar>
          <w:top w:w="28" w:type="dxa"/>
          <w:left w:w="28" w:type="dxa"/>
          <w:bottom w:w="28" w:type="dxa"/>
          <w:right w:w="28" w:type="dxa"/>
        </w:tblCellMar>
      </w:tblPr>
      <w:tblGrid>
        <w:gridCol w:w="720"/>
        <w:gridCol w:w="225"/>
        <w:gridCol w:w="226"/>
        <w:gridCol w:w="525"/>
        <w:gridCol w:w="526"/>
        <w:gridCol w:w="171"/>
        <w:gridCol w:w="109"/>
        <w:gridCol w:w="109"/>
        <w:gridCol w:w="109"/>
        <w:gridCol w:w="196"/>
        <w:gridCol w:w="556"/>
        <w:gridCol w:w="109"/>
        <w:gridCol w:w="109"/>
        <w:gridCol w:w="109"/>
        <w:gridCol w:w="109"/>
        <w:gridCol w:w="196"/>
        <w:gridCol w:w="871"/>
        <w:gridCol w:w="109"/>
        <w:gridCol w:w="109"/>
        <w:gridCol w:w="109"/>
        <w:gridCol w:w="109"/>
        <w:gridCol w:w="196"/>
        <w:gridCol w:w="716"/>
        <w:gridCol w:w="109"/>
        <w:gridCol w:w="109"/>
        <w:gridCol w:w="109"/>
        <w:gridCol w:w="109"/>
        <w:gridCol w:w="196"/>
        <w:gridCol w:w="751"/>
        <w:gridCol w:w="109"/>
        <w:gridCol w:w="109"/>
        <w:gridCol w:w="109"/>
        <w:gridCol w:w="109"/>
        <w:gridCol w:w="218"/>
        <w:gridCol w:w="470"/>
        <w:gridCol w:w="123"/>
        <w:gridCol w:w="109"/>
        <w:gridCol w:w="109"/>
        <w:gridCol w:w="109"/>
        <w:gridCol w:w="196"/>
        <w:gridCol w:w="736"/>
        <w:gridCol w:w="154"/>
      </w:tblGrid>
      <w:tr>
        <w:trPr/>
        <w:tc>
          <w:tcPr>
            <w:tcW w:w="72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Six Months Ended June 30, 2023</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A and 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Stockholders’</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Equity</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December 31, 2022</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289,014,487 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1,030,466 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(89,740)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(370,866)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573,454 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in connection with deferred compensation plan,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2,782,181 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(36,329)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compensation plan elective participant deferrals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in connection with executive bonus plan,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137,197 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in connection with employee stock purchase plan,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153,381 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 exercises,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2,236,827 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for stock grants,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12,639 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related to restricted stock,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376,271 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June 30, 2023</w:t>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294,712,983 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1,085,066 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(87,828)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(357,117)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704 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643,772 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BENTLEY SYSTEMS, INCORPORATED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tbl>
      <w:tblPr>
        <w:tblW w:w="9605" w:type="dxa"/>
        <w:jc w:val="center"/>
        <w:tblInd w:w="0" w:type="dxa"/>
        <w:tblLayout w:type="fixed"/>
        <w:tblCellMar>
          <w:top w:w="28" w:type="dxa"/>
          <w:left w:w="28" w:type="dxa"/>
          <w:bottom w:w="28" w:type="dxa"/>
          <w:right w:w="28" w:type="dxa"/>
        </w:tblCellMar>
      </w:tblPr>
      <w:tblGrid>
        <w:gridCol w:w="2431"/>
        <w:gridCol w:w="2141"/>
        <w:gridCol w:w="2147"/>
        <w:gridCol w:w="109"/>
        <w:gridCol w:w="109"/>
        <w:gridCol w:w="109"/>
        <w:gridCol w:w="211"/>
        <w:gridCol w:w="826"/>
        <w:gridCol w:w="109"/>
        <w:gridCol w:w="109"/>
        <w:gridCol w:w="109"/>
        <w:gridCol w:w="109"/>
        <w:gridCol w:w="211"/>
        <w:gridCol w:w="721"/>
        <w:gridCol w:w="154"/>
      </w:tblGrid>
      <w:tr>
        <w:trPr/>
        <w:tc>
          <w:tcPr>
            <w:tcW w:w="2431"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remeasurement loss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 net of effect from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accruals,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 net of prepaid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256,819 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 and investment in capitalized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Acquisitions, net of cash acquired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credit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288,387 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(432,739)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contingent and non-contingent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stock purchases under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shares acquired including shares withheld for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Class B common stock under approved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(215,976)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82,716 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BENTLEY SYSTEMS, INCORPORATED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tbl>
      <w:tblPr>
        <w:tblW w:w="7536" w:type="dxa"/>
        <w:jc w:val="center"/>
        <w:tblInd w:w="0" w:type="dxa"/>
        <w:tblLayout w:type="fixed"/>
        <w:tblCellMar>
          <w:top w:w="28" w:type="dxa"/>
          <w:left w:w="28" w:type="dxa"/>
          <w:bottom w:w="28" w:type="dxa"/>
          <w:right w:w="28" w:type="dxa"/>
        </w:tblCellMar>
      </w:tblPr>
      <w:tblGrid>
        <w:gridCol w:w="1721"/>
        <w:gridCol w:w="1515"/>
        <w:gridCol w:w="1519"/>
        <w:gridCol w:w="109"/>
        <w:gridCol w:w="109"/>
        <w:gridCol w:w="109"/>
        <w:gridCol w:w="211"/>
        <w:gridCol w:w="721"/>
        <w:gridCol w:w="109"/>
        <w:gridCol w:w="109"/>
        <w:gridCol w:w="109"/>
        <w:gridCol w:w="109"/>
        <w:gridCol w:w="211"/>
        <w:gridCol w:w="721"/>
        <w:gridCol w:w="154"/>
      </w:tblGrid>
      <w:tr>
        <w:trPr/>
        <w:tc>
          <w:tcPr>
            <w:tcW w:w="1721"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refunds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method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non-contingent consideration,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Share-settled executive bonus plan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plan elective participant deferrals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BENTLEY SYSTEMS, INCORPORATED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share and per share data)</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40"/>
        <w:jc w:val="center"/>
        <w:rPr/>
      </w:pPr>
      <w:r>
        <w:rPr/>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1: Basis of Presentation</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The accompanying unaudited consolidated financial statements include the accounts of the Company and its consolidated subsidiaries. The accompanying unaudited consolidated financial statements have been prepared in U.S. dollars, and in accordance with U.S. generally accepted accounting principles (“GAAP”) and the rules and regulations of the SEC regarding interim financial reporting. Accordingly, they do not include all the information and notes required by GAAP for annual financial statements. These unaudited consolidated financial statements should be read in conjunction with the audited consolidated financial statements and notes thereto included in the Company’s 2023 Annual Report on Form 10</w:t>
      </w:r>
      <w:r>
        <w:rPr>
          <w:color w:val="000000"/>
        </w:rPr>
        <w:noBreakHyphen/>
      </w:r>
      <w:r>
        <w:rPr>
          <w:rFonts w:ascii="Times New Roman;sans-serif" w:hAnsi="Times New Roman;sans-serif"/>
          <w:b w:val="false"/>
          <w:color w:val="000000"/>
          <w:sz w:val="20"/>
        </w:rPr>
        <w:t>K. In management’s opinion, the accompanying unaudited consolidated financial statements contain all adjustments (consisting of normal, recurring and non-recurring adjustments) that were considered necessary for the fair statement of the Company’s financial position, results of operations, and cash flows as of the dates and for the periods indicated. The preparation of financial statements in conformity with GAAP requires management to make estimates and assumptions that affect reported amounts in the financial statements and accompanying notes. Actual results could differ materially from those estimates. The December 31, 2023 consolidated balance sheet included herein is derived from the Company’s 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2: Recent Accounting Pronouncements</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In March 2024, the SEC adopted the final rule under SEC Release No. 33</w:t>
        <w:noBreakHyphen/>
        <w:t xml:space="preserve">11275, </w:t>
      </w:r>
      <w:r>
        <w:rPr>
          <w:rFonts w:ascii="Times New Roman;sans-serif" w:hAnsi="Times New Roman;sans-serif"/>
          <w:b w:val="false"/>
          <w:i/>
          <w:color w:val="000000"/>
          <w:sz w:val="20"/>
        </w:rPr>
        <w:t>The Enhancement and Standardization of Climate</w:t>
        <w:noBreakHyphen/>
        <w:t>Related Disclosures for Investors</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The final rule requires registrants to disclose certain climate</w:t>
        <w:noBreakHyphen/>
        <w:t>related information in registration statements and annual reports. The final rule disclosure requirements will begin phasing in prospectively for the Company’s fiscal year beginning January 1, 2025. Subsequent to issuance, the final rule became the subject of litigation and the SEC issued a stay to allow the legal process to proceed. The Company is currently evaluating the impact of the final rule on its consolidated financial statements disclosures.</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In December 2023, the Financial Accounting Standards Board (“FASB”) issued Accounting Standards Update (“ASU”) No. 2023</w:t>
        <w:noBreakHyphen/>
        <w:t xml:space="preserve">09, </w:t>
      </w:r>
      <w:r>
        <w:rPr>
          <w:rFonts w:ascii="Times New Roman;sans-serif" w:hAnsi="Times New Roman;sans-serif"/>
          <w:b w:val="false"/>
          <w:i/>
          <w:color w:val="000000"/>
          <w:sz w:val="20"/>
        </w:rPr>
        <w:t>Income Taxes (Topic 740): Improvements to Income Tax Disclosures</w:t>
      </w:r>
      <w:r>
        <w:rPr>
          <w:color w:val="000000"/>
        </w:rPr>
        <w:t xml:space="preserve"> </w:t>
      </w:r>
      <w:r>
        <w:rPr>
          <w:rFonts w:ascii="Times New Roman;sans-serif" w:hAnsi="Times New Roman;sans-serif"/>
          <w:b w:val="false"/>
          <w:color w:val="000000"/>
          <w:sz w:val="20"/>
        </w:rPr>
        <w:t>(“ASU 2023</w:t>
        <w:noBreakHyphen/>
        <w:t>09”), which expands disclosures in an entity’s income tax rate reconciliation table and regarding cash taxes paid both in the U.S. and foreign jurisdictions. ASU 2023</w:t>
        <w:noBreakHyphen/>
        <w:t>09 is effective for the Company for the annual reporting period beginning after December 15, 2024. Early adoption is permitted. The Company is currently evaluating the impact of the adoption of ASU 2023</w:t>
        <w:noBreakHyphen/>
        <w:t>09 on its consolidated financial statements disclosures.</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In November 2023, the FASB issued ASU No. 2023</w:t>
        <w:noBreakHyphen/>
        <w:t xml:space="preserve">07, </w:t>
      </w:r>
      <w:r>
        <w:rPr>
          <w:rFonts w:ascii="Times New Roman;sans-serif" w:hAnsi="Times New Roman;sans-serif"/>
          <w:b w:val="false"/>
          <w:i/>
          <w:color w:val="000000"/>
          <w:sz w:val="20"/>
        </w:rPr>
        <w:t>Segment Reporting (Topic 280): Improvements to Reportable Segment Disclosures</w:t>
      </w:r>
      <w:r>
        <w:rPr>
          <w:color w:val="000000"/>
        </w:rPr>
        <w:t xml:space="preserve"> </w:t>
      </w:r>
      <w:r>
        <w:rPr>
          <w:rFonts w:ascii="Times New Roman;sans-serif" w:hAnsi="Times New Roman;sans-serif"/>
          <w:b w:val="false"/>
          <w:color w:val="000000"/>
          <w:sz w:val="20"/>
        </w:rPr>
        <w:t>(“ASU 2023</w:t>
        <w:noBreakHyphen/>
        <w:t>07”), which expands disclosures about a public entity’s reportable segments and requires more enhanced information about a reportable segment’s expenses, interim segment profit or loss, and how the Company’s chief operating decision maker (“CODM”) uses reported segment profit or loss information in assessing segment performance and allocating resources. ASU 2023</w:t>
        <w:noBreakHyphen/>
        <w:t>07 is effective for the Company for the annual reporting period beginning after December 15, 2023, and interim periods beginning after December 15, 2024. Early adoption is permitted, including adoption in an interim period. The Company is currently evaluating the impact of the adoption of ASU 2023</w:t>
        <w:noBreakHyphen/>
        <w:t>07 on its consolidated financial statements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3: Revenue from Contracts with Customers</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Disaggregation of Revenues</w:t>
      </w:r>
    </w:p>
    <w:p>
      <w:pPr>
        <w:pStyle w:val="TextBody"/>
        <w:bidi w:val="0"/>
        <w:spacing w:lineRule="auto" w:line="288" w:before="0" w:after="24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revenues consist of the following:</w:t>
      </w:r>
    </w:p>
    <w:tbl>
      <w:tblPr>
        <w:tblW w:w="7889" w:type="dxa"/>
        <w:jc w:val="center"/>
        <w:tblInd w:w="0" w:type="dxa"/>
        <w:tblLayout w:type="fixed"/>
        <w:tblCellMar>
          <w:top w:w="28" w:type="dxa"/>
          <w:left w:w="28" w:type="dxa"/>
          <w:bottom w:w="28" w:type="dxa"/>
          <w:right w:w="28" w:type="dxa"/>
        </w:tblCellMar>
      </w:tblPr>
      <w:tblGrid>
        <w:gridCol w:w="825"/>
        <w:gridCol w:w="726"/>
        <w:gridCol w:w="728"/>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Enterprise subscriptions </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SELECT subscriptions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license subscriptions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537,088 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Perpetual licenses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 and licenses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558,353 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Recurring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330,337 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668,100 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611,160 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(1)Enterprise subscriptions includes revenue attributable to Enterprise 365 (“E365”) subscriptions of $125,630 and $99,248 for the three months ended June 30, 2024 and 2023, respectively, and $248,666 and $193,579 for the six months ended June 30, 2024 and 2023, respectively.</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The Company recognizes perpetual licenses and the term license component of subscriptions as revenue when either the licenses are delivered or at the start of the subscription term. For the three months ended June 30, 2024 and 2023, the Company recognized $162,458 and $138,822 of license related revenues, respectively, of which $151,595 and $127,104, respectively, were attributable to the term license component of the Company’s subscription</w:t>
        <w:noBreakHyphen/>
        <w:t xml:space="preserve">based commercial offerings recorded in </w:t>
      </w:r>
      <w:r>
        <w:rPr>
          <w:rFonts w:ascii="Times New Roman;sans-serif" w:hAnsi="Times New Roman;sans-serif"/>
          <w:b w:val="false"/>
          <w:i/>
          <w:color w:val="000000"/>
          <w:sz w:val="20"/>
        </w:rPr>
        <w:t>Subscriptions</w:t>
      </w:r>
      <w:r>
        <w:rPr>
          <w:color w:val="000000"/>
        </w:rPr>
        <w:t xml:space="preserve"> </w:t>
      </w:r>
      <w:r>
        <w:rPr>
          <w:rFonts w:ascii="Times New Roman;sans-serif" w:hAnsi="Times New Roman;sans-serif"/>
          <w:b w:val="false"/>
          <w:color w:val="000000"/>
          <w:sz w:val="20"/>
        </w:rPr>
        <w:t>in the consolidated statements of operations. For the six months ended June 30, 2024 and 2023, the Company recognized $338,767 and $296,846 of license related revenues, respectively, of which $318,392 and $275,581, respectively, were attributable to the term license component of the Company’s subscription</w:t>
        <w:noBreakHyphen/>
        <w:t xml:space="preserve">based commercial offerings recorded in </w:t>
      </w:r>
      <w:r>
        <w:rPr>
          <w:rFonts w:ascii="Times New Roman;sans-serif" w:hAnsi="Times New Roman;sans-serif"/>
          <w:b w:val="false"/>
          <w:i/>
          <w:color w:val="000000"/>
          <w:sz w:val="20"/>
        </w:rPr>
        <w:t>Subscriptions</w:t>
      </w:r>
      <w:r>
        <w:rPr>
          <w:color w:val="000000"/>
        </w:rPr>
        <w:t xml:space="preserve"> </w:t>
      </w:r>
      <w:r>
        <w:rPr>
          <w:rFonts w:ascii="Times New Roman;sans-serif" w:hAnsi="Times New Roman;sans-serif"/>
          <w:b w:val="false"/>
          <w:color w:val="000000"/>
          <w:sz w:val="20"/>
        </w:rPr>
        <w:t>in the consolidated statements of operations.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derived 7% of its total revenues through channel partners for the three and six months ended June 30,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external customers is attributed to individual countries based upon the location of the customer. Revenues by geographic region are as follows:</w:t>
      </w:r>
    </w:p>
    <w:tbl>
      <w:tblPr>
        <w:tblW w:w="9524" w:type="dxa"/>
        <w:jc w:val="center"/>
        <w:tblInd w:w="0" w:type="dxa"/>
        <w:tblLayout w:type="fixed"/>
        <w:tblCellMar>
          <w:top w:w="28" w:type="dxa"/>
          <w:left w:w="28" w:type="dxa"/>
          <w:bottom w:w="28" w:type="dxa"/>
          <w:right w:w="28" w:type="dxa"/>
        </w:tblCellMar>
      </w:tblPr>
      <w:tblGrid>
        <w:gridCol w:w="1415"/>
        <w:gridCol w:w="1244"/>
        <w:gridCol w:w="125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415"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Americas </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327,181 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the Middle East, and Africa (“EMEA”)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Asia-Pacific (“APAC”)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330,337 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668,100 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611,160 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(1)Americas includes the U.S., Canada, and Latin America (including the Caribbean). Revenue attributable to the U.S. totaled $139,010 and $127,847 for the three months ended June 30, 2024 and 2023, respectively, and $277,262 and $255,297 for the six months ended June 30,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Unbilled Revenues</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 xml:space="preserve">Unbilled revenues represent revenues that have not yet been billed to customers due to timing differences in usage and billing cycles, and are included in </w:t>
      </w:r>
      <w:r>
        <w:rPr>
          <w:rFonts w:ascii="Times New Roman;sans-serif" w:hAnsi="Times New Roman;sans-serif"/>
          <w:b w:val="false"/>
          <w:i/>
          <w:color w:val="000000"/>
          <w:sz w:val="20"/>
        </w:rPr>
        <w:t>Accounts receivable</w:t>
      </w:r>
      <w:r>
        <w:rPr>
          <w:color w:val="000000"/>
        </w:rPr>
        <w:t xml:space="preserve"> </w:t>
      </w:r>
      <w:r>
        <w:rPr>
          <w:rFonts w:ascii="Times New Roman;sans-serif" w:hAnsi="Times New Roman;sans-serif"/>
          <w:b w:val="false"/>
          <w:color w:val="000000"/>
          <w:sz w:val="20"/>
        </w:rPr>
        <w:t>in the consolidated balance sheets. As of June 30, 2024 and December 31, 2023, unbilled revenues were $144,540 and $129,494, respectively.</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Contract Balances</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 xml:space="preserve">As of June 30, 2024 and December 31, 2023, the Company’s contract assets relate to performance obligations completed in advance of the right to invoice and are included in </w:t>
      </w:r>
      <w:r>
        <w:rPr>
          <w:rFonts w:ascii="Times New Roman;sans-serif" w:hAnsi="Times New Roman;sans-serif"/>
          <w:b w:val="false"/>
          <w:i/>
          <w:color w:val="000000"/>
          <w:sz w:val="20"/>
        </w:rPr>
        <w:t>Prepaid and other current assets</w:t>
      </w:r>
      <w:r>
        <w:rPr>
          <w:color w:val="000000"/>
        </w:rPr>
        <w:t xml:space="preserve"> </w:t>
      </w:r>
      <w:r>
        <w:rPr>
          <w:rFonts w:ascii="Times New Roman;sans-serif" w:hAnsi="Times New Roman;sans-serif"/>
          <w:b w:val="false"/>
          <w:color w:val="000000"/>
          <w:sz w:val="20"/>
        </w:rPr>
        <w:t>in the consolidated balance sheets. Contract assets were not material as of June 30, 2024 or December 31, 2023.</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Deferred revenues consist of billings made or payments received in advance of revenue recognition from subscriptions and services. The timing of revenue recognition may differ from the timing of billings to users. As of June 30, 2024 and December 31, 2023, total deferred revenues on the consolidated balance sheets were $251,883 and $269,647, respectively.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2024, $165,042 of revenues that were included in the December 31, 2023 deferred revenues balance were recognized. There were additional deferrals of $152,734 for the six months ended June 30, 2024, which were primarily related to new billings. For the six months ended June 30, 2023, $149,247 of revenues that were included in the December 31, 2022 deferred revenues balance were recognized. There were additional deferrals of $151,528 for the six months ended June 30, 2023, which were primarily related to new billings.</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 xml:space="preserve">As of June 30, 2024 and December 31, 2023, the Company has deferred $18,565 and $18,269, respectively, related to portfolio balancing exchange rights which is included in </w:t>
      </w:r>
      <w:r>
        <w:rPr>
          <w:rFonts w:ascii="Times New Roman;sans-serif" w:hAnsi="Times New Roman;sans-serif"/>
          <w:b w:val="false"/>
          <w:i/>
          <w:color w:val="000000"/>
          <w:sz w:val="20"/>
        </w:rPr>
        <w:t>Deferred revenues</w:t>
      </w:r>
      <w:r>
        <w:rPr>
          <w:color w:val="000000"/>
        </w:rPr>
        <w:t xml:space="preserve"> </w:t>
      </w:r>
      <w:r>
        <w:rPr>
          <w:rFonts w:ascii="Times New Roman;sans-serif" w:hAnsi="Times New Roman;sans-serif"/>
          <w:b w:val="false"/>
          <w:color w:val="000000"/>
          <w:sz w:val="20"/>
        </w:rPr>
        <w:t>in the consolidated balance sheets.</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Remaining Performance Obligations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contracts with customers include amounts allocated to performance obligations that will be satisfied at a later date. As of June 30, 2024, amounts allocated to these remaining performance obligations are $251,883, of which the Company expects to recognize approximately 94% over the next 12 months with the remaining amount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4: Acquisitions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details of the Company’s acquisition activity are as follows:</w:t>
      </w:r>
    </w:p>
    <w:tbl>
      <w:tblPr>
        <w:tblW w:w="4601" w:type="dxa"/>
        <w:jc w:val="center"/>
        <w:tblInd w:w="0" w:type="dxa"/>
        <w:tblLayout w:type="fixed"/>
        <w:tblCellMar>
          <w:top w:w="28" w:type="dxa"/>
          <w:left w:w="28" w:type="dxa"/>
          <w:bottom w:w="28" w:type="dxa"/>
          <w:right w:w="28" w:type="dxa"/>
        </w:tblCellMar>
      </w:tblPr>
      <w:tblGrid>
        <w:gridCol w:w="727"/>
        <w:gridCol w:w="640"/>
        <w:gridCol w:w="642"/>
        <w:gridCol w:w="233"/>
        <w:gridCol w:w="680"/>
        <w:gridCol w:w="120"/>
        <w:gridCol w:w="120"/>
        <w:gridCol w:w="120"/>
        <w:gridCol w:w="120"/>
        <w:gridCol w:w="233"/>
        <w:gridCol w:w="796"/>
        <w:gridCol w:w="170"/>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Acquisitions Completed During</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acquisitions</w:t>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at closing</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paid</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10,299 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operating results of the acquired businesses were not material, individually or in the aggregate, to the Company’s consolidated statements of operations.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non-contingent consideration from acquisitions is included in the consolidated balance sheets as follows:</w:t>
      </w:r>
    </w:p>
    <w:tbl>
      <w:tblPr>
        <w:tblW w:w="7090" w:type="dxa"/>
        <w:jc w:val="center"/>
        <w:tblInd w:w="0" w:type="dxa"/>
        <w:tblLayout w:type="fixed"/>
        <w:tblCellMar>
          <w:top w:w="28" w:type="dxa"/>
          <w:left w:w="28" w:type="dxa"/>
          <w:bottom w:w="28" w:type="dxa"/>
          <w:right w:w="28" w:type="dxa"/>
        </w:tblCellMar>
      </w:tblPr>
      <w:tblGrid>
        <w:gridCol w:w="1454"/>
        <w:gridCol w:w="1280"/>
        <w:gridCol w:w="1285"/>
        <w:gridCol w:w="260"/>
        <w:gridCol w:w="760"/>
        <w:gridCol w:w="134"/>
        <w:gridCol w:w="109"/>
        <w:gridCol w:w="109"/>
        <w:gridCol w:w="109"/>
        <w:gridCol w:w="342"/>
        <w:gridCol w:w="998"/>
        <w:gridCol w:w="250"/>
      </w:tblGrid>
      <w:tr>
        <w:trPr/>
        <w:tc>
          <w:tcPr>
            <w:tcW w:w="1454"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 and other current liabilities</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3,576 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Non-contingent consideration from acquisitions</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3,576 </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operating results of the acquired businesses are included in the Company’s consolidated financial statements from the closing date of each respective acquisition. The purchase price for each acquisition has been allocated to the net tangible and intangible assets and liabilities based on their estimated fair values at the respective acquisition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in the process of finalizing the purchase accounting for one acquisition completed during the six months ended June 30, 2024 and two acquisitions completed during the year ended December 31, 2023. Identifiable assets acquired and liabilities assumed were provisionally recorded at their estimated fair values on the respective acquisition date. The initial accounting for these business combinations is not complete because the evaluation necessary to assess the fair values of certain net assets acquired is still in process. The provisional amounts are subject to revision until the evaluations are completed to the extent that additional information is obtained about the facts and circumstances that existed as of the acquisition date. The allocation of the purchase price may be modified from the date of the acquisition as more information is obtained about the fair values of assets acquired and liabilities assumed, however, such measurement period cannot exceed one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 xml:space="preserve">Acquisition costs are expensed as incurred and are recorded in </w:t>
      </w:r>
      <w:r>
        <w:rPr>
          <w:rFonts w:ascii="Times New Roman;sans-serif" w:hAnsi="Times New Roman;sans-serif"/>
          <w:b w:val="false"/>
          <w:i/>
          <w:color w:val="000000"/>
          <w:sz w:val="20"/>
        </w:rPr>
        <w:t>General and administrative</w:t>
      </w:r>
      <w:r>
        <w:rPr>
          <w:color w:val="000000"/>
        </w:rPr>
        <w:t xml:space="preserve"> </w:t>
      </w:r>
      <w:r>
        <w:rPr>
          <w:rFonts w:ascii="Times New Roman;sans-serif" w:hAnsi="Times New Roman;sans-serif"/>
          <w:b w:val="false"/>
          <w:color w:val="000000"/>
          <w:sz w:val="20"/>
        </w:rPr>
        <w:t>in the consolidated statements of operations. For the three months ended June 30, 2024 and 2023, the Company’s acquisition expenses were $231 and $113, respectively, and $429 and $5,298 for the six months ended June 30, 2024 and 2023, respectively, which include costs related to legal, accounting, valuation, insurance, and other consulting and transaction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fair values of the assets acquired and liabilities assumed, as well as the weighted average useful lives assigned to acquired intangible assets at the respective date of each acquisition (including contingent consideration):</w:t>
      </w:r>
    </w:p>
    <w:tbl>
      <w:tblPr>
        <w:tblW w:w="8908" w:type="dxa"/>
        <w:jc w:val="center"/>
        <w:tblInd w:w="0" w:type="dxa"/>
        <w:tblLayout w:type="fixed"/>
        <w:tblCellMar>
          <w:top w:w="28" w:type="dxa"/>
          <w:left w:w="28" w:type="dxa"/>
          <w:bottom w:w="28" w:type="dxa"/>
          <w:right w:w="28" w:type="dxa"/>
        </w:tblCellMar>
      </w:tblPr>
      <w:tblGrid>
        <w:gridCol w:w="1959"/>
        <w:gridCol w:w="1723"/>
        <w:gridCol w:w="1732"/>
        <w:gridCol w:w="348"/>
        <w:gridCol w:w="1017"/>
        <w:gridCol w:w="179"/>
        <w:gridCol w:w="120"/>
        <w:gridCol w:w="120"/>
        <w:gridCol w:w="120"/>
        <w:gridCol w:w="309"/>
        <w:gridCol w:w="1056"/>
        <w:gridCol w:w="225"/>
      </w:tblGrid>
      <w:tr>
        <w:trPr/>
        <w:tc>
          <w:tcPr>
            <w:tcW w:w="1959"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Acquisitions Completed During</w:t>
            </w:r>
          </w:p>
        </w:tc>
      </w:tr>
      <w:tr>
        <w:trPr/>
        <w:tc>
          <w:tcPr>
            <w:tcW w:w="5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w:t>
            </w:r>
          </w:p>
        </w:tc>
      </w:tr>
      <w:tr>
        <w:trPr/>
        <w:tc>
          <w:tcPr>
            <w:tcW w:w="5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Consideration:</w:t>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at closing</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non-contingent consideration, net</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consideration</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26,827 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acquired and liabilities assumed:</w:t>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and other current assets</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Software and technology (weighted average useful life of 3 years)</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 (weighted average useful life of 6 years)</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Trademarks (weighted average useful life of 5 years)</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identifiable assets acquired excluding goodwill</w:t>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12,537 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 and other current liabilities</w:t>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revenues</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(4,623)</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(2,231)</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(5,644)</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identifiable assets acquired excluding goodwill</w:t>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6,893 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26,827 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Goodwill recorded in connection with the acquisitions was attributable to synergies expected to arise from cost saving opportunities, as well as future expected cash flows. The Company expects $5,756 of the goodwill recorded relating to the 2024 acquisition will be deductible for income tax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5: Property and Equipment, Net</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 of the following:</w:t>
      </w:r>
    </w:p>
    <w:tbl>
      <w:tblPr>
        <w:tblW w:w="5981" w:type="dxa"/>
        <w:jc w:val="center"/>
        <w:tblInd w:w="0" w:type="dxa"/>
        <w:tblLayout w:type="fixed"/>
        <w:tblCellMar>
          <w:top w:w="28" w:type="dxa"/>
          <w:left w:w="28" w:type="dxa"/>
          <w:bottom w:w="28" w:type="dxa"/>
          <w:right w:w="28" w:type="dxa"/>
        </w:tblCellMar>
      </w:tblPr>
      <w:tblGrid>
        <w:gridCol w:w="1054"/>
        <w:gridCol w:w="924"/>
        <w:gridCol w:w="932"/>
        <w:gridCol w:w="234"/>
        <w:gridCol w:w="800"/>
        <w:gridCol w:w="121"/>
        <w:gridCol w:w="109"/>
        <w:gridCol w:w="109"/>
        <w:gridCol w:w="109"/>
        <w:gridCol w:w="308"/>
        <w:gridCol w:w="1055"/>
        <w:gridCol w:w="226"/>
      </w:tblGrid>
      <w:tr>
        <w:trPr/>
        <w:tc>
          <w:tcPr>
            <w:tcW w:w="105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improvements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31,168 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31,025 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48,572 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46,202 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equipment</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Aircraft</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at cost</w:t>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94,693 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91,964 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(57,937)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(51,864)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36,756 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40,100 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was $3,313 and $2,910 for the three months ended June 30, 2024 and 2023, respectively, and $6,680 and $5,634 for the six months ended June 30,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6: Goodwill and Other Intangible Assets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 of goodwill are as follows:</w:t>
      </w:r>
    </w:p>
    <w:tbl>
      <w:tblPr>
        <w:tblW w:w="4776" w:type="dxa"/>
        <w:jc w:val="center"/>
        <w:tblInd w:w="0" w:type="dxa"/>
        <w:tblLayout w:type="fixed"/>
        <w:tblCellMar>
          <w:top w:w="28" w:type="dxa"/>
          <w:left w:w="28" w:type="dxa"/>
          <w:bottom w:w="28" w:type="dxa"/>
          <w:right w:w="28" w:type="dxa"/>
        </w:tblCellMar>
      </w:tblPr>
      <w:tblGrid>
        <w:gridCol w:w="1244"/>
        <w:gridCol w:w="1093"/>
        <w:gridCol w:w="1098"/>
        <w:gridCol w:w="211"/>
        <w:gridCol w:w="976"/>
        <w:gridCol w:w="154"/>
      </w:tblGrid>
      <w:tr>
        <w:trPr/>
        <w:tc>
          <w:tcPr>
            <w:tcW w:w="1244"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2,269,336 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adjustments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June 30, 2024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2,265,174 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Details of intangible assets other than goodwill are as follows:</w:t>
      </w:r>
    </w:p>
    <w:tbl>
      <w:tblPr>
        <w:tblW w:w="10205" w:type="dxa"/>
        <w:jc w:val="center"/>
        <w:tblInd w:w="0" w:type="dxa"/>
        <w:tblLayout w:type="fixed"/>
        <w:tblCellMar>
          <w:top w:w="28" w:type="dxa"/>
          <w:left w:w="28" w:type="dxa"/>
          <w:bottom w:w="28" w:type="dxa"/>
          <w:right w:w="28" w:type="dxa"/>
        </w:tblCellMar>
      </w:tblPr>
      <w:tblGrid>
        <w:gridCol w:w="475"/>
        <w:gridCol w:w="341"/>
        <w:gridCol w:w="343"/>
        <w:gridCol w:w="251"/>
        <w:gridCol w:w="251"/>
        <w:gridCol w:w="252"/>
        <w:gridCol w:w="109"/>
        <w:gridCol w:w="109"/>
        <w:gridCol w:w="109"/>
        <w:gridCol w:w="196"/>
        <w:gridCol w:w="736"/>
        <w:gridCol w:w="109"/>
        <w:gridCol w:w="109"/>
        <w:gridCol w:w="109"/>
        <w:gridCol w:w="109"/>
        <w:gridCol w:w="196"/>
        <w:gridCol w:w="753"/>
        <w:gridCol w:w="109"/>
        <w:gridCol w:w="109"/>
        <w:gridCol w:w="109"/>
        <w:gridCol w:w="109"/>
        <w:gridCol w:w="196"/>
        <w:gridCol w:w="736"/>
        <w:gridCol w:w="109"/>
        <w:gridCol w:w="109"/>
        <w:gridCol w:w="109"/>
        <w:gridCol w:w="109"/>
        <w:gridCol w:w="196"/>
        <w:gridCol w:w="736"/>
        <w:gridCol w:w="109"/>
        <w:gridCol w:w="109"/>
        <w:gridCol w:w="109"/>
        <w:gridCol w:w="109"/>
        <w:gridCol w:w="196"/>
        <w:gridCol w:w="753"/>
        <w:gridCol w:w="109"/>
        <w:gridCol w:w="109"/>
        <w:gridCol w:w="109"/>
        <w:gridCol w:w="109"/>
        <w:gridCol w:w="196"/>
        <w:gridCol w:w="736"/>
        <w:gridCol w:w="159"/>
      </w:tblGrid>
      <w:tr>
        <w:trPr/>
        <w:tc>
          <w:tcPr>
            <w:tcW w:w="47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December 31, 2023</w:t>
            </w:r>
          </w:p>
        </w:tc>
      </w:tr>
      <w:tr>
        <w:trPr/>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Estimated</w:t>
              <w:br/>
              <w:t>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Net Book</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5"/>
              </w:rPr>
            </w:pPr>
            <w:r>
              <w:rPr>
                <w:rFonts w:ascii="Times New Roman;sans-serif" w:hAnsi="Times New Roman;sans-serif"/>
                <w:b/>
                <w:color w:val="000000"/>
                <w:sz w:val="15"/>
              </w:rPr>
              <w:t>Net Book</w:t>
              <w:br/>
              <w:t>Value</w:t>
            </w:r>
          </w:p>
        </w:tc>
      </w:tr>
      <w:tr>
        <w:trPr/>
        <w:tc>
          <w:tcPr>
            <w:tcW w:w="1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subject to amortization:</w:t>
            </w:r>
          </w:p>
        </w:tc>
        <w:tc>
          <w:tcPr>
            <w:tcW w:w="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Software and technology</w:t>
            </w:r>
          </w:p>
        </w:tc>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30,648 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(154,666)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(142,378)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181,064 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Trademarks</w:t>
            </w:r>
          </w:p>
        </w:tc>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37,001 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Non-compete agreements</w:t>
            </w:r>
          </w:p>
        </w:tc>
        <w:tc>
          <w:tcPr>
            <w:tcW w:w="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9"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159"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159"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intangible assets</w:t>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481,966 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(256,427)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225,539 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484,195 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(235,408)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248,787 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amortization expense for purchased intangible assets with finite lives was reflected in the Company’s consolidated statements of operations as follows:</w:t>
      </w:r>
    </w:p>
    <w:tbl>
      <w:tblPr>
        <w:tblW w:w="8430" w:type="dxa"/>
        <w:jc w:val="center"/>
        <w:tblInd w:w="0" w:type="dxa"/>
        <w:tblLayout w:type="fixed"/>
        <w:tblCellMar>
          <w:top w:w="28" w:type="dxa"/>
          <w:left w:w="28" w:type="dxa"/>
          <w:bottom w:w="28" w:type="dxa"/>
          <w:right w:w="28" w:type="dxa"/>
        </w:tblCellMar>
      </w:tblPr>
      <w:tblGrid>
        <w:gridCol w:w="1174"/>
        <w:gridCol w:w="1030"/>
        <w:gridCol w:w="1036"/>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174"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subscriptions and licenses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purchased intangibles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7: Investments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Investments consist of the following:</w:t>
      </w:r>
    </w:p>
    <w:tbl>
      <w:tblPr>
        <w:tblW w:w="5425" w:type="dxa"/>
        <w:jc w:val="center"/>
        <w:tblInd w:w="0" w:type="dxa"/>
        <w:tblLayout w:type="fixed"/>
        <w:tblCellMar>
          <w:top w:w="28" w:type="dxa"/>
          <w:left w:w="28" w:type="dxa"/>
          <w:bottom w:w="28" w:type="dxa"/>
          <w:right w:w="28" w:type="dxa"/>
        </w:tblCellMar>
      </w:tblPr>
      <w:tblGrid>
        <w:gridCol w:w="853"/>
        <w:gridCol w:w="749"/>
        <w:gridCol w:w="752"/>
        <w:gridCol w:w="234"/>
        <w:gridCol w:w="800"/>
        <w:gridCol w:w="121"/>
        <w:gridCol w:w="109"/>
        <w:gridCol w:w="109"/>
        <w:gridCol w:w="109"/>
        <w:gridCol w:w="308"/>
        <w:gridCol w:w="1055"/>
        <w:gridCol w:w="226"/>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method investments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24,258 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23,480 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Cost Method Investments</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The Company invests in technology development companies, generally in the form of equity interests or convertible notes. In March 2023, the Company acquired an equity interest in Worldsensing, a leading global connectivity hardware platform company for infrastructure monitoring, via contribution of its sensemetrics’ Thread connectivity device business (the “Thread business”) and cash. The non</w:t>
        <w:noBreakHyphen/>
        <w:t xml:space="preserve">cash contribution of the Thread business resulted in an insignificant gain, which was recorded in </w:t>
      </w:r>
      <w:r>
        <w:rPr>
          <w:rFonts w:ascii="Times New Roman;sans-serif" w:hAnsi="Times New Roman;sans-serif"/>
          <w:b w:val="false"/>
          <w:i/>
          <w:color w:val="000000"/>
          <w:sz w:val="20"/>
        </w:rPr>
        <w:t>Other income, net</w:t>
      </w:r>
      <w:r>
        <w:rPr>
          <w:color w:val="000000"/>
        </w:rPr>
        <w:t xml:space="preserve"> </w:t>
      </w:r>
      <w:r>
        <w:rPr>
          <w:rFonts w:ascii="Times New Roman;sans-serif" w:hAnsi="Times New Roman;sans-serif"/>
          <w:b w:val="false"/>
          <w:color w:val="000000"/>
          <w:sz w:val="20"/>
        </w:rPr>
        <w:t>in the consolidated statements of operations for the six months ended June 30, 2023.</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 xml:space="preserve">During the second quarter of 2023, the Company recognized impairment charges of $7,318 to write-down certain cost method investments to their fair value primarily as a result of the investees’ decline in operating performance and the overall decline in the venture investment valuation environment. The impairment charges were recorded in </w:t>
      </w:r>
      <w:r>
        <w:rPr>
          <w:rFonts w:ascii="Times New Roman;sans-serif" w:hAnsi="Times New Roman;sans-serif"/>
          <w:b w:val="false"/>
          <w:i/>
          <w:color w:val="000000"/>
          <w:sz w:val="20"/>
        </w:rPr>
        <w:t>Other income, net</w:t>
      </w:r>
      <w:r>
        <w:rPr>
          <w:color w:val="000000"/>
        </w:rPr>
        <w:t xml:space="preserve"> </w:t>
      </w:r>
      <w:r>
        <w:rPr>
          <w:rFonts w:ascii="Times New Roman;sans-serif" w:hAnsi="Times New Roman;sans-serif"/>
          <w:b w:val="false"/>
          <w:color w:val="000000"/>
          <w:sz w:val="20"/>
        </w:rPr>
        <w:t>in the consolidated statements of operations for the three and six months ended June 30, 2023 (see Note 20).</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2024, the Company invested a total of $557. During the six months ended June 30, 2023, the Company invested a total of $11,700, including $8,928 of cash and non-cash for its investment in Worldsensing. As of June 30, 2024 and December 31, 2023, the Company’s investment balance in Worldsensing was $8,928.</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of 2024, the Company acquired a business from Teralytics Holdings AG (“Teralytics”) for $5,000. Subsequent to the acquisition, the Company retained its ownership percentage in Teralytics, which had a carrying value of zero as of June 30, 2024 and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8: Leases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operating leases consist of office facilities, office equipment, and automobiles. As of June 30, 2024, the Company’s leases have remaining terms of less than one year to nine years, some of which include one or more options to renew, with renewal terms from one year to five years and some of which include options to terminate the leases from less than one year to five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operating lease cost reflected in the consolidated statements of operations were as follows:</w:t>
      </w:r>
    </w:p>
    <w:tbl>
      <w:tblPr>
        <w:tblW w:w="7080" w:type="dxa"/>
        <w:jc w:val="center"/>
        <w:tblInd w:w="0" w:type="dxa"/>
        <w:tblLayout w:type="fixed"/>
        <w:tblCellMar>
          <w:top w:w="28" w:type="dxa"/>
          <w:left w:w="28" w:type="dxa"/>
          <w:bottom w:w="28" w:type="dxa"/>
          <w:right w:w="28" w:type="dxa"/>
        </w:tblCellMar>
      </w:tblPr>
      <w:tblGrid>
        <w:gridCol w:w="798"/>
        <w:gridCol w:w="701"/>
        <w:gridCol w:w="706"/>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Operating lease cost </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(1)Operating lease cost includes rent cost related to operating leases for office facilities of $3,301 and $4,329 for the three months ended June 30, 2024 and 2023, respectively, and $6,772 and $8,746 for the six months ended June 30,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 w:after="240"/>
        <w:ind w:left="0" w:right="0" w:firstLine="360"/>
        <w:jc w:val="left"/>
        <w:rPr/>
      </w:pPr>
      <w:r>
        <w:rPr>
          <w:rFonts w:ascii="Times New Roman;sans-serif" w:hAnsi="Times New Roman;sans-serif"/>
          <w:b w:val="false"/>
          <w:color w:val="000000"/>
          <w:sz w:val="20"/>
        </w:rPr>
        <w:t>Supplemental operating cash flows and other information related to leases</w:t>
      </w:r>
      <w:r>
        <w:rPr>
          <w:color w:val="212529"/>
        </w:rPr>
        <w:t xml:space="preserve"> </w:t>
      </w:r>
      <w:r>
        <w:rPr>
          <w:rFonts w:ascii="Times New Roman;sans-serif" w:hAnsi="Times New Roman;sans-serif"/>
          <w:b w:val="false"/>
          <w:color w:val="212529"/>
          <w:sz w:val="20"/>
        </w:rPr>
        <w:t>was as follows:</w:t>
      </w:r>
    </w:p>
    <w:tbl>
      <w:tblPr>
        <w:tblW w:w="8754" w:type="dxa"/>
        <w:jc w:val="center"/>
        <w:tblInd w:w="0" w:type="dxa"/>
        <w:tblLayout w:type="fixed"/>
        <w:tblCellMar>
          <w:top w:w="28" w:type="dxa"/>
          <w:left w:w="28" w:type="dxa"/>
          <w:bottom w:w="28" w:type="dxa"/>
          <w:right w:w="28" w:type="dxa"/>
        </w:tblCellMar>
      </w:tblPr>
      <w:tblGrid>
        <w:gridCol w:w="2318"/>
        <w:gridCol w:w="2040"/>
        <w:gridCol w:w="2047"/>
        <w:gridCol w:w="211"/>
        <w:gridCol w:w="616"/>
        <w:gridCol w:w="109"/>
        <w:gridCol w:w="109"/>
        <w:gridCol w:w="109"/>
        <w:gridCol w:w="109"/>
        <w:gridCol w:w="211"/>
        <w:gridCol w:w="721"/>
        <w:gridCol w:w="154"/>
      </w:tblGrid>
      <w:tr>
        <w:trPr/>
        <w:tc>
          <w:tcPr>
            <w:tcW w:w="2318"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6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operating leases included in operating cash flows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ans-serif" w:hAnsi="Times New Roman;sans-serif"/>
                <w:b w:val="false"/>
                <w:color w:val="000000"/>
                <w:sz w:val="20"/>
              </w:rPr>
              <w:t xml:space="preserve">Right-of-use assets obtained in exchange for new operating lease liabilities </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both"/>
        <w:rPr/>
      </w:pPr>
      <w:r>
        <w:rPr>
          <w:rFonts w:ascii="Times New Roman;sans-serif" w:hAnsi="Times New Roman;sans-serif"/>
          <w:b w:val="false"/>
          <w:color w:val="231F20"/>
          <w:sz w:val="18"/>
        </w:rPr>
        <w:t>(1)</w:t>
      </w:r>
      <w:r>
        <w:rPr>
          <w:rFonts w:ascii="Times New Roman;sans-serif" w:hAnsi="Times New Roman;sans-serif"/>
          <w:b w:val="false"/>
          <w:color w:val="000000"/>
          <w:sz w:val="18"/>
        </w:rPr>
        <w:t>For the six months ended June 30, 2023</w:t>
      </w:r>
      <w:r>
        <w:rPr>
          <w:rFonts w:ascii="Times New Roman;sans-serif" w:hAnsi="Times New Roman;sans-serif"/>
          <w:b w:val="false"/>
          <w:color w:val="000000"/>
          <w:sz w:val="20"/>
        </w:rPr>
        <w:t xml:space="preserve">, </w:t>
      </w:r>
      <w:r>
        <w:rPr>
          <w:rFonts w:ascii="Times New Roman;sans-serif" w:hAnsi="Times New Roman;sans-serif"/>
          <w:b w:val="false"/>
          <w:color w:val="000000"/>
          <w:sz w:val="18"/>
        </w:rPr>
        <w:t>right</w:t>
        <w:noBreakHyphen/>
        <w:t>of</w:t>
        <w:noBreakHyphen/>
        <w:t>use assets obtained in exchange for new operating lease liabilities does not include the impact from an acquisition of $345.</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remaining lease term for operating leases was 4.4 years and 4.6 years as of June 30, 2024 and December 31, 2023, respectively. The weighted average discount rate was 5.1% and 4.8% as of June 30, 2024 and December 31, 2023, respectively.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the Company had additional minimum operating lease payments of $3,737 for executed leases that have not yet commenced, primarily for office locations.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9: Accruals and Other Current Liabilities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Accruals and other current liabilities consist of the following:</w:t>
      </w:r>
    </w:p>
    <w:tbl>
      <w:tblPr>
        <w:tblW w:w="7090" w:type="dxa"/>
        <w:jc w:val="center"/>
        <w:tblInd w:w="0" w:type="dxa"/>
        <w:tblLayout w:type="fixed"/>
        <w:tblCellMar>
          <w:top w:w="28" w:type="dxa"/>
          <w:left w:w="28" w:type="dxa"/>
          <w:bottom w:w="28" w:type="dxa"/>
          <w:right w:w="28" w:type="dxa"/>
        </w:tblCellMar>
      </w:tblPr>
      <w:tblGrid>
        <w:gridCol w:w="1458"/>
        <w:gridCol w:w="1280"/>
        <w:gridCol w:w="1282"/>
        <w:gridCol w:w="212"/>
        <w:gridCol w:w="833"/>
        <w:gridCol w:w="109"/>
        <w:gridCol w:w="109"/>
        <w:gridCol w:w="109"/>
        <w:gridCol w:w="109"/>
        <w:gridCol w:w="281"/>
        <w:gridCol w:w="1103"/>
        <w:gridCol w:w="205"/>
      </w:tblGrid>
      <w:tr>
        <w:trPr/>
        <w:tc>
          <w:tcPr>
            <w:tcW w:w="1458"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Cloud Services Subscription deposits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284,276 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benefits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39,983 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43,316 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customers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indirect taxes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fees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acquisition stay bonus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 contributions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cloud provisioning costs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plan liabilities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Non-contingent consideration from acquisitions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realignment costs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and current liabilities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accruals and other current liabilities</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457,348 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10: Long-Term Debt</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Long</w:t>
        <w:noBreakHyphen/>
        <w:t>term debt consists of the following:</w:t>
      </w:r>
    </w:p>
    <w:tbl>
      <w:tblPr>
        <w:tblW w:w="8386" w:type="dxa"/>
        <w:jc w:val="center"/>
        <w:tblInd w:w="0" w:type="dxa"/>
        <w:tblLayout w:type="fixed"/>
        <w:tblCellMar>
          <w:top w:w="28" w:type="dxa"/>
          <w:left w:w="28" w:type="dxa"/>
          <w:bottom w:w="28" w:type="dxa"/>
          <w:right w:w="28" w:type="dxa"/>
        </w:tblCellMar>
      </w:tblPr>
      <w:tblGrid>
        <w:gridCol w:w="1871"/>
        <w:gridCol w:w="1647"/>
        <w:gridCol w:w="1656"/>
        <w:gridCol w:w="211"/>
        <w:gridCol w:w="976"/>
        <w:gridCol w:w="109"/>
        <w:gridCol w:w="109"/>
        <w:gridCol w:w="109"/>
        <w:gridCol w:w="109"/>
        <w:gridCol w:w="250"/>
        <w:gridCol w:w="1157"/>
        <w:gridCol w:w="182"/>
      </w:tblGrid>
      <w:tr>
        <w:trPr/>
        <w:tc>
          <w:tcPr>
            <w:tcW w:w="1871"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916" w:type="dxa"/>
            <w:gridSpan w:val="6"/>
            <w:tcBorders/>
          </w:tcPr>
          <w:p>
            <w:pPr>
              <w:pStyle w:val="TableContents"/>
              <w:bidi w:val="0"/>
              <w:spacing w:before="0" w:after="283"/>
              <w:jc w:val="left"/>
              <w:rPr>
                <w:sz w:val="4"/>
                <w:szCs w:val="4"/>
              </w:rPr>
            </w:pPr>
            <w:r>
              <w:rPr>
                <w:sz w:val="4"/>
                <w:szCs w:val="4"/>
              </w:rPr>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loan facility due November 2025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92,028 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due November 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190,000 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due January 2026 (the “2026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687,830 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due July 2027 (the “2027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575,000 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(16,455)</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1,334,618 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1,528,403 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1,334,618 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1,518,403 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$150 of letters of credit outstanding as of June 30, 2024 and December 31, 2023 under its amended and restated credit agreement, entered into on December 19, 2017 (the “Credit Facility”). As of June 30, 2024 and December 31, 2023, the Company had $849,850 and $757,822, respectively, available under the Credit Facility.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2024, the Company made repayments of $102,500 on the senior secured term loan under the Credit Facility. Under the terms of the senior secured term loan, repayments are applied to unpaid quarterly principal installments. There are no remaining required principal installments on the senior secured term loan through the maturity date of November 15, 2025.</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and December 31, 2023, the Company was in compliance with all debt covenants and none of the conditions of the 2026 Notes or 2027 Notes to early convert had been met.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Interest Expense, Net</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net consists of the following:</w:t>
      </w:r>
    </w:p>
    <w:tbl>
      <w:tblPr>
        <w:tblW w:w="8984" w:type="dxa"/>
        <w:jc w:val="center"/>
        <w:tblInd w:w="0" w:type="dxa"/>
        <w:tblLayout w:type="fixed"/>
        <w:tblCellMar>
          <w:top w:w="28" w:type="dxa"/>
          <w:left w:w="28" w:type="dxa"/>
          <w:bottom w:w="28" w:type="dxa"/>
          <w:right w:w="28" w:type="dxa"/>
        </w:tblCellMar>
      </w:tblPr>
      <w:tblGrid>
        <w:gridCol w:w="1340"/>
        <w:gridCol w:w="1178"/>
        <w:gridCol w:w="1186"/>
        <w:gridCol w:w="211"/>
        <w:gridCol w:w="691"/>
        <w:gridCol w:w="109"/>
        <w:gridCol w:w="109"/>
        <w:gridCol w:w="109"/>
        <w:gridCol w:w="109"/>
        <w:gridCol w:w="211"/>
        <w:gridCol w:w="691"/>
        <w:gridCol w:w="109"/>
        <w:gridCol w:w="109"/>
        <w:gridCol w:w="109"/>
        <w:gridCol w:w="109"/>
        <w:gridCol w:w="211"/>
        <w:gridCol w:w="796"/>
        <w:gridCol w:w="109"/>
        <w:gridCol w:w="109"/>
        <w:gridCol w:w="109"/>
        <w:gridCol w:w="109"/>
        <w:gridCol w:w="211"/>
        <w:gridCol w:w="796"/>
        <w:gridCol w:w="154"/>
      </w:tblGrid>
      <w:tr>
        <w:trPr/>
        <w:tc>
          <w:tcPr>
            <w:tcW w:w="1340"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debt issuance costs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(expense) income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interest rate on borrowings under the Credit Facility were 7.38% and 7.14% for the three months ended June 30, 2024 and 2023, respectively, and 7.43% and 6.89% for the six months ended June 30,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11: Executive Incentive Plans</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Executive Bonus Plan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2024 and 2023, the incentive compensation, including cash payments, election to receive shares of fully vested Class B common stock, and deferred compensation to plan participants, recognized under the amended and restated Bentley Systems, Incorporated Bonus Pool Plan (the “Bonus Plan”) (net of all applicable holdbacks) was $6,367 and $4,297, respectively, and $13,398 and $12,245 for the six months ended June 30, 2024 and 2023, respectively.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Gregory S. Bentley’s transition to the role of Executive Chair of the Board of Directors effective July 1, 2024, on June 26, 2024, the Sustainability Committee of the Company’s Board of Directors (the “Committee”) approved Amendment No. 2 to the Bonus Plan pursuant to which (in addition to other conforming changes) Mr. Bentley’s fractional interest under the Bonus Pool Plan was reduced from 12/33 to 4/33 effective July 1, 2024.</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Career Stock Program</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Nicholas H. Cumins’ transition to the role of Chief Executive Officer effective July 1, 2024, on June 26, 2024, the Committee adopted a compensatory program (the “Career Stock Program”) pursuant to which the Company may grant restricted stock units (“RSUs”) awards under the Bentley Systems, Incorporated 2020 Omnibus Incentive Plan (the “2020 Plan”). As of the date of adoption, Mr. Cumins is the sole participant in the Career Stock Program. Under the Career Stock Program, the Committee may from time to time grant RSU awards to program participants, the amount of which is to be determined based upon the Company’s Adjusted operating income inclusive of stock-based compensation expense (“Adjusted OI w/SBC”) growth in the year preceding the date of grant (the “Performance Year”), specifically, an amount equal to 10 percent of the difference between realized Adjusted OI w/SBC growth during the Performance Year and an inflation-adjusted target growth level for such Performance Year. Any such awards, if made, would thereafter cliff vest five years following the end of the Performance Year and would otherwise be subject to the terms and conditions of the 2020 Plan. As of June 30, 2024, the Committee has not yet made any awards to Mr. Cumins with respect to the Career Stock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12: Retirement Plans</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Deferred Compensation Plan</w:t>
      </w: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Deferred compensation plan</w:t>
      </w:r>
      <w:r>
        <w:rPr>
          <w:color w:val="000000"/>
        </w:rPr>
        <w:t xml:space="preserve"> </w:t>
      </w:r>
      <w:r>
        <w:rPr>
          <w:rFonts w:ascii="Times New Roman;sans-serif" w:hAnsi="Times New Roman;sans-serif"/>
          <w:b w:val="false"/>
          <w:color w:val="000000"/>
          <w:sz w:val="20"/>
        </w:rPr>
        <w:t>expense was $883 and $3,777 for the three months ended June 30, 2024 and 2023, respectively, and $6,682 and $7,923 for the six months ended June 30, 2024 and 2023, respectively.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2024 and 2023, elective participant deferrals into the Company’s unfunded amended and restated Bentley Systems, Incorporated Nonqualified Deferred Compensation Plan (the “DCP”) were $43 and $118, respectively, and $101 and $1,651 for the six months ended June 30, 2024 and 2023, respectively. No discretionary contributions were made to the DCP during the three and six months ended June 30, 2024 and 2023. As of June 30, 2024 and December 31, 2023, 14,929,874 and 17,364,980 phantom shares of the Company’s Class B common stock were distributable under the DCP, respectively. As of June 30, 2024, shares of Class B common stock available for future issuance under the DCP were 4,382,666.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total liabilities related to the DCP is included in the consolidated balance sheets as follows:</w:t>
      </w:r>
    </w:p>
    <w:tbl>
      <w:tblPr>
        <w:tblW w:w="6295" w:type="dxa"/>
        <w:jc w:val="center"/>
        <w:tblInd w:w="0" w:type="dxa"/>
        <w:tblLayout w:type="fixed"/>
        <w:tblCellMar>
          <w:top w:w="28" w:type="dxa"/>
          <w:left w:w="28" w:type="dxa"/>
          <w:bottom w:w="28" w:type="dxa"/>
          <w:right w:w="28" w:type="dxa"/>
        </w:tblCellMar>
      </w:tblPr>
      <w:tblGrid>
        <w:gridCol w:w="1166"/>
        <w:gridCol w:w="1027"/>
        <w:gridCol w:w="1031"/>
        <w:gridCol w:w="234"/>
        <w:gridCol w:w="800"/>
        <w:gridCol w:w="121"/>
        <w:gridCol w:w="109"/>
        <w:gridCol w:w="109"/>
        <w:gridCol w:w="109"/>
        <w:gridCol w:w="308"/>
        <w:gridCol w:w="1055"/>
        <w:gridCol w:w="226"/>
      </w:tblGrid>
      <w:tr>
        <w:trPr/>
        <w:tc>
          <w:tcPr>
            <w:tcW w:w="1166"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 and other current liabilities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plan liabilities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91,172 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88,181 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DCP liabilities</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94,782 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90,536 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13: Common Stock</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BSY Stock Repurchase Program</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May 2022, the Company announced that its Board of Directors approved the BSY Stock Repurchase Program (the “Repurchase Program”) authorizing the Company to repurchase up to $200,000 of the Company’s Class B common stock through June 30, 2024. In December 2022, the Company’s Board of Directors amended the Repurchase Program to allow the Company also to repurchase its outstanding convertible senior notes. This additional authorization did not increase the overall dollar limit of the Repurchase Program. The Company’s authorization under the Repurchase Program approved May 2022 expired on June 30, 2024. In March 2024, the Company’s Board of Directors approved an extension to the Repurchase Program authorizing the Company to repurchase up to $200,000 of the Company’s Class B common stock and/or convertible senior notes from June 30, 2024 through June 30, 2026. As of June 30, 2024, $200,000 was available under the Company’s Board of Directors authorization for future repurchases of Class B common stock and/or outstanding convertible senior notes under the Repurchase Program.</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shares and convertible senior notes proposed to be acquired in the Repurchase Program may be repurchased from time to time in open market transactions, through privately negotiated transactions, or by other means in accordance with federal securities laws. The Company intends to fund repurchases from available working capital and cash provided by operating activities. The timing, as well as the number and value of shares and/or convertible senior notes repurchased under the Repurchase Program, will be determined by the Company at its discretion and will depend on a variety of factors, including management’s assessment of the intrinsic value of the Company’s shares, the market price of the Company’s Class B common stock and outstanding convertible senior notes, general market and economic conditions, available liquidity, compliance with the Company’s debt and other agreements, and applicable legal requirements. The exact number of shares and/or convertible senior notes to be repurchased by the Company is not guaranteed, and the Repurchase Program may be suspended, modified, or discontinued at any time without prior notice.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2024, the Company repurchased 729,681 shares for $37,515 under the Repurchase Program. The Company did not repurchase shares under the Repurchase Program for the six months ended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Common Stock Issuances, Sales, and Repurchases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2024, the Company issued 2,474,063 shares of Class B common stock to DCP participants in connection with distributions from the plan. There were no shares sold back to the Company as they were issued on a gross basis during the six months ended June 30, 2024. During the six months ended June 30, 2023, the Company issued 2,782,181 shares of Class B common stock to DCP participants in connection with distributions from the plan, net of 895,224 shares which were sold back to the Company in the same period to pay for applicable income tax withholdings of $36,329.</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2024, the Company issued 168,291 shares of Class B common stock in connection with Bonus Plan incentive compensation. There were no shares sold back to the Company as they were issued on a gross basis during the six months ended June 30, 2024. During the six months ended June 30, 2023, the Company issued 137,197 shares of Class B common stock in connection with Bonus Plan incentive compensation, net of 108,374 shares were sold back to the Company in the same period to pay for applicable income tax withholdings of $4,326.</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2024, the Company issued 844,283 shares of Class B common stock to colleagues who exercised their stock options, net of 67,146 shares withheld at exercise to pay for the cost of the stock options, as well as for $2,195 of applicable income tax withholdings. The Company received $4,007 in cash proceeds from the exercise of stock options. For the six months ended June 30, 2023, the Company issued 2,236,827 shares of Class B common stock to colleagues who exercised their stock options, net of 221,078 shares withheld at exercise to pay for the cost of the stock options, as well as for $5,989 of applicable income tax withholdings. The Company received $9,700 in cash proceeds from the exercise of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declared cash dividends during the periods presented as follows:</w:t>
      </w:r>
    </w:p>
    <w:tbl>
      <w:tblPr>
        <w:tblW w:w="3603" w:type="dxa"/>
        <w:jc w:val="center"/>
        <w:tblInd w:w="0" w:type="dxa"/>
        <w:tblLayout w:type="fixed"/>
        <w:tblCellMar>
          <w:top w:w="28" w:type="dxa"/>
          <w:left w:w="28" w:type="dxa"/>
          <w:bottom w:w="28" w:type="dxa"/>
          <w:right w:w="28" w:type="dxa"/>
        </w:tblCellMar>
      </w:tblPr>
      <w:tblGrid>
        <w:gridCol w:w="483"/>
        <w:gridCol w:w="424"/>
        <w:gridCol w:w="428"/>
        <w:gridCol w:w="217"/>
        <w:gridCol w:w="526"/>
        <w:gridCol w:w="112"/>
        <w:gridCol w:w="109"/>
        <w:gridCol w:w="109"/>
        <w:gridCol w:w="109"/>
        <w:gridCol w:w="211"/>
        <w:gridCol w:w="721"/>
        <w:gridCol w:w="154"/>
      </w:tblGrid>
      <w:tr>
        <w:trPr/>
        <w:tc>
          <w:tcPr>
            <w:tcW w:w="48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Dividend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2024:</w:t>
            </w:r>
          </w:p>
        </w:tc>
        <w:tc>
          <w:tcPr>
            <w:tcW w:w="8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quarter</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2023:</w:t>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quarter</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Global Employee Stock Purchase Plan</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 xml:space="preserve">During the six months ended June 30, 2024, colleagues who elected to participate in the Bentley Systems, Incorporated Global Employee Stock Purchase Plan (the “ESPP”) purchased a total of 122,020 shares of Class B common stock, net of shares withheld, resulting in cash proceeds to the Company of $5,560. Of the total 125,374 shares purchased, 3,354 shares were sold back to the Company to pay for applicable income tax withholdings of $175. During the six months ended June 30, 2023, colleagues who elected to participate in the ESPP purchased a total of 153,381 shares of Class B common stock, net of shares withheld, resulting in cash proceeds to the Company of $4,557. Of the total 159,377 shares purchased, 5,996 shares were sold back to the Company to pay for applicable income tax withholdings of $222. As of June 30, 2024 and December 31, 2023, $5,770 and $5,790 of ESPP withholdings via colleague payroll deduction were recorded in </w:t>
      </w:r>
      <w:r>
        <w:rPr>
          <w:rFonts w:ascii="Times New Roman;sans-serif" w:hAnsi="Times New Roman;sans-serif"/>
          <w:b w:val="false"/>
          <w:i/>
          <w:color w:val="000000"/>
          <w:sz w:val="20"/>
        </w:rPr>
        <w:t>Accruals and other current liabilities</w:t>
      </w:r>
      <w:r>
        <w:rPr>
          <w:color w:val="000000"/>
        </w:rPr>
        <w:t xml:space="preserve"> </w:t>
      </w:r>
      <w:r>
        <w:rPr>
          <w:rFonts w:ascii="Times New Roman;sans-serif" w:hAnsi="Times New Roman;sans-serif"/>
          <w:b w:val="false"/>
          <w:color w:val="000000"/>
          <w:sz w:val="20"/>
        </w:rPr>
        <w:t>in the consolidated balance sheets, respectively. As of June 30, 2024, shares of Class B common stock available for future issuance under the ESPP were 24,150,018.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14: Accumulated Other Comprehensive Loss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consists of the following during the three months ended June 30, 2024 and 2023:</w:t>
      </w:r>
    </w:p>
    <w:tbl>
      <w:tblPr>
        <w:tblW w:w="7550" w:type="dxa"/>
        <w:jc w:val="center"/>
        <w:tblInd w:w="0" w:type="dxa"/>
        <w:tblLayout w:type="fixed"/>
        <w:tblCellMar>
          <w:top w:w="28" w:type="dxa"/>
          <w:left w:w="28" w:type="dxa"/>
          <w:bottom w:w="28" w:type="dxa"/>
          <w:right w:w="28" w:type="dxa"/>
        </w:tblCellMar>
      </w:tblPr>
      <w:tblGrid>
        <w:gridCol w:w="1184"/>
        <w:gridCol w:w="1041"/>
        <w:gridCol w:w="1044"/>
        <w:gridCol w:w="211"/>
        <w:gridCol w:w="796"/>
        <w:gridCol w:w="109"/>
        <w:gridCol w:w="109"/>
        <w:gridCol w:w="109"/>
        <w:gridCol w:w="109"/>
        <w:gridCol w:w="331"/>
        <w:gridCol w:w="848"/>
        <w:gridCol w:w="171"/>
        <w:gridCol w:w="109"/>
        <w:gridCol w:w="109"/>
        <w:gridCol w:w="109"/>
        <w:gridCol w:w="211"/>
        <w:gridCol w:w="796"/>
        <w:gridCol w:w="154"/>
      </w:tblGrid>
      <w:tr>
        <w:trPr/>
        <w:tc>
          <w:tcPr>
            <w:tcW w:w="118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Foreign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Actuarial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Gain 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Retirement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(92,619)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before taxes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net of taxes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June 30, 2024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(93,012)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(93,264)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835" w:type="dxa"/>
        <w:jc w:val="center"/>
        <w:tblInd w:w="0" w:type="dxa"/>
        <w:tblLayout w:type="fixed"/>
        <w:tblCellMar>
          <w:top w:w="28" w:type="dxa"/>
          <w:left w:w="28" w:type="dxa"/>
          <w:bottom w:w="28" w:type="dxa"/>
          <w:right w:w="28" w:type="dxa"/>
        </w:tblCellMar>
      </w:tblPr>
      <w:tblGrid>
        <w:gridCol w:w="1287"/>
        <w:gridCol w:w="1132"/>
        <w:gridCol w:w="1135"/>
        <w:gridCol w:w="211"/>
        <w:gridCol w:w="796"/>
        <w:gridCol w:w="109"/>
        <w:gridCol w:w="109"/>
        <w:gridCol w:w="109"/>
        <w:gridCol w:w="109"/>
        <w:gridCol w:w="331"/>
        <w:gridCol w:w="848"/>
        <w:gridCol w:w="171"/>
        <w:gridCol w:w="109"/>
        <w:gridCol w:w="109"/>
        <w:gridCol w:w="109"/>
        <w:gridCol w:w="211"/>
        <w:gridCol w:w="796"/>
        <w:gridCol w:w="154"/>
      </w:tblGrid>
      <w:tr>
        <w:trPr/>
        <w:tc>
          <w:tcPr>
            <w:tcW w:w="128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Foreign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Actuarial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Gain 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Retirement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(89,374)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before taxes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 of taxes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June 30,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(87,530)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(87,828)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consists of the following during the six months ended June 30, 2024 and 2023:</w:t>
      </w:r>
    </w:p>
    <w:tbl>
      <w:tblPr>
        <w:tblW w:w="8315" w:type="dxa"/>
        <w:jc w:val="center"/>
        <w:tblInd w:w="0" w:type="dxa"/>
        <w:tblLayout w:type="fixed"/>
        <w:tblCellMar>
          <w:top w:w="28" w:type="dxa"/>
          <w:left w:w="28" w:type="dxa"/>
          <w:bottom w:w="28" w:type="dxa"/>
          <w:right w:w="28" w:type="dxa"/>
        </w:tblCellMar>
      </w:tblPr>
      <w:tblGrid>
        <w:gridCol w:w="1461"/>
        <w:gridCol w:w="1284"/>
        <w:gridCol w:w="1289"/>
        <w:gridCol w:w="211"/>
        <w:gridCol w:w="796"/>
        <w:gridCol w:w="109"/>
        <w:gridCol w:w="109"/>
        <w:gridCol w:w="109"/>
        <w:gridCol w:w="109"/>
        <w:gridCol w:w="331"/>
        <w:gridCol w:w="848"/>
        <w:gridCol w:w="171"/>
        <w:gridCol w:w="109"/>
        <w:gridCol w:w="109"/>
        <w:gridCol w:w="109"/>
        <w:gridCol w:w="211"/>
        <w:gridCol w:w="796"/>
        <w:gridCol w:w="154"/>
      </w:tblGrid>
      <w:tr>
        <w:trPr/>
        <w:tc>
          <w:tcPr>
            <w:tcW w:w="1461"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Foreign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Actuarial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Gain 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Retirement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(84,987)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before taxes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net of taxes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June 30, 2024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(93,012)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(93,264)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835" w:type="dxa"/>
        <w:jc w:val="center"/>
        <w:tblInd w:w="0" w:type="dxa"/>
        <w:tblLayout w:type="fixed"/>
        <w:tblCellMar>
          <w:top w:w="28" w:type="dxa"/>
          <w:left w:w="28" w:type="dxa"/>
          <w:bottom w:w="28" w:type="dxa"/>
          <w:right w:w="28" w:type="dxa"/>
        </w:tblCellMar>
      </w:tblPr>
      <w:tblGrid>
        <w:gridCol w:w="1287"/>
        <w:gridCol w:w="1131"/>
        <w:gridCol w:w="1136"/>
        <w:gridCol w:w="211"/>
        <w:gridCol w:w="796"/>
        <w:gridCol w:w="109"/>
        <w:gridCol w:w="109"/>
        <w:gridCol w:w="109"/>
        <w:gridCol w:w="109"/>
        <w:gridCol w:w="331"/>
        <w:gridCol w:w="848"/>
        <w:gridCol w:w="171"/>
        <w:gridCol w:w="109"/>
        <w:gridCol w:w="109"/>
        <w:gridCol w:w="109"/>
        <w:gridCol w:w="211"/>
        <w:gridCol w:w="796"/>
        <w:gridCol w:w="154"/>
      </w:tblGrid>
      <w:tr>
        <w:trPr/>
        <w:tc>
          <w:tcPr>
            <w:tcW w:w="12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Foreign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Actuarial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Gain 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Retirement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(89,740)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before taxes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 of taxes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June 30,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(87,530)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(87,828)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15: Stock-Based Compensation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stock</w:t>
        <w:noBreakHyphen/>
        <w:t>based compensation expense consists of the following:</w:t>
      </w:r>
    </w:p>
    <w:tbl>
      <w:tblPr>
        <w:tblW w:w="10079" w:type="dxa"/>
        <w:jc w:val="center"/>
        <w:tblInd w:w="0" w:type="dxa"/>
        <w:tblLayout w:type="fixed"/>
        <w:tblCellMar>
          <w:top w:w="28" w:type="dxa"/>
          <w:left w:w="28" w:type="dxa"/>
          <w:bottom w:w="28" w:type="dxa"/>
          <w:right w:w="28" w:type="dxa"/>
        </w:tblCellMar>
      </w:tblPr>
      <w:tblGrid>
        <w:gridCol w:w="1768"/>
        <w:gridCol w:w="1557"/>
        <w:gridCol w:w="156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768"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and RSUs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Bonus Plan expense (see Note 11)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ESPP expense (see Note 13)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grants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ans-serif" w:hAnsi="Times New Roman;sans-serif"/>
                <w:b w:val="false"/>
                <w:color w:val="000000"/>
                <w:sz w:val="20"/>
              </w:rPr>
              <w:t xml:space="preserve">DCP elective participant deferrals expense </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(see Note 12)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Total stock-based compensation expense </w:t>
            </w:r>
            <w:r>
              <w:rPr>
                <w:rFonts w:ascii="Times New Roman;sans-serif" w:hAnsi="Times New Roman;sans-serif"/>
                <w:b w:val="false"/>
                <w:color w:val="000000"/>
                <w:sz w:val="13"/>
              </w:rPr>
              <w:t>(2)</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(1)DCP elective participant deferrals expense excludes deferred incentive bonus payable pursuant to the Bonus Plan.</w:t>
      </w:r>
    </w:p>
    <w:p>
      <w:pPr>
        <w:pStyle w:val="TextBody"/>
        <w:bidi w:val="0"/>
        <w:spacing w:lineRule="auto" w:line="288" w:before="0" w:after="240"/>
        <w:ind w:left="0" w:right="0" w:hanging="360"/>
        <w:jc w:val="both"/>
        <w:rPr/>
      </w:pPr>
      <w:r>
        <w:rPr>
          <w:rFonts w:ascii="Times New Roman;sans-serif" w:hAnsi="Times New Roman;sans-serif"/>
          <w:b w:val="false"/>
          <w:color w:val="000000"/>
          <w:sz w:val="18"/>
        </w:rPr>
        <w:t xml:space="preserve">(2)As of June 30, 2024 and December 31, 2023, $5,372 and $4,043 remained in </w:t>
      </w:r>
      <w:r>
        <w:rPr>
          <w:rFonts w:ascii="Times New Roman;sans-serif" w:hAnsi="Times New Roman;sans-serif"/>
          <w:b w:val="false"/>
          <w:i/>
          <w:color w:val="000000"/>
          <w:sz w:val="18"/>
        </w:rPr>
        <w:t>Accruals and other current liabilities</w:t>
      </w:r>
      <w:r>
        <w:rPr>
          <w:color w:val="000000"/>
        </w:rPr>
        <w:t xml:space="preserve"> </w:t>
      </w:r>
      <w:r>
        <w:rPr>
          <w:rFonts w:ascii="Times New Roman;sans-serif" w:hAnsi="Times New Roman;sans-serif"/>
          <w:b w:val="false"/>
          <w:color w:val="000000"/>
          <w:sz w:val="18"/>
        </w:rPr>
        <w:t>in the consolidated balance sheets, respectively.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stock</w:t>
        <w:noBreakHyphen/>
        <w:t>based compensation expense (income) is included in the consolidated statements of operations as follows:</w:t>
      </w:r>
    </w:p>
    <w:tbl>
      <w:tblPr>
        <w:tblW w:w="8640" w:type="dxa"/>
        <w:jc w:val="center"/>
        <w:tblInd w:w="0" w:type="dxa"/>
        <w:tblLayout w:type="fixed"/>
        <w:tblCellMar>
          <w:top w:w="28" w:type="dxa"/>
          <w:left w:w="28" w:type="dxa"/>
          <w:bottom w:w="28" w:type="dxa"/>
          <w:right w:w="28" w:type="dxa"/>
        </w:tblCellMar>
      </w:tblPr>
      <w:tblGrid>
        <w:gridCol w:w="1250"/>
        <w:gridCol w:w="1097"/>
        <w:gridCol w:w="110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subscriptions and licenses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37,588 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Stock</w:t>
        <w:noBreakHyphen/>
        <w:t>based compensation expense is measured at the grant date fair value of the award and is recognized ratably over the requisite service period, which is generally the vesting period. Specifically for performance</w:t>
        <w:noBreakHyphen/>
        <w:t>based RSUs, stock</w:t>
        <w:noBreakHyphen/>
        <w:t>based compensation expense is measured at the grant date fair value of the award and is recognized ratably over the requisite service period based on the number of awards expected to vest at each reporting date. The Company accounts for forfeitures of equity awards as those forfeitures occur.</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Bentley Systems, Incorporated 2020 Omnibus Incentive Plan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2020 Plan provides for the granting of stock, stock options, restricted stock, RSUs, and other stock</w:t>
        <w:noBreakHyphen/>
        <w:t>based or performance</w:t>
        <w:noBreakHyphen/>
        <w:t>based awards to certain directors, officers, colleagues, consultants, and advisors of the Company, and terminates in September 2030. The 2020 Plan provides that 25,000,000 shares of Class B common stock may be issued for equity awards. Equity awards that are expired, canceled, forfeited, or terminated for any reason will be available for future grant under the 2020 Plan. As of June 30, 2024, equity awards available for future grants under the 2020 Plan were 20,033,122.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Restricted Stock and RSUs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the equity incentive plans, the Company may grant both time</w:t>
        <w:noBreakHyphen/>
        <w:t>based and performance</w:t>
        <w:noBreakHyphen/>
        <w:t>based shares of restricted Class B common stock and RSUs to eligible colleagues. Time</w:t>
        <w:noBreakHyphen/>
        <w:t>based awards generally vest ratably on each of the first four anniversaries of the grant date. Performance</w:t>
        <w:noBreakHyphen/>
        <w:t>based awards vesting is determined by the achievement of certain business growth targets, which include growth in annualized recurring revenues (“ARR”), as well as actual bookings for perpetual licenses and non</w:t>
        <w:noBreakHyphen/>
        <w:t>recurring services. Performance targets are generally set for performance periods of one year to three years.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unvested restricted stock and RSU activity and related information under the Company’s applicable equity incentive plans:</w:t>
      </w:r>
    </w:p>
    <w:tbl>
      <w:tblPr>
        <w:tblW w:w="9748" w:type="dxa"/>
        <w:jc w:val="center"/>
        <w:tblInd w:w="0" w:type="dxa"/>
        <w:tblLayout w:type="fixed"/>
        <w:tblCellMar>
          <w:top w:w="28" w:type="dxa"/>
          <w:left w:w="28" w:type="dxa"/>
          <w:bottom w:w="28" w:type="dxa"/>
          <w:right w:w="28" w:type="dxa"/>
        </w:tblCellMar>
      </w:tblPr>
      <w:tblGrid>
        <w:gridCol w:w="923"/>
        <w:gridCol w:w="811"/>
        <w:gridCol w:w="816"/>
        <w:gridCol w:w="488"/>
        <w:gridCol w:w="488"/>
        <w:gridCol w:w="283"/>
        <w:gridCol w:w="109"/>
        <w:gridCol w:w="109"/>
        <w:gridCol w:w="109"/>
        <w:gridCol w:w="488"/>
        <w:gridCol w:w="488"/>
        <w:gridCol w:w="285"/>
        <w:gridCol w:w="109"/>
        <w:gridCol w:w="109"/>
        <w:gridCol w:w="109"/>
        <w:gridCol w:w="449"/>
        <w:gridCol w:w="451"/>
        <w:gridCol w:w="371"/>
        <w:gridCol w:w="109"/>
        <w:gridCol w:w="109"/>
        <w:gridCol w:w="109"/>
        <w:gridCol w:w="213"/>
        <w:gridCol w:w="622"/>
        <w:gridCol w:w="110"/>
        <w:gridCol w:w="109"/>
        <w:gridCol w:w="109"/>
        <w:gridCol w:w="109"/>
        <w:gridCol w:w="247"/>
        <w:gridCol w:w="725"/>
        <w:gridCol w:w="182"/>
      </w:tblGrid>
      <w:tr>
        <w:trPr/>
        <w:tc>
          <w:tcPr>
            <w:tcW w:w="9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Performance-</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Based</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Restricted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Restricted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Performance-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Grant Date</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and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and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 Share</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December 31, 2023</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3,303,849 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2,938,208 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(3)</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365,641 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(5)</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39.21 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1,191,104 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984,192 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(4)</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206,912 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(6)</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(754,222)</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(572,432)</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(181,790)</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and canceled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(195,712)</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(161,116)</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(34,596)</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June 30, 2024</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3,545,019 </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(2)</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3,188,852 </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356,167 </w:t>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42.75 </w:t>
            </w:r>
          </w:p>
        </w:tc>
        <w:tc>
          <w:tcPr>
            <w:tcW w:w="11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44.90 </w:t>
            </w:r>
          </w:p>
        </w:tc>
        <w:tc>
          <w:tcPr>
            <w:tcW w:w="18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(1)For the six months ended June 30, 2024, the Company only granted RSUs.</w:t>
      </w:r>
    </w:p>
    <w:p>
      <w:pPr>
        <w:pStyle w:val="TextBody"/>
        <w:bidi w:val="0"/>
        <w:spacing w:lineRule="auto" w:line="288" w:before="0" w:after="6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(2)Includes 47,710 RSUs which are expected to be settled in cash.</w:t>
      </w:r>
    </w:p>
    <w:p>
      <w:pPr>
        <w:pStyle w:val="TextBody"/>
        <w:bidi w:val="0"/>
        <w:spacing w:lineRule="auto" w:line="288" w:before="0" w:after="60"/>
        <w:ind w:left="0" w:right="0" w:hanging="360"/>
        <w:jc w:val="both"/>
        <w:rPr/>
      </w:pPr>
      <w:r>
        <w:rPr>
          <w:rFonts w:ascii="Times New Roman;sans-serif" w:hAnsi="Times New Roman;sans-serif"/>
          <w:b w:val="false"/>
          <w:color w:val="231F20"/>
          <w:sz w:val="18"/>
        </w:rPr>
        <w:t>(3)</w:t>
      </w:r>
      <w:r>
        <w:rPr>
          <w:rFonts w:ascii="Times New Roman;sans-serif" w:hAnsi="Times New Roman;sans-serif"/>
          <w:b w:val="false"/>
          <w:color w:val="000000"/>
          <w:sz w:val="18"/>
        </w:rPr>
        <w:t>Includes 199,076 time</w:t>
        <w:noBreakHyphen/>
        <w:t>based RSUs granted during the three months ended March 31, 2022 to certain officers and key employees, which cliff vest on January 31, 2025.</w:t>
      </w:r>
    </w:p>
    <w:p>
      <w:pPr>
        <w:pStyle w:val="TextBody"/>
        <w:bidi w:val="0"/>
        <w:spacing w:lineRule="auto" w:line="288" w:before="0" w:after="6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(4)Includes 300,964 time</w:t>
        <w:noBreakHyphen/>
        <w:t>based RSUs granted during the three months ended June 30, 2024 to certain officers, which vest 20% on each of December 15, 2025, 2026, 2027, 2028, and 2029.</w:t>
      </w:r>
    </w:p>
    <w:p>
      <w:pPr>
        <w:pStyle w:val="TextBody"/>
        <w:bidi w:val="0"/>
        <w:spacing w:lineRule="auto" w:line="288" w:before="0" w:after="60"/>
        <w:ind w:left="0" w:right="0" w:hanging="360"/>
        <w:jc w:val="both"/>
        <w:rPr/>
      </w:pPr>
      <w:r>
        <w:rPr>
          <w:rFonts w:ascii="Times New Roman;sans-serif" w:hAnsi="Times New Roman;sans-serif"/>
          <w:b w:val="false"/>
          <w:color w:val="231F20"/>
          <w:sz w:val="18"/>
        </w:rPr>
        <w:t>(5)</w:t>
      </w:r>
      <w:r>
        <w:rPr>
          <w:rFonts w:ascii="Times New Roman;sans-serif" w:hAnsi="Times New Roman;sans-serif"/>
          <w:b w:val="false"/>
          <w:color w:val="000000"/>
          <w:sz w:val="18"/>
        </w:rPr>
        <w:t>Primarily relates to the 2023 annual performance period. Includes 185,186 performance</w:t>
        <w:noBreakHyphen/>
        <w:t>based RSUs granted during the year ended December 31, 2022 with extraordinary terms, which are described below.</w:t>
      </w:r>
    </w:p>
    <w:p>
      <w:pPr>
        <w:pStyle w:val="TextBody"/>
        <w:bidi w:val="0"/>
        <w:spacing w:lineRule="auto" w:line="288" w:before="0" w:after="240"/>
        <w:ind w:left="0" w:right="0" w:hanging="360"/>
        <w:jc w:val="both"/>
        <w:rPr/>
      </w:pPr>
      <w:r>
        <w:rPr>
          <w:rFonts w:ascii="Times New Roman;sans-serif" w:hAnsi="Times New Roman;sans-serif"/>
          <w:b w:val="false"/>
          <w:color w:val="231F20"/>
          <w:sz w:val="18"/>
        </w:rPr>
        <w:t>(6)</w:t>
      </w:r>
      <w:r>
        <w:rPr>
          <w:rFonts w:ascii="Times New Roman;sans-serif" w:hAnsi="Times New Roman;sans-serif"/>
          <w:b w:val="false"/>
          <w:color w:val="000000"/>
          <w:sz w:val="18"/>
        </w:rPr>
        <w:t>Primarily relates to the 2024 annual performance period. Includes 1,335 additional shares earned based on the achievement of 2023 performance goals for performance-based RSUs granted during the year ended December 31, 2023.</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the Company granted 185,186 performance</w:t>
        <w:noBreakHyphen/>
        <w:t>based RSUs to certain officers and key employees, which vest subject to the achievement of certain performance goals over a three</w:t>
        <w:noBreakHyphen/>
        <w:t>year performance period (the “Performance Period”). For each year of the Performance Period, one</w:t>
        <w:noBreakHyphen/>
        <w:t>third of the performance</w:t>
        <w:noBreakHyphen/>
        <w:t>based RSUs will be subject to a cliff, whereby no vesting of that portion will occur unless the Company’s applicable margin metrics (which, for 2022 was Adjusted EBITDA margin, and for 2023 was and 2024 will be Adjusted OI w/SBC margin, excluding the impact of foreign currency exchange fluctuations) also equals or exceeds the relevant target level for such year. Provided that the applicable margin targets are met, the total number of performance</w:t>
        <w:noBreakHyphen/>
        <w:t>based RSUs that will vest is determined by the achievement of growth targets, which include growth in ARR, as well as actual bookings for perpetual licenses and non</w:t>
        <w:noBreakHyphen/>
        <w:t>recurring services. Final actual vesting will be determined on January 31, 2025. The 2023 Adjusted OI w/SBC margin target, excluding the impact of foreign currency exchange fluctuations, and the 2022 Adjusted EBITDA margin target for the performance</w:t>
        <w:noBreakHyphen/>
        <w:t>based RSUs were met.</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grant date fair values of RSUs granted were $50.66 and $40.80, for the six months ended June 30,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2024 and 2023, restricted stock and RSUs were issued net of 142,407 and 104,773 shares, respectively, which were sold back to the Company to settle applicable income tax withholdings of $7,256 and $4,336, respectively.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there was $100,721 of unrecognized compensation expense related to unvested time</w:t>
        <w:noBreakHyphen/>
        <w:t>based restricted stock and RSUs, which is expected to be recognized over a weighted average period of approximately 2.0 years. As of June 30, 2024, there was $8,467 of unrecognized compensation expense related to unvested performance</w:t>
        <w:noBreakHyphen/>
        <w:t>based RSUs, which is expected to be recognized over a weighted average period of approximately 1.0 year.</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Stock Options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stock option activity and related information under the Company’s applicable equity incentive plans:</w:t>
      </w:r>
    </w:p>
    <w:tbl>
      <w:tblPr>
        <w:tblW w:w="5895" w:type="dxa"/>
        <w:jc w:val="center"/>
        <w:tblInd w:w="0" w:type="dxa"/>
        <w:tblLayout w:type="fixed"/>
        <w:tblCellMar>
          <w:top w:w="28" w:type="dxa"/>
          <w:left w:w="28" w:type="dxa"/>
          <w:bottom w:w="28" w:type="dxa"/>
          <w:right w:w="28" w:type="dxa"/>
        </w:tblCellMar>
      </w:tblPr>
      <w:tblGrid>
        <w:gridCol w:w="1010"/>
        <w:gridCol w:w="889"/>
        <w:gridCol w:w="891"/>
        <w:gridCol w:w="449"/>
        <w:gridCol w:w="451"/>
        <w:gridCol w:w="243"/>
        <w:gridCol w:w="109"/>
        <w:gridCol w:w="109"/>
        <w:gridCol w:w="109"/>
        <w:gridCol w:w="292"/>
        <w:gridCol w:w="710"/>
        <w:gridCol w:w="152"/>
        <w:gridCol w:w="109"/>
        <w:gridCol w:w="109"/>
        <w:gridCol w:w="109"/>
        <w:gridCol w:w="154"/>
      </w:tblGrid>
      <w:tr>
        <w:trPr/>
        <w:tc>
          <w:tcPr>
            <w:tcW w:w="101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Exercise Price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2023</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916,429 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(911,429)</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and expired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June 30, 2024</w:t>
            </w:r>
          </w:p>
        </w:tc>
        <w:tc>
          <w:tcPr>
            <w:tcW w:w="9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2024 and 2023, the Company received cash proceeds of $4,007 and $9,700, respectively, related to the exercise of stock options. The total intrinsic value of stock options exercised for the six months ended June 30, 2024 and 2023 was $40,775 and $93,656, respectively.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there was no remaining unrecognized compensation expense related to unvested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Stock Grants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2024 and 2023, the Company granted 11,391 and 12,639 fully vested shares of Class B common stock, respectively, with a fair value of $600.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16: Income Taxes</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The following is a summary of</w:t>
      </w:r>
      <w:r>
        <w:rPr>
          <w:color w:val="000000"/>
        </w:rPr>
        <w:t xml:space="preserve"> </w:t>
      </w:r>
      <w:r>
        <w:rPr>
          <w:rFonts w:ascii="Times New Roman;sans-serif" w:hAnsi="Times New Roman;sans-serif"/>
          <w:b w:val="false"/>
          <w:i/>
          <w:color w:val="000000"/>
          <w:sz w:val="20"/>
        </w:rPr>
        <w:t>Income before income taxes</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Provision (benefit) for income taxes</w:t>
      </w:r>
      <w:r>
        <w:rPr>
          <w:rFonts w:ascii="Times New Roman;sans-serif" w:hAnsi="Times New Roman;sans-serif"/>
          <w:b w:val="false"/>
          <w:color w:val="000000"/>
          <w:sz w:val="20"/>
        </w:rPr>
        <w:t>, and effective tax rate for the periods presented:</w:t>
      </w:r>
    </w:p>
    <w:tbl>
      <w:tblPr>
        <w:tblW w:w="8957" w:type="dxa"/>
        <w:jc w:val="center"/>
        <w:tblInd w:w="0" w:type="dxa"/>
        <w:tblLayout w:type="fixed"/>
        <w:tblCellMar>
          <w:top w:w="28" w:type="dxa"/>
          <w:left w:w="28" w:type="dxa"/>
          <w:bottom w:w="28" w:type="dxa"/>
          <w:right w:w="28" w:type="dxa"/>
        </w:tblCellMar>
      </w:tblPr>
      <w:tblGrid>
        <w:gridCol w:w="1091"/>
        <w:gridCol w:w="957"/>
        <w:gridCol w:w="966"/>
        <w:gridCol w:w="211"/>
        <w:gridCol w:w="721"/>
        <w:gridCol w:w="271"/>
        <w:gridCol w:w="109"/>
        <w:gridCol w:w="109"/>
        <w:gridCol w:w="109"/>
        <w:gridCol w:w="211"/>
        <w:gridCol w:w="721"/>
        <w:gridCol w:w="271"/>
        <w:gridCol w:w="109"/>
        <w:gridCol w:w="109"/>
        <w:gridCol w:w="109"/>
        <w:gridCol w:w="211"/>
        <w:gridCol w:w="826"/>
        <w:gridCol w:w="271"/>
        <w:gridCol w:w="109"/>
        <w:gridCol w:w="109"/>
        <w:gridCol w:w="109"/>
        <w:gridCol w:w="211"/>
        <w:gridCol w:w="721"/>
        <w:gridCol w:w="316"/>
      </w:tblGrid>
      <w:tr>
        <w:trPr/>
        <w:tc>
          <w:tcPr>
            <w:tcW w:w="1091"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77,357 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44,786 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169,905 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99,768 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2024, the effective tax rate was higher compared to the same period in the prior year primarily due to the impact of the decrease in discrete tax benefits recognized in the current year period. For the three months ended June 30, 2024 and 2023, the Company recorded discrete tax benefits of $18,543 and $20,394, respectively, and $20,681 and $27,467 for the six months ended June 30, 2024 and 2023, respectively, primarily associated with windfall tax benefits from stock</w:t>
        <w:noBreakHyphen/>
        <w:t>based compensation, net of the impact from officer compensation limitation provisions.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17: Fair Value of Financial Instruments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financial asset or liability classification is determined based on the lowest level input that is significant to the fair value measurement. The fair value hierarchy consists of the following three levels: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Level 1 inputs are quoted prices (unadjusted) in active markets for identical assets or liabilities.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Level 2 inputs are quoted prices for similar assets and liabilities in active markets or inputs that are observable for the asset or liability, either directly or indirectly through market corroboration, for substantially the full term of the financial instrument.</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Level 3 inputs are unobservable inputs based on management’s own assumptions used to measure assets and liabilities at fair value.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financial instruments include cash equivalents, account receivables, certain other assets, accounts payable, accruals, certain other current and long</w:t>
        <w:noBreakHyphen/>
        <w:t>term liabilities, and long</w:t>
        <w:noBreakHyphen/>
        <w:t>term debt.</w:t>
      </w:r>
    </w:p>
    <w:p>
      <w:pPr>
        <w:pStyle w:val="TextBody"/>
        <w:bidi w:val="0"/>
        <w:spacing w:lineRule="auto" w:line="288" w:before="0" w:after="240"/>
        <w:ind w:left="0" w:right="0" w:firstLine="360"/>
        <w:jc w:val="both"/>
        <w:rPr/>
      </w:pPr>
      <w:r>
        <w:rPr>
          <w:rFonts w:ascii="Times New Roman;sans-serif" w:hAnsi="Times New Roman;sans-serif"/>
          <w:b/>
          <w:i/>
          <w:color w:val="000000"/>
          <w:sz w:val="20"/>
        </w:rPr>
        <w:t>Current Assets and Current Liabilities</w:t>
      </w:r>
      <w:r>
        <w:rPr>
          <w:color w:val="000000"/>
        </w:rPr>
        <w:t xml:space="preserve"> — </w:t>
      </w:r>
      <w:r>
        <w:rPr>
          <w:rFonts w:ascii="Times New Roman;sans-serif" w:hAnsi="Times New Roman;sans-serif"/>
          <w:b w:val="false"/>
          <w:color w:val="000000"/>
          <w:sz w:val="20"/>
        </w:rPr>
        <w:t>In general, the carrying amounts reported on the Company’s consolidated balance sheets for current assets and current liabilities approximate their fair values due to the short</w:t>
        <w:noBreakHyphen/>
        <w:t>term nature of those instruments.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methods and assumptions were used by the Company in estimating its fair value measurements for Level 2 financial instruments as of June 30, 2024 and December 31, 2023:</w:t>
      </w:r>
    </w:p>
    <w:p>
      <w:pPr>
        <w:pStyle w:val="TextBody"/>
        <w:bidi w:val="0"/>
        <w:spacing w:lineRule="auto" w:line="288" w:before="0" w:after="200"/>
        <w:ind w:left="0" w:right="0" w:firstLine="360"/>
        <w:jc w:val="both"/>
        <w:rPr/>
      </w:pPr>
      <w:r>
        <w:rPr>
          <w:rFonts w:ascii="Times New Roman;sans-serif" w:hAnsi="Times New Roman;sans-serif"/>
          <w:b/>
          <w:i/>
          <w:color w:val="000000"/>
          <w:sz w:val="20"/>
        </w:rPr>
        <w:t>Interest Rate Swap</w:t>
      </w:r>
      <w:r>
        <w:rPr>
          <w:color w:val="000000"/>
        </w:rPr>
        <w:t xml:space="preserve"> — </w:t>
      </w:r>
      <w:r>
        <w:rPr>
          <w:rFonts w:ascii="Times New Roman;sans-serif" w:hAnsi="Times New Roman;sans-serif"/>
          <w:b w:val="false"/>
          <w:color w:val="000000"/>
          <w:sz w:val="20"/>
        </w:rPr>
        <w:t>The fair value of the Company’s interest rate swap asset or liability is determined using an income approach and is measured based on the implied forward rates for the remaining term of the interest rate swap. The Company considers these valuation inputs to be Level 2 inputs in the fair value hierarchy.</w:t>
      </w:r>
    </w:p>
    <w:p>
      <w:pPr>
        <w:pStyle w:val="TextBody"/>
        <w:bidi w:val="0"/>
        <w:spacing w:lineRule="auto" w:line="288" w:before="0" w:after="200"/>
        <w:ind w:left="0" w:right="0" w:firstLine="360"/>
        <w:jc w:val="both"/>
        <w:rPr/>
      </w:pPr>
      <w:r>
        <w:rPr>
          <w:rFonts w:ascii="Times New Roman;sans-serif" w:hAnsi="Times New Roman;sans-serif"/>
          <w:b/>
          <w:i/>
          <w:color w:val="000000"/>
          <w:sz w:val="20"/>
        </w:rPr>
        <w:t>Long-Term Debt</w:t>
      </w:r>
      <w:r>
        <w:rPr>
          <w:color w:val="000000"/>
        </w:rPr>
        <w:t xml:space="preserve"> — </w:t>
      </w:r>
      <w:r>
        <w:rPr>
          <w:rFonts w:ascii="Times New Roman;sans-serif" w:hAnsi="Times New Roman;sans-serif"/>
          <w:b w:val="false"/>
          <w:color w:val="000000"/>
          <w:sz w:val="20"/>
        </w:rPr>
        <w:t>The fair value of the Company’s borrowings under its Credit Facility approximated its carrying value based upon discounted cash flows at current market rates for instruments with similar remaining terms. The Company considers these valuation inputs to be Level 2 inputs in the fair value hierarchy. As of June 30, 2024, the estimated fair value of the 2026 Notes and 2027 Notes was $680,484 and $514,729, respectively. As of December 31, 2023, the estimated fair value of the 2026 Notes and 2027 Notes was $684,205 and $516,051, respectively. The estimated fair value of the 2026 Notes and 2027 Notes is based on quoted market prices of the Company’s instrument in markets that are not active and are classified as Level 2 within the fair value hierarchy. Considerable judgment is necessary to interpret the market data and develop estimates of fair values. Accordingly, the estimates presented are not necessarily indicative of the amounts at which these instruments could be purchased, sold, or settled.</w:t>
      </w:r>
    </w:p>
    <w:p>
      <w:pPr>
        <w:pStyle w:val="TextBody"/>
        <w:bidi w:val="0"/>
        <w:spacing w:lineRule="auto" w:line="288" w:before="0" w:after="200"/>
        <w:ind w:left="0" w:right="0" w:firstLine="360"/>
        <w:jc w:val="both"/>
        <w:rPr/>
      </w:pPr>
      <w:r>
        <w:rPr>
          <w:rFonts w:ascii="Times New Roman;sans-serif" w:hAnsi="Times New Roman;sans-serif"/>
          <w:b/>
          <w:i/>
          <w:color w:val="000000"/>
          <w:sz w:val="20"/>
        </w:rPr>
        <w:t>Deferred Compensation Plan Liabilities</w:t>
      </w:r>
      <w:r>
        <w:rPr>
          <w:color w:val="000000"/>
        </w:rPr>
        <w:t xml:space="preserve"> — </w:t>
      </w:r>
      <w:r>
        <w:rPr>
          <w:rFonts w:ascii="Times New Roman;sans-serif" w:hAnsi="Times New Roman;sans-serif"/>
          <w:b w:val="false"/>
          <w:color w:val="000000"/>
          <w:sz w:val="20"/>
        </w:rPr>
        <w:t>The fair value of deferred compensation plan liabilities, including the liability classified phantom investments in the DCP, are marked to market at the end of each reporting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assets and financial liabilities carried at fair value measured on a recurring basis consist of the following:</w:t>
      </w:r>
    </w:p>
    <w:tbl>
      <w:tblPr>
        <w:tblW w:w="7474" w:type="dxa"/>
        <w:jc w:val="center"/>
        <w:tblInd w:w="0" w:type="dxa"/>
        <w:tblLayout w:type="fixed"/>
        <w:tblCellMar>
          <w:top w:w="28" w:type="dxa"/>
          <w:left w:w="28" w:type="dxa"/>
          <w:bottom w:w="28" w:type="dxa"/>
          <w:right w:w="28" w:type="dxa"/>
        </w:tblCellMar>
      </w:tblPr>
      <w:tblGrid>
        <w:gridCol w:w="1242"/>
        <w:gridCol w:w="1095"/>
        <w:gridCol w:w="1097"/>
        <w:gridCol w:w="211"/>
        <w:gridCol w:w="721"/>
        <w:gridCol w:w="109"/>
        <w:gridCol w:w="109"/>
        <w:gridCol w:w="109"/>
        <w:gridCol w:w="109"/>
        <w:gridCol w:w="211"/>
        <w:gridCol w:w="721"/>
        <w:gridCol w:w="109"/>
        <w:gridCol w:w="109"/>
        <w:gridCol w:w="109"/>
        <w:gridCol w:w="109"/>
        <w:gridCol w:w="109"/>
        <w:gridCol w:w="109"/>
        <w:gridCol w:w="211"/>
        <w:gridCol w:w="721"/>
        <w:gridCol w:w="154"/>
      </w:tblGrid>
      <w:tr>
        <w:trPr/>
        <w:tc>
          <w:tcPr>
            <w:tcW w:w="1242"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June 30, 2024</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Money market funds </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Interest rate swap </w:t>
            </w:r>
            <w:r>
              <w:rPr>
                <w:rFonts w:ascii="Times New Roman;sans-serif" w:hAnsi="Times New Roman;sans-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Deferred compensation plan liabilities </w:t>
            </w:r>
            <w:r>
              <w:rPr>
                <w:rFonts w:ascii="Times New Roman;sans-serif" w:hAnsi="Times New Roman;sans-serif"/>
                <w:b w:val="false"/>
                <w:color w:val="000000"/>
                <w:sz w:val="13"/>
              </w:rPr>
              <w:t>(3)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Cash-settled equity awards </w:t>
            </w:r>
            <w:r>
              <w:rPr>
                <w:rFonts w:ascii="Times New Roman;sans-serif" w:hAnsi="Times New Roman;sans-serif"/>
                <w:b w:val="false"/>
                <w:color w:val="000000"/>
                <w:sz w:val="13"/>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475" w:type="dxa"/>
        <w:jc w:val="center"/>
        <w:tblInd w:w="0" w:type="dxa"/>
        <w:tblLayout w:type="fixed"/>
        <w:tblCellMar>
          <w:top w:w="28" w:type="dxa"/>
          <w:left w:w="28" w:type="dxa"/>
          <w:bottom w:w="28" w:type="dxa"/>
          <w:right w:w="28" w:type="dxa"/>
        </w:tblCellMar>
      </w:tblPr>
      <w:tblGrid>
        <w:gridCol w:w="1245"/>
        <w:gridCol w:w="1092"/>
        <w:gridCol w:w="1098"/>
        <w:gridCol w:w="211"/>
        <w:gridCol w:w="721"/>
        <w:gridCol w:w="109"/>
        <w:gridCol w:w="109"/>
        <w:gridCol w:w="109"/>
        <w:gridCol w:w="109"/>
        <w:gridCol w:w="211"/>
        <w:gridCol w:w="721"/>
        <w:gridCol w:w="109"/>
        <w:gridCol w:w="109"/>
        <w:gridCol w:w="109"/>
        <w:gridCol w:w="109"/>
        <w:gridCol w:w="109"/>
        <w:gridCol w:w="109"/>
        <w:gridCol w:w="211"/>
        <w:gridCol w:w="721"/>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Money market funds </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Interest rate swap </w:t>
            </w:r>
            <w:r>
              <w:rPr>
                <w:rFonts w:ascii="Times New Roman;sans-serif" w:hAnsi="Times New Roman;sans-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Deferred compensation plan liabilities </w:t>
            </w:r>
            <w:r>
              <w:rPr>
                <w:rFonts w:ascii="Times New Roman;sans-serif" w:hAnsi="Times New Roman;sans-serif"/>
                <w:b w:val="false"/>
                <w:color w:val="000000"/>
                <w:sz w:val="13"/>
              </w:rPr>
              <w:t>(3)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Cash-settled equity awards </w:t>
            </w:r>
            <w:r>
              <w:rPr>
                <w:rFonts w:ascii="Times New Roman;sans-serif" w:hAnsi="Times New Roman;sans-serif"/>
                <w:b w:val="false"/>
                <w:color w:val="000000"/>
                <w:sz w:val="13"/>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91,317 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pPr>
      <w:r>
        <w:rPr>
          <w:rFonts w:ascii="Times New Roman;sans-serif" w:hAnsi="Times New Roman;sans-serif"/>
          <w:b w:val="false"/>
          <w:color w:val="000000"/>
          <w:sz w:val="18"/>
        </w:rPr>
        <w:t xml:space="preserve">(1)Included in </w:t>
      </w:r>
      <w:r>
        <w:rPr>
          <w:rFonts w:ascii="Times New Roman;sans-serif" w:hAnsi="Times New Roman;sans-serif"/>
          <w:b w:val="false"/>
          <w:i/>
          <w:color w:val="000000"/>
          <w:sz w:val="18"/>
        </w:rPr>
        <w:t>Cash and cash equivalents</w:t>
      </w:r>
      <w:r>
        <w:rPr>
          <w:color w:val="000000"/>
        </w:rPr>
        <w:t xml:space="preserve"> </w:t>
      </w:r>
      <w:r>
        <w:rPr>
          <w:rFonts w:ascii="Times New Roman;sans-serif" w:hAnsi="Times New Roman;sans-serif"/>
          <w:b w:val="false"/>
          <w:color w:val="000000"/>
          <w:sz w:val="18"/>
        </w:rPr>
        <w:t>in the consolidated balance sheets.</w:t>
      </w:r>
    </w:p>
    <w:p>
      <w:pPr>
        <w:pStyle w:val="TextBody"/>
        <w:bidi w:val="0"/>
        <w:spacing w:lineRule="auto" w:line="288" w:before="0" w:after="60"/>
        <w:ind w:left="0" w:right="0" w:hanging="360"/>
        <w:jc w:val="both"/>
        <w:rPr/>
      </w:pPr>
      <w:r>
        <w:rPr>
          <w:rFonts w:ascii="Times New Roman;sans-serif" w:hAnsi="Times New Roman;sans-serif"/>
          <w:b w:val="false"/>
          <w:color w:val="000000"/>
          <w:sz w:val="18"/>
        </w:rPr>
        <w:t xml:space="preserve">(2)Included in </w:t>
      </w:r>
      <w:r>
        <w:rPr>
          <w:rFonts w:ascii="Times New Roman;sans-serif" w:hAnsi="Times New Roman;sans-serif"/>
          <w:b w:val="false"/>
          <w:i/>
          <w:color w:val="000000"/>
          <w:sz w:val="18"/>
        </w:rPr>
        <w:t>Other assets</w:t>
      </w:r>
      <w:r>
        <w:rPr>
          <w:color w:val="000000"/>
        </w:rPr>
        <w:t xml:space="preserve"> </w:t>
      </w:r>
      <w:r>
        <w:rPr>
          <w:rFonts w:ascii="Times New Roman;sans-serif" w:hAnsi="Times New Roman;sans-serif"/>
          <w:b w:val="false"/>
          <w:color w:val="000000"/>
          <w:sz w:val="18"/>
        </w:rPr>
        <w:t>in the consolidated balance sheets.</w:t>
      </w:r>
    </w:p>
    <w:p>
      <w:pPr>
        <w:pStyle w:val="TextBody"/>
        <w:bidi w:val="0"/>
        <w:spacing w:lineRule="auto" w:line="288" w:before="0" w:after="60"/>
        <w:ind w:left="0" w:right="0" w:hanging="360"/>
        <w:jc w:val="both"/>
        <w:rPr/>
      </w:pPr>
      <w:r>
        <w:rPr>
          <w:rFonts w:ascii="Times New Roman;sans-serif" w:hAnsi="Times New Roman;sans-serif"/>
          <w:b w:val="false"/>
          <w:color w:val="000000"/>
          <w:sz w:val="18"/>
        </w:rPr>
        <w:t xml:space="preserve">(3)Included in </w:t>
      </w:r>
      <w:r>
        <w:rPr>
          <w:rFonts w:ascii="Times New Roman;sans-serif" w:hAnsi="Times New Roman;sans-serif"/>
          <w:b w:val="false"/>
          <w:i/>
          <w:color w:val="000000"/>
          <w:sz w:val="18"/>
        </w:rPr>
        <w:t>Deferred compensation plan liabilities</w:t>
      </w:r>
      <w:r>
        <w:rPr>
          <w:rFonts w:ascii="Times New Roman;sans-serif" w:hAnsi="Times New Roman;sans-serif"/>
          <w:b w:val="false"/>
          <w:color w:val="000000"/>
          <w:sz w:val="18"/>
        </w:rPr>
        <w:t xml:space="preserve">, except for current liabilities of $3,610 and $2,355 as of June 30, 2024 and December 31, 2023, respectively, which are included in </w:t>
      </w:r>
      <w:r>
        <w:rPr>
          <w:rFonts w:ascii="Times New Roman;sans-serif" w:hAnsi="Times New Roman;sans-serif"/>
          <w:b w:val="false"/>
          <w:i/>
          <w:color w:val="000000"/>
          <w:sz w:val="18"/>
        </w:rPr>
        <w:t>Accruals and other current liabilities</w:t>
      </w:r>
      <w:r>
        <w:rPr>
          <w:color w:val="000000"/>
        </w:rPr>
        <w:t xml:space="preserve"> </w:t>
      </w:r>
      <w:r>
        <w:rPr>
          <w:rFonts w:ascii="Times New Roman;sans-serif" w:hAnsi="Times New Roman;sans-serif"/>
          <w:b w:val="false"/>
          <w:color w:val="000000"/>
          <w:sz w:val="18"/>
        </w:rPr>
        <w:t>in the consolidated balance sheets.</w:t>
      </w:r>
    </w:p>
    <w:p>
      <w:pPr>
        <w:pStyle w:val="TextBody"/>
        <w:bidi w:val="0"/>
        <w:spacing w:lineRule="auto" w:line="288" w:before="0" w:after="240"/>
        <w:ind w:left="0" w:right="0" w:hanging="360"/>
        <w:jc w:val="both"/>
        <w:rPr/>
      </w:pPr>
      <w:r>
        <w:rPr>
          <w:rFonts w:ascii="Times New Roman;sans-serif" w:hAnsi="Times New Roman;sans-serif"/>
          <w:b w:val="false"/>
          <w:color w:val="000000"/>
          <w:sz w:val="18"/>
        </w:rPr>
        <w:t xml:space="preserve">(4)Included in </w:t>
      </w:r>
      <w:r>
        <w:rPr>
          <w:rFonts w:ascii="Times New Roman;sans-serif" w:hAnsi="Times New Roman;sans-serif"/>
          <w:b w:val="false"/>
          <w:i/>
          <w:color w:val="000000"/>
          <w:sz w:val="18"/>
        </w:rPr>
        <w:t>Accruals and other current liabilities</w:t>
      </w:r>
      <w:r>
        <w:rPr>
          <w:color w:val="000000"/>
        </w:rPr>
        <w:t xml:space="preserve"> </w:t>
      </w:r>
      <w:r>
        <w:rPr>
          <w:rFonts w:ascii="Times New Roman;sans-serif" w:hAnsi="Times New Roman;sans-serif"/>
          <w:b w:val="false"/>
          <w:color w:val="000000"/>
          <w:sz w:val="18"/>
        </w:rPr>
        <w:t>in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18: Commitments and Contingencies</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Purchase Commitments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enters into various purchase commitments for goods and services. During the six months ended June 30, 2024, the Company entered into approximately $4,900 of non</w:t>
        <w:noBreakHyphen/>
        <w:t>cancelable future cash purchase commitments for internal</w:t>
        <w:noBreakHyphen/>
        <w:t>use software costs. During the year ended December 31, 2023, the Company entered into approximately $158,000 of non</w:t>
        <w:noBreakHyphen/>
        <w:t>cancelable future cash purchase commitments for services related to cloud provisioning of the Company’s software solutions and for internal</w:t>
        <w:noBreakHyphen/>
        <w:t>use software costs. As of June 30, 2024, total non</w:t>
        <w:noBreakHyphen/>
        <w:t>cancelable future cash purchase commitments were approximately $109,200 to be paid through September 2028. The Company expects to fully consume its contractual commitments in the ordinary course of operations.</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Litigation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involved in certain legal actions arising in the ordinary course of business. In management’s opinion, based upon the advice of counsel, the outcome of such actions is not expected to have a material adverse effect on the Company’s future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19: Geographic Data</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Revenues by geographic region are presented in Note 3. Long</w:t>
        <w:noBreakHyphen/>
        <w:t>lived assets (other than goodwill), net of depreciation and amortization by geographic region (see Notes 5, 6, and 8) are as follows:</w:t>
      </w:r>
    </w:p>
    <w:tbl>
      <w:tblPr>
        <w:tblW w:w="5034" w:type="dxa"/>
        <w:jc w:val="center"/>
        <w:tblInd w:w="0" w:type="dxa"/>
        <w:tblLayout w:type="fixed"/>
        <w:tblCellMar>
          <w:top w:w="28" w:type="dxa"/>
          <w:left w:w="28" w:type="dxa"/>
          <w:bottom w:w="28" w:type="dxa"/>
          <w:right w:w="28" w:type="dxa"/>
        </w:tblCellMar>
      </w:tblPr>
      <w:tblGrid>
        <w:gridCol w:w="710"/>
        <w:gridCol w:w="624"/>
        <w:gridCol w:w="630"/>
        <w:gridCol w:w="212"/>
        <w:gridCol w:w="833"/>
        <w:gridCol w:w="109"/>
        <w:gridCol w:w="109"/>
        <w:gridCol w:w="109"/>
        <w:gridCol w:w="109"/>
        <w:gridCol w:w="281"/>
        <w:gridCol w:w="1103"/>
        <w:gridCol w:w="205"/>
      </w:tblGrid>
      <w:tr>
        <w:trPr/>
        <w:tc>
          <w:tcPr>
            <w:tcW w:w="71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Americas</w:t>
            </w:r>
            <w:r>
              <w:rPr>
                <w:color w:val="000000"/>
              </w:rPr>
              <w:t xml:space="preserve"> </w:t>
            </w:r>
            <w:r>
              <w:rPr>
                <w:rFonts w:ascii="Times New Roman;sans-serif" w:hAnsi="Times New Roman;sans-serif"/>
                <w:b w:val="false"/>
                <w:color w:val="000000"/>
                <w:sz w:val="13"/>
              </w:rPr>
              <w:t>(1)</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272,492 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40,411 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APAC</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long-lived assets</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297,163 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327,363 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(1)Americas includes the U.S., Canada, and Latin America (including the Caribbean).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Note 20: Other Income, Net</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net consists of the following:</w:t>
      </w:r>
    </w:p>
    <w:tbl>
      <w:tblPr>
        <w:tblW w:w="9299" w:type="dxa"/>
        <w:jc w:val="center"/>
        <w:tblInd w:w="0" w:type="dxa"/>
        <w:tblLayout w:type="fixed"/>
        <w:tblCellMar>
          <w:top w:w="28" w:type="dxa"/>
          <w:left w:w="28" w:type="dxa"/>
          <w:bottom w:w="28" w:type="dxa"/>
          <w:right w:w="28" w:type="dxa"/>
        </w:tblCellMar>
      </w:tblPr>
      <w:tblGrid>
        <w:gridCol w:w="1640"/>
        <w:gridCol w:w="1440"/>
        <w:gridCol w:w="144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640"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gain from:</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interest rate swap (see Note 17)</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Foreign exchange </w:t>
            </w:r>
            <w:r>
              <w:rPr>
                <w:rFonts w:ascii="Times New Roman;sans-serif" w:hAnsi="Times New Roman;sans-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Receipts related to interest rate swap</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income (expense), net </w:t>
            </w:r>
            <w:r>
              <w:rPr>
                <w:rFonts w:ascii="Times New Roman;sans-serif" w:hAnsi="Times New Roman;sans-serif"/>
                <w:b w:val="false"/>
                <w:color w:val="000000"/>
                <w:sz w:val="13"/>
              </w:rPr>
              <w:t>(2)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(1)Foreign exchange (loss) gain is primarily attributable to foreign currency translation derived mainly from U.S. dollar denominated cash and cash equivalents, account receivables, customer deposits, and intercompany balances held by foreign subsidiaries. Intercompany finance transactions primarily denominated in U.S. dollars resulted in unrealized foreign exchange (losses) gains of $(37) and $1,397 for the three months ended June 30, 2024 and 2023, respectively, and $(431) and $2,258 for the six months ended June 30, 2024 and 2023, respectively.</w:t>
      </w:r>
    </w:p>
    <w:p>
      <w:pPr>
        <w:pStyle w:val="TextBody"/>
        <w:bidi w:val="0"/>
        <w:spacing w:lineRule="auto" w:line="288" w:before="0" w:after="24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(2)Other income (expense), net includes investment impairment charges of $(7,318) for the three and six months ended June 30, 2023 (see Note 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21: Realignment Costs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2023, the Company approved a strategic realignment program to better serve the Company’s accounts and to better align resources with the strategy of the business, including reinvestment in go-to-market functions, as well as in artificial intelligence product development (the “2023 Program”). The Company incurred realignment costs of $12,579 for the year ended December 31, 2023 related to the aforementioned program, which represents termination benefits for colleagues whose roles were impacted. During the three and six months ended June 30, 2024, the Company incurred realignment costs of $843 and $867, respectively, related to the aforementioned program. The 2023 Program activities have been broadly implemented across the Company’s various businesses, which were substantially completed by the end of the second quarter of 2024. The Company expects the remaining termination benefits to be paid by the end of the third quarter of 2024.</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Realignment costs by expense classification were as follows:</w:t>
      </w:r>
    </w:p>
    <w:tbl>
      <w:tblPr>
        <w:tblW w:w="6535" w:type="dxa"/>
        <w:jc w:val="left"/>
        <w:tblInd w:w="0" w:type="dxa"/>
        <w:tblLayout w:type="fixed"/>
        <w:tblCellMar>
          <w:top w:w="28" w:type="dxa"/>
          <w:left w:w="28" w:type="dxa"/>
          <w:bottom w:w="28" w:type="dxa"/>
          <w:right w:w="28" w:type="dxa"/>
        </w:tblCellMar>
      </w:tblPr>
      <w:tblGrid>
        <w:gridCol w:w="1036"/>
        <w:gridCol w:w="912"/>
        <w:gridCol w:w="916"/>
        <w:gridCol w:w="395"/>
        <w:gridCol w:w="1155"/>
        <w:gridCol w:w="204"/>
        <w:gridCol w:w="109"/>
        <w:gridCol w:w="109"/>
        <w:gridCol w:w="109"/>
        <w:gridCol w:w="342"/>
        <w:gridCol w:w="999"/>
        <w:gridCol w:w="249"/>
      </w:tblGrid>
      <w:tr>
        <w:trPr/>
        <w:tc>
          <w:tcPr>
            <w:tcW w:w="103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1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subscriptions and licenses</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revenues</w:t>
            </w:r>
          </w:p>
        </w:tc>
        <w:tc>
          <w:tcPr>
            <w:tcW w:w="15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realignment costs</w:t>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Accruals and other current liabilities</w:t>
      </w:r>
      <w:r>
        <w:rPr>
          <w:color w:val="000000"/>
        </w:rPr>
        <w:t xml:space="preserve"> </w:t>
      </w:r>
      <w:r>
        <w:rPr>
          <w:rFonts w:ascii="Times New Roman;sans-serif" w:hAnsi="Times New Roman;sans-serif"/>
          <w:b w:val="false"/>
          <w:color w:val="000000"/>
          <w:sz w:val="20"/>
        </w:rPr>
        <w:t>in the consolidated balance sheets included amounts related to the realignment activities as follows:</w:t>
      </w:r>
    </w:p>
    <w:tbl>
      <w:tblPr>
        <w:tblW w:w="3530" w:type="dxa"/>
        <w:jc w:val="center"/>
        <w:tblInd w:w="0" w:type="dxa"/>
        <w:tblLayout w:type="fixed"/>
        <w:tblCellMar>
          <w:top w:w="28" w:type="dxa"/>
          <w:left w:w="28" w:type="dxa"/>
          <w:bottom w:w="28" w:type="dxa"/>
          <w:right w:w="28" w:type="dxa"/>
        </w:tblCellMar>
      </w:tblPr>
      <w:tblGrid>
        <w:gridCol w:w="885"/>
        <w:gridCol w:w="778"/>
        <w:gridCol w:w="781"/>
        <w:gridCol w:w="211"/>
        <w:gridCol w:w="721"/>
        <w:gridCol w:w="154"/>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Realignment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Adjustments </w:t>
            </w:r>
            <w:r>
              <w:rPr>
                <w:rFonts w:ascii="Times New Roman;sans-serif" w:hAnsi="Times New Roman;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June 30, 2024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(1)Adjustments include foreign currency translation.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22: Net Income Per Share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issues certain performance-based RSUs determined to be participating securities because holders of such shares have non-forfeitable dividend rights in the event of the Company’s declaration of a dividend for common shares. As of June 30, 2024 and 2023, there were 356,167 and 368,283 participating securities outstanding, respectively.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Undistributed net income allocated to participating securities are subtracted from net income in determining basic net income attributable to common stockholders. Basic net income per share is computed by dividing basic net income attributable to common stockholders by the weighted average number of shares, inclusive of undistributed shares held in the DCP as phantom shares of the Company’s Class B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40"/>
        <w:ind w:left="0" w:right="0" w:firstLine="360"/>
        <w:jc w:val="both"/>
        <w:rPr/>
      </w:pPr>
      <w:r>
        <w:rPr>
          <w:rFonts w:ascii="Times New Roman;sans-serif" w:hAnsi="Times New Roman;sans-serif"/>
          <w:b w:val="false"/>
          <w:color w:val="212529"/>
          <w:sz w:val="20"/>
        </w:rPr>
        <w:t xml:space="preserve">For the Company’s diluted </w:t>
      </w:r>
      <w:r>
        <w:rPr>
          <w:rFonts w:ascii="Times New Roman;sans-serif" w:hAnsi="Times New Roman;sans-serif"/>
          <w:b w:val="false"/>
          <w:color w:val="000000"/>
          <w:sz w:val="20"/>
        </w:rPr>
        <w:t xml:space="preserve">net income per share </w:t>
      </w:r>
      <w:r>
        <w:rPr>
          <w:rFonts w:ascii="Times New Roman;sans-serif" w:hAnsi="Times New Roman;sans-serif"/>
          <w:b w:val="false"/>
          <w:color w:val="212529"/>
          <w:sz w:val="20"/>
        </w:rPr>
        <w:t>numerator, interest expense, net of tax, attributable to the assumed conversion of the</w:t>
      </w:r>
      <w:r>
        <w:rPr>
          <w:color w:val="000000"/>
        </w:rPr>
        <w:t xml:space="preserve"> </w:t>
      </w:r>
      <w:r>
        <w:rPr>
          <w:rFonts w:ascii="Times New Roman;sans-serif" w:hAnsi="Times New Roman;sans-serif"/>
          <w:b w:val="false"/>
          <w:color w:val="000000"/>
          <w:sz w:val="20"/>
        </w:rPr>
        <w:t>convertible senior notes</w:t>
      </w:r>
      <w:r>
        <w:rPr>
          <w:color w:val="212529"/>
        </w:rPr>
        <w:t xml:space="preserve"> </w:t>
      </w:r>
      <w:r>
        <w:rPr>
          <w:rFonts w:ascii="Times New Roman;sans-serif" w:hAnsi="Times New Roman;sans-serif"/>
          <w:b w:val="false"/>
          <w:color w:val="212529"/>
          <w:sz w:val="20"/>
        </w:rPr>
        <w:t xml:space="preserve">is added back to basic net income attributable to common stockholders. For the Company’s diluted </w:t>
      </w:r>
      <w:r>
        <w:rPr>
          <w:rFonts w:ascii="Times New Roman;sans-serif" w:hAnsi="Times New Roman;sans-serif"/>
          <w:b w:val="false"/>
          <w:color w:val="000000"/>
          <w:sz w:val="20"/>
        </w:rPr>
        <w:t xml:space="preserve">net income per share </w:t>
      </w:r>
      <w:r>
        <w:rPr>
          <w:rFonts w:ascii="Times New Roman;sans-serif" w:hAnsi="Times New Roman;sans-serif"/>
          <w:b w:val="false"/>
          <w:color w:val="212529"/>
          <w:sz w:val="20"/>
        </w:rPr>
        <w:t xml:space="preserve">denominator, the basic weighted average number of shares is adjusted for the effect of dilutive securities, including awards under the Company’s equity compensation plans and ESPP, and for the dilutive </w:t>
      </w:r>
      <w:r>
        <w:rPr>
          <w:rFonts w:ascii="Times New Roman;sans-serif" w:hAnsi="Times New Roman;sans-serif"/>
          <w:b w:val="false"/>
          <w:color w:val="000000"/>
          <w:sz w:val="20"/>
        </w:rPr>
        <w:t xml:space="preserve">effect of the assumed conversion of the convertible senior notes. </w:t>
      </w:r>
      <w:r>
        <w:rPr>
          <w:rFonts w:ascii="Times New Roman;sans-serif" w:hAnsi="Times New Roman;sans-serif"/>
          <w:b w:val="false"/>
          <w:color w:val="212529"/>
          <w:sz w:val="20"/>
        </w:rPr>
        <w:t>Diluted </w:t>
      </w:r>
      <w:r>
        <w:rPr>
          <w:rFonts w:ascii="Times New Roman;sans-serif" w:hAnsi="Times New Roman;sans-serif"/>
          <w:b w:val="false"/>
          <w:color w:val="000000"/>
          <w:sz w:val="20"/>
        </w:rPr>
        <w:t xml:space="preserve">net income per share </w:t>
      </w:r>
      <w:r>
        <w:rPr>
          <w:rFonts w:ascii="Times New Roman;sans-serif" w:hAnsi="Times New Roman;sans-serif"/>
          <w:b w:val="false"/>
          <w:color w:val="212529"/>
          <w:sz w:val="20"/>
        </w:rPr>
        <w:t xml:space="preserve">attributable to common stockholders is computed by dividing diluted net </w:t>
      </w:r>
      <w:r>
        <w:rPr>
          <w:rFonts w:ascii="Times New Roman;sans-serif" w:hAnsi="Times New Roman;sans-serif"/>
          <w:b w:val="false"/>
          <w:color w:val="000000"/>
          <w:sz w:val="20"/>
        </w:rPr>
        <w:t>income</w:t>
      </w:r>
      <w:r>
        <w:rPr>
          <w:color w:val="212529"/>
        </w:rPr>
        <w:t xml:space="preserve"> </w:t>
      </w:r>
      <w:r>
        <w:rPr>
          <w:rFonts w:ascii="Times New Roman;sans-serif" w:hAnsi="Times New Roman;sans-serif"/>
          <w:b w:val="false"/>
          <w:color w:val="212529"/>
          <w:sz w:val="20"/>
        </w:rPr>
        <w:t>attributable to common stockholders by the weighted average number of fully diluted common shares.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Except with respect to voting and conversion, the rights of the holders of the Company’s Class A common stock and the Company’s Class B common stock are identical. Each class of shares has the same rights to dividends and allocation of income (loss) and, therefore, net income per share would not differ under the two</w:t>
        <w:noBreakHyphen/>
        <w:t>class method.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The details of basic and diluted net income per share are as follows</w:t>
      </w:r>
      <w:r>
        <w:rPr>
          <w:rFonts w:ascii="Times New Roman;sans-serif" w:hAnsi="Times New Roman;sans-serif"/>
          <w:b w:val="false"/>
          <w:color w:val="212529"/>
          <w:sz w:val="20"/>
        </w:rPr>
        <w:t>:</w:t>
      </w:r>
    </w:p>
    <w:tbl>
      <w:tblPr>
        <w:tblW w:w="10205" w:type="dxa"/>
        <w:jc w:val="center"/>
        <w:tblInd w:w="0" w:type="dxa"/>
        <w:tblLayout w:type="fixed"/>
        <w:tblCellMar>
          <w:top w:w="28" w:type="dxa"/>
          <w:left w:w="28" w:type="dxa"/>
          <w:bottom w:w="28" w:type="dxa"/>
          <w:right w:w="28" w:type="dxa"/>
        </w:tblCellMar>
      </w:tblPr>
      <w:tblGrid>
        <w:gridCol w:w="1409"/>
        <w:gridCol w:w="1129"/>
        <w:gridCol w:w="1132"/>
        <w:gridCol w:w="109"/>
        <w:gridCol w:w="109"/>
        <w:gridCol w:w="109"/>
        <w:gridCol w:w="268"/>
        <w:gridCol w:w="918"/>
        <w:gridCol w:w="109"/>
        <w:gridCol w:w="109"/>
        <w:gridCol w:w="109"/>
        <w:gridCol w:w="109"/>
        <w:gridCol w:w="268"/>
        <w:gridCol w:w="918"/>
        <w:gridCol w:w="109"/>
        <w:gridCol w:w="109"/>
        <w:gridCol w:w="109"/>
        <w:gridCol w:w="109"/>
        <w:gridCol w:w="241"/>
        <w:gridCol w:w="945"/>
        <w:gridCol w:w="109"/>
        <w:gridCol w:w="109"/>
        <w:gridCol w:w="109"/>
        <w:gridCol w:w="109"/>
        <w:gridCol w:w="268"/>
        <w:gridCol w:w="918"/>
        <w:gridCol w:w="156"/>
      </w:tblGrid>
      <w:tr>
        <w:trPr/>
        <w:tc>
          <w:tcPr>
            <w:tcW w:w="140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3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3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participating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Class A and Class B common stockholders,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94,137 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Interest expense, net of tax, attributable to assumed conversion of 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Class A and Class B common stockholders,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97,577 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314,980,580 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311,914,602 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314,660,906 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311,366,371 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stock options, restricted stock, and 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2,744,259 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87,557 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assumed conversion of convertible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17,633,786 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17,633,786 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17,633,786 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17,633,786 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333,780,984 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332,352,725 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333,725,315 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331,831,973 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anti-dilutive securities for the three or six months ended June 30, 2024 or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0" w:after="24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should be read in conjunction with our unaudited consolidated financial statements and notes thereto appearing in Part I, Item 1 of this Quarterly Report on Form 10</w:t>
        <w:noBreakHyphen/>
        <w:t>Q and with our audited consolidated financial statements and notes thereto included in our 2023 Annual Report on Form 10</w:t>
        <w:noBreakHyphen/>
        <w:t>K.</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amounts presented in this Management’s Discussion and Analysis of Financial Condition and Results of Operations, except share and per share amounts, are presented in thousands. Additionally, many of the amounts and percentages have been rounded for convenience of presentation. Minor differences in totals and percentage calculations may exist due to rounding.</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Bentley Systems is the </w:t>
      </w:r>
      <w:r>
        <w:rPr>
          <w:rFonts w:ascii="Times New Roman;sans-serif" w:hAnsi="Times New Roman;sans-serif"/>
          <w:b w:val="false"/>
          <w:i/>
          <w:color w:val="000000"/>
          <w:sz w:val="20"/>
        </w:rPr>
        <w:t>infrastructure engineering software</w:t>
      </w:r>
      <w:r>
        <w:rPr>
          <w:color w:val="000000"/>
        </w:rPr>
        <w:t xml:space="preserve"> </w:t>
      </w:r>
      <w:r>
        <w:rPr>
          <w:rFonts w:ascii="Times New Roman;sans-serif" w:hAnsi="Times New Roman;sans-serif"/>
          <w:b w:val="false"/>
          <w:color w:val="000000"/>
          <w:sz w:val="20"/>
        </w:rPr>
        <w:t>company. Our purpose is to advance the world’s infrastructure for better quality of life. We empower people to design, build, and operate better and more resilient infrastructure through the adoption of our intelligent digital twin solutions. We manage our business globally within one reportable segment, the development and marketing of computer software and related services, which is consistent with how our CODM reviews and manages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Executive Summary</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Total revenues were $330,337 for the three months ended June 30, 2024, up 11.3% or 11.9% on a constant currency basis</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compared to the three months ended June 30, 2023. Total revenues were $668,100 for the six months ended June 30, 2024, up 9.3% or 9.5% on a constant currency basis</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compared to the six months ended June 30, 2023;</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Subscriptions revenues were $297,444 for the three months ended June 30, 2024, up 14.7% or 15.3% on a constant currency basis</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compared to the three months ended June 30, 2023. Subscriptions revenues were $604,533 for the six months ended June 30, 2024, up 12.6% or 12.7% on a constant currency basis</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compared to the six months ended June 30, 2023;</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ARR</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was $1,215,910 as of June 30, 2024, compared to $1,105,914 as of June 30, 2023, representing a constant currency</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ARR growth rate</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of 11%;</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Last twelve-month recurring revenues dollar-based net retention rate</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was 108% as of June 30, 2024, compared to 110% as of June 30, 2023;</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Operating income was $80,177 for the three months ended June 30, 2024, compared to $53,305 for the three months ended June 30, 2023. Operating income was $172,108 for the six months ended June 30, 2024, compared to $119,090 for the six months ended June 30, 2023;</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Adjusted OI w/SBC</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was $95,293 for the three months ended June 30, 2024, compared to $73,257 for the three months ended June 30, 2023. Adjusted OI w/SBC</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was $207,638 for the six months ended June 30, 2024, compared to $163,721 for the six months ended June 30, 2023; and</w:t>
      </w:r>
    </w:p>
    <w:p>
      <w:pPr>
        <w:pStyle w:val="TextBody"/>
        <w:bidi w:val="0"/>
        <w:spacing w:lineRule="auto" w:line="288" w:before="0" w:after="120"/>
        <w:ind w:left="0" w:right="0" w:hanging="270"/>
        <w:jc w:val="both"/>
        <w:rPr/>
      </w:pPr>
      <w:r>
        <w:rPr>
          <w:color w:val="000000"/>
        </w:rPr>
        <w:t>•</w:t>
      </w:r>
      <w:r>
        <w:rPr>
          <w:rFonts w:ascii="Times New Roman;sans-serif" w:hAnsi="Times New Roman;sans-serif"/>
          <w:b w:val="false"/>
          <w:color w:val="000000"/>
          <w:sz w:val="20"/>
        </w:rPr>
        <w:t>Cash flows from operations were $267,555 for the six months ended June 30, 2024, compared to $256,819 for the six months ended June 30, 2023.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(1)Constant currency and Adjusted OI w/SBC are non</w:t>
        <w:noBreakHyphen/>
        <w:t>GAAP financial measures. Refer to the “Non</w:t>
        <w:noBreakHyphen/>
        <w:t>GAAP Financial Measures” section for additional information, including our definitions and our uses of constant currency and Adjusted OI w/SBC.</w:t>
      </w:r>
    </w:p>
    <w:p>
      <w:pPr>
        <w:pStyle w:val="TextBody"/>
        <w:bidi w:val="0"/>
        <w:spacing w:lineRule="auto" w:line="288" w:before="0" w:after="24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(2)Refer to the “Key Business Metrics” section for additional information, including our definitions and our uses of ARR, ARR growth rate, and recurring revenues dollar-based net retention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Impact of Foreign Currency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have been, and in the future will be, affected by changes in foreign currency exchange rates. Other than the natural hedge attributable to matching revenues and expenses in the same currencies, we do not currently hedge foreign currency exposure.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identify the effects of foreign currency on our operations and present constant currency growth rates and fluctuations because we believe exchange rates are an important factor in understanding period</w:t>
        <w:noBreakHyphen/>
        <w:t>over</w:t>
        <w:noBreakHyphen/>
        <w:t>period comparisons and enhance the understanding of our results and evaluation of our performance. Refer to the “Non</w:t>
        <w:noBreakHyphen/>
        <w:t>GAAP Financial Measures” section for additional information, including our definition and our use of constant currency.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lineRule="auto" w:line="288"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Consolidated Revenues</w:t>
      </w:r>
    </w:p>
    <w:tbl>
      <w:tblPr>
        <w:tblW w:w="10841" w:type="dxa"/>
        <w:jc w:val="center"/>
        <w:tblInd w:w="0" w:type="dxa"/>
        <w:tblLayout w:type="fixed"/>
        <w:tblCellMar>
          <w:top w:w="28" w:type="dxa"/>
          <w:left w:w="28" w:type="dxa"/>
          <w:bottom w:w="28" w:type="dxa"/>
          <w:right w:w="28" w:type="dxa"/>
        </w:tblCellMar>
      </w:tblPr>
      <w:tblGrid>
        <w:gridCol w:w="381"/>
        <w:gridCol w:w="334"/>
        <w:gridCol w:w="336"/>
        <w:gridCol w:w="196"/>
        <w:gridCol w:w="736"/>
        <w:gridCol w:w="109"/>
        <w:gridCol w:w="109"/>
        <w:gridCol w:w="109"/>
        <w:gridCol w:w="109"/>
        <w:gridCol w:w="196"/>
        <w:gridCol w:w="736"/>
        <w:gridCol w:w="109"/>
        <w:gridCol w:w="109"/>
        <w:gridCol w:w="109"/>
        <w:gridCol w:w="109"/>
        <w:gridCol w:w="263"/>
        <w:gridCol w:w="263"/>
        <w:gridCol w:w="241"/>
        <w:gridCol w:w="109"/>
        <w:gridCol w:w="109"/>
        <w:gridCol w:w="109"/>
        <w:gridCol w:w="263"/>
        <w:gridCol w:w="263"/>
        <w:gridCol w:w="349"/>
        <w:gridCol w:w="109"/>
        <w:gridCol w:w="109"/>
        <w:gridCol w:w="109"/>
        <w:gridCol w:w="196"/>
        <w:gridCol w:w="736"/>
        <w:gridCol w:w="109"/>
        <w:gridCol w:w="109"/>
        <w:gridCol w:w="109"/>
        <w:gridCol w:w="109"/>
        <w:gridCol w:w="196"/>
        <w:gridCol w:w="736"/>
        <w:gridCol w:w="109"/>
        <w:gridCol w:w="109"/>
        <w:gridCol w:w="109"/>
        <w:gridCol w:w="109"/>
        <w:gridCol w:w="263"/>
        <w:gridCol w:w="263"/>
        <w:gridCol w:w="241"/>
        <w:gridCol w:w="109"/>
        <w:gridCol w:w="109"/>
        <w:gridCol w:w="109"/>
        <w:gridCol w:w="263"/>
        <w:gridCol w:w="263"/>
        <w:gridCol w:w="402"/>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Change</w:t>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2349" w:type="dxa"/>
            <w:gridSpan w:val="12"/>
            <w:tcBorders/>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Constant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Constant</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Currency</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4"/>
              </w:rPr>
              <w:t>%</w:t>
            </w:r>
            <w:r>
              <w:rPr>
                <w:rFonts w:ascii="Times New Roman;sans-serif" w:hAnsi="Times New Roman;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4"/>
              </w:rPr>
              <w:t>%</w:t>
            </w:r>
            <w:r>
              <w:rPr>
                <w:rFonts w:ascii="Times New Roman;sans-serif" w:hAnsi="Times New Roman;sans-serif"/>
                <w:b/>
                <w:color w:val="000000"/>
                <w:sz w:val="9"/>
              </w:rPr>
              <w:t>(1)</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Subscriptions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604,533 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537,088 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Perpetual licenses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Subscriptions and licenses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624,908 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12.1 </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330,337 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296,749 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668,100 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611,160 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9.5 </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both"/>
        <w:rPr>
          <w:rFonts w:ascii="Times New Roman;sans-serif" w:hAnsi="Times New Roman;sans-serif"/>
          <w:b w:val="false"/>
          <w:color w:val="000000"/>
          <w:sz w:val="14"/>
        </w:rPr>
      </w:pPr>
      <w:r>
        <w:rPr>
          <w:rFonts w:ascii="Times New Roman;sans-serif" w:hAnsi="Times New Roman;sans-serif"/>
          <w:b w:val="false"/>
          <w:color w:val="000000"/>
          <w:sz w:val="14"/>
        </w:rPr>
        <w:t>(1)Constant currency is a non-GAAP financial measure. Refer to the “Non-GAAP Financial Measures” section for additional information, including our definition and our use of constant currency, and for a reconciliation of constant currency growth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total revenues for the three and six months ended June 30, 2024 was driven by an increase in subscriptions revenues, partially offset by a decrease in services revenues, and to a lesser extent, a decrease in perpetual licenses revenues.</w:t>
      </w: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Subscriptions</w:t>
      </w:r>
      <w:r>
        <w:rPr>
          <w:rFonts w:ascii="Times New Roman;sans-serif" w:hAnsi="Times New Roman;sans-serif"/>
          <w:b w:val="false"/>
          <w:color w:val="000000"/>
          <w:sz w:val="20"/>
        </w:rPr>
        <w:t>. For the three and six months ended June 30, 2024, the increase in subscriptions revenues was driven by improvements in our business performance of $38,201 ($39,609 on a constant currency basis) and $67,445 ($68,234 on a constant currency basis), respectively. Our business performance excludes the impact of our platform acquisitions and includes the impact from programmatic acquisitions, which generally are immaterial, individually and in the aggregate.</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For the three and six months ended June 30, 2024, the improvements in business performance were primarily driven by expansion from accounts with revenues in the same period in the prior year (“existing accounts”), and growth of 3% attributable to new accounts, most notably small- and medium-sized accounts. Improvements in business performance for the three and six months ended June 30, 2024 were led by our engineering</w:t>
      </w:r>
      <w:r>
        <w:rPr>
          <w:color w:val="000000"/>
        </w:rPr>
        <w:t xml:space="preserve"> </w:t>
      </w:r>
      <w:r>
        <w:rPr>
          <w:rFonts w:ascii="Times New Roman;sans-serif" w:hAnsi="Times New Roman;sans-serif"/>
          <w:b w:val="false"/>
          <w:color w:val="000000"/>
          <w:sz w:val="20"/>
        </w:rPr>
        <w:t>applications, geoprofessional</w:t>
      </w:r>
      <w:r>
        <w:rPr>
          <w:color w:val="000000"/>
        </w:rPr>
        <w:t xml:space="preserve"> </w:t>
      </w:r>
      <w:r>
        <w:rPr>
          <w:rFonts w:ascii="Times New Roman;sans-serif" w:hAnsi="Times New Roman;sans-serif"/>
          <w:b w:val="false"/>
          <w:color w:val="000000"/>
          <w:sz w:val="20"/>
        </w:rPr>
        <w:t xml:space="preserve">applications, and our </w:t>
      </w:r>
      <w:r>
        <w:rPr>
          <w:rFonts w:ascii="Times New Roman;sans-serif" w:hAnsi="Times New Roman;sans-serif"/>
          <w:b w:val="false"/>
          <w:i/>
          <w:color w:val="000000"/>
          <w:sz w:val="20"/>
        </w:rPr>
        <w:t>Bentley Infrastructure Cloud</w:t>
      </w:r>
      <w:r>
        <w:rPr>
          <w:color w:val="000000"/>
        </w:rPr>
        <w:t xml:space="preserve"> </w:t>
      </w:r>
      <w:r>
        <w:rPr>
          <w:rFonts w:ascii="Times New Roman;sans-serif" w:hAnsi="Times New Roman;sans-serif"/>
          <w:b w:val="false"/>
          <w:color w:val="000000"/>
          <w:sz w:val="20"/>
        </w:rPr>
        <w:t>for project delivery.</w:t>
      </w: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Perpetual licenses</w:t>
      </w:r>
      <w:r>
        <w:rPr>
          <w:rFonts w:ascii="Times New Roman;sans-serif" w:hAnsi="Times New Roman;sans-serif"/>
          <w:b w:val="false"/>
          <w:color w:val="000000"/>
          <w:sz w:val="20"/>
        </w:rPr>
        <w:t>. For the three and six months ended June 30, 2024, the decrease in perpetual licenses revenues was driven by a decline in business performance of $855 ($715 on a constant currency basis) and $890 ($642 on a constant currency basis), respectively.</w:t>
      </w: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Services.</w:t>
      </w:r>
      <w:r>
        <w:rPr>
          <w:color w:val="000000"/>
        </w:rPr>
        <w:t xml:space="preserve"> </w:t>
      </w:r>
      <w:r>
        <w:rPr>
          <w:rFonts w:ascii="Times New Roman;sans-serif" w:hAnsi="Times New Roman;sans-serif"/>
          <w:b w:val="false"/>
          <w:color w:val="000000"/>
          <w:sz w:val="20"/>
        </w:rPr>
        <w:t>For the three and six months ended June 30, 2024, the decrease in services revenues was driven by a decline in our business performance of $3,758 ($3,681 on a constant currency basis) and $9,615 ($9,745 on a constant currency basis), respectively, driven primarily from weakness in Maximo-related work within our digital integrator, Cohesive.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Revenues by Geographic Region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external customers is attributed to individual countries based upon the location of the customer.</w:t>
      </w:r>
    </w:p>
    <w:tbl>
      <w:tblPr>
        <w:tblW w:w="10316" w:type="dxa"/>
        <w:jc w:val="center"/>
        <w:tblInd w:w="0" w:type="dxa"/>
        <w:tblLayout w:type="fixed"/>
        <w:tblCellMar>
          <w:top w:w="28" w:type="dxa"/>
          <w:left w:w="28" w:type="dxa"/>
          <w:bottom w:w="28" w:type="dxa"/>
          <w:right w:w="28" w:type="dxa"/>
        </w:tblCellMar>
      </w:tblPr>
      <w:tblGrid>
        <w:gridCol w:w="277"/>
        <w:gridCol w:w="244"/>
        <w:gridCol w:w="245"/>
        <w:gridCol w:w="196"/>
        <w:gridCol w:w="736"/>
        <w:gridCol w:w="109"/>
        <w:gridCol w:w="109"/>
        <w:gridCol w:w="109"/>
        <w:gridCol w:w="109"/>
        <w:gridCol w:w="196"/>
        <w:gridCol w:w="736"/>
        <w:gridCol w:w="109"/>
        <w:gridCol w:w="109"/>
        <w:gridCol w:w="109"/>
        <w:gridCol w:w="109"/>
        <w:gridCol w:w="233"/>
        <w:gridCol w:w="233"/>
        <w:gridCol w:w="241"/>
        <w:gridCol w:w="109"/>
        <w:gridCol w:w="109"/>
        <w:gridCol w:w="109"/>
        <w:gridCol w:w="233"/>
        <w:gridCol w:w="233"/>
        <w:gridCol w:w="349"/>
        <w:gridCol w:w="109"/>
        <w:gridCol w:w="109"/>
        <w:gridCol w:w="109"/>
        <w:gridCol w:w="196"/>
        <w:gridCol w:w="736"/>
        <w:gridCol w:w="109"/>
        <w:gridCol w:w="109"/>
        <w:gridCol w:w="109"/>
        <w:gridCol w:w="109"/>
        <w:gridCol w:w="196"/>
        <w:gridCol w:w="736"/>
        <w:gridCol w:w="109"/>
        <w:gridCol w:w="109"/>
        <w:gridCol w:w="109"/>
        <w:gridCol w:w="109"/>
        <w:gridCol w:w="233"/>
        <w:gridCol w:w="233"/>
        <w:gridCol w:w="241"/>
        <w:gridCol w:w="109"/>
        <w:gridCol w:w="109"/>
        <w:gridCol w:w="109"/>
        <w:gridCol w:w="233"/>
        <w:gridCol w:w="233"/>
        <w:gridCol w:w="402"/>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Change</w:t>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2229" w:type="dxa"/>
            <w:gridSpan w:val="12"/>
            <w:tcBorders/>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Constant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Constant</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Currency</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4"/>
              </w:rPr>
              <w:t>%</w:t>
            </w:r>
            <w:r>
              <w:rPr>
                <w:rFonts w:ascii="Times New Roman;sans-serif" w:hAnsi="Times New Roman;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4"/>
              </w:rPr>
              <w:t>%</w:t>
            </w:r>
            <w:r>
              <w:rPr>
                <w:rFonts w:ascii="Times New Roman;sans-serif" w:hAnsi="Times New Roman;sans-serif"/>
                <w:b/>
                <w:color w:val="000000"/>
                <w:sz w:val="9"/>
              </w:rPr>
              <w:t>(1)</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Americas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APAC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10.5 </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330,337 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296,749 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668,100 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611,160 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both"/>
        <w:rPr>
          <w:rFonts w:ascii="Times New Roman;sans-serif" w:hAnsi="Times New Roman;sans-serif"/>
          <w:b w:val="false"/>
          <w:color w:val="000000"/>
          <w:sz w:val="14"/>
        </w:rPr>
      </w:pPr>
      <w:r>
        <w:rPr>
          <w:rFonts w:ascii="Times New Roman;sans-serif" w:hAnsi="Times New Roman;sans-serif"/>
          <w:b w:val="false"/>
          <w:color w:val="000000"/>
          <w:sz w:val="14"/>
        </w:rPr>
        <w:t>(1)Constant currency is a non-GAAP financial measure. Refer to the “Non-GAAP Financial Measures” section for additional information, including our definition and our use of constant currency, and for a reconciliation of constant currency growth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Americas</w:t>
      </w:r>
      <w:r>
        <w:rPr>
          <w:rFonts w:ascii="Times New Roman;sans-serif" w:hAnsi="Times New Roman;sans-serif"/>
          <w:b w:val="false"/>
          <w:color w:val="000000"/>
          <w:sz w:val="20"/>
        </w:rPr>
        <w:t>. For the three and six months ended June 30, 2024, the increase in revenues from the Americas was primarily driven by improvements in our business performance of $17,474 ($18,012 on a constant currency basis) and $33,322 ($33,489 on a constant currency basis), respectively.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improvements in business performance for the three and six months ended June 30, 2024 were primarily due to expansion of our subscriptions revenues from existing accounts in the U.S, partially offset by a decline in services revenues.</w:t>
      </w: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EMEA</w:t>
      </w:r>
      <w:r>
        <w:rPr>
          <w:rFonts w:ascii="Times New Roman;sans-serif" w:hAnsi="Times New Roman;sans-serif"/>
          <w:b w:val="false"/>
          <w:color w:val="000000"/>
          <w:sz w:val="20"/>
        </w:rPr>
        <w:t>. For the three and six months ended June 30, 2024, the increase in revenues from EMEA was primarily driven by improvements in our business performance of $12,421 ($12,631 on a constant currency basis) and $14,303 ($13,058 on a constant currency basis), respectively.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improvements in business performance for the three months ended June 30, 2024 were primarily due to expansion of our subscriptions revenues from existing accounts in the U.K. and the Middle East, partially offset by a decline in services revenues.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improvements in business performance for the six months ended June 30, 2024 were primarily due to expansion of our subscriptions revenues from existing accounts in the U.K., the Middle East, and Central Europe, partially offset by a decline in services revenues.</w:t>
      </w: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APAC.</w:t>
      </w:r>
      <w:r>
        <w:rPr>
          <w:color w:val="000000"/>
        </w:rPr>
        <w:t xml:space="preserve"> </w:t>
      </w:r>
      <w:r>
        <w:rPr>
          <w:rFonts w:ascii="Times New Roman;sans-serif" w:hAnsi="Times New Roman;sans-serif"/>
          <w:b w:val="false"/>
          <w:color w:val="000000"/>
          <w:sz w:val="20"/>
        </w:rPr>
        <w:t>For the three and six months ended June 30, 2024, the increase in revenues from APAC was primarily driven by improvements in our business performance of $3,693 ($4,570 on a constant currency basis) and $9,315 ($11,300 on a constant currency basis), respectively.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improvements in business performance for the three and six months ended June 30, 2024 were primarily due to expansion of our subscriptions revenues from existing accounts in Australia, India, and Southeast Asia, partially offset by declines of our subscriptions revenues from existing accounts in China.</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revenues in China for the three and six months ended June 30, 2024 decreased as compared to the same period in the prior year, primarily due to a decline in subscriptions revenues, partially offset by the expansion of our perpetual licenses revenues. The future results in China remain uncertain as a result of continued geopolitical challenges, the obstacles there to cloud</w:t>
        <w:noBreakHyphen/>
        <w:t>deployed software, and the financial timing impact of the preference there for license sales, rather than subscriptions.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Revenues</w:t>
      </w:r>
    </w:p>
    <w:tbl>
      <w:tblPr>
        <w:tblW w:w="10631" w:type="dxa"/>
        <w:jc w:val="center"/>
        <w:tblInd w:w="0" w:type="dxa"/>
        <w:tblLayout w:type="fixed"/>
        <w:tblCellMar>
          <w:top w:w="28" w:type="dxa"/>
          <w:left w:w="28" w:type="dxa"/>
          <w:bottom w:w="28" w:type="dxa"/>
          <w:right w:w="28" w:type="dxa"/>
        </w:tblCellMar>
      </w:tblPr>
      <w:tblGrid>
        <w:gridCol w:w="370"/>
        <w:gridCol w:w="325"/>
        <w:gridCol w:w="326"/>
        <w:gridCol w:w="196"/>
        <w:gridCol w:w="646"/>
        <w:gridCol w:w="109"/>
        <w:gridCol w:w="109"/>
        <w:gridCol w:w="109"/>
        <w:gridCol w:w="109"/>
        <w:gridCol w:w="196"/>
        <w:gridCol w:w="646"/>
        <w:gridCol w:w="109"/>
        <w:gridCol w:w="109"/>
        <w:gridCol w:w="109"/>
        <w:gridCol w:w="109"/>
        <w:gridCol w:w="263"/>
        <w:gridCol w:w="263"/>
        <w:gridCol w:w="241"/>
        <w:gridCol w:w="109"/>
        <w:gridCol w:w="109"/>
        <w:gridCol w:w="109"/>
        <w:gridCol w:w="263"/>
        <w:gridCol w:w="263"/>
        <w:gridCol w:w="349"/>
        <w:gridCol w:w="109"/>
        <w:gridCol w:w="109"/>
        <w:gridCol w:w="109"/>
        <w:gridCol w:w="196"/>
        <w:gridCol w:w="736"/>
        <w:gridCol w:w="109"/>
        <w:gridCol w:w="109"/>
        <w:gridCol w:w="109"/>
        <w:gridCol w:w="109"/>
        <w:gridCol w:w="196"/>
        <w:gridCol w:w="736"/>
        <w:gridCol w:w="109"/>
        <w:gridCol w:w="109"/>
        <w:gridCol w:w="109"/>
        <w:gridCol w:w="109"/>
        <w:gridCol w:w="263"/>
        <w:gridCol w:w="263"/>
        <w:gridCol w:w="241"/>
        <w:gridCol w:w="109"/>
        <w:gridCol w:w="109"/>
        <w:gridCol w:w="109"/>
        <w:gridCol w:w="263"/>
        <w:gridCol w:w="263"/>
        <w:gridCol w:w="402"/>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Change</w:t>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2349" w:type="dxa"/>
            <w:gridSpan w:val="12"/>
            <w:tcBorders/>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Constant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Constant</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Currency</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4"/>
              </w:rPr>
              <w:t>%</w:t>
            </w:r>
            <w:r>
              <w:rPr>
                <w:rFonts w:ascii="Times New Roman;sans-serif" w:hAnsi="Times New Roman;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r>
              <w:rPr>
                <w:color w:val="000000"/>
              </w:rPr>
              <w:t>   </w:t>
            </w:r>
            <w:r>
              <w:rPr>
                <w:rFonts w:ascii="Times New Roman;sans-serif" w:hAnsi="Times New Roman;sans-serif"/>
                <w:b/>
                <w:color w:val="000000"/>
                <w:sz w:val="14"/>
              </w:rPr>
              <w:t>%</w:t>
            </w:r>
            <w:r>
              <w:rPr>
                <w:rFonts w:ascii="Times New Roman;sans-serif" w:hAnsi="Times New Roman;sans-serif"/>
                <w:b/>
                <w:color w:val="000000"/>
                <w:sz w:val="9"/>
              </w:rPr>
              <w:t>(1)</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subscriptions and licenses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services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cost of revenues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63,193 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66,426 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125,023 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133,610 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both"/>
        <w:rPr>
          <w:rFonts w:ascii="Times New Roman;sans-serif" w:hAnsi="Times New Roman;sans-serif"/>
          <w:b w:val="false"/>
          <w:color w:val="000000"/>
          <w:sz w:val="14"/>
        </w:rPr>
      </w:pPr>
      <w:r>
        <w:rPr>
          <w:rFonts w:ascii="Times New Roman;sans-serif" w:hAnsi="Times New Roman;sans-serif"/>
          <w:b w:val="false"/>
          <w:color w:val="000000"/>
          <w:sz w:val="14"/>
        </w:rPr>
        <w:t>(1)Constant currency is a non-GAAP financial measure. Refer to the “Non-GAAP Financial Measures” section for additional information, including our definition and our use of constant currency, and for a reconciliation of constant currency growth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Cost of subscriptions and licenses.</w:t>
      </w:r>
      <w:r>
        <w:rPr>
          <w:color w:val="000000"/>
        </w:rPr>
        <w:t xml:space="preserve"> </w:t>
      </w:r>
      <w:r>
        <w:rPr>
          <w:rFonts w:ascii="Times New Roman;sans-serif" w:hAnsi="Times New Roman;sans-serif"/>
          <w:b w:val="false"/>
          <w:color w:val="000000"/>
          <w:sz w:val="20"/>
        </w:rPr>
        <w:t>For the three months ended June 30, 2024, on a constant currency basis, cost of subscriptions and licenses increased primarily due to an increase in cloud</w:t>
        <w:noBreakHyphen/>
        <w:t>related costs of $2,286, partially offset by a decrease in headcount</w:t>
        <w:noBreakHyphen/>
        <w:t>related costs of $830, mainly due to a decrease in stock</w:t>
        <w:noBreakHyphen/>
        <w:t>based compensation expense, partially offset by realignment expenses related to the 2023 Program.</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2024, on a constant currency basis, cost of subscriptions and licenses increased primarily due to an increase in cloud</w:t>
        <w:noBreakHyphen/>
        <w:t>related costs of $3,363. Partially offsetting the increase in cloud</w:t>
        <w:noBreakHyphen/>
        <w:t>related costs were lower amortization of capitalized costs under our Accelerated Commercial Development Program of $1,330 as compared to the same period in the prior year and a decrease in headcount</w:t>
        <w:noBreakHyphen/>
        <w:t>related costs of $1,120, mainly due to a decrease in stock</w:t>
        <w:noBreakHyphen/>
        <w:t>based compensation expense, partially offset by realignment expenses related to the 2023 Program.</w:t>
      </w: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 xml:space="preserve">Cost of services. </w:t>
      </w:r>
      <w:r>
        <w:rPr>
          <w:rFonts w:ascii="Times New Roman;sans-serif" w:hAnsi="Times New Roman;sans-serif"/>
          <w:b w:val="false"/>
          <w:color w:val="000000"/>
          <w:sz w:val="20"/>
        </w:rPr>
        <w:t>For the three and six months ended June 30, 2024, on a constant currency basis, cost of services decreased primarily due to a decrease in headcount</w:t>
        <w:noBreakHyphen/>
        <w:t>related costs of $4,439 and $9,434, respectively, mainly due to a reduction in third</w:t>
        <w:noBreakHyphen/>
        <w:t>party personnel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Expenses</w:t>
      </w:r>
    </w:p>
    <w:tbl>
      <w:tblPr>
        <w:tblW w:w="10886" w:type="dxa"/>
        <w:jc w:val="center"/>
        <w:tblInd w:w="0" w:type="dxa"/>
        <w:tblLayout w:type="fixed"/>
        <w:tblCellMar>
          <w:top w:w="28" w:type="dxa"/>
          <w:left w:w="28" w:type="dxa"/>
          <w:bottom w:w="28" w:type="dxa"/>
          <w:right w:w="28" w:type="dxa"/>
        </w:tblCellMar>
      </w:tblPr>
      <w:tblGrid>
        <w:gridCol w:w="445"/>
        <w:gridCol w:w="325"/>
        <w:gridCol w:w="326"/>
        <w:gridCol w:w="196"/>
        <w:gridCol w:w="736"/>
        <w:gridCol w:w="109"/>
        <w:gridCol w:w="109"/>
        <w:gridCol w:w="109"/>
        <w:gridCol w:w="109"/>
        <w:gridCol w:w="196"/>
        <w:gridCol w:w="736"/>
        <w:gridCol w:w="109"/>
        <w:gridCol w:w="109"/>
        <w:gridCol w:w="109"/>
        <w:gridCol w:w="109"/>
        <w:gridCol w:w="263"/>
        <w:gridCol w:w="263"/>
        <w:gridCol w:w="241"/>
        <w:gridCol w:w="109"/>
        <w:gridCol w:w="109"/>
        <w:gridCol w:w="109"/>
        <w:gridCol w:w="263"/>
        <w:gridCol w:w="263"/>
        <w:gridCol w:w="349"/>
        <w:gridCol w:w="109"/>
        <w:gridCol w:w="109"/>
        <w:gridCol w:w="109"/>
        <w:gridCol w:w="196"/>
        <w:gridCol w:w="736"/>
        <w:gridCol w:w="109"/>
        <w:gridCol w:w="109"/>
        <w:gridCol w:w="109"/>
        <w:gridCol w:w="109"/>
        <w:gridCol w:w="196"/>
        <w:gridCol w:w="736"/>
        <w:gridCol w:w="109"/>
        <w:gridCol w:w="109"/>
        <w:gridCol w:w="109"/>
        <w:gridCol w:w="109"/>
        <w:gridCol w:w="263"/>
        <w:gridCol w:w="263"/>
        <w:gridCol w:w="241"/>
        <w:gridCol w:w="109"/>
        <w:gridCol w:w="109"/>
        <w:gridCol w:w="109"/>
        <w:gridCol w:w="263"/>
        <w:gridCol w:w="263"/>
        <w:gridCol w:w="402"/>
      </w:tblGrid>
      <w:tr>
        <w:trPr/>
        <w:tc>
          <w:tcPr>
            <w:tcW w:w="44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Change</w:t>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2349" w:type="dxa"/>
            <w:gridSpan w:val="12"/>
            <w:tcBorders/>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Constant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Constant</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Currency</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4"/>
              </w:rPr>
              <w:t>%</w:t>
            </w:r>
            <w:r>
              <w:rPr>
                <w:rFonts w:ascii="Times New Roman;sans-serif" w:hAnsi="Times New Roman;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4"/>
              </w:rPr>
              <w:t>%</w:t>
            </w:r>
            <w:r>
              <w:rPr>
                <w:rFonts w:ascii="Times New Roman;sans-serif" w:hAnsi="Times New Roman;sans-serif"/>
                <w:b/>
                <w:color w:val="000000"/>
                <w:sz w:val="9"/>
              </w:rPr>
              <w:t>(1)</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17.8 </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compensation plan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purchased intangibles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(13.5 </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operating expenses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186,967 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177,018 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370,969 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358,460 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left"/>
        <w:rPr>
          <w:rFonts w:ascii="Times New Roman;sans-serif" w:hAnsi="Times New Roman;sans-serif"/>
          <w:b w:val="false"/>
          <w:color w:val="000000"/>
          <w:sz w:val="14"/>
        </w:rPr>
      </w:pPr>
      <w:r>
        <w:rPr>
          <w:rFonts w:ascii="Times New Roman;sans-serif" w:hAnsi="Times New Roman;sans-serif"/>
          <w:b w:val="false"/>
          <w:color w:val="000000"/>
          <w:sz w:val="14"/>
        </w:rPr>
        <w:t>(1)Constant currency is a non-GAAP financial measure. Refer to the “Non-GAAP Financial Measures” section for additional information, including our definition and our use of constant currency, and for a reconciliation of constant currency growth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 xml:space="preserve">Research and development. </w:t>
      </w:r>
      <w:r>
        <w:rPr>
          <w:rFonts w:ascii="Times New Roman;sans-serif" w:hAnsi="Times New Roman;sans-serif"/>
          <w:b w:val="false"/>
          <w:color w:val="000000"/>
          <w:sz w:val="20"/>
        </w:rPr>
        <w:t>For the three and six months ended June 30, 2024, on a constant currency basis, research and development expenses decreased primarily due to a decrease in headcount</w:t>
        <w:noBreakHyphen/>
        <w:t>related costs of $3,533 and $3,279, respectively, mainly due to lower separation costs and lower acquisition</w:t>
        <w:noBreakHyphen/>
        <w:t>related retention incentives. Additionally for the three months ended June 30, 2024, headcount</w:t>
        <w:noBreakHyphen/>
        <w:t>related costs further decreased due to the timing of employment taxes related to the vesting of certain awards associated with our equity incentive plans.</w:t>
      </w: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 xml:space="preserve">Selling and marketing. </w:t>
      </w:r>
      <w:r>
        <w:rPr>
          <w:rFonts w:ascii="Times New Roman;sans-serif" w:hAnsi="Times New Roman;sans-serif"/>
          <w:b w:val="false"/>
          <w:color w:val="000000"/>
          <w:sz w:val="20"/>
        </w:rPr>
        <w:t>For the three months ended June 30, 2024, on a constant currency basis, selling and marketing expenses increased primarily due to an increase in headcount</w:t>
        <w:noBreakHyphen/>
        <w:t>related costs of $2,974, mainly due to an increase in third</w:t>
        <w:noBreakHyphen/>
        <w:t>party personnel costs and higher travel</w:t>
        <w:noBreakHyphen/>
        <w:t>related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2024, on a constant currency basis, selling and marketing expenses increased primarily due to an increase in headcount</w:t>
        <w:noBreakHyphen/>
        <w:t>related costs of $6,364, mainly due to an increase in annual and other compensation costs, and an increase in third</w:t>
        <w:noBreakHyphen/>
        <w:t>party personnel costs.</w:t>
      </w: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General and administrative</w:t>
      </w:r>
      <w:r>
        <w:rPr>
          <w:rFonts w:ascii="Times New Roman;sans-serif" w:hAnsi="Times New Roman;sans-serif"/>
          <w:b w:val="false"/>
          <w:color w:val="000000"/>
          <w:sz w:val="20"/>
        </w:rPr>
        <w:t>. For the three months ended June 30, 2024, on a constant currency basis, general and administrative expenses increased primarily due to an increase in headcount</w:t>
        <w:noBreakHyphen/>
        <w:t>related costs of $7,424, mainly due to an increase in stock</w:t>
        <w:noBreakHyphen/>
        <w:t>based compensation expense, and to a lesser extent, an increase in annual and other compensation costs, as well as increased expense associated with non</w:t>
        <w:noBreakHyphen/>
        <w:t>income related taxes of $4,059. Additionally, during the three months ended June 30, 2024, we recognized approximately $2,200 of other corporate initiatives expenses, as well as approximately $2,000 of costs associated with our internal</w:t>
        <w:noBreakHyphen/>
        <w:t>use system implementations.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2024, on a constant currency basis, general and administrative expenses increased primarily due to an increase in headcount</w:t>
        <w:noBreakHyphen/>
        <w:t>related costs of $6,884, mainly due to an increase in stock</w:t>
        <w:noBreakHyphen/>
        <w:t>based compensation expense, and to a lesser extent, an increase in annual and other compensation costs, as well as increased expense associated with non</w:t>
        <w:noBreakHyphen/>
        <w:t>income related taxes of $4,317. Additionally, during the six months ended June 30, 2024, we recognized approximately $3,500 of costs associated with our internal</w:t>
        <w:noBreakHyphen/>
        <w:t>use system implementations, as well as approximately $2,200 of other corporate initiatives expenses. Partially offsetting these increases were lower acquisition costs of $4,964 and income of $1,940 recorded during the six months ended June 30, 2023 due to the continued wind down of our Russian entities since we exited operations beginning in the second quarter of 2022.</w:t>
      </w: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Deferred compensation plan</w:t>
      </w:r>
      <w:r>
        <w:rPr>
          <w:rFonts w:ascii="Times New Roman;sans-serif" w:hAnsi="Times New Roman;sans-serif"/>
          <w:b w:val="false"/>
          <w:color w:val="000000"/>
          <w:sz w:val="20"/>
        </w:rPr>
        <w:t>. For the three and six months ended June 30, 2024 and 2023, deferred compensation plan expense was attributable to the marked to market impact on deferred compensation plan liability balances period over period.</w:t>
      </w: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Amortization of purchased intangibles.</w:t>
      </w:r>
      <w:r>
        <w:rPr>
          <w:color w:val="000000"/>
        </w:rPr>
        <w:t xml:space="preserve"> </w:t>
      </w:r>
      <w:r>
        <w:rPr>
          <w:rFonts w:ascii="Times New Roman;sans-serif" w:hAnsi="Times New Roman;sans-serif"/>
          <w:b w:val="false"/>
          <w:color w:val="000000"/>
          <w:sz w:val="20"/>
        </w:rPr>
        <w:t>For the three and six months ended June 30, 2024, on a constant currency basis, amortization of purchased intangibles decreased primarily due to previously acquired intangible assets that continue to become fully amortized and lower acquisition activity as compared to prior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Expense, Net</w:t>
      </w:r>
    </w:p>
    <w:tbl>
      <w:tblPr>
        <w:tblW w:w="8967" w:type="dxa"/>
        <w:jc w:val="center"/>
        <w:tblInd w:w="0" w:type="dxa"/>
        <w:tblLayout w:type="fixed"/>
        <w:tblCellMar>
          <w:top w:w="28" w:type="dxa"/>
          <w:left w:w="28" w:type="dxa"/>
          <w:bottom w:w="28" w:type="dxa"/>
          <w:right w:w="28" w:type="dxa"/>
        </w:tblCellMar>
      </w:tblPr>
      <w:tblGrid>
        <w:gridCol w:w="564"/>
        <w:gridCol w:w="496"/>
        <w:gridCol w:w="499"/>
        <w:gridCol w:w="196"/>
        <w:gridCol w:w="631"/>
        <w:gridCol w:w="109"/>
        <w:gridCol w:w="109"/>
        <w:gridCol w:w="109"/>
        <w:gridCol w:w="109"/>
        <w:gridCol w:w="196"/>
        <w:gridCol w:w="631"/>
        <w:gridCol w:w="109"/>
        <w:gridCol w:w="109"/>
        <w:gridCol w:w="109"/>
        <w:gridCol w:w="109"/>
        <w:gridCol w:w="263"/>
        <w:gridCol w:w="263"/>
        <w:gridCol w:w="357"/>
        <w:gridCol w:w="109"/>
        <w:gridCol w:w="109"/>
        <w:gridCol w:w="109"/>
        <w:gridCol w:w="196"/>
        <w:gridCol w:w="721"/>
        <w:gridCol w:w="109"/>
        <w:gridCol w:w="109"/>
        <w:gridCol w:w="109"/>
        <w:gridCol w:w="109"/>
        <w:gridCol w:w="196"/>
        <w:gridCol w:w="721"/>
        <w:gridCol w:w="109"/>
        <w:gridCol w:w="109"/>
        <w:gridCol w:w="109"/>
        <w:gridCol w:w="109"/>
        <w:gridCol w:w="278"/>
        <w:gridCol w:w="278"/>
        <w:gridCol w:w="410"/>
      </w:tblGrid>
      <w:tr>
        <w:trPr/>
        <w:tc>
          <w:tcPr>
            <w:tcW w:w="56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127.9 </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(20,576)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(43.5 </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2024, interest expense, net decreased primarily due to lower weighted average debt outstanding, as compared to the same period in the prior year, primarily related to the pay down of our revolving loan borrowings under the Credit Facility in January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Other Income, Net</w:t>
      </w:r>
    </w:p>
    <w:tbl>
      <w:tblPr>
        <w:tblW w:w="8189" w:type="dxa"/>
        <w:jc w:val="center"/>
        <w:tblInd w:w="0" w:type="dxa"/>
        <w:tblLayout w:type="fixed"/>
        <w:tblCellMar>
          <w:top w:w="28" w:type="dxa"/>
          <w:left w:w="28" w:type="dxa"/>
          <w:bottom w:w="28" w:type="dxa"/>
          <w:right w:w="28" w:type="dxa"/>
        </w:tblCellMar>
      </w:tblPr>
      <w:tblGrid>
        <w:gridCol w:w="1238"/>
        <w:gridCol w:w="1087"/>
        <w:gridCol w:w="1094"/>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23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gain from:</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interest rate swap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Foreign exchange </w:t>
            </w:r>
            <w:r>
              <w:rPr>
                <w:rFonts w:ascii="Times New Roman;sans-serif" w:hAnsi="Times New Roman;sans-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Receipts related to interest rate swap</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income (expense), net </w:t>
            </w:r>
            <w:r>
              <w:rPr>
                <w:rFonts w:ascii="Times New Roman;sans-serif" w:hAnsi="Times New Roman;sans-serif"/>
                <w:b w:val="false"/>
                <w:color w:val="000000"/>
                <w:sz w:val="13"/>
              </w:rPr>
              <w:t>(2)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(1)Foreign exchange (loss) gain is primarily attributable to foreign currency translation derived mainly from U.S. dollar denominated cash and cash equivalents, account receivables, customer deposits, and intercompany balances held by foreign subsidiaries. Intercompany finance transactions primarily denominated in U.S. dollars resulted in unrealized foreign exchange (losses) gains of $(37) and $1,397 for the three months ended June 30, 2024 and 2023, respectively, and $(431) and $2,258 for the six months ended June 30, 2024 and 2023, respectively.</w:t>
      </w:r>
    </w:p>
    <w:p>
      <w:pPr>
        <w:pStyle w:val="TextBody"/>
        <w:bidi w:val="0"/>
        <w:spacing w:lineRule="auto" w:line="288" w:before="0" w:after="24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(2)Other income (expense), net includes investment impairment charges of $(7,318) for the three and six months ended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Provision (Benefit) for Income Taxes</w:t>
      </w:r>
    </w:p>
    <w:tbl>
      <w:tblPr>
        <w:tblW w:w="8957" w:type="dxa"/>
        <w:jc w:val="center"/>
        <w:tblInd w:w="0" w:type="dxa"/>
        <w:tblLayout w:type="fixed"/>
        <w:tblCellMar>
          <w:top w:w="28" w:type="dxa"/>
          <w:left w:w="28" w:type="dxa"/>
          <w:bottom w:w="28" w:type="dxa"/>
          <w:right w:w="28" w:type="dxa"/>
        </w:tblCellMar>
      </w:tblPr>
      <w:tblGrid>
        <w:gridCol w:w="1091"/>
        <w:gridCol w:w="957"/>
        <w:gridCol w:w="966"/>
        <w:gridCol w:w="211"/>
        <w:gridCol w:w="721"/>
        <w:gridCol w:w="271"/>
        <w:gridCol w:w="109"/>
        <w:gridCol w:w="109"/>
        <w:gridCol w:w="109"/>
        <w:gridCol w:w="211"/>
        <w:gridCol w:w="721"/>
        <w:gridCol w:w="271"/>
        <w:gridCol w:w="109"/>
        <w:gridCol w:w="109"/>
        <w:gridCol w:w="109"/>
        <w:gridCol w:w="211"/>
        <w:gridCol w:w="826"/>
        <w:gridCol w:w="271"/>
        <w:gridCol w:w="109"/>
        <w:gridCol w:w="109"/>
        <w:gridCol w:w="109"/>
        <w:gridCol w:w="211"/>
        <w:gridCol w:w="721"/>
        <w:gridCol w:w="316"/>
      </w:tblGrid>
      <w:tr>
        <w:trPr/>
        <w:tc>
          <w:tcPr>
            <w:tcW w:w="1091"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77,357 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44,786 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169,905 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99,768 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2024, the effective tax rate was higher compared to the same period in the prior year primarily due to the impact of the decrease in discrete tax benefits recognized in the current year period. For the three months ended June 30, 2024 and 2023, we recorded discrete tax benefits of $18,543 and $20,394, respectively, and $20,681 and $27,467 for the six months ended June 30, 2024 and 2023, respectively, primarily associated with windfall tax benefits from stock</w:t>
        <w:noBreakHyphen/>
        <w:t>based compensation, net of the impact from officer compensation limitation provisions.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Key Business Metrics: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our results of operations discussed above, we believe the following presentation of key business metrics provides additional useful information to investors regarding our results of operations. To the extent material, we disclose below the additional purposes, if any, for which our management uses these key business metrics. Our key business metrics may vary significantly from period to period for reasons unrelated to our operating performance and may differ from similarly titled measures presented by other companies.</w:t>
      </w:r>
    </w:p>
    <w:tbl>
      <w:tblPr>
        <w:tblW w:w="7457" w:type="dxa"/>
        <w:jc w:val="center"/>
        <w:tblInd w:w="0" w:type="dxa"/>
        <w:tblLayout w:type="fixed"/>
        <w:tblCellMar>
          <w:top w:w="28" w:type="dxa"/>
          <w:left w:w="28" w:type="dxa"/>
          <w:bottom w:w="28" w:type="dxa"/>
          <w:right w:w="28" w:type="dxa"/>
        </w:tblCellMar>
      </w:tblPr>
      <w:tblGrid>
        <w:gridCol w:w="1506"/>
        <w:gridCol w:w="1322"/>
        <w:gridCol w:w="1341"/>
        <w:gridCol w:w="211"/>
        <w:gridCol w:w="976"/>
        <w:gridCol w:w="271"/>
        <w:gridCol w:w="109"/>
        <w:gridCol w:w="109"/>
        <w:gridCol w:w="109"/>
        <w:gridCol w:w="211"/>
        <w:gridCol w:w="976"/>
        <w:gridCol w:w="316"/>
      </w:tblGrid>
      <w:tr>
        <w:trPr/>
        <w:tc>
          <w:tcPr>
            <w:tcW w:w="1506"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1,215,910 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1,105,914 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Last twelve-months recurring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1,162,849 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1,041,941 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Twelve-months ended constant currency </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ARR growth rate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 retention rate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Recurring revenues dollar-based net retention rate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(1)Constant currency is a non-GAAP financial measure. Refer to the “Non-GAAP Financial Measures” section for additional information, including our definition and our use of constant currency.</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Recurring Revenues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Recurring revenues are the basis for our other revenue-related key business metrics. We believe this measure is useful in evaluating our ability to consistently retain and grow our revenues within our existing accounts.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Recurring revenues are subscriptions revenues that recur monthly, quarterly, or annually with specific or automatic renewal clauses and professional services revenues in which the underlying contract is based on a fixed fee and contains automatic annual renewal provisions.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ARR</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ARR is a key business metric that we believe is useful in evaluating the scale and growth of our business as well as to assist in the evaluation of underlying trends in our business. Furthermore, we believe ARR, considered in connection with our last twelve</w:t>
        <w:noBreakHyphen/>
        <w:t>month recurring revenues dollar</w:t>
        <w:noBreakHyphen/>
        <w:t>based net retention rate, is a leading indicator of revenue growth.</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ARR is defined as the sum of the annualized value of our portfolio of contracts that produce recurring revenues as of the last day of the reporting period, and the annualized value of the last three months of recognized revenues for our contractually recurring consumption</w:t>
        <w:noBreakHyphen/>
        <w:t>based software subscriptions with consumption measurement durations of less than one year, calculated using the spot foreign currency exchange rates. We believe that the last three months of recognized revenues, on an annualized basis, for our recurring software subscriptions with consumption measurement period durations of less than one year is a reasonable estimate of the annual revenues, given our consistently high retention rate and stability of usage under such subscriptions.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ARR resulting from the annualization of recurring contracts with consumption measurement durations of less than one year, as a percentage of total ARR, was 49% and 45% as of June 30, 2024 and 2023, respectively, with our E365 subscription offering representing 43% and 38% of total ARR as of June 30, 2024 and 2023, respectively.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Constant currency ARR growth rate is the growth rate of ARR measured on a constant currency basis. In reporting period</w:t>
        <w:noBreakHyphen/>
        <w:t>over</w:t>
        <w:noBreakHyphen/>
        <w:t>period ARR growth rates in constant currency, we calculate constant currency growth rates by translating current and prior period ARR on a transactional basis to our reporting currency using current year budget exchange rates. We believe that ARR growth is an important metric indicating the scale and growth of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Last Twelve</w:t>
        <w:noBreakHyphen/>
        <w:t>Months Recurring Revenues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Last twelve</w:t>
        <w:noBreakHyphen/>
        <w:t>month recurring revenues is a key business metric that we believe is useful in evaluating our ability to consistently retain and grow our recurring revenues. We believe that we will continue to experience favorable growth in recurring revenues primarily due to our strong account retention and recurring revenues dollar</w:t>
        <w:noBreakHyphen/>
        <w:t>based net retention rates, as well as the addition of new accounts with recurring revenues.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Last twelve</w:t>
        <w:noBreakHyphen/>
        <w:t>months recurring revenues is calculated as recurring revenues recognized over the preceding twelve</w:t>
        <w:noBreakHyphen/>
        <w:t>month period.</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last twelve</w:t>
        <w:noBreakHyphen/>
        <w:t>months recurring revenues for the periods ended June 30, 2024 compared to the last twelve</w:t>
        <w:noBreakHyphen/>
        <w:t>months of the comparative twelve</w:t>
        <w:noBreakHyphen/>
        <w:t>month period increased by $120,908. This increase was primarily due to growth in ARR, which is primarily the result of growing our recurring revenues within our existing accounts as expressed in our recurring revenues dollar</w:t>
        <w:noBreakHyphen/>
        <w:t>based net retention rate, as well as additional recurring revenues resulting from new accounts and acquisitions. For the twelve months ended June 30, 2024 and 2023, 90% and 89%, respectively, of our revenues were recurring revenues.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Account Retention Rate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Account retention rate is a key business metric that we believe is useful in evaluating the long</w:t>
        <w:noBreakHyphen/>
        <w:t>term value of our account relationships and our ability to retain our account base. We believe that our consistent and high account retention rates illustrate our ability to retain and cultivate long</w:t>
        <w:noBreakHyphen/>
        <w:t>term relationships with our accounts.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Account retention rate for any given twelve-month period is calculated using the average foreign currency exchange rates for the prior period, as follows: the prior period recurring revenues from all accounts with recurring revenues in the current and prior period, divided by total recurring revenues from all accounts during the prior period.</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Recurring Revenues Dollar</w:t>
        <w:noBreakHyphen/>
        <w:t>Based Net Retention Rate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Recurring revenues dollar</w:t>
        <w:noBreakHyphen/>
        <w:t>based net retention rate is a key business metric that we believe is useful in evaluating our ability to consistently retain and grow our recurring revenues.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Recurring revenues dollar</w:t>
        <w:noBreakHyphen/>
        <w:t>based net retention rate is calculated, using the average exchange rates for the prior period, as follows: the recurring revenues for the current period, including any growth or reductions from existing accounts, but excluding recurring revenues from any new accounts added during the current period, divided by the total recurring revenues from all accounts during the prior period. A period is defined as any trailing twelve months. Related to our platform acquisitions, recurring revenues into new accounts will be captured as existing accounts starting with the second anniversary of the acquisition when such data conforms to the calculation methodology. This may cause variability in the comparison.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Given that recurring revenues represented 90% and 89% of our total revenues for the twelve months ended June 30, 2024 and 2023, respectively, this metric helps explain our revenue performance as primarily growth from existing accounts.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our results determined in accordance with GAAP discussed above, we believe the following presentation of financial measures not in accordance with GAAP provides useful information to investors regarding our results of operations. To the extent material, we disclose below the additional purposes, if any, for which our management uses these non</w:t>
        <w:noBreakHyphen/>
        <w:t>GAAP financial measures and provide reconciliations between these non</w:t>
        <w:noBreakHyphen/>
        <w:t>GAAP financial measures and their most directly comparable GAAP financial measures. Non</w:t>
        <w:noBreakHyphen/>
        <w:t>GAAP financial information should be considered in addition to, not as a substitute for, or in isolation from, the financial information prepared in accordance with GAAP, including operating income, or other measures of performance. Our non</w:t>
        <w:noBreakHyphen/>
        <w:t>GAAP financial measures may vary significantly from period to period for reasons unrelated to our operating performance and may differ from similarly titled measures presented by other companies.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Adjusted OI w/SBC</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OI w/SBC is a non-GAAP financial measure and is used to measure the operational strength and performance of our business, as well as to assist in the evaluation of underlying trends in our business.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OI w/SBC is our primary performance measure, which excludes certain expenses and charges, including the non-cash amortization expense resulting from the acquisition of intangible assets, as we believe these may not be indicative of our core business operating results. We intentionally include stock-based compensation expense in this measure as we believe it better captures the economic costs of our business.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uses this non-GAAP financial measure to understand and compare operating results across accounting periods, for internal budgeting and forecasting purposes, to evaluate financial performance, and in our comparison of our financial results to those of other companies. It is also a significant performance measure in certain of our executive incentive compensation programs.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OI w/SBC is defined as operating income adjusted for the following: amortization of purchased intangibles, expense (income) relating to deferred compensation plan liabilities, acquisition expenses, and realignment expenses (income), for the respective periods.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Adjusted Operating Income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operating income is a non-GAAP financial measure that we believe is useful to investors in making comparisons to other companies, although this measure may not be directly comparable to similar measures used by other companies.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operating income is defined as operating income adjusted for the following: amortization of purchased intangibles, expense (income) relating to deferred compensation plan liabilities, acquisition expenses, realignment expenses (income), and stock</w:t>
        <w:noBreakHyphen/>
        <w:t>based compensation expense, for the respective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Reconciliation of operating income to Adjusted OI w/SBC and to Adjusted operating income:</w:t>
      </w:r>
    </w:p>
    <w:tbl>
      <w:tblPr>
        <w:tblW w:w="8954" w:type="dxa"/>
        <w:jc w:val="center"/>
        <w:tblInd w:w="0" w:type="dxa"/>
        <w:tblLayout w:type="fixed"/>
        <w:tblCellMar>
          <w:top w:w="28" w:type="dxa"/>
          <w:left w:w="28" w:type="dxa"/>
          <w:bottom w:w="28" w:type="dxa"/>
          <w:right w:w="28" w:type="dxa"/>
        </w:tblCellMar>
      </w:tblPr>
      <w:tblGrid>
        <w:gridCol w:w="1248"/>
        <w:gridCol w:w="1097"/>
        <w:gridCol w:w="1104"/>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Amortization of purchased intangibles </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Deferred compensation plan </w:t>
            </w:r>
            <w:r>
              <w:rPr>
                <w:rFonts w:ascii="Times New Roman;sans-serif" w:hAnsi="Times New Roman;sans-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Acquisition expenses </w:t>
            </w:r>
            <w:r>
              <w:rPr>
                <w:rFonts w:ascii="Times New Roman;sans-serif" w:hAnsi="Times New Roman;sans-serif"/>
                <w:b w:val="false"/>
                <w:color w:val="000000"/>
                <w:sz w:val="13"/>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Realignment expenses (income) </w:t>
            </w:r>
            <w:r>
              <w:rPr>
                <w:rFonts w:ascii="Times New Roman;sans-serif" w:hAnsi="Times New Roman;sans-serif"/>
                <w:b w:val="false"/>
                <w:color w:val="000000"/>
                <w:sz w:val="13"/>
              </w:rPr>
              <w:t>(4)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OI w/SBC</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Stock-based compensation expense </w:t>
            </w:r>
            <w:r>
              <w:rPr>
                <w:rFonts w:ascii="Times New Roman;sans-serif" w:hAnsi="Times New Roman;sans-serif"/>
                <w:b w:val="false"/>
                <w:color w:val="000000"/>
                <w:sz w:val="13"/>
              </w:rPr>
              <w:t>(5)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operating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200,589 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Further explanation of certain of our adjustments in arriving at Adjusted OI w/SBC and Adjusted operating income are as follows:</w:t>
      </w:r>
    </w:p>
    <w:p>
      <w:pPr>
        <w:pStyle w:val="TextBody"/>
        <w:bidi w:val="0"/>
        <w:spacing w:lineRule="auto" w:line="288" w:before="0" w:after="120"/>
        <w:ind w:left="0" w:right="0" w:hanging="360"/>
        <w:jc w:val="both"/>
        <w:rPr/>
      </w:pPr>
      <w:r>
        <w:rPr>
          <w:rFonts w:ascii="Times New Roman;sans-serif" w:hAnsi="Times New Roman;sans-serif"/>
          <w:b w:val="false"/>
          <w:color w:val="000000"/>
          <w:sz w:val="18"/>
        </w:rPr>
        <w:t>(1)</w:t>
      </w:r>
      <w:r>
        <w:rPr>
          <w:rFonts w:ascii="Times New Roman;sans-serif" w:hAnsi="Times New Roman;sans-serif"/>
          <w:b w:val="false"/>
          <w:i/>
          <w:color w:val="000000"/>
          <w:sz w:val="18"/>
        </w:rPr>
        <w:t>Amortization of purchased intangibles</w:t>
      </w:r>
      <w:r>
        <w:rPr>
          <w:rFonts w:ascii="Times New Roman;sans-serif" w:hAnsi="Times New Roman;sans-serif"/>
          <w:b w:val="false"/>
          <w:color w:val="000000"/>
          <w:sz w:val="18"/>
        </w:rPr>
        <w:t>. Amortization of purchased intangibles varies in amount and frequency and is significantly impacted by the timing and size of our acquisitions. Management finds it useful to exclude these non</w:t>
        <w:noBreakHyphen/>
        <w:t>cash charges from our operating expenses to assist in budgeting, planning, and forecasting future periods. The use of intangible assets contributed to our revenues earned during the periods presented and will also contribute to our revenues in future periods. Amortization of purchased intangible assets will recur in future periods.</w:t>
      </w:r>
    </w:p>
    <w:p>
      <w:pPr>
        <w:pStyle w:val="TextBody"/>
        <w:bidi w:val="0"/>
        <w:spacing w:lineRule="auto" w:line="288" w:before="0" w:after="120"/>
        <w:ind w:left="0" w:right="0" w:hanging="360"/>
        <w:jc w:val="both"/>
        <w:rPr/>
      </w:pPr>
      <w:r>
        <w:rPr>
          <w:rFonts w:ascii="Times New Roman;sans-serif" w:hAnsi="Times New Roman;sans-serif"/>
          <w:b w:val="false"/>
          <w:color w:val="000000"/>
          <w:sz w:val="18"/>
        </w:rPr>
        <w:t>(2)</w:t>
      </w:r>
      <w:r>
        <w:rPr>
          <w:rFonts w:ascii="Times New Roman;sans-serif" w:hAnsi="Times New Roman;sans-serif"/>
          <w:b w:val="false"/>
          <w:i/>
          <w:color w:val="000000"/>
          <w:sz w:val="18"/>
        </w:rPr>
        <w:t>Deferred compensation plan</w:t>
      </w:r>
      <w:r>
        <w:rPr>
          <w:rFonts w:ascii="Times New Roman;sans-serif" w:hAnsi="Times New Roman;sans-serif"/>
          <w:b w:val="false"/>
          <w:color w:val="000000"/>
          <w:sz w:val="18"/>
        </w:rPr>
        <w:t xml:space="preserve">. We exclude </w:t>
      </w:r>
      <w:r>
        <w:rPr>
          <w:rFonts w:ascii="Times New Roman;sans-serif" w:hAnsi="Times New Roman;sans-serif"/>
          <w:b w:val="false"/>
          <w:i/>
          <w:color w:val="000000"/>
          <w:sz w:val="18"/>
        </w:rPr>
        <w:t>Deferred compensation plan</w:t>
      </w:r>
      <w:r>
        <w:rPr>
          <w:color w:val="000000"/>
        </w:rPr>
        <w:t xml:space="preserve"> </w:t>
      </w:r>
      <w:r>
        <w:rPr>
          <w:rFonts w:ascii="Times New Roman;sans-serif" w:hAnsi="Times New Roman;sans-serif"/>
          <w:b w:val="false"/>
          <w:color w:val="000000"/>
          <w:sz w:val="18"/>
        </w:rPr>
        <w:t xml:space="preserve">expense (income) when we evaluate our continuing operational performance because it is not reflective of our ongoing business and results of operation. We believe it is useful for investors to understand the effects of this item on our total operating expenses. Deferred compensation plan liabilities are marked to market at the end of each reporting period, with changes in the liabilities recorded as an expense (income) to </w:t>
      </w:r>
      <w:r>
        <w:rPr>
          <w:rFonts w:ascii="Times New Roman;sans-serif" w:hAnsi="Times New Roman;sans-serif"/>
          <w:b w:val="false"/>
          <w:i/>
          <w:color w:val="000000"/>
          <w:sz w:val="18"/>
        </w:rPr>
        <w:t>Deferred compensation plan</w:t>
      </w:r>
      <w:r>
        <w:rPr>
          <w:color w:val="000000"/>
        </w:rPr>
        <w:t xml:space="preserve"> </w:t>
      </w:r>
      <w:r>
        <w:rPr>
          <w:rFonts w:ascii="Times New Roman;sans-serif" w:hAnsi="Times New Roman;sans-serif"/>
          <w:b w:val="false"/>
          <w:color w:val="000000"/>
          <w:sz w:val="18"/>
        </w:rPr>
        <w:t>in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360"/>
        <w:jc w:val="both"/>
        <w:rPr/>
      </w:pPr>
      <w:r>
        <w:rPr>
          <w:rFonts w:ascii="Times New Roman;sans-serif" w:hAnsi="Times New Roman;sans-serif"/>
          <w:b w:val="false"/>
          <w:color w:val="000000"/>
          <w:sz w:val="18"/>
        </w:rPr>
        <w:t>(3)</w:t>
      </w:r>
      <w:r>
        <w:rPr>
          <w:rFonts w:ascii="Times New Roman;sans-serif" w:hAnsi="Times New Roman;sans-serif"/>
          <w:b w:val="false"/>
          <w:i/>
          <w:color w:val="000000"/>
          <w:sz w:val="18"/>
        </w:rPr>
        <w:t>Acquisition expenses</w:t>
      </w:r>
      <w:r>
        <w:rPr>
          <w:rFonts w:ascii="Times New Roman;sans-serif" w:hAnsi="Times New Roman;sans-serif"/>
          <w:b w:val="false"/>
          <w:color w:val="000000"/>
          <w:sz w:val="18"/>
        </w:rPr>
        <w:t>. We incur expenses for professional services rendered in connection with business combinations, which are included in our GAAP presentation of general and administrative expense (see Note 4 to our consolidated financial statements included in Part I, Item 1 of this Quarterly Report on Form 10</w:t>
        <w:noBreakHyphen/>
        <w:t>Q). Also included in our acquisition expenses are retention incentives paid to executives of the acquired companies. We exclude these acquisition expenses when we evaluate our continuing operational performance as we would not have otherwise incurred these expenses in the periods presented as part of our continuing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360"/>
        <w:jc w:val="both"/>
        <w:rPr/>
      </w:pPr>
      <w:r>
        <w:rPr>
          <w:rFonts w:ascii="Times New Roman;sans-serif" w:hAnsi="Times New Roman;sans-serif"/>
          <w:b w:val="false"/>
          <w:color w:val="000000"/>
          <w:sz w:val="18"/>
        </w:rPr>
        <w:t>(4)</w:t>
      </w:r>
      <w:r>
        <w:rPr>
          <w:rFonts w:ascii="Times New Roman;sans-serif" w:hAnsi="Times New Roman;sans-serif"/>
          <w:b w:val="false"/>
          <w:i/>
          <w:color w:val="000000"/>
          <w:sz w:val="18"/>
        </w:rPr>
        <w:t>Realignment expenses (income)</w:t>
      </w:r>
      <w:r>
        <w:rPr>
          <w:rFonts w:ascii="Times New Roman;sans-serif" w:hAnsi="Times New Roman;sans-serif"/>
          <w:b w:val="false"/>
          <w:color w:val="000000"/>
          <w:sz w:val="18"/>
        </w:rPr>
        <w:t xml:space="preserve">. We exclude these charges and subsequent adjustments to our estimates when we evaluate our continuing operational performance because they are not reflective of our ongoing business and results of operations. We believe it is useful for investors to understand the effects of these items on our total operating expenses. For the three and six months ended June 30, 2024, </w:t>
      </w:r>
      <w:r>
        <w:rPr>
          <w:rFonts w:ascii="Times New Roman;sans-serif" w:hAnsi="Times New Roman;sans-serif"/>
          <w:b w:val="false"/>
          <w:i/>
          <w:color w:val="000000"/>
          <w:sz w:val="18"/>
        </w:rPr>
        <w:t>Realignment expenses</w:t>
      </w:r>
      <w:r>
        <w:rPr>
          <w:color w:val="000000"/>
        </w:rPr>
        <w:t xml:space="preserve"> </w:t>
      </w:r>
      <w:r>
        <w:rPr>
          <w:rFonts w:ascii="Times New Roman;sans-serif" w:hAnsi="Times New Roman;sans-serif"/>
          <w:b w:val="false"/>
          <w:color w:val="000000"/>
          <w:sz w:val="18"/>
        </w:rPr>
        <w:t xml:space="preserve">were primarily associated with the 2023 Program. For the three and six months ended June 30, 2023, </w:t>
      </w:r>
      <w:r>
        <w:rPr>
          <w:rFonts w:ascii="Times New Roman;sans-serif" w:hAnsi="Times New Roman;sans-serif"/>
          <w:b w:val="false"/>
          <w:i/>
          <w:color w:val="000000"/>
          <w:sz w:val="18"/>
        </w:rPr>
        <w:t>Realignment expenses (income)</w:t>
      </w:r>
      <w:r>
        <w:rPr>
          <w:color w:val="000000"/>
        </w:rPr>
        <w:t xml:space="preserve"> </w:t>
      </w:r>
      <w:r>
        <w:rPr>
          <w:rFonts w:ascii="Times New Roman;sans-serif" w:hAnsi="Times New Roman;sans-serif"/>
          <w:b w:val="false"/>
          <w:color w:val="000000"/>
          <w:sz w:val="18"/>
        </w:rPr>
        <w:t>was associated with the continued wind down of our Russian entities since we exited operations beginning in the second quarter of 2022.</w:t>
      </w:r>
    </w:p>
    <w:p>
      <w:pPr>
        <w:pStyle w:val="TextBody"/>
        <w:bidi w:val="0"/>
        <w:spacing w:lineRule="auto" w:line="288" w:before="0" w:after="240"/>
        <w:ind w:left="0" w:right="0" w:hanging="360"/>
        <w:jc w:val="both"/>
        <w:rPr/>
      </w:pPr>
      <w:r>
        <w:rPr>
          <w:rFonts w:ascii="Times New Roman;sans-serif" w:hAnsi="Times New Roman;sans-serif"/>
          <w:b w:val="false"/>
          <w:color w:val="000000"/>
          <w:sz w:val="18"/>
        </w:rPr>
        <w:t>(5)</w:t>
      </w:r>
      <w:r>
        <w:rPr>
          <w:rFonts w:ascii="Times New Roman;sans-serif" w:hAnsi="Times New Roman;sans-serif"/>
          <w:b w:val="false"/>
          <w:i/>
          <w:color w:val="000000"/>
          <w:sz w:val="18"/>
        </w:rPr>
        <w:t>Stock</w:t>
        <w:noBreakHyphen/>
        <w:t>based compensation expense</w:t>
      </w:r>
      <w:r>
        <w:rPr>
          <w:rFonts w:ascii="Times New Roman;sans-serif" w:hAnsi="Times New Roman;sans-serif"/>
          <w:b w:val="false"/>
          <w:color w:val="000000"/>
          <w:sz w:val="18"/>
        </w:rPr>
        <w:t>. We exclude non-cash stock</w:t>
        <w:noBreakHyphen/>
        <w:t>based compensation expenses from certain of our non</w:t>
        <w:noBreakHyphen/>
        <w:t>GAAP measures because we believe this is useful to investors in making comparisons to other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Constant Currency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Constant currency and constant currency growth rates are non-GAAP financial measures that present our results of operations excluding the estimated effects of foreign currency exchange rate fluctuations. A significant amount of our operations is conducted in foreign currencies. As a result, the comparability of the financial results reported in U.S. dollars is affected by changes in foreign currency exchange rates. We use constant currency and constant currency growth rates to evaluate the underlying performance of the business, and we believe it is helpful for investors to present operating results on a comparable basis period over period to evaluate its underlying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reporting period</w:t>
        <w:noBreakHyphen/>
        <w:t>over</w:t>
        <w:noBreakHyphen/>
        <w:t>period results, except for ARR as discussed above in “Key Business Metrics” section, we calculate the effects of foreign currency fluctuations and constant currency information by translating current and prior period results on a transactional basis to our reporting currency using prior period average foreign currency exchange rates in which the transactions occurred.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Reconciliation of consolidated revenues to consolidated revenues in constant currency:</w:t>
      </w:r>
    </w:p>
    <w:tbl>
      <w:tblPr>
        <w:tblW w:w="10205" w:type="dxa"/>
        <w:jc w:val="center"/>
        <w:tblInd w:w="0" w:type="dxa"/>
        <w:tblLayout w:type="fixed"/>
        <w:tblCellMar>
          <w:top w:w="28" w:type="dxa"/>
          <w:left w:w="28" w:type="dxa"/>
          <w:bottom w:w="28" w:type="dxa"/>
          <w:right w:w="28" w:type="dxa"/>
        </w:tblCellMar>
      </w:tblPr>
      <w:tblGrid>
        <w:gridCol w:w="501"/>
        <w:gridCol w:w="441"/>
        <w:gridCol w:w="442"/>
        <w:gridCol w:w="211"/>
        <w:gridCol w:w="826"/>
        <w:gridCol w:w="109"/>
        <w:gridCol w:w="109"/>
        <w:gridCol w:w="109"/>
        <w:gridCol w:w="109"/>
        <w:gridCol w:w="288"/>
        <w:gridCol w:w="841"/>
        <w:gridCol w:w="148"/>
        <w:gridCol w:w="109"/>
        <w:gridCol w:w="109"/>
        <w:gridCol w:w="109"/>
        <w:gridCol w:w="220"/>
        <w:gridCol w:w="864"/>
        <w:gridCol w:w="113"/>
        <w:gridCol w:w="109"/>
        <w:gridCol w:w="109"/>
        <w:gridCol w:w="109"/>
        <w:gridCol w:w="211"/>
        <w:gridCol w:w="826"/>
        <w:gridCol w:w="109"/>
        <w:gridCol w:w="109"/>
        <w:gridCol w:w="109"/>
        <w:gridCol w:w="109"/>
        <w:gridCol w:w="297"/>
        <w:gridCol w:w="720"/>
        <w:gridCol w:w="153"/>
        <w:gridCol w:w="109"/>
        <w:gridCol w:w="109"/>
        <w:gridCol w:w="109"/>
        <w:gridCol w:w="220"/>
        <w:gridCol w:w="862"/>
        <w:gridCol w:w="168"/>
      </w:tblGrid>
      <w:tr>
        <w:trPr/>
        <w:tc>
          <w:tcPr>
            <w:tcW w:w="50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r>
      <w:tr>
        <w:trPr/>
        <w:tc>
          <w:tcPr>
            <w:tcW w:w="1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Foreign Exchange at 2023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Foreign Exchange at 2023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 Currency</w:t>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298,521 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258,912 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Perpetual licenses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 and licenses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309,515 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270,621 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330,337 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331,608 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296,395 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507"/>
        <w:gridCol w:w="446"/>
        <w:gridCol w:w="447"/>
        <w:gridCol w:w="211"/>
        <w:gridCol w:w="826"/>
        <w:gridCol w:w="109"/>
        <w:gridCol w:w="109"/>
        <w:gridCol w:w="109"/>
        <w:gridCol w:w="109"/>
        <w:gridCol w:w="324"/>
        <w:gridCol w:w="716"/>
        <w:gridCol w:w="170"/>
        <w:gridCol w:w="109"/>
        <w:gridCol w:w="109"/>
        <w:gridCol w:w="109"/>
        <w:gridCol w:w="221"/>
        <w:gridCol w:w="868"/>
        <w:gridCol w:w="114"/>
        <w:gridCol w:w="109"/>
        <w:gridCol w:w="109"/>
        <w:gridCol w:w="109"/>
        <w:gridCol w:w="211"/>
        <w:gridCol w:w="826"/>
        <w:gridCol w:w="109"/>
        <w:gridCol w:w="109"/>
        <w:gridCol w:w="109"/>
        <w:gridCol w:w="109"/>
        <w:gridCol w:w="306"/>
        <w:gridCol w:w="745"/>
        <w:gridCol w:w="158"/>
        <w:gridCol w:w="109"/>
        <w:gridCol w:w="109"/>
        <w:gridCol w:w="109"/>
        <w:gridCol w:w="221"/>
        <w:gridCol w:w="866"/>
        <w:gridCol w:w="169"/>
      </w:tblGrid>
      <w:tr>
        <w:trPr/>
        <w:tc>
          <w:tcPr>
            <w:tcW w:w="507"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r>
      <w:tr>
        <w:trPr/>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Foreign Exchange at 2023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Foreign Exchange at 2023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 Currency</w:t>
            </w:r>
          </w:p>
        </w:tc>
      </w:tr>
      <w:tr>
        <w:trPr/>
        <w:tc>
          <w:tcPr>
            <w:tcW w:w="1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604,849 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536,615 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Perpetual licenses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 and licenses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625,470 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557,878 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43,058 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52,803 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668,100 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668,528 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611,160 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610,681 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 of revenues by geographic region to revenues by geographic region in constant currency:</w:t>
      </w:r>
    </w:p>
    <w:tbl>
      <w:tblPr>
        <w:tblW w:w="10205" w:type="dxa"/>
        <w:jc w:val="center"/>
        <w:tblInd w:w="0" w:type="dxa"/>
        <w:tblLayout w:type="fixed"/>
        <w:tblCellMar>
          <w:top w:w="28" w:type="dxa"/>
          <w:left w:w="28" w:type="dxa"/>
          <w:bottom w:w="28" w:type="dxa"/>
          <w:right w:w="28" w:type="dxa"/>
        </w:tblCellMar>
      </w:tblPr>
      <w:tblGrid>
        <w:gridCol w:w="351"/>
        <w:gridCol w:w="309"/>
        <w:gridCol w:w="311"/>
        <w:gridCol w:w="211"/>
        <w:gridCol w:w="826"/>
        <w:gridCol w:w="109"/>
        <w:gridCol w:w="109"/>
        <w:gridCol w:w="109"/>
        <w:gridCol w:w="109"/>
        <w:gridCol w:w="327"/>
        <w:gridCol w:w="956"/>
        <w:gridCol w:w="169"/>
        <w:gridCol w:w="109"/>
        <w:gridCol w:w="109"/>
        <w:gridCol w:w="109"/>
        <w:gridCol w:w="225"/>
        <w:gridCol w:w="883"/>
        <w:gridCol w:w="116"/>
        <w:gridCol w:w="109"/>
        <w:gridCol w:w="109"/>
        <w:gridCol w:w="109"/>
        <w:gridCol w:w="211"/>
        <w:gridCol w:w="826"/>
        <w:gridCol w:w="109"/>
        <w:gridCol w:w="109"/>
        <w:gridCol w:w="109"/>
        <w:gridCol w:w="109"/>
        <w:gridCol w:w="341"/>
        <w:gridCol w:w="837"/>
        <w:gridCol w:w="176"/>
        <w:gridCol w:w="109"/>
        <w:gridCol w:w="109"/>
        <w:gridCol w:w="109"/>
        <w:gridCol w:w="225"/>
        <w:gridCol w:w="881"/>
        <w:gridCol w:w="171"/>
      </w:tblGrid>
      <w:tr>
        <w:trPr/>
        <w:tc>
          <w:tcPr>
            <w:tcW w:w="35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r>
      <w:tr>
        <w:trPr/>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Foreign Exchange at 2023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Foreign Exchange at 2023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 Currency</w:t>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176,774 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158,762 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96,006 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83,375 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APAC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58,828 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54,258 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330,337 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331,608 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296,395 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54"/>
        <w:gridCol w:w="311"/>
        <w:gridCol w:w="313"/>
        <w:gridCol w:w="211"/>
        <w:gridCol w:w="826"/>
        <w:gridCol w:w="109"/>
        <w:gridCol w:w="109"/>
        <w:gridCol w:w="109"/>
        <w:gridCol w:w="109"/>
        <w:gridCol w:w="373"/>
        <w:gridCol w:w="825"/>
        <w:gridCol w:w="196"/>
        <w:gridCol w:w="109"/>
        <w:gridCol w:w="109"/>
        <w:gridCol w:w="109"/>
        <w:gridCol w:w="226"/>
        <w:gridCol w:w="887"/>
        <w:gridCol w:w="116"/>
        <w:gridCol w:w="109"/>
        <w:gridCol w:w="109"/>
        <w:gridCol w:w="109"/>
        <w:gridCol w:w="211"/>
        <w:gridCol w:w="826"/>
        <w:gridCol w:w="109"/>
        <w:gridCol w:w="109"/>
        <w:gridCol w:w="109"/>
        <w:gridCol w:w="109"/>
        <w:gridCol w:w="351"/>
        <w:gridCol w:w="862"/>
        <w:gridCol w:w="181"/>
        <w:gridCol w:w="109"/>
        <w:gridCol w:w="109"/>
        <w:gridCol w:w="109"/>
        <w:gridCol w:w="226"/>
        <w:gridCol w:w="885"/>
        <w:gridCol w:w="172"/>
      </w:tblGrid>
      <w:tr>
        <w:trPr/>
        <w:tc>
          <w:tcPr>
            <w:tcW w:w="35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r>
      <w:tr>
        <w:trPr/>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Foreign Exchange at 2023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Foreign Exchange at 2023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 Currency</w:t>
            </w:r>
          </w:p>
        </w:tc>
      </w:tr>
      <w:tr>
        <w:trPr/>
        <w:tc>
          <w:tcPr>
            <w:tcW w:w="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360,514 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327,025 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189,269 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176,211 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APAC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118,745 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107,445 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668,100 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668,528 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611,160 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610,681 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 of cost of revenues to cost of revenues in constant currency:</w:t>
      </w:r>
    </w:p>
    <w:tbl>
      <w:tblPr>
        <w:tblW w:w="10205" w:type="dxa"/>
        <w:jc w:val="center"/>
        <w:tblInd w:w="0" w:type="dxa"/>
        <w:tblLayout w:type="fixed"/>
        <w:tblCellMar>
          <w:top w:w="28" w:type="dxa"/>
          <w:left w:w="28" w:type="dxa"/>
          <w:bottom w:w="28" w:type="dxa"/>
          <w:right w:w="28" w:type="dxa"/>
        </w:tblCellMar>
      </w:tblPr>
      <w:tblGrid>
        <w:gridCol w:w="560"/>
        <w:gridCol w:w="491"/>
        <w:gridCol w:w="494"/>
        <w:gridCol w:w="211"/>
        <w:gridCol w:w="721"/>
        <w:gridCol w:w="109"/>
        <w:gridCol w:w="109"/>
        <w:gridCol w:w="109"/>
        <w:gridCol w:w="109"/>
        <w:gridCol w:w="351"/>
        <w:gridCol w:w="776"/>
        <w:gridCol w:w="184"/>
        <w:gridCol w:w="109"/>
        <w:gridCol w:w="109"/>
        <w:gridCol w:w="109"/>
        <w:gridCol w:w="230"/>
        <w:gridCol w:w="787"/>
        <w:gridCol w:w="118"/>
        <w:gridCol w:w="109"/>
        <w:gridCol w:w="109"/>
        <w:gridCol w:w="109"/>
        <w:gridCol w:w="211"/>
        <w:gridCol w:w="721"/>
        <w:gridCol w:w="109"/>
        <w:gridCol w:w="109"/>
        <w:gridCol w:w="109"/>
        <w:gridCol w:w="109"/>
        <w:gridCol w:w="396"/>
        <w:gridCol w:w="708"/>
        <w:gridCol w:w="207"/>
        <w:gridCol w:w="109"/>
        <w:gridCol w:w="109"/>
        <w:gridCol w:w="109"/>
        <w:gridCol w:w="229"/>
        <w:gridCol w:w="784"/>
        <w:gridCol w:w="173"/>
      </w:tblGrid>
      <w:tr>
        <w:trPr/>
        <w:tc>
          <w:tcPr>
            <w:tcW w:w="56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Foreign Exchange at 2023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Foreign Exchange at 2023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Constant Currency</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subscriptions and licenses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42,586 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41,147 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63,482 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66,397 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528"/>
        <w:gridCol w:w="464"/>
        <w:gridCol w:w="466"/>
        <w:gridCol w:w="211"/>
        <w:gridCol w:w="826"/>
        <w:gridCol w:w="109"/>
        <w:gridCol w:w="109"/>
        <w:gridCol w:w="109"/>
        <w:gridCol w:w="109"/>
        <w:gridCol w:w="358"/>
        <w:gridCol w:w="640"/>
        <w:gridCol w:w="187"/>
        <w:gridCol w:w="109"/>
        <w:gridCol w:w="109"/>
        <w:gridCol w:w="109"/>
        <w:gridCol w:w="221"/>
        <w:gridCol w:w="865"/>
        <w:gridCol w:w="114"/>
        <w:gridCol w:w="109"/>
        <w:gridCol w:w="109"/>
        <w:gridCol w:w="109"/>
        <w:gridCol w:w="211"/>
        <w:gridCol w:w="826"/>
        <w:gridCol w:w="109"/>
        <w:gridCol w:w="109"/>
        <w:gridCol w:w="109"/>
        <w:gridCol w:w="109"/>
        <w:gridCol w:w="367"/>
        <w:gridCol w:w="627"/>
        <w:gridCol w:w="191"/>
        <w:gridCol w:w="109"/>
        <w:gridCol w:w="109"/>
        <w:gridCol w:w="109"/>
        <w:gridCol w:w="220"/>
        <w:gridCol w:w="864"/>
        <w:gridCol w:w="166"/>
      </w:tblGrid>
      <w:tr>
        <w:trPr/>
        <w:tc>
          <w:tcPr>
            <w:tcW w:w="52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r>
      <w:tr>
        <w:trPr/>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Foreign Exchange at 2023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Foreign Exchange at 2023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Constant Currency</w:t>
            </w:r>
          </w:p>
        </w:tc>
      </w:tr>
      <w:tr>
        <w:trPr/>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subscriptions and licenses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82,715 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82,100 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42,259 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51,520 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124,974 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133,620 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 of operating expenses to operating expenses in constant currency:</w:t>
      </w:r>
    </w:p>
    <w:tbl>
      <w:tblPr>
        <w:tblW w:w="10205" w:type="dxa"/>
        <w:jc w:val="center"/>
        <w:tblInd w:w="0" w:type="dxa"/>
        <w:tblLayout w:type="fixed"/>
        <w:tblCellMar>
          <w:top w:w="28" w:type="dxa"/>
          <w:left w:w="28" w:type="dxa"/>
          <w:bottom w:w="28" w:type="dxa"/>
          <w:right w:w="28" w:type="dxa"/>
        </w:tblCellMar>
      </w:tblPr>
      <w:tblGrid>
        <w:gridCol w:w="613"/>
        <w:gridCol w:w="457"/>
        <w:gridCol w:w="459"/>
        <w:gridCol w:w="211"/>
        <w:gridCol w:w="826"/>
        <w:gridCol w:w="109"/>
        <w:gridCol w:w="109"/>
        <w:gridCol w:w="109"/>
        <w:gridCol w:w="109"/>
        <w:gridCol w:w="274"/>
        <w:gridCol w:w="800"/>
        <w:gridCol w:w="141"/>
        <w:gridCol w:w="109"/>
        <w:gridCol w:w="109"/>
        <w:gridCol w:w="109"/>
        <w:gridCol w:w="218"/>
        <w:gridCol w:w="857"/>
        <w:gridCol w:w="113"/>
        <w:gridCol w:w="109"/>
        <w:gridCol w:w="109"/>
        <w:gridCol w:w="109"/>
        <w:gridCol w:w="211"/>
        <w:gridCol w:w="826"/>
        <w:gridCol w:w="109"/>
        <w:gridCol w:w="109"/>
        <w:gridCol w:w="109"/>
        <w:gridCol w:w="109"/>
        <w:gridCol w:w="296"/>
        <w:gridCol w:w="655"/>
        <w:gridCol w:w="155"/>
        <w:gridCol w:w="109"/>
        <w:gridCol w:w="109"/>
        <w:gridCol w:w="109"/>
        <w:gridCol w:w="218"/>
        <w:gridCol w:w="856"/>
        <w:gridCol w:w="166"/>
      </w:tblGrid>
      <w:tr>
        <w:trPr/>
        <w:tc>
          <w:tcPr>
            <w:tcW w:w="613"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Foreign Exchange at 2023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Foreign Exchange at 2023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 Currency</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66,269 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70,171 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57,564 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54,399 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55,073 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39,287 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plan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purchased 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188,186 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177,137 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622"/>
        <w:gridCol w:w="466"/>
        <w:gridCol w:w="469"/>
        <w:gridCol w:w="211"/>
        <w:gridCol w:w="826"/>
        <w:gridCol w:w="109"/>
        <w:gridCol w:w="109"/>
        <w:gridCol w:w="109"/>
        <w:gridCol w:w="109"/>
        <w:gridCol w:w="305"/>
        <w:gridCol w:w="676"/>
        <w:gridCol w:w="160"/>
        <w:gridCol w:w="109"/>
        <w:gridCol w:w="109"/>
        <w:gridCol w:w="109"/>
        <w:gridCol w:w="219"/>
        <w:gridCol w:w="861"/>
        <w:gridCol w:w="113"/>
        <w:gridCol w:w="109"/>
        <w:gridCol w:w="109"/>
        <w:gridCol w:w="109"/>
        <w:gridCol w:w="211"/>
        <w:gridCol w:w="826"/>
        <w:gridCol w:w="109"/>
        <w:gridCol w:w="109"/>
        <w:gridCol w:w="109"/>
        <w:gridCol w:w="109"/>
        <w:gridCol w:w="305"/>
        <w:gridCol w:w="676"/>
        <w:gridCol w:w="160"/>
        <w:gridCol w:w="109"/>
        <w:gridCol w:w="109"/>
        <w:gridCol w:w="109"/>
        <w:gridCol w:w="219"/>
        <w:gridCol w:w="859"/>
        <w:gridCol w:w="168"/>
      </w:tblGrid>
      <w:tr>
        <w:trPr/>
        <w:tc>
          <w:tcPr>
            <w:tcW w:w="62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r>
      <w:tr>
        <w:trPr/>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Foreign Exchange at 2023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Foreign Exchange at 2023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 Currency</w:t>
            </w:r>
          </w:p>
        </w:tc>
      </w:tr>
      <w:tr>
        <w:trPr/>
        <w:tc>
          <w:tcPr>
            <w:tcW w:w="1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134,544 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137,990 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111,874 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106,567 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101,440 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86,107 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plan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7,923 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purchased 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370,969 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371,877 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358,460 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358,637 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Cash and Cash Equivalents</w:t>
      </w:r>
    </w:p>
    <w:tbl>
      <w:tblPr>
        <w:tblW w:w="7630" w:type="dxa"/>
        <w:jc w:val="center"/>
        <w:tblInd w:w="0" w:type="dxa"/>
        <w:tblLayout w:type="fixed"/>
        <w:tblCellMar>
          <w:top w:w="28" w:type="dxa"/>
          <w:left w:w="28" w:type="dxa"/>
          <w:bottom w:w="28" w:type="dxa"/>
          <w:right w:w="28" w:type="dxa"/>
        </w:tblCellMar>
      </w:tblPr>
      <w:tblGrid>
        <w:gridCol w:w="1651"/>
        <w:gridCol w:w="1452"/>
        <w:gridCol w:w="1456"/>
        <w:gridCol w:w="234"/>
        <w:gridCol w:w="800"/>
        <w:gridCol w:w="121"/>
        <w:gridCol w:w="109"/>
        <w:gridCol w:w="109"/>
        <w:gridCol w:w="109"/>
        <w:gridCol w:w="308"/>
        <w:gridCol w:w="1055"/>
        <w:gridCol w:w="226"/>
      </w:tblGrid>
      <w:tr>
        <w:trPr/>
        <w:tc>
          <w:tcPr>
            <w:tcW w:w="1651"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held domestically</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held by foreign subsidiaries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48,031 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64,719 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51,278 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68,412 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source of operating cash is from the sale of our subscriptions, perpetual licenses, and services. Our primary use of cash is payment of our operating costs, which consist mainly of headcount</w:t>
        <w:noBreakHyphen/>
        <w:t>related costs. In addition to operating expenses, we also use cash to service our debt obligations, to pay quarterly dividends, to repurchase our Class B common stock and convertible debt, and for capital expenditures in support of our operations. We also use cash to fund our acquisitions of software assets and businesses, and other investment activities.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cash generated from operations, together with existing cash and cash equivalent balances, and external borrowings including available liquidity under the Credit Facility, will be sufficient to meet our domestic and international working capital and capital expenditure requirements. We regularly review our capital structure and consider a variety of potential financing alternatives and planning strategies to ensure that we have the proper liquidity available in the locations in which it is needed and to fund our operations and growth investments with cash that has not been permanently reinvested outside the U.S. Our future capital requirements may be materially different than those currently planned in our budgeting and forecasting activities and depend on many factors, including our strategy of regularly acquiring and integrating specialized infrastructure engineering software businesses, our rate of revenue growth, the timing and extent of spending on research and development, the expansion of our sales and marketing activities, the timing of new product introductions, market acceptance of our products, competitive factors, our discretionary payments of dividends or repurchases of our Class B common stock and convertible debt, fund of our purchase commitments, currency fluctuations, and overall economic conditions, globally.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stockholders, while the incurrence of additional debt financing, including convertible debt, would result in additional debt service obligations. Such debt instruments also could introduce new or modified covenants that might restrict our operations and/or our ability to pay dividends, consummate acquisitions, or otherwise pursue our business strategies. We cannot provide assurance that we could obtain additional financing on favorable terms or at all.</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Cash Flows Activity</w:t>
      </w:r>
    </w:p>
    <w:tbl>
      <w:tblPr>
        <w:tblW w:w="5318" w:type="dxa"/>
        <w:jc w:val="center"/>
        <w:tblInd w:w="0" w:type="dxa"/>
        <w:tblLayout w:type="fixed"/>
        <w:tblCellMar>
          <w:top w:w="28" w:type="dxa"/>
          <w:left w:w="28" w:type="dxa"/>
          <w:bottom w:w="28" w:type="dxa"/>
          <w:right w:w="28" w:type="dxa"/>
        </w:tblCellMar>
      </w:tblPr>
      <w:tblGrid>
        <w:gridCol w:w="961"/>
        <w:gridCol w:w="843"/>
        <w:gridCol w:w="850"/>
        <w:gridCol w:w="211"/>
        <w:gridCol w:w="826"/>
        <w:gridCol w:w="109"/>
        <w:gridCol w:w="109"/>
        <w:gridCol w:w="109"/>
        <w:gridCol w:w="109"/>
        <w:gridCol w:w="211"/>
        <w:gridCol w:w="826"/>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256,819 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2024, compared to the same period in the prior year, net cash provided by operating activities was higher by $10,736 due to an increase in net income of $48,181 and a net increase in non</w:t>
        <w:noBreakHyphen/>
        <w:t>cash adjustments of $30,075, partially offset by a decrease in net cash flows from the change in operating assets and liabilities of $67,520. The decrease in cash flows from the change in operating assets and liabilities was primarily due to the timing of collections on our receivables, the overall timing of tax payments period over period, and a decrease in deferred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was lower by $18,806 for the six months ended June 30, 2024, compared to the same period in the prior year, primarily due to lower purchases of investments of $7,643, lower acquisition related payments of $5,299, and lower purchases of property and equipment and investment in capitalized software of $4,564.</w:t>
      </w:r>
    </w:p>
    <w:p>
      <w:pPr>
        <w:pStyle w:val="TextBody"/>
        <w:bidi w:val="0"/>
        <w:spacing w:lineRule="auto" w:line="288"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was higher by $55,023 for the six months ended June 30, 2024, compared to the same period in the prior year, primarily due to higher net paydowns of the Credit Facility of $50,176, including higher repayments of our term loan borrowings, and higher dividend payments of $6,627, primarily due to an increase in our quarterly dividend per share to $0.06 in 2024 from $0.05 in 2023. Refer to the sections titled “Long</w:t>
        <w:noBreakHyphen/>
        <w:t>Term Debt” and “Stock Repurchases” below for further details.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Long-Term Debt</w:t>
      </w:r>
    </w:p>
    <w:tbl>
      <w:tblPr>
        <w:tblW w:w="6046" w:type="dxa"/>
        <w:jc w:val="center"/>
        <w:tblInd w:w="0" w:type="dxa"/>
        <w:tblLayout w:type="fixed"/>
        <w:tblCellMar>
          <w:top w:w="28" w:type="dxa"/>
          <w:left w:w="28" w:type="dxa"/>
          <w:bottom w:w="28" w:type="dxa"/>
          <w:right w:w="28" w:type="dxa"/>
        </w:tblCellMar>
      </w:tblPr>
      <w:tblGrid>
        <w:gridCol w:w="1027"/>
        <w:gridCol w:w="900"/>
        <w:gridCol w:w="907"/>
        <w:gridCol w:w="211"/>
        <w:gridCol w:w="976"/>
        <w:gridCol w:w="109"/>
        <w:gridCol w:w="109"/>
        <w:gridCol w:w="109"/>
        <w:gridCol w:w="109"/>
        <w:gridCol w:w="250"/>
        <w:gridCol w:w="1157"/>
        <w:gridCol w:w="182"/>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1,518,403 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1,334,618 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1,528,403 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we had $849,850 available under the Credit Facility. During the three months ended June 30, 2024, we made repayments of $102,500 on the senior secured term loan under the Credit Facility. Under the terms of the senior secured term loan, repayments are applied to unpaid quarterly principal installments. There are no remaining required principal installments on the senior secured term loan through the maturity date of November 15, 2025. We were in compliance with all covenants in its Credit Facility, the 2026 Notes, and the 2027 Notes as of June 30, 2024. Any failure to comply with such covenants under the Credit Facility would prevent us from being able to borrow additional funds under the Credit Facility, and, as with any failure to comply with such covenants under the 2026 Notes and the 2027 Notes, could constitute a default that may cause all amounts outstanding to become due and immediately payable in full.</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Stock Repurchases</w:t>
      </w:r>
    </w:p>
    <w:p>
      <w:pPr>
        <w:pStyle w:val="TextBody"/>
        <w:bidi w:val="0"/>
        <w:spacing w:lineRule="auto" w:line="288"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BSY Stock Repurchase Program</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authorized us to repurchase up to $200,000 of our Class B common stock and/or outstanding convertible senior notes through June 30, 2024 under the Repurchase Program. This authorization under the Repurchase Program expired on June 30, 2024. In March 2024, our Board of Directors approved an extension to the Repurchase Program authorizing us to repurchase up to $200,000 of our Class B common stock and/or convertible senior notes from June 30, 2024 through June 30, 2026. We may use available working capital and cash provided by operations to make repurchases.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2024, we repurchased 729,681 shares for $37,515 under the Repurchase Program. For the six months ended June 30, 2023, we did not repurchase shares under the Repurchase Program.</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timing, as well as the number and value of shares and/or convertible senior notes repurchased under the Repurchase Program, will be determined at our discretion and will depend on a variety of factors, including our assessment of the intrinsic value of our shares, the market price of our Class B common stock and outstanding convertible senior notes, general market and economic conditions, available liquidity, compliance with our debt and other agreements, and applicable legal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Withholding Taxes on Certain Equity Awards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the right to require that certain equity awardees receive gross or net quantities of shares of our Class B common stock, including distributions from the DCP and share issuances under our Bonus Plan. In the case of a gross issuance or distribution, an awardee is required to reimburse promptly to us the cash required for his or her tax withholding amounts. Conversely, under a net issuance or distribution, shares are withheld in consideration of remitting withholding taxes on behalf of an equity awardee, thereby requiring us to remit cash for the tax withholdings. During the six months ended June 30, 2024, we exercised our right to require that impacted equity awardees receive gross quantities of our Class B common stock. During the six months ended June 30, 2023, we allowed impacted awardees the option to receive net quantities of shares of our Class B common stock. We will continue to evaluate whether share awards will be required to be received by awardees on a gross basis, or if net settlement may be elected by awardees.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Dividend Payments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declaration and payment of dividends is within the discretion of our Board of Directors. We paid quarterly dividends of $0.06 per share of common stock during the six months ended June 30, 2024 and $0.05 per share of common stock during the six months ended June 30, 2023. While we intend to continue paying quarterly dividends, any future determination will be subject to the discretion of our Board of Directors and will be dependent on a number of factors, including our results of operations, capital requirements, restrictions under Delaware law, and overall financial condition, as well as any other factors our Board of Directors considers relevant. In addition, the terms of the agreement governing the Credit Facility limit the amount of dividends we can pay.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our market risk exposure as described in Part II, Item 7A. Quantitative and Qualitative Disclosures About Market Risk in our 2023 Annual Report on Form 10</w:t>
        <w:noBreakHyphen/>
        <w:t>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Evaluation of Effectiveness of Disclosure Controls and Procedures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maintains disclosure controls and procedures as defined in Rules 13a</w:t>
        <w:noBreakHyphen/>
        <w:t>15(e) and 15d</w:t>
        <w:noBreakHyphen/>
        <w:t>15(e) under the Securities Exchange Act of 1934, as amended (the “Exchange Act”) that are designed to provide reasonable assurance that information required to be disclosed in our reports filed or submitted under the Exchange Act is processed, recorded, summarized, and reported within the time periods specified in the SEC’s rules and forms, and that such information is accumulated and communicated to our management, including our Chief Executive Officer and Chief Financial Officer (our principal executive officer and principal financial officer, respectively), as appropriate, to allow for timely decisions regarding required disclosure.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evaluated, under the supervision and with the participation of management, including our principal executive and principal financial officers, the effectiveness of the design and operation of our disclosure controls and procedures as of the end of the period covered by this report. Based on this evaluation, our principal executive officer and principal financial officer concluded that, as of June 30, 2024, our disclosure controls and procedures were effective at the reasonable assurance level.</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Chief Financial Officer,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Bentley Systems, Incorporated have been detected.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was no change in our internal control over financial reporting identified in management’s evaluation pursuant to Rules 13a or 15d of the Exchange Act that occurred during the quarter ended June 30, 2024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from time to time to various legal proceedings and claims which arise in the ordinary course of our business. Although the outcome of these and other claims cannot be predicted with certainty, we do not believe that the ultimate resolution of pending matters will have a material adverse effect on our financial condition, results of operations, or cash flows. We currently believe that we do not have any material litigation pending against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from the risk factors previously disclosed in Part I, Item 1A. Risk Factors in our 2023 Annual Report on Form 10</w:t>
        <w:noBreakHyphen/>
        <w:t>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Recent Sales of Unregistered Equity Securities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April 1, 2024 to June 30, 2024, we issued 1,936,318 shares of our Class B common stock in connection with distributions from our DCP.</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 of the foregoing transactions involved any underwriters, underwriting discounts or commissions, or any public offering. Unless otherwise stated, the sales of the above securities were deemed to be exempt from registration under the Securities Act in reliance on Rule 701 promulgated under Section 3(b) of the Securities Act as transactions by an issuer pursuant to benefit plans and contracts relating to compensation as provided under Rule 701. All recipients had adequate access, through their relationships with us, to information about us. The issuance of these securities were made without any general solicitation or advertising.</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Issuer Purchases of Equity Securities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our Class B common stock we repurchased during the three months ended June 30, 2024:</w:t>
      </w:r>
    </w:p>
    <w:tbl>
      <w:tblPr>
        <w:tblW w:w="9600" w:type="dxa"/>
        <w:jc w:val="center"/>
        <w:tblInd w:w="0" w:type="dxa"/>
        <w:tblLayout w:type="fixed"/>
        <w:tblCellMar>
          <w:top w:w="28" w:type="dxa"/>
          <w:left w:w="28" w:type="dxa"/>
          <w:bottom w:w="28" w:type="dxa"/>
          <w:right w:w="28" w:type="dxa"/>
        </w:tblCellMar>
      </w:tblPr>
      <w:tblGrid>
        <w:gridCol w:w="848"/>
        <w:gridCol w:w="747"/>
        <w:gridCol w:w="759"/>
        <w:gridCol w:w="109"/>
        <w:gridCol w:w="109"/>
        <w:gridCol w:w="109"/>
        <w:gridCol w:w="459"/>
        <w:gridCol w:w="459"/>
        <w:gridCol w:w="461"/>
        <w:gridCol w:w="109"/>
        <w:gridCol w:w="109"/>
        <w:gridCol w:w="109"/>
        <w:gridCol w:w="325"/>
        <w:gridCol w:w="676"/>
        <w:gridCol w:w="184"/>
        <w:gridCol w:w="109"/>
        <w:gridCol w:w="109"/>
        <w:gridCol w:w="109"/>
        <w:gridCol w:w="524"/>
        <w:gridCol w:w="524"/>
        <w:gridCol w:w="526"/>
        <w:gridCol w:w="109"/>
        <w:gridCol w:w="109"/>
        <w:gridCol w:w="109"/>
        <w:gridCol w:w="251"/>
        <w:gridCol w:w="1352"/>
        <w:gridCol w:w="197"/>
      </w:tblGrid>
      <w:tr>
        <w:trPr/>
        <w:tc>
          <w:tcPr>
            <w:tcW w:w="84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 Dollar</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Purchased 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Value of Shares that</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Part of Publicly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May Yet Be Purchased</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Announced Plan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Under the Plan </w:t>
            </w:r>
            <w:r>
              <w:rPr>
                <w:rFonts w:ascii="Times New Roman;sans-serif" w:hAnsi="Times New Roman;sans-serif"/>
                <w:b/>
                <w:color w:val="000000"/>
                <w:sz w:val="10"/>
              </w:rPr>
              <w:t>(2)</w:t>
            </w:r>
          </w:p>
        </w:tc>
      </w:tr>
      <w:tr>
        <w:trPr/>
        <w:tc>
          <w:tcPr>
            <w:tcW w:w="23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April 1, 2024 to April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154,751,754 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May 1, 2024 to May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427,083 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427,083 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132,251,784 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June 1, 2024 to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200,000,000 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427,083 </w:t>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52.68 </w:t>
            </w:r>
          </w:p>
        </w:tc>
        <w:tc>
          <w:tcPr>
            <w:tcW w:w="18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427,083 </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(1)Represents shares purchased in open</w:t>
        <w:noBreakHyphen/>
        <w:t>market transactions under the Repurchase Program approved by our Board of Directors.</w:t>
      </w:r>
    </w:p>
    <w:p>
      <w:pPr>
        <w:pStyle w:val="TextBody"/>
        <w:bidi w:val="0"/>
        <w:spacing w:lineRule="auto" w:line="288" w:before="0" w:after="24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(2)These amounts correspond to the plan publicly announced and approved by our Board of Directors in May 2022 that authorizes the repurchase up to $200 million of our Class B common stock through June 30, 2024. In December 2022, our Board of Directors amended the plan to allow us also to repurchase our outstanding convertible senior notes. This additional authorization did not increase the overall dollar limit of the plan. Our authorization under the plan approved in May 2022 expired on June 30, 2024. In March 2024, our Board of Directors approved an extension to the plan authorizing us to repurchase up to $200,000 of our Class B common stock and/or convertible senior notes from June 30, 2024 through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Rule 10b5-1 Trading Plans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May 23, 2024, Raymond B. Bentley, a member of the Company’s Board of Directors, adopted a trading plan established pursuant to Rule 10b5</w:t>
        <w:noBreakHyphen/>
        <w:t>1 of the Exchange Act, which is intended to satisfy the affirmative defense conditions of Rule 10b5</w:t>
        <w:noBreakHyphen/>
        <w:t>1(c), to sell an aggregate of 1,600,000 shares of our Class B common stock. Mr. Bentley’s plan expires on May 28, 2025.</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June 12, 2024, Barry J. Bentley, a member of the Company’s Board of Directors, adopted a trading plan established pursuant to Rule 10b5</w:t>
        <w:noBreakHyphen/>
        <w:t>1 of the Exchange Act, which is intended to satisfy the affirmative defense conditions of Rule 10b5</w:t>
        <w:noBreakHyphen/>
        <w:t>1(c), to sell an aggregate of 500,000 shares of our Class B common stock. Mr. Bentley’s plan expires on June 1, 2025.</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2024, there were no other Company directors or executive officers who adopted or terminated any contract, instruction or written plan for the purchase or sale of Company securities that was intended to satisfy the affirmative defense conditions of Rule 10b5</w:t>
        <w:noBreakHyphen/>
        <w:t>1(c) or any “non-Rule 10b5</w:t>
        <w:noBreakHyphen/>
        <w:t>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center"/>
        <w:tblInd w:w="0" w:type="dxa"/>
        <w:tblLayout w:type="fixed"/>
        <w:tblCellMar>
          <w:top w:w="28" w:type="dxa"/>
          <w:left w:w="28" w:type="dxa"/>
          <w:bottom w:w="28" w:type="dxa"/>
          <w:right w:w="28" w:type="dxa"/>
        </w:tblCellMar>
      </w:tblPr>
      <w:tblGrid>
        <w:gridCol w:w="309"/>
        <w:gridCol w:w="272"/>
        <w:gridCol w:w="274"/>
        <w:gridCol w:w="109"/>
        <w:gridCol w:w="109"/>
        <w:gridCol w:w="109"/>
        <w:gridCol w:w="2737"/>
        <w:gridCol w:w="2588"/>
        <w:gridCol w:w="3698"/>
      </w:tblGrid>
      <w:tr>
        <w:trPr/>
        <w:tc>
          <w:tcPr>
            <w:tcW w:w="3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2588" w:type="dxa"/>
            <w:tcBorders/>
            <w:vAlign w:val="center"/>
          </w:tcPr>
          <w:p>
            <w:pPr>
              <w:pStyle w:val="TableContents"/>
              <w:bidi w:val="0"/>
              <w:spacing w:before="0" w:after="283"/>
              <w:jc w:val="left"/>
              <w:rPr>
                <w:sz w:val="4"/>
                <w:szCs w:val="4"/>
              </w:rPr>
            </w:pPr>
            <w:r>
              <w:rPr>
                <w:sz w:val="4"/>
                <w:szCs w:val="4"/>
              </w:rPr>
            </w:r>
          </w:p>
        </w:tc>
        <w:tc>
          <w:tcPr>
            <w:tcW w:w="3698"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3"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ans-serif" w:hAnsi="Times New Roman;sans-serif"/>
                  <w:b w:val="false"/>
                  <w:color w:val="0000FF"/>
                  <w:sz w:val="20"/>
                  <w:u w:val="single"/>
                </w:rPr>
                <w:t>Bentley Systems, Incorporated Severance Policy for Key Executives (filed as Exhibit 10.1 to our Current Report on Form 8</w:t>
                <w:noBreakHyphen/>
                <w:t>K/A filed on June 28, 2024 (File No. 001-39548) and incorporated herein by reference)</w:t>
              </w:r>
            </w:hyperlink>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FF"/>
                  <w:sz w:val="20"/>
                  <w:u w:val="single"/>
                </w:rPr>
                <w:t>Letter Agreement by and among Nicholas H. Cumins, Bentley Systems, Incorporated, and Bentley Systems France S.a.r.l. (filed as Exhibit 10.2 to our Current Report on Form 8</w:t>
                <w:noBreakHyphen/>
                <w:t>K/A filed on June 28, 2024 (File No. 001-39548) and incorporated herein by reference)</w:t>
              </w:r>
            </w:hyperlink>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ans-serif" w:hAnsi="Times New Roman;sans-serif"/>
                  <w:b w:val="false"/>
                  <w:color w:val="0000FF"/>
                  <w:sz w:val="20"/>
                  <w:u w:val="single"/>
                </w:rPr>
                <w:t>Amendment No. 2 to the Amended and Restated Bentley Systems, Incorporated Bonus Pool Plan (filed as Exhibit 10.3 to our Current Report on Form 8</w:t>
                <w:noBreakHyphen/>
                <w:t>K/A filed on June 28, 2024 (File No. 001-39548) and incorporated herein by reference)</w:t>
              </w:r>
            </w:hyperlink>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4q2exhibit311.htm">
              <w:r>
                <w:rPr>
                  <w:rStyle w:val="InternetLink"/>
                  <w:rFonts w:ascii="Times New Roman;sans-serif" w:hAnsi="Times New Roman;sans-serif"/>
                  <w:b w:val="false"/>
                  <w:color w:val="0000FF"/>
                  <w:sz w:val="20"/>
                  <w:u w:val="single"/>
                </w:rPr>
                <w:t>Certification of CEO pursuant to Rule 13a-14(a) and Rule 15d-14(a) of the Securities Exchange Act of 1934, as amended</w:t>
              </w:r>
            </w:hyperlink>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40"/>
              <w:jc w:val="left"/>
              <w:rPr>
                <w:color w:val="000000"/>
              </w:rPr>
            </w:pPr>
            <w:r>
              <w:rPr>
                <w:color w:val="000000"/>
              </w:rPr>
              <w:t>   </w:t>
            </w: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4q2exhibit312.htm">
              <w:r>
                <w:rPr>
                  <w:rStyle w:val="InternetLink"/>
                  <w:rFonts w:ascii="Times New Roman;sans-serif" w:hAnsi="Times New Roman;sans-serif"/>
                  <w:b w:val="false"/>
                  <w:color w:val="0000FF"/>
                  <w:sz w:val="20"/>
                  <w:u w:val="single"/>
                </w:rPr>
                <w:t>Certification of CFO pursuant to Rule 13a-14(a) and Rule 15d-14(a) of the Securities Exchange Act of 1934, as amended</w:t>
              </w:r>
            </w:hyperlink>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4q2exhibit32.htm">
              <w:r>
                <w:rPr>
                  <w:rStyle w:val="InternetLink"/>
                  <w:rFonts w:ascii="Times New Roman;sans-serif" w:hAnsi="Times New Roman;sans-serif"/>
                  <w:b w:val="false"/>
                  <w:color w:val="0000FF"/>
                  <w:sz w:val="20"/>
                  <w:u w:val="single"/>
                </w:rPr>
                <w:t>Certification of CEO and CFO Pursuant to 18 U.S.C. Section 1350, as Adopted Pursuant to Section 906 of the Sarbanes-Oxley Act of 2002</w:t>
              </w:r>
            </w:hyperlink>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Document—the instance document does not appear in the Interactive Data File as its XBRL tags are embedded within the Inline XBRL document</w:t>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w:t>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w:t>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w:t>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w:t>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w:t>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formatted as Inline XBRL and contained in Exhibit 101</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contract or compensatory plan or arrangement.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or furnished herewith. The certification attached as Exhibit 32 that accompanies this Quarterly Report on Form 10</w:t>
              <w:noBreakHyphen/>
              <w:t>Q is not deemed filed with the SEC and is not to be incorporated by reference into any filing of Bentley Systems, Incorporated under the Securities Act of 1933, as amended, or the Securities Exchange Act of 1934, as amended, whether made before or after the date of this Quarterly Report on Form 10</w:t>
              <w:noBreakHyphen/>
              <w:t>Q, irrespective of any general incorporation language contained in such filing.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5809"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408"/>
        <w:gridCol w:w="408"/>
        <w:gridCol w:w="408"/>
        <w:gridCol w:w="703"/>
        <w:gridCol w:w="703"/>
        <w:gridCol w:w="100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Bentley Systems, Incorporated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6"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6,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/s/ W</w:t>
            </w:r>
            <w:r>
              <w:rPr>
                <w:rFonts w:ascii="Times New Roman;sans-serif" w:hAnsi="Times New Roman;sans-serif"/>
                <w:b w:val="false"/>
                <w:color w:val="000000"/>
                <w:sz w:val="16"/>
              </w:rPr>
              <w:t>ERNER</w:t>
            </w:r>
            <w:r>
              <w:rPr>
                <w:color w:val="000000"/>
              </w:rPr>
              <w:t xml:space="preserve"> </w:t>
            </w:r>
            <w:r>
              <w:rPr>
                <w:rFonts w:ascii="Times New Roman;sans-serif" w:hAnsi="Times New Roman;sans-serif"/>
                <w:b w:val="false"/>
                <w:color w:val="000000"/>
                <w:sz w:val="20"/>
              </w:rPr>
              <w:t>A</w:t>
            </w:r>
            <w:r>
              <w:rPr>
                <w:rFonts w:ascii="Times New Roman;sans-serif" w:hAnsi="Times New Roman;sans-serif"/>
                <w:b w:val="false"/>
                <w:color w:val="000000"/>
                <w:sz w:val="16"/>
              </w:rPr>
              <w:t>NDRE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Werner Andre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31.1</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Management Certification Pursuant to</w:t>
      </w:r>
    </w:p>
    <w:p>
      <w:pPr>
        <w:pStyle w:val="TextBody"/>
        <w:bidi w:val="0"/>
        <w:spacing w:lineRule="auto" w:line="288" w:before="0" w:after="20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302 of the Sarbanes-Oxley Act of 2002</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I, Nicholas H. Cumins, certify that:</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w:t>
        <w:noBreakHyphen/>
        <w:t>Q of Bentley Systems, Incorporated (the “registrant”);</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6, 2024</w:t>
      </w:r>
    </w:p>
    <w:tbl>
      <w:tblPr>
        <w:tblW w:w="2490" w:type="dxa"/>
        <w:jc w:val="left"/>
        <w:tblInd w:w="0" w:type="dxa"/>
        <w:tblLayout w:type="fixed"/>
        <w:tblCellMar>
          <w:top w:w="28" w:type="dxa"/>
          <w:left w:w="28" w:type="dxa"/>
          <w:bottom w:w="28" w:type="dxa"/>
          <w:right w:w="28" w:type="dxa"/>
        </w:tblCellMar>
      </w:tblPr>
      <w:tblGrid>
        <w:gridCol w:w="795"/>
        <w:gridCol w:w="700"/>
        <w:gridCol w:w="995"/>
      </w:tblGrid>
      <w:tr>
        <w:trPr/>
        <w:tc>
          <w:tcPr>
            <w:tcW w:w="79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 N</w:t>
            </w:r>
            <w:r>
              <w:rPr>
                <w:rFonts w:ascii="Times New Roman;sans-serif" w:hAnsi="Times New Roman;sans-serif"/>
                <w:b w:val="false"/>
                <w:color w:val="000000"/>
                <w:sz w:val="16"/>
              </w:rPr>
              <w:t>ICHOLAS</w:t>
            </w:r>
            <w:r>
              <w:rPr>
                <w:color w:val="000000"/>
              </w:rPr>
              <w:t xml:space="preserve"> </w:t>
            </w:r>
            <w:r>
              <w:rPr>
                <w:rFonts w:ascii="Times New Roman;sans-serif" w:hAnsi="Times New Roman;sans-serif"/>
                <w:b w:val="false"/>
                <w:color w:val="000000"/>
                <w:sz w:val="20"/>
              </w:rPr>
              <w:t>H. C</w:t>
            </w:r>
            <w:r>
              <w:rPr>
                <w:rFonts w:ascii="Times New Roman;sans-serif" w:hAnsi="Times New Roman;sans-serif"/>
                <w:b w:val="false"/>
                <w:color w:val="000000"/>
                <w:sz w:val="16"/>
              </w:rPr>
              <w:t>UMINS</w:t>
            </w:r>
          </w:p>
        </w:tc>
      </w:tr>
      <w:tr>
        <w:trPr/>
        <w:tc>
          <w:tcPr>
            <w:tcW w:w="249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Nicholas H. Cumins</w:t>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31.2</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Management Certification Pursuant to</w:t>
      </w:r>
    </w:p>
    <w:p>
      <w:pPr>
        <w:pStyle w:val="TextBody"/>
        <w:bidi w:val="0"/>
        <w:spacing w:lineRule="auto" w:line="288" w:before="0" w:after="20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302 of the Sarbanes-Oxley Act of 2002</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I, Werner Andre, certify that:</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w:t>
        <w:noBreakHyphen/>
        <w:t>Q of Bentley Systems, Incorporated (the “registrant”);</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6, 2024</w:t>
      </w:r>
    </w:p>
    <w:tbl>
      <w:tblPr>
        <w:tblW w:w="2430" w:type="dxa"/>
        <w:jc w:val="left"/>
        <w:tblInd w:w="0" w:type="dxa"/>
        <w:tblLayout w:type="fixed"/>
        <w:tblCellMar>
          <w:top w:w="28" w:type="dxa"/>
          <w:left w:w="28" w:type="dxa"/>
          <w:bottom w:w="28" w:type="dxa"/>
          <w:right w:w="28" w:type="dxa"/>
        </w:tblCellMar>
      </w:tblPr>
      <w:tblGrid>
        <w:gridCol w:w="776"/>
        <w:gridCol w:w="683"/>
        <w:gridCol w:w="971"/>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 W</w:t>
            </w:r>
            <w:r>
              <w:rPr>
                <w:rFonts w:ascii="Times New Roman;sans-serif" w:hAnsi="Times New Roman;sans-serif"/>
                <w:b w:val="false"/>
                <w:color w:val="000000"/>
                <w:sz w:val="16"/>
              </w:rPr>
              <w:t>ERNER</w:t>
            </w:r>
            <w:r>
              <w:rPr>
                <w:color w:val="000000"/>
              </w:rPr>
              <w:t xml:space="preserve"> </w:t>
            </w:r>
            <w:r>
              <w:rPr>
                <w:rFonts w:ascii="Times New Roman;sans-serif" w:hAnsi="Times New Roman;sans-serif"/>
                <w:b w:val="false"/>
                <w:color w:val="000000"/>
                <w:sz w:val="20"/>
              </w:rPr>
              <w:t>A</w:t>
            </w:r>
            <w:r>
              <w:rPr>
                <w:rFonts w:ascii="Times New Roman;sans-serif" w:hAnsi="Times New Roman;sans-serif"/>
                <w:b w:val="false"/>
                <w:color w:val="000000"/>
                <w:sz w:val="16"/>
              </w:rPr>
              <w:t>NDRE</w:t>
            </w:r>
          </w:p>
        </w:tc>
      </w:tr>
      <w:tr>
        <w:trPr/>
        <w:tc>
          <w:tcPr>
            <w:tcW w:w="24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Werner Andre</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of CEO and CFO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Bentley Systems, Incorporated (the “Company”) on Form 10</w:t>
        <w:noBreakHyphen/>
        <w:t>Q for the period ended June 30, 2024, as filed with the Securities and Exchange Commission on the date hereof (the “Report”), each of the undersigned officers of the Company certifies, pursuant to 18 U.S.C. Section 1350, as adopted pursuant to Section 906 of the Sarbanes-Oxley Act of 2002, that, to his knowledge:</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6, 2024</w:t>
      </w:r>
    </w:p>
    <w:tbl>
      <w:tblPr>
        <w:tblW w:w="2490" w:type="dxa"/>
        <w:jc w:val="left"/>
        <w:tblInd w:w="0" w:type="dxa"/>
        <w:tblLayout w:type="fixed"/>
        <w:tblCellMar>
          <w:top w:w="28" w:type="dxa"/>
          <w:left w:w="28" w:type="dxa"/>
          <w:bottom w:w="28" w:type="dxa"/>
          <w:right w:w="28" w:type="dxa"/>
        </w:tblCellMar>
      </w:tblPr>
      <w:tblGrid>
        <w:gridCol w:w="795"/>
        <w:gridCol w:w="700"/>
        <w:gridCol w:w="995"/>
      </w:tblGrid>
      <w:tr>
        <w:trPr/>
        <w:tc>
          <w:tcPr>
            <w:tcW w:w="79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 N</w:t>
            </w:r>
            <w:r>
              <w:rPr>
                <w:rFonts w:ascii="Times New Roman;sans-serif" w:hAnsi="Times New Roman;sans-serif"/>
                <w:b w:val="false"/>
                <w:color w:val="000000"/>
                <w:sz w:val="16"/>
              </w:rPr>
              <w:t>ICHOLAS</w:t>
            </w:r>
            <w:r>
              <w:rPr>
                <w:color w:val="000000"/>
              </w:rPr>
              <w:t xml:space="preserve"> </w:t>
            </w:r>
            <w:r>
              <w:rPr>
                <w:rFonts w:ascii="Times New Roman;sans-serif" w:hAnsi="Times New Roman;sans-serif"/>
                <w:b w:val="false"/>
                <w:color w:val="000000"/>
                <w:sz w:val="20"/>
              </w:rPr>
              <w:t>H. C</w:t>
            </w:r>
            <w:r>
              <w:rPr>
                <w:rFonts w:ascii="Times New Roman;sans-serif" w:hAnsi="Times New Roman;sans-serif"/>
                <w:b w:val="false"/>
                <w:color w:val="000000"/>
                <w:sz w:val="16"/>
              </w:rPr>
              <w:t>UMINS</w:t>
            </w:r>
          </w:p>
        </w:tc>
      </w:tr>
      <w:tr>
        <w:trPr/>
        <w:tc>
          <w:tcPr>
            <w:tcW w:w="249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Nicholas H. Cumins</w:t>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tbl>
      <w:tblPr>
        <w:tblW w:w="2430" w:type="dxa"/>
        <w:jc w:val="left"/>
        <w:tblInd w:w="0" w:type="dxa"/>
        <w:tblLayout w:type="fixed"/>
        <w:tblCellMar>
          <w:top w:w="28" w:type="dxa"/>
          <w:left w:w="28" w:type="dxa"/>
          <w:bottom w:w="28" w:type="dxa"/>
          <w:right w:w="28" w:type="dxa"/>
        </w:tblCellMar>
      </w:tblPr>
      <w:tblGrid>
        <w:gridCol w:w="776"/>
        <w:gridCol w:w="683"/>
        <w:gridCol w:w="971"/>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 W</w:t>
            </w:r>
            <w:r>
              <w:rPr>
                <w:rFonts w:ascii="Times New Roman;sans-serif" w:hAnsi="Times New Roman;sans-serif"/>
                <w:b w:val="false"/>
                <w:color w:val="000000"/>
                <w:sz w:val="16"/>
              </w:rPr>
              <w:t>ERNER</w:t>
            </w:r>
            <w:r>
              <w:rPr>
                <w:color w:val="000000"/>
              </w:rPr>
              <w:t xml:space="preserve"> </w:t>
            </w:r>
            <w:r>
              <w:rPr>
                <w:rFonts w:ascii="Times New Roman;sans-serif" w:hAnsi="Times New Roman;sans-serif"/>
                <w:b w:val="false"/>
                <w:color w:val="000000"/>
                <w:sz w:val="20"/>
              </w:rPr>
              <w:t>A</w:t>
            </w:r>
            <w:r>
              <w:rPr>
                <w:rFonts w:ascii="Times New Roman;sans-serif" w:hAnsi="Times New Roman;sans-serif"/>
                <w:b w:val="false"/>
                <w:color w:val="000000"/>
                <w:sz w:val="16"/>
              </w:rPr>
              <w:t>NDRE</w:t>
            </w:r>
          </w:p>
        </w:tc>
      </w:tr>
      <w:tr>
        <w:trPr/>
        <w:tc>
          <w:tcPr>
            <w:tcW w:w="24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Werner Andre</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31308/000110465924076289/tm2418463d1_ex10-1.htm" TargetMode="External"/><Relationship Id="rId3" Type="http://schemas.openxmlformats.org/officeDocument/2006/relationships/hyperlink" Target="https://www.sec.gov/Archives/edgar/data/1031308/000110465924076289/tm2418463d1_ex10-2.htm" TargetMode="External"/><Relationship Id="rId4" Type="http://schemas.openxmlformats.org/officeDocument/2006/relationships/hyperlink" Target="https://www.sec.gov/Archives/edgar/data/1031308/000110465924076289/tm2418463d1_ex10-3.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20897</Words>
  <Characters>115906</Characters>
  <CharactersWithSpaces>134676</CharactersWithSpaces>
  <Paragraphs>3834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