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ind w:left="0" w:right="0" w:firstLine="360"/>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45"/>
        <w:gridCol w:w="302"/>
        <w:gridCol w:w="305"/>
        <w:gridCol w:w="2706"/>
        <w:gridCol w:w="2706"/>
        <w:gridCol w:w="3841"/>
      </w:tblGrid>
      <w:tr>
        <w:trPr/>
        <w:tc>
          <w:tcPr>
            <w:tcW w:w="34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(Mark One)</w:t>
            </w:r>
          </w:p>
        </w:tc>
        <w:tc>
          <w:tcPr>
            <w:tcW w:w="9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925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18"/>
              </w:rPr>
            </w:pPr>
            <w:r>
              <w:rPr>
                <w:rFonts w:ascii="Times New Roman;serif" w:hAnsi="Times New Roman;serif"/>
                <w:b/>
                <w:color w:val="000000"/>
                <w:sz w:val="18"/>
              </w:rPr>
              <w:t>For the quarterly period ended June 30, 2026</w:t>
            </w:r>
          </w:p>
        </w:tc>
      </w:tr>
      <w:tr>
        <w:trPr/>
        <w:tc>
          <w:tcPr>
            <w:tcW w:w="10205"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OR</w:t>
            </w:r>
          </w:p>
        </w:tc>
      </w:tr>
      <w:tr>
        <w:trPr/>
        <w:tc>
          <w:tcPr>
            <w:tcW w:w="952" w:type="dxa"/>
            <w:gridSpan w:val="3"/>
            <w:tcBorders/>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w:t>
            </w:r>
          </w:p>
        </w:tc>
        <w:tc>
          <w:tcPr>
            <w:tcW w:w="925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8"/>
              </w:rPr>
            </w:pPr>
            <w:r>
              <w:rPr>
                <w:rFonts w:ascii="Times New Roman;serif" w:hAnsi="Times New Roman;serif"/>
                <w:b/>
                <w:color w:val="000000"/>
                <w:sz w:val="18"/>
              </w:rPr>
              <w:t>For the transition period from              to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Commission File Number: 001-39548</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BENTLEY SYSTEMS, INCORPORATED</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tbl>
      <w:tblPr>
        <w:tblW w:w="7286" w:type="dxa"/>
        <w:jc w:val="center"/>
        <w:tblInd w:w="0" w:type="dxa"/>
        <w:tblLayout w:type="fixed"/>
        <w:tblCellMar>
          <w:top w:w="28" w:type="dxa"/>
          <w:left w:w="28" w:type="dxa"/>
          <w:bottom w:w="28" w:type="dxa"/>
          <w:right w:w="28" w:type="dxa"/>
        </w:tblCellMar>
      </w:tblPr>
      <w:tblGrid>
        <w:gridCol w:w="1549"/>
        <w:gridCol w:w="1364"/>
        <w:gridCol w:w="1376"/>
        <w:gridCol w:w="109"/>
        <w:gridCol w:w="109"/>
        <w:gridCol w:w="109"/>
        <w:gridCol w:w="778"/>
        <w:gridCol w:w="778"/>
        <w:gridCol w:w="1114"/>
      </w:tblGrid>
      <w:tr>
        <w:trPr/>
        <w:tc>
          <w:tcPr>
            <w:tcW w:w="154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color w:val="000000"/>
                <w:sz w:val="18"/>
              </w:rPr>
            </w:pPr>
            <w:r>
              <w:rPr>
                <w:rFonts w:ascii="Times New Roman;serif" w:hAnsi="Times New Roman;serif"/>
                <w:b/>
                <w:color w:val="000000"/>
                <w:sz w:val="18"/>
              </w:rPr>
              <w:t>95-3936623</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685 Stockton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Exton, 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19341</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0"/>
        <w:jc w:val="center"/>
        <w:rPr/>
      </w:pPr>
      <w:r>
        <w:rPr>
          <w:rFonts w:ascii="Times New Roman;serif" w:hAnsi="Times New Roman;serif"/>
          <w:b w:val="false"/>
          <w:color w:val="000000"/>
          <w:sz w:val="16"/>
        </w:rPr>
        <w:t>Registrant’s telephone number, including area code:</w:t>
      </w:r>
      <w:r>
        <w:rPr>
          <w:color w:val="000000"/>
        </w:rPr>
        <w:t xml:space="preserve"> </w:t>
      </w:r>
      <w:r>
        <w:rPr>
          <w:rFonts w:ascii="Times New Roman;serif" w:hAnsi="Times New Roman;serif"/>
          <w:b/>
          <w:color w:val="000000"/>
          <w:sz w:val="18"/>
        </w:rPr>
        <w:t>(610) 458-5000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p>
      <w:pPr>
        <w:pStyle w:val="TextBody"/>
        <w:bidi w:val="0"/>
        <w:spacing w:before="0" w:after="0"/>
        <w:ind w:left="0" w:right="0" w:firstLine="360"/>
        <w:jc w:val="left"/>
        <w:rPr/>
      </w:pPr>
      <w:r>
        <w:rPr/>
      </w:r>
    </w:p>
    <w:tbl>
      <w:tblPr>
        <w:tblW w:w="8198" w:type="dxa"/>
        <w:jc w:val="center"/>
        <w:tblInd w:w="0" w:type="dxa"/>
        <w:tblLayout w:type="fixed"/>
        <w:tblCellMar>
          <w:top w:w="28" w:type="dxa"/>
          <w:left w:w="28" w:type="dxa"/>
          <w:bottom w:w="28" w:type="dxa"/>
          <w:right w:w="28" w:type="dxa"/>
        </w:tblCellMar>
      </w:tblPr>
      <w:tblGrid>
        <w:gridCol w:w="1115"/>
        <w:gridCol w:w="973"/>
        <w:gridCol w:w="987"/>
        <w:gridCol w:w="109"/>
        <w:gridCol w:w="109"/>
        <w:gridCol w:w="109"/>
        <w:gridCol w:w="414"/>
        <w:gridCol w:w="414"/>
        <w:gridCol w:w="416"/>
        <w:gridCol w:w="109"/>
        <w:gridCol w:w="109"/>
        <w:gridCol w:w="109"/>
        <w:gridCol w:w="945"/>
        <w:gridCol w:w="945"/>
        <w:gridCol w:w="1335"/>
      </w:tblGrid>
      <w:tr>
        <w:trPr/>
        <w:tc>
          <w:tcPr>
            <w:tcW w:w="1115"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0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BSY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The Nasdaq Stock Market LLC</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w:t>
        <w:noBreakHyphen/>
        <w:t>T (§232.405 of this chapter) during the preceding 12 months (or for such shorter period that the registrant was required to submit such files). Yes ☒  No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w:t>
        <w:noBreakHyphen/>
        <w:t>accelerated filer, a smaller reporting company, or an emerging growth company. See the definitions of “large accelerated filer,” “accelerated filer,” “smaller reporting company,” and “emerging growth company” in Rule 12b</w:t>
        <w:noBreakHyphen/>
        <w:t>2 of the Exchange Act.</w:t>
      </w:r>
    </w:p>
    <w:tbl>
      <w:tblPr>
        <w:tblW w:w="4184" w:type="dxa"/>
        <w:jc w:val="center"/>
        <w:tblInd w:w="0" w:type="dxa"/>
        <w:tblLayout w:type="fixed"/>
        <w:tblCellMar>
          <w:top w:w="28" w:type="dxa"/>
          <w:left w:w="28" w:type="dxa"/>
          <w:bottom w:w="28" w:type="dxa"/>
          <w:right w:w="28" w:type="dxa"/>
        </w:tblCellMar>
      </w:tblPr>
      <w:tblGrid>
        <w:gridCol w:w="674"/>
        <w:gridCol w:w="592"/>
        <w:gridCol w:w="594"/>
        <w:gridCol w:w="679"/>
        <w:gridCol w:w="679"/>
        <w:gridCol w:w="966"/>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Large accelerated filer ☒</w:t>
            </w:r>
          </w:p>
        </w:tc>
        <w:tc>
          <w:tcPr>
            <w:tcW w:w="232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Accelerated filer ☐</w:t>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 ☐</w:t>
            </w:r>
          </w:p>
        </w:tc>
        <w:tc>
          <w:tcPr>
            <w:tcW w:w="232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6"/>
              </w:rPr>
              <w:t xml:space="preserve">Smaller reporting company </w:t>
            </w:r>
            <w:r>
              <w:rPr>
                <w:color w:val="000000"/>
              </w:rPr>
              <w:t>☐</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6"/>
              </w:rPr>
              <w:t xml:space="preserve">Emerging growth company </w:t>
            </w:r>
            <w:r>
              <w:rPr>
                <w:color w:val="000000"/>
              </w:rPr>
              <w:t>☐</w:t>
            </w:r>
          </w:p>
        </w:tc>
      </w:tr>
    </w:tbl>
    <w:p>
      <w:pPr>
        <w:pStyle w:val="TextBody"/>
        <w:bidi w:val="0"/>
        <w:spacing w:lineRule="auto" w:line="288" w:before="0" w:after="0"/>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w:t>
        <w:noBreakHyphen/>
        <w:t>2 of the Exchange Act). Yes ☐  No ☒</w:t>
      </w:r>
    </w:p>
    <w:p>
      <w:pPr>
        <w:pStyle w:val="TextBody"/>
        <w:bidi w:val="0"/>
        <w:spacing w:before="0" w:after="0"/>
        <w:ind w:left="0" w:right="0" w:firstLine="360"/>
        <w:jc w:val="left"/>
        <w:rPr/>
      </w:pPr>
      <w:r>
        <w:rPr/>
      </w:r>
    </w:p>
    <w:p>
      <w:pPr>
        <w:pStyle w:val="TextBody"/>
        <w:bidi w:val="0"/>
        <w:spacing w:lineRule="auto" w:line="288" w:before="0" w:after="120"/>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As of July 30, 2026, the registrant had 11,515,127 shares of Class A and 290,577,762 shares of Class B common stock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360"/>
                        <w:jc w:val="both"/>
                        <w:rPr/>
                      </w:pPr>
                      <w:r>
                        <w:rPr/>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BENTLEY SYSTEMS,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center"/>
        <w:rPr/>
      </w:pPr>
      <w:r>
        <w:rPr/>
      </w:r>
    </w:p>
    <w:tbl>
      <w:tblPr>
        <w:tblW w:w="8877" w:type="dxa"/>
        <w:jc w:val="center"/>
        <w:tblInd w:w="0" w:type="dxa"/>
        <w:tblLayout w:type="fixed"/>
        <w:tblCellMar>
          <w:top w:w="28" w:type="dxa"/>
          <w:left w:w="28" w:type="dxa"/>
          <w:bottom w:w="28" w:type="dxa"/>
          <w:right w:w="28" w:type="dxa"/>
        </w:tblCellMar>
      </w:tblPr>
      <w:tblGrid>
        <w:gridCol w:w="2889"/>
        <w:gridCol w:w="2543"/>
        <w:gridCol w:w="2547"/>
        <w:gridCol w:w="109"/>
        <w:gridCol w:w="109"/>
        <w:gridCol w:w="109"/>
        <w:gridCol w:w="167"/>
        <w:gridCol w:w="167"/>
        <w:gridCol w:w="237"/>
      </w:tblGrid>
      <w:tr>
        <w:trPr/>
        <w:tc>
          <w:tcPr>
            <w:tcW w:w="2889"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6d2020b0e14ed193dae4125f4f36c2_22">
              <w:r>
                <w:rPr>
                  <w:rStyle w:val="InternetLink"/>
                  <w:rFonts w:ascii="Times New Roman;serif" w:hAnsi="Times New Roman;serif"/>
                  <w:b w:val="false"/>
                  <w:color w:val="0000FF"/>
                  <w:sz w:val="20"/>
                  <w:u w:val="single"/>
                </w:rPr>
                <w:t>PART I. FINANCIAL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a6d2020b0e14ed193dae4125f4f36c2_22">
              <w:r>
                <w:rPr>
                  <w:rStyle w:val="InternetLink"/>
                  <w:rFonts w:ascii="Times New Roman;serif" w:hAnsi="Times New Roman;serif"/>
                  <w:b w:val="false"/>
                  <w:color w:val="0000FF"/>
                  <w:sz w:val="20"/>
                  <w:u w:val="single"/>
                </w:rPr>
                <w:t>Item 1. Unaudited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a6d2020b0e14ed193dae4125f4f36c2_22">
              <w:r>
                <w:rPr>
                  <w:rStyle w:val="InternetLink"/>
                  <w:rFonts w:ascii="Times New Roman;serif" w:hAnsi="Times New Roman;serif"/>
                  <w:b w:val="false"/>
                  <w:color w:val="0000FF"/>
                  <w:sz w:val="20"/>
                  <w:u w:val="single"/>
                </w:rPr>
                <w:t>Consolidated Balance Sheets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a6d2020b0e14ed193dae4125f4f36c2_22">
              <w:r>
                <w:rPr>
                  <w:rStyle w:val="InternetLink"/>
                  <w:rFonts w:ascii="Times New Roman;serif" w:hAnsi="Times New Roman;serif"/>
                  <w:b w:val="false"/>
                  <w:color w:val="0000FF"/>
                  <w:sz w:val="20"/>
                  <w:u w:val="single"/>
                </w:rPr>
                <w:t>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ea6d2020b0e14ed193dae4125f4f36c2_25">
              <w:r>
                <w:rPr>
                  <w:rStyle w:val="InternetLink"/>
                  <w:rFonts w:ascii="Times New Roman;serif" w:hAnsi="Times New Roman;serif"/>
                  <w:b w:val="false"/>
                  <w:color w:val="0000FF"/>
                  <w:sz w:val="20"/>
                  <w:u w:val="single"/>
                </w:rPr>
                <w:t>Consolidated Statements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a6d2020b0e14ed193dae4125f4f36c2_25">
              <w:r>
                <w:rPr>
                  <w:rStyle w:val="InternetLink"/>
                  <w:rFonts w:ascii="Times New Roman;serif" w:hAnsi="Times New Roman;serif"/>
                  <w:b w:val="false"/>
                  <w:color w:val="0000FF"/>
                  <w:sz w:val="20"/>
                  <w:u w:val="single"/>
                </w:rPr>
                <w:t>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ea6d2020b0e14ed193dae4125f4f36c2_31">
              <w:r>
                <w:rPr>
                  <w:rStyle w:val="InternetLink"/>
                  <w:rFonts w:ascii="Times New Roman;serif" w:hAnsi="Times New Roman;serif"/>
                  <w:b w:val="false"/>
                  <w:color w:val="0000FF"/>
                  <w:sz w:val="20"/>
                  <w:u w:val="single"/>
                </w:rPr>
                <w:t>Consolidated Statements of Comprehensive Income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a6d2020b0e14ed193dae4125f4f36c2_31">
              <w:r>
                <w:rPr>
                  <w:rStyle w:val="InternetLink"/>
                  <w:rFonts w:ascii="Times New Roman;serif" w:hAnsi="Times New Roman;serif"/>
                  <w:b w:val="false"/>
                  <w:color w:val="0000FF"/>
                  <w:sz w:val="20"/>
                  <w:u w:val="single"/>
                </w:rPr>
                <w:t>6</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ea6d2020b0e14ed193dae4125f4f36c2_37">
              <w:r>
                <w:rPr>
                  <w:rStyle w:val="InternetLink"/>
                  <w:rFonts w:ascii="Times New Roman;serif" w:hAnsi="Times New Roman;serif"/>
                  <w:b w:val="false"/>
                  <w:color w:val="0000FF"/>
                  <w:sz w:val="20"/>
                  <w:u w:val="single"/>
                </w:rPr>
                <w:t>Consolidated Statements of Equity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a6d2020b0e14ed193dae4125f4f36c2_37">
              <w:r>
                <w:rPr>
                  <w:rStyle w:val="InternetLink"/>
                  <w:rFonts w:ascii="Times New Roman;serif" w:hAnsi="Times New Roman;serif"/>
                  <w:b w:val="false"/>
                  <w:color w:val="0000FF"/>
                  <w:sz w:val="20"/>
                  <w:u w:val="single"/>
                </w:rPr>
                <w:t>7</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ea6d2020b0e14ed193dae4125f4f36c2_43">
              <w:r>
                <w:rPr>
                  <w:rStyle w:val="InternetLink"/>
                  <w:rFonts w:ascii="Times New Roman;serif" w:hAnsi="Times New Roman;serif"/>
                  <w:b w:val="false"/>
                  <w:color w:val="0000FF"/>
                  <w:sz w:val="20"/>
                  <w:u w:val="single"/>
                </w:rPr>
                <w:t>Consolidated Statements of Cash Flows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a6d2020b0e14ed193dae4125f4f36c2_43">
              <w:r>
                <w:rPr>
                  <w:rStyle w:val="InternetLink"/>
                  <w:rFonts w:ascii="Times New Roman;serif" w:hAnsi="Times New Roman;serif"/>
                  <w:b w:val="false"/>
                  <w:color w:val="0000FF"/>
                  <w:sz w:val="20"/>
                  <w:u w:val="single"/>
                </w:rPr>
                <w:t>9</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a6d2020b0e14ed193dae4125f4f36c2_52">
              <w:r>
                <w:rPr>
                  <w:rStyle w:val="InternetLink"/>
                  <w:rFonts w:ascii="Times New Roman;serif" w:hAnsi="Times New Roman;serif"/>
                  <w:b w:val="false"/>
                  <w:color w:val="0000FF"/>
                  <w:sz w:val="20"/>
                  <w:u w:val="single"/>
                </w:rPr>
                <w:t>Notes to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a6d2020b0e14ed193dae4125f4f36c2_52">
              <w:r>
                <w:rPr>
                  <w:rStyle w:val="InternetLink"/>
                  <w:rFonts w:ascii="Times New Roman;serif" w:hAnsi="Times New Roman;serif"/>
                  <w:b w:val="false"/>
                  <w:color w:val="0000FF"/>
                  <w:sz w:val="20"/>
                  <w:u w:val="single"/>
                </w:rPr>
                <w:t>11</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a6d2020b0e14ed193dae4125f4f36c2_268">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a6d2020b0e14ed193dae4125f4f36c2_268">
              <w:r>
                <w:rPr>
                  <w:rStyle w:val="InternetLink"/>
                  <w:rFonts w:ascii="Times New Roman;serif" w:hAnsi="Times New Roman;serif"/>
                  <w:b w:val="false"/>
                  <w:color w:val="0000FF"/>
                  <w:sz w:val="20"/>
                  <w:u w:val="single"/>
                </w:rPr>
                <w:t>32</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a6d2020b0e14ed193dae4125f4f36c2_382">
              <w:r>
                <w:rPr>
                  <w:rStyle w:val="InternetLink"/>
                  <w:rFonts w:ascii="Times New Roman;serif" w:hAnsi="Times New Roman;serif"/>
                  <w:b w:val="false"/>
                  <w:color w:val="0000FF"/>
                  <w:sz w:val="20"/>
                  <w:u w:val="single"/>
                </w:rPr>
                <w:t>Item 3. 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a6d2020b0e14ed193dae4125f4f36c2_382">
              <w:r>
                <w:rPr>
                  <w:rStyle w:val="InternetLink"/>
                  <w:rFonts w:ascii="Times New Roman;serif" w:hAnsi="Times New Roman;serif"/>
                  <w:b w:val="false"/>
                  <w:color w:val="0000FF"/>
                  <w:sz w:val="20"/>
                  <w:u w:val="single"/>
                </w:rPr>
                <w:t>46</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a6d2020b0e14ed193dae4125f4f36c2_388">
              <w:r>
                <w:rPr>
                  <w:rStyle w:val="InternetLink"/>
                  <w:rFonts w:ascii="Times New Roman;serif" w:hAnsi="Times New Roman;serif"/>
                  <w:b w:val="false"/>
                  <w:color w:val="0000FF"/>
                  <w:sz w:val="20"/>
                  <w:u w:val="single"/>
                </w:rPr>
                <w:t>Item 4. 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a6d2020b0e14ed193dae4125f4f36c2_388">
              <w:r>
                <w:rPr>
                  <w:rStyle w:val="InternetLink"/>
                  <w:rFonts w:ascii="Times New Roman;serif" w:hAnsi="Times New Roman;serif"/>
                  <w:b w:val="false"/>
                  <w:color w:val="0000FF"/>
                  <w:sz w:val="20"/>
                  <w:u w:val="single"/>
                </w:rPr>
                <w:t>46</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6d2020b0e14ed193dae4125f4f36c2_391">
              <w:r>
                <w:rPr>
                  <w:rStyle w:val="InternetLink"/>
                  <w:rFonts w:ascii="Times New Roman;serif" w:hAnsi="Times New Roman;serif"/>
                  <w:b w:val="false"/>
                  <w:color w:val="0000FF"/>
                  <w:sz w:val="20"/>
                  <w:u w:val="single"/>
                </w:rPr>
                <w:t>PART II.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a6d2020b0e14ed193dae4125f4f36c2_391">
              <w:r>
                <w:rPr>
                  <w:rStyle w:val="InternetLink"/>
                  <w:rFonts w:ascii="Times New Roman;serif" w:hAnsi="Times New Roman;serif"/>
                  <w:b w:val="false"/>
                  <w:color w:val="0000FF"/>
                  <w:sz w:val="20"/>
                  <w:u w:val="single"/>
                </w:rPr>
                <w:t>Item 1. 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a6d2020b0e14ed193dae4125f4f36c2_391">
              <w:r>
                <w:rPr>
                  <w:rStyle w:val="InternetLink"/>
                  <w:rFonts w:ascii="Times New Roman;serif" w:hAnsi="Times New Roman;serif"/>
                  <w:b w:val="false"/>
                  <w:color w:val="0000FF"/>
                  <w:sz w:val="20"/>
                  <w:u w:val="single"/>
                </w:rPr>
                <w:t>47</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a6d2020b0e14ed193dae4125f4f36c2_394">
              <w:r>
                <w:rPr>
                  <w:rStyle w:val="InternetLink"/>
                  <w:rFonts w:ascii="Times New Roman;serif" w:hAnsi="Times New Roman;serif"/>
                  <w:b w:val="false"/>
                  <w:color w:val="0000FF"/>
                  <w:sz w:val="20"/>
                  <w:u w:val="single"/>
                </w:rPr>
                <w:t>Item 1A. 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a6d2020b0e14ed193dae4125f4f36c2_394">
              <w:r>
                <w:rPr>
                  <w:rStyle w:val="InternetLink"/>
                  <w:rFonts w:ascii="Times New Roman;serif" w:hAnsi="Times New Roman;serif"/>
                  <w:b w:val="false"/>
                  <w:color w:val="0000FF"/>
                  <w:sz w:val="20"/>
                  <w:u w:val="single"/>
                </w:rPr>
                <w:t>47</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ea6d2020b0e14ed193dae4125f4f36c2_400">
              <w:r>
                <w:rPr>
                  <w:rStyle w:val="InternetLink"/>
                  <w:rFonts w:ascii="Times New Roman;serif" w:hAnsi="Times New Roman;serif"/>
                  <w:b w:val="false"/>
                  <w:color w:val="0000FF"/>
                  <w:sz w:val="20"/>
                  <w:u w:val="single"/>
                </w:rPr>
                <w:t>Item 2. Unregistered Sales of Equity Securities and Use of Proceeds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a6d2020b0e14ed193dae4125f4f36c2_400">
              <w:r>
                <w:rPr>
                  <w:rStyle w:val="InternetLink"/>
                  <w:rFonts w:ascii="Times New Roman;serif" w:hAnsi="Times New Roman;serif"/>
                  <w:b w:val="false"/>
                  <w:color w:val="0000FF"/>
                  <w:sz w:val="20"/>
                  <w:u w:val="single"/>
                </w:rPr>
                <w:t>47</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a6d2020b0e14ed193dae4125f4f36c2_409">
              <w:r>
                <w:rPr>
                  <w:rStyle w:val="InternetLink"/>
                  <w:rFonts w:ascii="Times New Roman;serif" w:hAnsi="Times New Roman;serif"/>
                  <w:b w:val="false"/>
                  <w:color w:val="0000FF"/>
                  <w:sz w:val="20"/>
                  <w:u w:val="single"/>
                </w:rPr>
                <w:t>Item 5.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a6d2020b0e14ed193dae4125f4f36c2_409">
              <w:r>
                <w:rPr>
                  <w:rStyle w:val="InternetLink"/>
                  <w:rFonts w:ascii="Times New Roman;serif" w:hAnsi="Times New Roman;serif"/>
                  <w:b w:val="false"/>
                  <w:color w:val="0000FF"/>
                  <w:sz w:val="20"/>
                  <w:u w:val="single"/>
                </w:rPr>
                <w:t>48</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a6d2020b0e14ed193dae4125f4f36c2_418">
              <w:r>
                <w:rPr>
                  <w:rStyle w:val="InternetLink"/>
                  <w:rFonts w:ascii="Times New Roman;serif" w:hAnsi="Times New Roman;serif"/>
                  <w:b w:val="false"/>
                  <w:color w:val="0000FF"/>
                  <w:sz w:val="20"/>
                  <w:u w:val="single"/>
                </w:rPr>
                <w:t>Item 6. 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a6d2020b0e14ed193dae4125f4f36c2_418">
              <w:r>
                <w:rPr>
                  <w:rStyle w:val="InternetLink"/>
                  <w:rFonts w:ascii="Times New Roman;serif" w:hAnsi="Times New Roman;serif"/>
                  <w:b w:val="false"/>
                  <w:color w:val="0000FF"/>
                  <w:sz w:val="20"/>
                  <w:u w:val="single"/>
                </w:rPr>
                <w:t>48</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6d2020b0e14ed193dae4125f4f36c2_424">
              <w:r>
                <w:rPr>
                  <w:rStyle w:val="InternetLink"/>
                  <w:rFonts w:ascii="Times New Roman;serif" w:hAnsi="Times New Roman;serif"/>
                  <w:b w:val="false"/>
                  <w:color w:val="0000FF"/>
                  <w:sz w:val="20"/>
                  <w:u w:val="single"/>
                </w:rPr>
                <w:t>SIGNATURE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a6d2020b0e14ed193dae4125f4f36c2_424">
              <w:r>
                <w:rPr>
                  <w:rStyle w:val="InternetLink"/>
                  <w:rFonts w:ascii="Times New Roman;serif" w:hAnsi="Times New Roman;serif"/>
                  <w:b w:val="false"/>
                  <w:color w:val="0000FF"/>
                  <w:sz w:val="20"/>
                  <w:u w:val="single"/>
                </w:rPr>
                <w:t>49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00"/>
        <w:jc w:val="both"/>
        <w:rPr/>
      </w:pPr>
      <w:hyperlink w:anchor="iea6d2020b0e14ed193dae4125f4f36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w:t>
        <w:noBreakHyphen/>
        <w:t>Q is for the three and six months ended June 30, 2026. This Quarterly Report on Form 10</w:t>
        <w:noBreakHyphen/>
        <w:t>Q modifies and supersedes documents filed before it. The United States (“U.S.”)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on Form 10</w:t>
        <w:noBreakHyphen/>
        <w:t>Q. In addition, information that we file with the SEC in the future will automatically update and supersede information contained in this Quarterly Report on Form 10</w:t>
        <w:noBreakHyphen/>
        <w:t>Q.</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Unless indicated otherwise, throughout this Quarterly Report on Form 10</w:t>
        <w:noBreakHyphen/>
        <w:t>Q, we refer to Bentley Systems, Incorporated and its consolidated subsidiaries, as “Bentley Systems,” “Bentley,” the “Company,” “we,” “us,” and “our.”</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w:t>
        <w:noBreakHyphen/>
        <w:t>Q contains trademarks, service marks, brands, or product names owned by us, as well as those owned by others.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Numerical information in this report is presented on a rounded basis using actual amounts. Minor differences in totals and percentage calculations may exist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w:t>
        <w:noBreakHyphen/>
        <w:t>Q includes forward</w:t>
        <w:noBreakHyphen/>
        <w:t>looking statements. All statements contained in this Quarterly Report on Form 10</w:t>
        <w:noBreakHyphen/>
        <w:t>Q other than statements of historical facts, including statements regarding our future results of operations and financial condition, our business strategy, and plans and our objectives for future operations, are forward</w:t>
        <w:noBreakHyphen/>
        <w:t>looking statements. The words “believe,” “may,” “will,” “could,” “would,” “seeks,” “estimate,” “continue,” “anticipate,” “intend,” “expect,” and similar expressions, as well as statements regarding our focus for the future, are intended to identify forward</w:t>
        <w:noBreakHyphen/>
        <w:t>looking statements. We have based these forward</w:t>
        <w:noBreakHyphen/>
        <w:t>looking statements largely on our current expectations, projections, and assumptions about future events and financial trends that we believe may affect our financial condition, results of operations, business strategy, short</w:t>
        <w:noBreakHyphen/>
        <w:t>term and long</w:t>
        <w:noBreakHyphen/>
        <w:t>term business operations and objectives, and financial needs. These forward</w:t>
        <w:noBreakHyphen/>
        <w:t>looking statements are subject to a number of risks, uncertainties, and assumptions, including those described in the section titled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w:t>
        <w:noBreakHyphen/>
        <w:t>looking statements we may make. In light of these risks, uncertainties, and assumptions, the future events and trends discussed in this Quarterly Report on Form 10</w:t>
        <w:noBreakHyphen/>
        <w:t>Q may not occur and actual results could differ materially and adversely from those anticipated or implied in the forward</w:t>
        <w:noBreakHyphen/>
        <w:t>looking statements. The forward</w:t>
        <w:noBreakHyphen/>
        <w:t>looking statements, as well as our Quarterly Report on Form 10</w:t>
        <w:noBreakHyphen/>
        <w:t>Q as a whole, are subject to risks and uncertainties.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w:t>
        <w:noBreakHyphen/>
        <w:t>looking statements. We discuss many of these risks in this Quarterly Report on Form 10</w:t>
        <w:noBreakHyphen/>
        <w:t>Q in greater detail in the section titled “Risk Factors” and elsewhere in this Quarterly Report on Form 10</w:t>
        <w:noBreakHyphen/>
        <w:t>Q. You should not rely upon forward</w:t>
        <w:noBreakHyphen/>
        <w:t>looking statements as predictions of future events.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we believe that the expectations reflected in the forward</w:t>
        <w:noBreakHyphen/>
        <w:t>looking statements are reasonable, we cannot guarantee future results, levels of activity, performance, achievements, events, or circumstances reflected in the forward</w:t>
        <w:noBreakHyphen/>
        <w:t>looking statements will occur. Except as required by law, we undertake no obligation to update any of these forward</w:t>
        <w:noBreakHyphen/>
        <w:t>looking statements after the date of this Quarterly Report on Form 10</w:t>
        <w:noBreakHyphen/>
        <w:t>Q to conform these statements to actual results or revised expectations.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00"/>
        <w:jc w:val="both"/>
        <w:rPr/>
      </w:pPr>
      <w:hyperlink w:anchor="iea6d2020b0e14ed193dae4125f4f36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 Unaudited Consolidated Financial Statements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BENTLEY SYSTEMS, INCORPORATED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Balance Sheets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 except share and per share data)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00"/>
        <w:gridCol w:w="2114"/>
        <w:gridCol w:w="2094"/>
        <w:gridCol w:w="109"/>
        <w:gridCol w:w="109"/>
        <w:gridCol w:w="109"/>
        <w:gridCol w:w="196"/>
        <w:gridCol w:w="871"/>
        <w:gridCol w:w="109"/>
        <w:gridCol w:w="109"/>
        <w:gridCol w:w="109"/>
        <w:gridCol w:w="109"/>
        <w:gridCol w:w="219"/>
        <w:gridCol w:w="973"/>
        <w:gridCol w:w="175"/>
      </w:tblGrid>
      <w:tr>
        <w:trPr/>
        <w:tc>
          <w:tcPr>
            <w:tcW w:w="2800"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7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123,278 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350,299 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(7,609)</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19,805 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53,260 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587,891 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539,033 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36,031 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31,141 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193,018 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2,469,001 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2,482,154 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27,920 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170,368 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75,502 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3,582,904 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3,555,167 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26,952 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Accruals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173,255 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Cloud Services Subscription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463,312 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278,244 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13,669 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988,139 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960,210 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1,248,912 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compensation plan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106,831 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22,150 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18,410 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2,380,878 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2,365,675 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Preferred stock, $0.01 par value, authorized 100,000,000 shares; none issued or outstanding as of June 30, 2026 and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Class A common stock, $0.01 par value, authorized 100,000,000 shares; issued and outstanding 11,515,127 and 11,537,627 shares as of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Class B common stock, $0.01 par value, authorized 1,800,000,000 shares; issued and outstanding 290,262,472 and 290,817,470 shares as of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1,301,205 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(74,558)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(40,258)</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Bentley Systems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1,202,042 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1,189,413 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1,202,026 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1,189,492 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3,582,904 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3,555,167 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00"/>
        <w:jc w:val="both"/>
        <w:rPr/>
      </w:pPr>
      <w:hyperlink w:anchor="iea6d2020b0e14ed193dae4125f4f36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BENTLEY SYSTEMS,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share and per share data)</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364"/>
        <w:gridCol w:w="1149"/>
        <w:gridCol w:w="1158"/>
        <w:gridCol w:w="109"/>
        <w:gridCol w:w="109"/>
        <w:gridCol w:w="109"/>
        <w:gridCol w:w="241"/>
        <w:gridCol w:w="945"/>
        <w:gridCol w:w="109"/>
        <w:gridCol w:w="109"/>
        <w:gridCol w:w="109"/>
        <w:gridCol w:w="109"/>
        <w:gridCol w:w="241"/>
        <w:gridCol w:w="945"/>
        <w:gridCol w:w="109"/>
        <w:gridCol w:w="109"/>
        <w:gridCol w:w="109"/>
        <w:gridCol w:w="109"/>
        <w:gridCol w:w="241"/>
        <w:gridCol w:w="945"/>
        <w:gridCol w:w="109"/>
        <w:gridCol w:w="109"/>
        <w:gridCol w:w="109"/>
        <w:gridCol w:w="109"/>
        <w:gridCol w:w="241"/>
        <w:gridCol w:w="945"/>
        <w:gridCol w:w="155"/>
      </w:tblGrid>
      <w:tr>
        <w:trPr/>
        <w:tc>
          <w:tcPr>
            <w:tcW w:w="1364"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3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675,770 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Perpetual licenses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 and licenses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789,883 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696,755 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410,727 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734,648 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subscriptions and licenses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134,435 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600,213 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purchased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472,279 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400,599 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199,614 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191,140 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Equity in net income of investees,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161,838 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Bentley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161,850 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per share attributable to Bentley Systems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311,784,740 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314,622,491 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312,227,764 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314,894,050 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318,957,692 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332,824,020 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320,435,795 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333,150,282 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00"/>
        <w:jc w:val="both"/>
        <w:rPr/>
      </w:pPr>
      <w:hyperlink w:anchor="iea6d2020b0e14ed193dae4125f4f36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BENTLEY SYSTEMS,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636"/>
        <w:gridCol w:w="1414"/>
        <w:gridCol w:w="1427"/>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5"/>
      </w:tblGrid>
      <w:tr>
        <w:trPr/>
        <w:tc>
          <w:tcPr>
            <w:tcW w:w="1636"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4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161,838 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Actuarial (loss) gain on retirement plan, net of tax effect of $2, $(8), $503, and $(16),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income,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196,829 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Other comprehensive income (loss)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Bentley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196,833 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00"/>
        <w:jc w:val="both"/>
        <w:rPr/>
      </w:pPr>
      <w:hyperlink w:anchor="iea6d2020b0e14ed193dae4125f4f36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BENTLEY SYSTEMS,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share data)</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tbl>
      <w:tblPr>
        <w:tblW w:w="11719" w:type="dxa"/>
        <w:jc w:val="center"/>
        <w:tblInd w:w="0" w:type="dxa"/>
        <w:tblLayout w:type="fixed"/>
        <w:tblCellMar>
          <w:top w:w="28" w:type="dxa"/>
          <w:left w:w="28" w:type="dxa"/>
          <w:bottom w:w="28" w:type="dxa"/>
          <w:right w:w="28" w:type="dxa"/>
        </w:tblCellMar>
      </w:tblPr>
      <w:tblGrid>
        <w:gridCol w:w="677"/>
        <w:gridCol w:w="268"/>
        <w:gridCol w:w="226"/>
        <w:gridCol w:w="525"/>
        <w:gridCol w:w="526"/>
        <w:gridCol w:w="151"/>
        <w:gridCol w:w="109"/>
        <w:gridCol w:w="109"/>
        <w:gridCol w:w="109"/>
        <w:gridCol w:w="196"/>
        <w:gridCol w:w="556"/>
        <w:gridCol w:w="109"/>
        <w:gridCol w:w="109"/>
        <w:gridCol w:w="109"/>
        <w:gridCol w:w="109"/>
        <w:gridCol w:w="196"/>
        <w:gridCol w:w="871"/>
        <w:gridCol w:w="109"/>
        <w:gridCol w:w="109"/>
        <w:gridCol w:w="109"/>
        <w:gridCol w:w="109"/>
        <w:gridCol w:w="196"/>
        <w:gridCol w:w="661"/>
        <w:gridCol w:w="109"/>
        <w:gridCol w:w="109"/>
        <w:gridCol w:w="109"/>
        <w:gridCol w:w="109"/>
        <w:gridCol w:w="196"/>
        <w:gridCol w:w="661"/>
        <w:gridCol w:w="109"/>
        <w:gridCol w:w="109"/>
        <w:gridCol w:w="109"/>
        <w:gridCol w:w="109"/>
        <w:gridCol w:w="196"/>
        <w:gridCol w:w="871"/>
        <w:gridCol w:w="109"/>
        <w:gridCol w:w="109"/>
        <w:gridCol w:w="109"/>
        <w:gridCol w:w="109"/>
        <w:gridCol w:w="196"/>
        <w:gridCol w:w="386"/>
        <w:gridCol w:w="109"/>
        <w:gridCol w:w="109"/>
        <w:gridCol w:w="109"/>
        <w:gridCol w:w="109"/>
        <w:gridCol w:w="196"/>
        <w:gridCol w:w="871"/>
        <w:gridCol w:w="154"/>
      </w:tblGrid>
      <w:tr>
        <w:trPr/>
        <w:tc>
          <w:tcPr>
            <w:tcW w:w="67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8"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Three Months Ended June 30, 2026</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Bentley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A and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Equity</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March 31, 2026</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303,604,683 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1,325,977 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(80,727)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1,225,847 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1,225,888 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78,515 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 income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Shares issued in connection with deferred compensation plan,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818,949 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Shares issued in connection with executive bonus plan,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34,899 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for stock grants,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20,247 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related to restricted stock,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8,715 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Class B common stock under approved program</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(2,709,894)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June 30, 2026</w:t>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301,777,599 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1,348,863 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(86,393)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(63,446)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1,202,042 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1,202,026 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1754" w:type="dxa"/>
        <w:jc w:val="center"/>
        <w:tblInd w:w="0" w:type="dxa"/>
        <w:tblLayout w:type="fixed"/>
        <w:tblCellMar>
          <w:top w:w="28" w:type="dxa"/>
          <w:left w:w="28" w:type="dxa"/>
          <w:bottom w:w="28" w:type="dxa"/>
          <w:right w:w="28" w:type="dxa"/>
        </w:tblCellMar>
      </w:tblPr>
      <w:tblGrid>
        <w:gridCol w:w="677"/>
        <w:gridCol w:w="268"/>
        <w:gridCol w:w="226"/>
        <w:gridCol w:w="525"/>
        <w:gridCol w:w="526"/>
        <w:gridCol w:w="151"/>
        <w:gridCol w:w="109"/>
        <w:gridCol w:w="109"/>
        <w:gridCol w:w="109"/>
        <w:gridCol w:w="196"/>
        <w:gridCol w:w="556"/>
        <w:gridCol w:w="109"/>
        <w:gridCol w:w="109"/>
        <w:gridCol w:w="109"/>
        <w:gridCol w:w="109"/>
        <w:gridCol w:w="196"/>
        <w:gridCol w:w="871"/>
        <w:gridCol w:w="109"/>
        <w:gridCol w:w="109"/>
        <w:gridCol w:w="109"/>
        <w:gridCol w:w="109"/>
        <w:gridCol w:w="196"/>
        <w:gridCol w:w="661"/>
        <w:gridCol w:w="109"/>
        <w:gridCol w:w="109"/>
        <w:gridCol w:w="109"/>
        <w:gridCol w:w="109"/>
        <w:gridCol w:w="196"/>
        <w:gridCol w:w="661"/>
        <w:gridCol w:w="109"/>
        <w:gridCol w:w="109"/>
        <w:gridCol w:w="109"/>
        <w:gridCol w:w="109"/>
        <w:gridCol w:w="196"/>
        <w:gridCol w:w="871"/>
        <w:gridCol w:w="109"/>
        <w:gridCol w:w="109"/>
        <w:gridCol w:w="109"/>
        <w:gridCol w:w="109"/>
        <w:gridCol w:w="196"/>
        <w:gridCol w:w="421"/>
        <w:gridCol w:w="109"/>
        <w:gridCol w:w="109"/>
        <w:gridCol w:w="109"/>
        <w:gridCol w:w="109"/>
        <w:gridCol w:w="196"/>
        <w:gridCol w:w="871"/>
        <w:gridCol w:w="154"/>
      </w:tblGrid>
      <w:tr>
        <w:trPr/>
        <w:tc>
          <w:tcPr>
            <w:tcW w:w="67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Three Months Ended June 30, 2025</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Bentley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A and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Equity</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March 31, 2025</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302,909,806 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1,239,817 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(97,583)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1,097,582 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1,097,689 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Shares issued in connection with deferred compensation plan,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883,626 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Shares issued in connection with executive bonus plan,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26,727 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for stock grants,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12,591 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related to restricted stock,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104,465 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Class B common stock under approved program</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(499,143)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June 30, 2025</w:t>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303,438,072 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1,259,476 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(31,374)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1,162,041 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1,162,170 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00"/>
        <w:jc w:val="both"/>
        <w:rPr/>
      </w:pPr>
      <w:hyperlink w:anchor="iea6d2020b0e14ed193dae4125f4f36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BENTLEY SYSTEMS,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share data)</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tbl>
      <w:tblPr>
        <w:tblW w:w="11719" w:type="dxa"/>
        <w:jc w:val="center"/>
        <w:tblInd w:w="0" w:type="dxa"/>
        <w:tblLayout w:type="fixed"/>
        <w:tblCellMar>
          <w:top w:w="28" w:type="dxa"/>
          <w:left w:w="28" w:type="dxa"/>
          <w:bottom w:w="28" w:type="dxa"/>
          <w:right w:w="28" w:type="dxa"/>
        </w:tblCellMar>
      </w:tblPr>
      <w:tblGrid>
        <w:gridCol w:w="720"/>
        <w:gridCol w:w="225"/>
        <w:gridCol w:w="226"/>
        <w:gridCol w:w="525"/>
        <w:gridCol w:w="526"/>
        <w:gridCol w:w="151"/>
        <w:gridCol w:w="109"/>
        <w:gridCol w:w="109"/>
        <w:gridCol w:w="109"/>
        <w:gridCol w:w="196"/>
        <w:gridCol w:w="556"/>
        <w:gridCol w:w="109"/>
        <w:gridCol w:w="109"/>
        <w:gridCol w:w="109"/>
        <w:gridCol w:w="109"/>
        <w:gridCol w:w="196"/>
        <w:gridCol w:w="871"/>
        <w:gridCol w:w="109"/>
        <w:gridCol w:w="109"/>
        <w:gridCol w:w="109"/>
        <w:gridCol w:w="109"/>
        <w:gridCol w:w="196"/>
        <w:gridCol w:w="661"/>
        <w:gridCol w:w="109"/>
        <w:gridCol w:w="109"/>
        <w:gridCol w:w="109"/>
        <w:gridCol w:w="109"/>
        <w:gridCol w:w="196"/>
        <w:gridCol w:w="661"/>
        <w:gridCol w:w="109"/>
        <w:gridCol w:w="109"/>
        <w:gridCol w:w="109"/>
        <w:gridCol w:w="109"/>
        <w:gridCol w:w="196"/>
        <w:gridCol w:w="871"/>
        <w:gridCol w:w="109"/>
        <w:gridCol w:w="109"/>
        <w:gridCol w:w="109"/>
        <w:gridCol w:w="109"/>
        <w:gridCol w:w="196"/>
        <w:gridCol w:w="386"/>
        <w:gridCol w:w="109"/>
        <w:gridCol w:w="109"/>
        <w:gridCol w:w="109"/>
        <w:gridCol w:w="109"/>
        <w:gridCol w:w="196"/>
        <w:gridCol w:w="871"/>
        <w:gridCol w:w="154"/>
      </w:tblGrid>
      <w:tr>
        <w:trPr/>
        <w:tc>
          <w:tcPr>
            <w:tcW w:w="72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8"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Six Months Ended June 30, 2026</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Bentley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A and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Equity</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December 31, 2025</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302,355,097 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1,301,205 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1,189,413 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1,189,492 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173,864 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Shares issued in connection with deferred compensation plan,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2,093,487 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Shares issued in connection with executive bonus plan,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55,583 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Shares issued in connection with employee stock purchase plan,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164,906 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for stock grants,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20,247 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related to restricted stock,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836,021 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Class B common stock under approved program</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(3,747,742)</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June 30, 2026</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301,777,599 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1,348,863 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(86,393)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(63,446)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1,202,042 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1,202,026 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1844" w:type="dxa"/>
        <w:jc w:val="center"/>
        <w:tblInd w:w="0" w:type="dxa"/>
        <w:tblLayout w:type="fixed"/>
        <w:tblCellMar>
          <w:top w:w="28" w:type="dxa"/>
          <w:left w:w="28" w:type="dxa"/>
          <w:bottom w:w="28" w:type="dxa"/>
          <w:right w:w="28" w:type="dxa"/>
        </w:tblCellMar>
      </w:tblPr>
      <w:tblGrid>
        <w:gridCol w:w="720"/>
        <w:gridCol w:w="225"/>
        <w:gridCol w:w="226"/>
        <w:gridCol w:w="525"/>
        <w:gridCol w:w="526"/>
        <w:gridCol w:w="151"/>
        <w:gridCol w:w="109"/>
        <w:gridCol w:w="109"/>
        <w:gridCol w:w="109"/>
        <w:gridCol w:w="196"/>
        <w:gridCol w:w="556"/>
        <w:gridCol w:w="109"/>
        <w:gridCol w:w="109"/>
        <w:gridCol w:w="109"/>
        <w:gridCol w:w="109"/>
        <w:gridCol w:w="196"/>
        <w:gridCol w:w="871"/>
        <w:gridCol w:w="109"/>
        <w:gridCol w:w="109"/>
        <w:gridCol w:w="109"/>
        <w:gridCol w:w="109"/>
        <w:gridCol w:w="196"/>
        <w:gridCol w:w="751"/>
        <w:gridCol w:w="109"/>
        <w:gridCol w:w="109"/>
        <w:gridCol w:w="109"/>
        <w:gridCol w:w="109"/>
        <w:gridCol w:w="196"/>
        <w:gridCol w:w="661"/>
        <w:gridCol w:w="109"/>
        <w:gridCol w:w="109"/>
        <w:gridCol w:w="109"/>
        <w:gridCol w:w="109"/>
        <w:gridCol w:w="196"/>
        <w:gridCol w:w="871"/>
        <w:gridCol w:w="109"/>
        <w:gridCol w:w="109"/>
        <w:gridCol w:w="109"/>
        <w:gridCol w:w="109"/>
        <w:gridCol w:w="196"/>
        <w:gridCol w:w="421"/>
        <w:gridCol w:w="109"/>
        <w:gridCol w:w="109"/>
        <w:gridCol w:w="109"/>
        <w:gridCol w:w="109"/>
        <w:gridCol w:w="196"/>
        <w:gridCol w:w="871"/>
        <w:gridCol w:w="154"/>
      </w:tblGrid>
      <w:tr>
        <w:trPr/>
        <w:tc>
          <w:tcPr>
            <w:tcW w:w="72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Six Months Ended June 30, 2025</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Bentley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A and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Equity</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December 31, 2024</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301,977,330 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1,217,986 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(75,941)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1,041,120 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161,838 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Shares issued in connection with deferred compensation plan,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1,572,829 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Shares issued in connection with executive bonus plan,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49,545 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Shares issued in connection with employee stock purchase plan,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130,212 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for stock grants,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12,591 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related to restricted stock,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868,606 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Class B common stock under approved program</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(1,173,041)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June 30, 2025</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303,438,072 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1,259,476 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(69,095)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(31,374)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1,162,041 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1,162,170 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00"/>
        <w:jc w:val="both"/>
        <w:rPr/>
      </w:pPr>
      <w:hyperlink w:anchor="iea6d2020b0e14ed193dae4125f4f36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BENTLEY SYSTEMS,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tbl>
      <w:tblPr>
        <w:tblW w:w="9710" w:type="dxa"/>
        <w:jc w:val="center"/>
        <w:tblInd w:w="0" w:type="dxa"/>
        <w:tblLayout w:type="fixed"/>
        <w:tblCellMar>
          <w:top w:w="28" w:type="dxa"/>
          <w:left w:w="28" w:type="dxa"/>
          <w:bottom w:w="28" w:type="dxa"/>
          <w:right w:w="28" w:type="dxa"/>
        </w:tblCellMar>
      </w:tblPr>
      <w:tblGrid>
        <w:gridCol w:w="2431"/>
        <w:gridCol w:w="2141"/>
        <w:gridCol w:w="2147"/>
        <w:gridCol w:w="109"/>
        <w:gridCol w:w="109"/>
        <w:gridCol w:w="109"/>
        <w:gridCol w:w="211"/>
        <w:gridCol w:w="826"/>
        <w:gridCol w:w="109"/>
        <w:gridCol w:w="109"/>
        <w:gridCol w:w="109"/>
        <w:gridCol w:w="109"/>
        <w:gridCol w:w="211"/>
        <w:gridCol w:w="826"/>
        <w:gridCol w:w="154"/>
      </w:tblGrid>
      <w:tr>
        <w:trPr/>
        <w:tc>
          <w:tcPr>
            <w:tcW w:w="2431"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remeasurement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 of effect from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accruals,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Cloud Services Subscription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 net of prepaid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and investment in capitalized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(969,055)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(371,404)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stock purchases under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shares acquired including shares withheld for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Class B common stock under approved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(257,509)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00"/>
        <w:jc w:val="both"/>
        <w:rPr/>
      </w:pPr>
      <w:hyperlink w:anchor="iea6d2020b0e14ed193dae4125f4f36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BENTLEY SYSTEMS,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tbl>
      <w:tblPr>
        <w:tblW w:w="6500" w:type="dxa"/>
        <w:jc w:val="center"/>
        <w:tblInd w:w="0" w:type="dxa"/>
        <w:tblLayout w:type="fixed"/>
        <w:tblCellMar>
          <w:top w:w="28" w:type="dxa"/>
          <w:left w:w="28" w:type="dxa"/>
          <w:bottom w:w="28" w:type="dxa"/>
          <w:right w:w="28" w:type="dxa"/>
        </w:tblCellMar>
      </w:tblPr>
      <w:tblGrid>
        <w:gridCol w:w="1346"/>
        <w:gridCol w:w="1185"/>
        <w:gridCol w:w="1188"/>
        <w:gridCol w:w="109"/>
        <w:gridCol w:w="109"/>
        <w:gridCol w:w="109"/>
        <w:gridCol w:w="211"/>
        <w:gridCol w:w="721"/>
        <w:gridCol w:w="109"/>
        <w:gridCol w:w="109"/>
        <w:gridCol w:w="109"/>
        <w:gridCol w:w="109"/>
        <w:gridCol w:w="211"/>
        <w:gridCol w:w="721"/>
        <w:gridCol w:w="154"/>
      </w:tblGrid>
      <w:tr>
        <w:trPr/>
        <w:tc>
          <w:tcPr>
            <w:tcW w:w="134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Cash paid for income taxes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refunds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Share-settled executive bonus plan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(1)Cash paid for income taxes includes third</w:t>
        <w:noBreakHyphen/>
        <w:t>party withholding taxes.</w:t>
      </w:r>
    </w:p>
    <w:p>
      <w:pPr>
        <w:pStyle w:val="TextBody"/>
        <w:bidi w:val="0"/>
        <w:spacing w:before="0" w:after="0"/>
        <w:jc w:val="center"/>
        <w:rPr/>
      </w:pPr>
      <w:r>
        <w:rPr/>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00"/>
        <w:jc w:val="both"/>
        <w:rPr/>
      </w:pPr>
      <w:hyperlink w:anchor="iea6d2020b0e14ed193dae4125f4f36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BENTLEY SYSTEMS,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share and per share data)</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40"/>
        <w:jc w:val="center"/>
        <w:rPr/>
      </w:pPr>
      <w:r>
        <w:rPr/>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 Basis of Presentation and Significant Accounting Policies</w:t>
      </w:r>
    </w:p>
    <w:p>
      <w:pPr>
        <w:pStyle w:val="TextBody"/>
        <w:bidi w:val="0"/>
        <w:spacing w:lineRule="auto" w:line="288" w:before="0" w:after="200"/>
        <w:ind w:left="0" w:right="0" w:firstLine="360"/>
        <w:jc w:val="both"/>
        <w:rPr/>
      </w:pPr>
      <w:r>
        <w:rPr>
          <w:rFonts w:ascii="Times New Roman;serif" w:hAnsi="Times New Roman;serif"/>
          <w:b w:val="false"/>
          <w:color w:val="000000"/>
          <w:sz w:val="20"/>
        </w:rPr>
        <w:t>The accompanying unaudited consolidated financial statements include the accounts of the Company and its consolidated subsidiaries. The unaudited consolidated financial statements and accompanying notes have been prepared in U.S. dollars, and in accordance with U.S. generally accepted accounting principles (“GAAP”) and the rules and regulations of the SEC regarding interim financial reporting. Accordingly, they do not include all the information and notes required by GAAP for annual financial statements. These unaudited consolidated financial statements should be read in conjunction with the audited consolidated financial statements and notes thereto included in the Company’s 2025 Annual Report on Form 10</w:t>
      </w:r>
      <w:r>
        <w:rPr>
          <w:color w:val="000000"/>
        </w:rPr>
        <w:noBreakHyphen/>
      </w:r>
      <w:r>
        <w:rPr>
          <w:rFonts w:ascii="Times New Roman;serif" w:hAnsi="Times New Roman;serif"/>
          <w:b w:val="false"/>
          <w:color w:val="000000"/>
          <w:sz w:val="20"/>
        </w:rPr>
        <w:t>K. In management’s opinion, the accompanying unaudited consolidated financial statements contain all adjustments (consisting of normal, recurring and non-recurring adjustments) that were considered necessary for the fair statement of the Company’s financial position, results of operations, and cash flows as of the dates and for the periods indicated. The preparation of financial statements in conformity with GAAP requires management to make estimates and assumptions that affect reported amounts in the financial statements and accompanying notes. Actual results could differ materially from those estimates. The December 31, 2025 consolidated balance sheet included herein is derived from the Company’s audited consolidated financial statements.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Reclassifications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reclassifications of prior period amounts have been made to conform to the current period presentation.</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Accounting Policies</w:t>
      </w:r>
    </w:p>
    <w:p>
      <w:pPr>
        <w:pStyle w:val="TextBody"/>
        <w:bidi w:val="0"/>
        <w:spacing w:lineRule="auto" w:line="288" w:before="0" w:after="200"/>
        <w:ind w:left="0" w:right="0" w:firstLine="360"/>
        <w:jc w:val="both"/>
        <w:rPr/>
      </w:pPr>
      <w:r>
        <w:rPr>
          <w:rFonts w:ascii="Times New Roman;serif" w:hAnsi="Times New Roman;serif"/>
          <w:b/>
          <w:i/>
          <w:color w:val="000000"/>
          <w:sz w:val="20"/>
        </w:rPr>
        <w:t>Software Development Costs</w:t>
      </w:r>
      <w:r>
        <w:rPr>
          <w:color w:val="000000"/>
        </w:rPr>
        <w:t xml:space="preserve"> — </w:t>
      </w:r>
      <w:r>
        <w:rPr>
          <w:rFonts w:ascii="Times New Roman;serif" w:hAnsi="Times New Roman;serif"/>
          <w:b w:val="false"/>
          <w:color w:val="000000"/>
          <w:sz w:val="20"/>
        </w:rPr>
        <w:t>Under its Accelerated Commercial Development Program (“ACDP”) (the Company’s structured approach to an in</w:t>
        <w:noBreakHyphen/>
        <w:t xml:space="preserve">house business incubator function), the Company capitalizes certain development costs related to specified projects once technological feasibility is established. Total costs capitalized under the ACDP were $484 for both the three months ended June 30, 2026 and 2025, and $1,073 and $806 for the six months ended June 30, 2026 and 2025, respectively. Additionally, total ACDP related amortization was $336 and $795 for the three months ended June 30, 2026 and 2025, respectively, and $424 and $1,550 for the six months ended June 30, 2026 and 2025, respectively, and is included in </w:t>
      </w:r>
      <w:r>
        <w:rPr>
          <w:rFonts w:ascii="Times New Roman;serif" w:hAnsi="Times New Roman;serif"/>
          <w:b w:val="false"/>
          <w:i/>
          <w:color w:val="000000"/>
          <w:sz w:val="20"/>
        </w:rPr>
        <w:t>Cost of subscriptions and licenses</w:t>
      </w:r>
      <w:r>
        <w:rPr>
          <w:color w:val="000000"/>
        </w:rPr>
        <w:t xml:space="preserve"> </w:t>
      </w:r>
      <w:r>
        <w:rPr>
          <w:rFonts w:ascii="Times New Roman;serif" w:hAnsi="Times New Roman;serif"/>
          <w:b w:val="false"/>
          <w:color w:val="000000"/>
          <w:sz w:val="20"/>
        </w:rPr>
        <w:t xml:space="preserve">in the consolidated statements of operations. As of June 30, 2026 and December 31, 2025, $10,771 and $10,270 of ACDP capitalized costs were recorded in </w:t>
      </w:r>
      <w:r>
        <w:rPr>
          <w:rFonts w:ascii="Times New Roman;serif" w:hAnsi="Times New Roman;serif"/>
          <w:b w:val="false"/>
          <w:i/>
          <w:color w:val="000000"/>
          <w:sz w:val="20"/>
        </w:rPr>
        <w:t>Other assets</w:t>
      </w:r>
      <w:r>
        <w:rPr>
          <w:color w:val="000000"/>
        </w:rPr>
        <w:t xml:space="preserve"> </w:t>
      </w:r>
      <w:r>
        <w:rPr>
          <w:rFonts w:ascii="Times New Roman;serif" w:hAnsi="Times New Roman;serif"/>
          <w:b w:val="false"/>
          <w:color w:val="000000"/>
          <w:sz w:val="20"/>
        </w:rPr>
        <w:t>in the consolidated balance sheets, respectively.</w:t>
      </w:r>
    </w:p>
    <w:p>
      <w:pPr>
        <w:pStyle w:val="TextBody"/>
        <w:bidi w:val="0"/>
        <w:spacing w:lineRule="auto" w:line="288" w:before="0" w:after="200"/>
        <w:ind w:left="0" w:right="0" w:firstLine="360"/>
        <w:jc w:val="both"/>
        <w:rPr/>
      </w:pPr>
      <w:r>
        <w:rPr>
          <w:rFonts w:ascii="Times New Roman;serif" w:hAnsi="Times New Roman;serif"/>
          <w:b/>
          <w:i/>
          <w:color w:val="000000"/>
          <w:sz w:val="20"/>
        </w:rPr>
        <w:t>Internal-Use Software Implementation Costs</w:t>
      </w:r>
      <w:r>
        <w:rPr>
          <w:color w:val="000000"/>
        </w:rPr>
        <w:t xml:space="preserve"> — </w:t>
      </w:r>
      <w:r>
        <w:rPr>
          <w:rFonts w:ascii="Times New Roman;serif" w:hAnsi="Times New Roman;serif"/>
          <w:b w:val="false"/>
          <w:color w:val="000000"/>
          <w:sz w:val="20"/>
        </w:rPr>
        <w:t>The Company has entered into cloud-based software hosting arrangements related to new internal</w:t>
        <w:noBreakHyphen/>
        <w:t>use information technology systems, including a new enterprise</w:t>
        <w:noBreakHyphen/>
        <w:t>wide administrative and business management platform, for which it incurs implementation costs.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Capitalized internal-use software implementation costs are included in the consolidated balance sheets as follows:</w:t>
      </w:r>
    </w:p>
    <w:tbl>
      <w:tblPr>
        <w:tblW w:w="7135" w:type="dxa"/>
        <w:jc w:val="center"/>
        <w:tblInd w:w="0" w:type="dxa"/>
        <w:tblLayout w:type="fixed"/>
        <w:tblCellMar>
          <w:top w:w="28" w:type="dxa"/>
          <w:left w:w="28" w:type="dxa"/>
          <w:bottom w:w="28" w:type="dxa"/>
          <w:right w:w="28" w:type="dxa"/>
        </w:tblCellMar>
      </w:tblPr>
      <w:tblGrid>
        <w:gridCol w:w="1469"/>
        <w:gridCol w:w="1292"/>
        <w:gridCol w:w="1303"/>
        <w:gridCol w:w="234"/>
        <w:gridCol w:w="800"/>
        <w:gridCol w:w="121"/>
        <w:gridCol w:w="109"/>
        <w:gridCol w:w="109"/>
        <w:gridCol w:w="109"/>
        <w:gridCol w:w="308"/>
        <w:gridCol w:w="1055"/>
        <w:gridCol w:w="226"/>
      </w:tblGrid>
      <w:tr>
        <w:trPr/>
        <w:tc>
          <w:tcPr>
            <w:tcW w:w="1469"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internal-use software implementation costs</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26,173 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00"/>
        <w:jc w:val="both"/>
        <w:rPr/>
      </w:pPr>
      <w:hyperlink w:anchor="iea6d2020b0e14ed193dae4125f4f36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2: Recent Accounting Pronouncements</w:t>
      </w:r>
    </w:p>
    <w:p>
      <w:pPr>
        <w:pStyle w:val="TextBody"/>
        <w:bidi w:val="0"/>
        <w:spacing w:lineRule="auto" w:line="288" w:before="0" w:after="200"/>
        <w:ind w:left="0" w:right="0" w:firstLine="360"/>
        <w:jc w:val="both"/>
        <w:rPr/>
      </w:pPr>
      <w:r>
        <w:rPr>
          <w:rFonts w:ascii="Times New Roman;serif" w:hAnsi="Times New Roman;serif"/>
          <w:b w:val="false"/>
          <w:color w:val="000000"/>
          <w:sz w:val="20"/>
        </w:rPr>
        <w:t>In September 2025, the Financial Accounting Standards Board (“FASB”) issued Accounting Standards Update (“ASU”) No. 2025</w:t>
        <w:noBreakHyphen/>
        <w:t xml:space="preserve">06, </w:t>
      </w:r>
      <w:r>
        <w:rPr>
          <w:rFonts w:ascii="Times New Roman;serif" w:hAnsi="Times New Roman;serif"/>
          <w:b w:val="false"/>
          <w:i/>
          <w:color w:val="000000"/>
          <w:sz w:val="20"/>
        </w:rPr>
        <w:t>Intangibles—Goodwill and Other—Internal-Use Software (Subtopic</w:t>
      </w:r>
      <w:r>
        <w:rPr>
          <w:color w:val="000000"/>
        </w:rPr>
        <w:t> </w:t>
      </w:r>
      <w:r>
        <w:rPr>
          <w:rFonts w:ascii="Times New Roman;serif" w:hAnsi="Times New Roman;serif"/>
          <w:b w:val="false"/>
          <w:i/>
          <w:color w:val="000000"/>
          <w:sz w:val="20"/>
        </w:rPr>
        <w:t>350</w:t>
        <w:noBreakHyphen/>
        <w:t>40): Targeted Improvements to the Accounting for Internal-Use Software</w:t>
      </w:r>
      <w:r>
        <w:rPr>
          <w:color w:val="000000"/>
        </w:rPr>
        <w:t xml:space="preserve"> </w:t>
      </w:r>
      <w:r>
        <w:rPr>
          <w:rFonts w:ascii="Times New Roman;serif" w:hAnsi="Times New Roman;serif"/>
          <w:b w:val="false"/>
          <w:color w:val="000000"/>
          <w:sz w:val="20"/>
        </w:rPr>
        <w:t>(“ASU 2025</w:t>
        <w:noBreakHyphen/>
        <w:t>06”), which amends certain aspects of the accounting for and disclosure of software costs under Subtopic 350-40, referred to as internal-use software. ASU 2025-06 is effective for the Company for the annual reporting period beginning after December 15, 2027, and interim periods within that annual reporting period. Early adoption is permitted as of the beginning of an annual reporting period. The amendments in ASU 2025-06 may be adopted on a prospective basis to financial statements issued for reporting periods after the effective date, on a retrospective basis to all periods presented, or on a modified prospective transition basis for in-process projects through a cumulative-effect adjustment to the opening balance of retained earnings. The Company is currently evaluating the impact of the adoption of ASU 2025</w:t>
        <w:noBreakHyphen/>
        <w:t>06 on its consolidated financial statements.</w:t>
      </w:r>
    </w:p>
    <w:p>
      <w:pPr>
        <w:pStyle w:val="TextBody"/>
        <w:bidi w:val="0"/>
        <w:spacing w:lineRule="auto" w:line="288" w:before="0" w:after="200"/>
        <w:ind w:left="0" w:right="0" w:firstLine="360"/>
        <w:jc w:val="both"/>
        <w:rPr/>
      </w:pPr>
      <w:r>
        <w:rPr>
          <w:rFonts w:ascii="Times New Roman;serif" w:hAnsi="Times New Roman;serif"/>
          <w:b w:val="false"/>
          <w:color w:val="000000"/>
          <w:sz w:val="20"/>
        </w:rPr>
        <w:t>In November 2024, the FASB issued ASU No. 2024</w:t>
        <w:noBreakHyphen/>
        <w:t xml:space="preserve">03, </w:t>
      </w:r>
      <w:r>
        <w:rPr>
          <w:rFonts w:ascii="Times New Roman;serif" w:hAnsi="Times New Roman;serif"/>
          <w:b w:val="false"/>
          <w:i/>
          <w:color w:val="000000"/>
          <w:sz w:val="20"/>
        </w:rPr>
        <w:t>Income Statements–Reporting Comprehensive Income–Expense Disaggregation Disclosures (Subtopic 220-40): Disaggregation of Income Statement Expenses</w:t>
      </w:r>
      <w:r>
        <w:rPr>
          <w:color w:val="000000"/>
        </w:rPr>
        <w:t xml:space="preserve"> </w:t>
      </w:r>
      <w:r>
        <w:rPr>
          <w:rFonts w:ascii="Times New Roman;serif" w:hAnsi="Times New Roman;serif"/>
          <w:b w:val="false"/>
          <w:color w:val="000000"/>
          <w:sz w:val="20"/>
        </w:rPr>
        <w:t>(“ASU 2024</w:t>
        <w:noBreakHyphen/>
        <w:t>03”), which requires enhanced disclosure of income statement expense categories to improve transparency and provide financial statement users with more detailed information about the nature, amount, and timing of expenses impacting financial performance. ASU 2024-03 is effective for the Company for the annual reporting period beginning after December 15, 2026, and interim periods beginning after December 15, 2027. Early adoption is permitted. The amendments in ASU 2024-03 may be adopted either on a prospective basis to financial statements issued for reporting periods after the effective date or on a retrospective basis to all periods presented. The Company is currently evaluating the impact of the adoption of ASU 2024</w:t>
        <w:noBreakHyphen/>
        <w:t>03, however, other than additional disclosure, the Company does not expect a change to the consolidated financial statements.</w:t>
      </w:r>
    </w:p>
    <w:p>
      <w:pPr>
        <w:pStyle w:val="TextBody"/>
        <w:bidi w:val="0"/>
        <w:spacing w:lineRule="auto" w:line="288" w:before="0" w:after="200"/>
        <w:ind w:left="0" w:right="0" w:firstLine="360"/>
        <w:jc w:val="both"/>
        <w:rPr/>
      </w:pPr>
      <w:r>
        <w:rPr>
          <w:rFonts w:ascii="Times New Roman;serif" w:hAnsi="Times New Roman;serif"/>
          <w:b w:val="false"/>
          <w:color w:val="000000"/>
          <w:sz w:val="20"/>
        </w:rPr>
        <w:t>In March 2024, the SEC adopted the final rule under SEC Release No. 33</w:t>
        <w:noBreakHyphen/>
        <w:t xml:space="preserve">11275, </w:t>
      </w:r>
      <w:r>
        <w:rPr>
          <w:rFonts w:ascii="Times New Roman;serif" w:hAnsi="Times New Roman;serif"/>
          <w:b w:val="false"/>
          <w:i/>
          <w:color w:val="000000"/>
          <w:sz w:val="20"/>
        </w:rPr>
        <w:t>The Enhancement and Standardization of Climate</w:t>
        <w:noBreakHyphen/>
        <w:t>Related Disclosures for Investors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The final rule requires registrants to disclose certain climate</w:t>
        <w:noBreakHyphen/>
        <w:t>related information in registration statements and annual reports. The final rule disclosure requirements would have begun phasing in prospectively for the Company’s fiscal year beginning January 1, 2025. In April 2024, the SEC issued an order staying the final rule pending completion of a judicial review of certain petitions challenging their validity. In March 2025, the SEC voted to end its defense of the final rule. In September 2025, judicial review was suspended awaiting SEC clarity on its position. In May 2026, the SEC issued a formal proposal to rescind the final rule in its entirety. The Company will continue to monitor the formal administrative outcomes of the SEC’s rescission proposal and evaluate the potential impact of the final rule, if any, on its consolidated financial statements disclosures.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Recently Adopted Accounting Guidance</w:t>
      </w:r>
    </w:p>
    <w:p>
      <w:pPr>
        <w:pStyle w:val="TextBody"/>
        <w:bidi w:val="0"/>
        <w:spacing w:lineRule="auto" w:line="288" w:before="0" w:after="200"/>
        <w:ind w:left="0" w:right="0" w:firstLine="360"/>
        <w:jc w:val="both"/>
        <w:rPr/>
      </w:pPr>
      <w:r>
        <w:rPr>
          <w:rFonts w:ascii="Times New Roman;serif" w:hAnsi="Times New Roman;serif"/>
          <w:b w:val="false"/>
          <w:color w:val="000000"/>
          <w:sz w:val="20"/>
        </w:rPr>
        <w:t>In July 2025, the FASB issued ASU No. 2025</w:t>
        <w:noBreakHyphen/>
        <w:t xml:space="preserve">05, </w:t>
      </w:r>
      <w:r>
        <w:rPr>
          <w:rFonts w:ascii="Times New Roman;serif" w:hAnsi="Times New Roman;serif"/>
          <w:b w:val="false"/>
          <w:i/>
          <w:color w:val="000000"/>
          <w:sz w:val="20"/>
        </w:rPr>
        <w:t>Financial Instruments–Credit Losses (Topic 326): Measurement of Credit Losses for Accounts Receivable and Contract Assets</w:t>
      </w:r>
      <w:r>
        <w:rPr>
          <w:color w:val="000000"/>
        </w:rPr>
        <w:t xml:space="preserve"> </w:t>
      </w:r>
      <w:r>
        <w:rPr>
          <w:rFonts w:ascii="Times New Roman;serif" w:hAnsi="Times New Roman;serif"/>
          <w:b w:val="false"/>
          <w:color w:val="000000"/>
          <w:sz w:val="20"/>
        </w:rPr>
        <w:t>(“ASU 2025</w:t>
        <w:noBreakHyphen/>
        <w:t xml:space="preserve">05”), which provides public entities with an optional practical expedient related to the estimation of expected credit losses for current accounts receivables and current contract assets arising from transactions accounted for under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(Topic 606). The Company adopted ASU 2025</w:t>
        <w:noBreakHyphen/>
        <w:t>05 during the three months ended March 31, 2026 and elected the practical expedient, which permits the assumption that current conditions as of the balance sheet date do not change for the remaining life of the asset. The adoption of ASU 2025</w:t>
        <w:noBreakHyphen/>
        <w:t>05 did not have a material impact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00"/>
        <w:jc w:val="both"/>
        <w:rPr/>
      </w:pPr>
      <w:hyperlink w:anchor="iea6d2020b0e14ed193dae4125f4f36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3: Revenue from Contracts with Customers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Disaggregation of Revenues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revenues consist of the following:</w:t>
      </w:r>
    </w:p>
    <w:tbl>
      <w:tblPr>
        <w:tblW w:w="7889" w:type="dxa"/>
        <w:jc w:val="center"/>
        <w:tblInd w:w="0" w:type="dxa"/>
        <w:tblLayout w:type="fixed"/>
        <w:tblCellMar>
          <w:top w:w="28" w:type="dxa"/>
          <w:left w:w="28" w:type="dxa"/>
          <w:bottom w:w="28" w:type="dxa"/>
          <w:right w:w="28" w:type="dxa"/>
        </w:tblCellMar>
      </w:tblPr>
      <w:tblGrid>
        <w:gridCol w:w="825"/>
        <w:gridCol w:w="726"/>
        <w:gridCol w:w="728"/>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Enterprise subscriptions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SELECT subscriptions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license subscriptions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675,770 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Perpetual licenses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 and licenses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696,755 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410,727 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834,908 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734,648 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(1)Enterprise subscriptions are primarily revenues attributable to Enterprise 365 (“E365”) subscriptions of $168,730 and $150,166 for the three months ended June 30, 2026 and 2025, respectively, and $337,869 and $297,070 for the six months ended June 30, 2026 and 2025, respectively.</w:t>
      </w:r>
    </w:p>
    <w:p>
      <w:pPr>
        <w:pStyle w:val="TextBody"/>
        <w:bidi w:val="0"/>
        <w:spacing w:lineRule="auto" w:line="288" w:before="0" w:after="200"/>
        <w:ind w:left="0" w:right="0" w:firstLine="360"/>
        <w:jc w:val="both"/>
        <w:rPr/>
      </w:pPr>
      <w:r>
        <w:rPr>
          <w:rFonts w:ascii="Times New Roman;serif" w:hAnsi="Times New Roman;serif"/>
          <w:b w:val="false"/>
          <w:color w:val="000000"/>
          <w:sz w:val="20"/>
        </w:rPr>
        <w:t>The Company recognizes perpetual licenses and the term license component of subscriptions as revenue when either the licenses are delivered or at the start of the subscription term. For the three months ended June 30, 2026 and 2025, the Company recognized $215,494 and $184,341 of license related revenues, respectively, of which $205,787 and $174,148, respectively, were attributable to the term license component of the Company’s subscription</w:t>
        <w:noBreakHyphen/>
        <w:t xml:space="preserve">based commercial offerings recorded in </w:t>
      </w:r>
      <w:r>
        <w:rPr>
          <w:rFonts w:ascii="Times New Roman;serif" w:hAnsi="Times New Roman;serif"/>
          <w:b w:val="false"/>
          <w:i/>
          <w:color w:val="000000"/>
          <w:sz w:val="20"/>
        </w:rPr>
        <w:t>Subscriptions</w:t>
      </w:r>
      <w:r>
        <w:rPr>
          <w:color w:val="000000"/>
        </w:rPr>
        <w:t xml:space="preserve"> </w:t>
      </w:r>
      <w:r>
        <w:rPr>
          <w:rFonts w:ascii="Times New Roman;serif" w:hAnsi="Times New Roman;serif"/>
          <w:b w:val="false"/>
          <w:color w:val="000000"/>
          <w:sz w:val="20"/>
        </w:rPr>
        <w:t>in the consolidated statements of operations. For the six months ended June 30, 2026 and 2025, the Company recognized $445,800 and $385,379 of license related revenues, respectively, of which $427,036 and $364,394, respectively, were attributable to the term license component of the Company’s subscription</w:t>
        <w:noBreakHyphen/>
        <w:t xml:space="preserve">based commercial offerings recorded in </w:t>
      </w:r>
      <w:r>
        <w:rPr>
          <w:rFonts w:ascii="Times New Roman;serif" w:hAnsi="Times New Roman;serif"/>
          <w:b w:val="false"/>
          <w:i/>
          <w:color w:val="000000"/>
          <w:sz w:val="20"/>
        </w:rPr>
        <w:t>Subscriptions</w:t>
      </w:r>
      <w:r>
        <w:rPr>
          <w:color w:val="000000"/>
        </w:rPr>
        <w:t xml:space="preserve"> </w:t>
      </w:r>
      <w:r>
        <w:rPr>
          <w:rFonts w:ascii="Times New Roman;serif" w:hAnsi="Times New Roman;serif"/>
          <w:b w:val="false"/>
          <w:color w:val="000000"/>
          <w:sz w:val="20"/>
        </w:rPr>
        <w:t>in the consolidated statements of operations.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from external customers is attributed to individual countries based upon the location of the customer. Revenues by geographic region are as follows:</w:t>
      </w:r>
    </w:p>
    <w:tbl>
      <w:tblPr>
        <w:tblW w:w="9524" w:type="dxa"/>
        <w:jc w:val="center"/>
        <w:tblInd w:w="0" w:type="dxa"/>
        <w:tblLayout w:type="fixed"/>
        <w:tblCellMar>
          <w:top w:w="28" w:type="dxa"/>
          <w:left w:w="28" w:type="dxa"/>
          <w:bottom w:w="28" w:type="dxa"/>
          <w:right w:w="28" w:type="dxa"/>
        </w:tblCellMar>
      </w:tblPr>
      <w:tblGrid>
        <w:gridCol w:w="1415"/>
        <w:gridCol w:w="1244"/>
        <w:gridCol w:w="125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415"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Americas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393,034 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Europe, the Middle East, and Africa (“EMEA”)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Asia-Pacific (“APAC”)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410,727 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834,908 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734,648 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(1)Americas includes the U.S., Canada, and Latin America (including the Caribbean). Revenue attributable to the U.S. totaled $168,637 and $155,358 for the three months ended June 30, 2026 and 2025, respectively, and $339,929 and $308,387 for the six months ended 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00"/>
        <w:jc w:val="both"/>
        <w:rPr/>
      </w:pPr>
      <w:hyperlink w:anchor="iea6d2020b0e14ed193dae4125f4f36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derived 6% of its total revenues through channel partners during each of the three and six months ended June 30, 2026 and 2025.</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Unbilled Accounts Receivable</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Unbilled accounts receivable represent amounts that are unbilled due to agreed-upon contractual terms in which billing occurs subsequent to revenue recognition, and are included in </w:t>
      </w:r>
      <w:r>
        <w:rPr>
          <w:rFonts w:ascii="Times New Roman;serif" w:hAnsi="Times New Roman;serif"/>
          <w:b w:val="false"/>
          <w:i/>
          <w:color w:val="000000"/>
          <w:sz w:val="20"/>
        </w:rPr>
        <w:t>Accounts receivable</w:t>
      </w:r>
      <w:r>
        <w:rPr>
          <w:color w:val="000000"/>
        </w:rPr>
        <w:t xml:space="preserve"> </w:t>
      </w:r>
      <w:r>
        <w:rPr>
          <w:rFonts w:ascii="Times New Roman;serif" w:hAnsi="Times New Roman;serif"/>
          <w:b w:val="false"/>
          <w:color w:val="000000"/>
          <w:sz w:val="20"/>
        </w:rPr>
        <w:t>in the consolidated balance sheets. As of June 30, 2026 and December 31, 2025, unbilled accounts receivable were $199,958 and $182,315, respectively.</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Contract Balances</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As of June 30, 2026 and December 31, 2025, the Company’s contract assets relate to performance obligations completed in advance of the right to invoice and are included in </w:t>
      </w:r>
      <w:r>
        <w:rPr>
          <w:rFonts w:ascii="Times New Roman;serif" w:hAnsi="Times New Roman;serif"/>
          <w:b w:val="false"/>
          <w:i/>
          <w:color w:val="000000"/>
          <w:sz w:val="20"/>
        </w:rPr>
        <w:t>Prepaid and other current assets</w:t>
      </w:r>
      <w:r>
        <w:rPr>
          <w:color w:val="000000"/>
        </w:rPr>
        <w:t xml:space="preserve"> </w:t>
      </w:r>
      <w:r>
        <w:rPr>
          <w:rFonts w:ascii="Times New Roman;serif" w:hAnsi="Times New Roman;serif"/>
          <w:b w:val="false"/>
          <w:color w:val="000000"/>
          <w:sz w:val="20"/>
        </w:rPr>
        <w:t>in the consolidated balance sheets. Contract assets were not material as of June 30, 2026 or December 31, 2025.</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Deferred revenues consist of billings made or payments received in advance of revenue recognition from subscriptions and services. The primary changes in deferred revenues are due to the Company’s performance under the contracts and new billings made or payments received in advance of revenue recognition from subscriptions and services. The satisfaction of performance obligations typically lags behind payments received under revenue from contracts with customers.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$191,560 of revenues that were included in the December 31, 2025 deferred revenues balance were recognized. There were additional deferrals of $182,639 for the six months ended June 30, 2026, which were primarily related to new billings. For the six months ended June 30, 2025, $175,935 of revenues that were included in the December 31, 2024 deferred revenues balance were recognized. There were additional deferrals of $163,049 for the six months ended June 30, 2025, which were primarily related to new billings.</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As of June 30, 2026 and December 31, 2025, the Company deferred $19,473 and $19,822, respectively, related to portfolio balancing exchange rights which is included in </w:t>
      </w:r>
      <w:r>
        <w:rPr>
          <w:rFonts w:ascii="Times New Roman;serif" w:hAnsi="Times New Roman;serif"/>
          <w:b w:val="false"/>
          <w:i/>
          <w:color w:val="000000"/>
          <w:sz w:val="20"/>
        </w:rPr>
        <w:t>Deferred revenues</w:t>
      </w:r>
      <w:r>
        <w:rPr>
          <w:color w:val="000000"/>
        </w:rPr>
        <w:t xml:space="preserve"> </w:t>
      </w:r>
      <w:r>
        <w:rPr>
          <w:rFonts w:ascii="Times New Roman;serif" w:hAnsi="Times New Roman;serif"/>
          <w:b w:val="false"/>
          <w:color w:val="000000"/>
          <w:sz w:val="20"/>
        </w:rPr>
        <w:t>in the consolidated balance sheets.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Remaining Performance Obligations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contracts with customers include amounts allocated to performance obligations that will be satisfied at a later date. As of June 30, 2026, amounts allocated to these remaining performance obligations are $280,641, of which the Company expects to recognize approximately 94% over the next 12 months with the remaining amount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00"/>
        <w:jc w:val="both"/>
        <w:rPr/>
      </w:pPr>
      <w:hyperlink w:anchor="iea6d2020b0e14ed193dae4125f4f36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4: Acquisitions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did not complete any acquisitions during the six months ended June 30, 2026 or 2025.</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operating results for any acquired business are included in the Company’s consolidated financial statements from the closing date of each respective acquisition and were not material, individually or in the aggregate, to the Company’s consolidated statements of operations. The following summarizes the fair values of the assets acquired and liabilities assumed, as well as the weighted average useful lives assigned to acquired intangible assets at the respective date of each acquisition:</w:t>
      </w:r>
    </w:p>
    <w:tbl>
      <w:tblPr>
        <w:tblW w:w="8227" w:type="dxa"/>
        <w:jc w:val="center"/>
        <w:tblInd w:w="0" w:type="dxa"/>
        <w:tblLayout w:type="fixed"/>
        <w:tblCellMar>
          <w:top w:w="28" w:type="dxa"/>
          <w:left w:w="28" w:type="dxa"/>
          <w:bottom w:w="28" w:type="dxa"/>
          <w:right w:w="28" w:type="dxa"/>
        </w:tblCellMar>
      </w:tblPr>
      <w:tblGrid>
        <w:gridCol w:w="1962"/>
        <w:gridCol w:w="1719"/>
        <w:gridCol w:w="1734"/>
        <w:gridCol w:w="109"/>
        <w:gridCol w:w="109"/>
        <w:gridCol w:w="459"/>
        <w:gridCol w:w="1800"/>
        <w:gridCol w:w="335"/>
      </w:tblGrid>
      <w:tr>
        <w:trPr/>
        <w:tc>
          <w:tcPr>
            <w:tcW w:w="1962"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Acquisitions Completed During</w:t>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at closing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101,475 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acquired and liabilities assumed: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8,223 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Software and technology (weighted average useful life of 3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5,901 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Customer relationships (weighted average useful life of 5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14,600 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Trademarks (weighted average useful life of 5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assets acquired excluding 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36,322 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Accruals and other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(4,079)</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identifiable assets acquired excluding 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32,243 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69,232 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101,475 </w:t>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in the process of finalizing the purchase accounting for an acquisition completed during the year ended December 31, 2025. The initial accounting for this business combination is not complete because the evaluation necessary to assess the fair values of certain net assets acquired is still in process. The provisional amounts are subject to revision until the evaluations are completed to the extent that additional information is obtained about the facts and circumstances that existed as of the acquisition date. The allocation of the purchase price may be modified from the date of the acquisition as more information is obtained about the fair values of assets acquired and liabilities assumed, however, such measurement period cannot exceed one year. The primary areas of preliminary purchase price allocation that are not yet finalized relate to working capital, tax assets and liabilities, and amounts allocated to goodwill.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00"/>
        <w:jc w:val="both"/>
        <w:rPr/>
      </w:pPr>
      <w:hyperlink w:anchor="iea6d2020b0e14ed193dae4125f4f36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5: Property and Equipment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and equipment, net consist of the following:</w:t>
      </w:r>
    </w:p>
    <w:tbl>
      <w:tblPr>
        <w:tblW w:w="5981" w:type="dxa"/>
        <w:jc w:val="center"/>
        <w:tblInd w:w="0" w:type="dxa"/>
        <w:tblLayout w:type="fixed"/>
        <w:tblCellMar>
          <w:top w:w="28" w:type="dxa"/>
          <w:left w:w="28" w:type="dxa"/>
          <w:bottom w:w="28" w:type="dxa"/>
          <w:right w:w="28" w:type="dxa"/>
        </w:tblCellMar>
      </w:tblPr>
      <w:tblGrid>
        <w:gridCol w:w="1054"/>
        <w:gridCol w:w="924"/>
        <w:gridCol w:w="932"/>
        <w:gridCol w:w="234"/>
        <w:gridCol w:w="800"/>
        <w:gridCol w:w="121"/>
        <w:gridCol w:w="109"/>
        <w:gridCol w:w="109"/>
        <w:gridCol w:w="109"/>
        <w:gridCol w:w="308"/>
        <w:gridCol w:w="1055"/>
        <w:gridCol w:w="226"/>
      </w:tblGrid>
      <w:tr>
        <w:trPr/>
        <w:tc>
          <w:tcPr>
            <w:tcW w:w="105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and improvements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42,498 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67,141 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62,274 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equipment</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at cost</w:t>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124,541 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112,800 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(82,168)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(76,769)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42,373 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36,031 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expense was $4,026 and $3,453 for the three months ended June 30, 2026 and 2025, respectively, and $7,896 and $6,798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6: Goodwill and Other Intangible Assets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Goodwill</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are as follows:</w:t>
      </w:r>
    </w:p>
    <w:tbl>
      <w:tblPr>
        <w:tblW w:w="4776" w:type="dxa"/>
        <w:jc w:val="center"/>
        <w:tblInd w:w="0" w:type="dxa"/>
        <w:tblLayout w:type="fixed"/>
        <w:tblCellMar>
          <w:top w:w="28" w:type="dxa"/>
          <w:left w:w="28" w:type="dxa"/>
          <w:bottom w:w="28" w:type="dxa"/>
          <w:right w:w="28" w:type="dxa"/>
        </w:tblCellMar>
      </w:tblPr>
      <w:tblGrid>
        <w:gridCol w:w="1244"/>
        <w:gridCol w:w="1093"/>
        <w:gridCol w:w="1098"/>
        <w:gridCol w:w="211"/>
        <w:gridCol w:w="976"/>
        <w:gridCol w:w="154"/>
      </w:tblGrid>
      <w:tr>
        <w:trPr/>
        <w:tc>
          <w:tcPr>
            <w:tcW w:w="1244"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2,469,001 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Other Intangible Assets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Details of intangible assets other than goodwill are as follows:</w:t>
      </w:r>
    </w:p>
    <w:tbl>
      <w:tblPr>
        <w:tblW w:w="10205" w:type="dxa"/>
        <w:jc w:val="center"/>
        <w:tblInd w:w="0" w:type="dxa"/>
        <w:tblLayout w:type="fixed"/>
        <w:tblCellMar>
          <w:top w:w="28" w:type="dxa"/>
          <w:left w:w="28" w:type="dxa"/>
          <w:bottom w:w="28" w:type="dxa"/>
          <w:right w:w="28" w:type="dxa"/>
        </w:tblCellMar>
      </w:tblPr>
      <w:tblGrid>
        <w:gridCol w:w="415"/>
        <w:gridCol w:w="339"/>
        <w:gridCol w:w="341"/>
        <w:gridCol w:w="273"/>
        <w:gridCol w:w="273"/>
        <w:gridCol w:w="274"/>
        <w:gridCol w:w="109"/>
        <w:gridCol w:w="109"/>
        <w:gridCol w:w="109"/>
        <w:gridCol w:w="196"/>
        <w:gridCol w:w="736"/>
        <w:gridCol w:w="109"/>
        <w:gridCol w:w="109"/>
        <w:gridCol w:w="109"/>
        <w:gridCol w:w="109"/>
        <w:gridCol w:w="196"/>
        <w:gridCol w:w="753"/>
        <w:gridCol w:w="109"/>
        <w:gridCol w:w="109"/>
        <w:gridCol w:w="109"/>
        <w:gridCol w:w="109"/>
        <w:gridCol w:w="196"/>
        <w:gridCol w:w="736"/>
        <w:gridCol w:w="109"/>
        <w:gridCol w:w="109"/>
        <w:gridCol w:w="109"/>
        <w:gridCol w:w="109"/>
        <w:gridCol w:w="196"/>
        <w:gridCol w:w="736"/>
        <w:gridCol w:w="109"/>
        <w:gridCol w:w="109"/>
        <w:gridCol w:w="109"/>
        <w:gridCol w:w="109"/>
        <w:gridCol w:w="196"/>
        <w:gridCol w:w="753"/>
        <w:gridCol w:w="109"/>
        <w:gridCol w:w="109"/>
        <w:gridCol w:w="109"/>
        <w:gridCol w:w="109"/>
        <w:gridCol w:w="196"/>
        <w:gridCol w:w="736"/>
        <w:gridCol w:w="157"/>
      </w:tblGrid>
      <w:tr>
        <w:trPr/>
        <w:tc>
          <w:tcPr>
            <w:tcW w:w="41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Remaining Weighted Average Useful Life</w:t>
              <w:b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December 31, 2025</w:t>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Net Book</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5"/>
              </w:rPr>
            </w:pPr>
            <w:r>
              <w:rPr>
                <w:rFonts w:ascii="Times New Roman;serif" w:hAnsi="Times New Roman;serif"/>
                <w:b/>
                <w:color w:val="000000"/>
                <w:sz w:val="15"/>
              </w:rPr>
              <w:t>Net Book</w:t>
              <w:br/>
              <w:t>Value</w:t>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subject to amortization:</w:t>
            </w:r>
          </w:p>
        </w:tc>
        <w:tc>
          <w:tcPr>
            <w:tcW w:w="8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and technology</w:t>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(189,838)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Trademarks</w:t>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31,772 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095"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095"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095"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intangible assets</w:t>
            </w:r>
          </w:p>
        </w:tc>
        <w:tc>
          <w:tcPr>
            <w:tcW w:w="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479,575 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(310,619)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168,956 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498,906 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(305,888)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193,018 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00"/>
        <w:jc w:val="both"/>
        <w:rPr/>
      </w:pPr>
      <w:hyperlink w:anchor="iea6d2020b0e14ed193dae4125f4f36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aggregate amortization expense for purchased intangible assets with finite lives is included in the consolidated statements of operations as follows:</w:t>
      </w:r>
    </w:p>
    <w:tbl>
      <w:tblPr>
        <w:tblW w:w="8430" w:type="dxa"/>
        <w:jc w:val="center"/>
        <w:tblInd w:w="0" w:type="dxa"/>
        <w:tblLayout w:type="fixed"/>
        <w:tblCellMar>
          <w:top w:w="28" w:type="dxa"/>
          <w:left w:w="28" w:type="dxa"/>
          <w:bottom w:w="28" w:type="dxa"/>
          <w:right w:w="28" w:type="dxa"/>
        </w:tblCellMar>
      </w:tblPr>
      <w:tblGrid>
        <w:gridCol w:w="1174"/>
        <w:gridCol w:w="1030"/>
        <w:gridCol w:w="1036"/>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17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subscriptions and licenses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purchased intangibles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7: Investments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Investments consist of the following:</w:t>
      </w:r>
    </w:p>
    <w:tbl>
      <w:tblPr>
        <w:tblW w:w="6086" w:type="dxa"/>
        <w:jc w:val="center"/>
        <w:tblInd w:w="0" w:type="dxa"/>
        <w:tblLayout w:type="fixed"/>
        <w:tblCellMar>
          <w:top w:w="28" w:type="dxa"/>
          <w:left w:w="28" w:type="dxa"/>
          <w:bottom w:w="28" w:type="dxa"/>
          <w:right w:w="28" w:type="dxa"/>
        </w:tblCellMar>
      </w:tblPr>
      <w:tblGrid>
        <w:gridCol w:w="1093"/>
        <w:gridCol w:w="960"/>
        <w:gridCol w:w="962"/>
        <w:gridCol w:w="234"/>
        <w:gridCol w:w="800"/>
        <w:gridCol w:w="121"/>
        <w:gridCol w:w="109"/>
        <w:gridCol w:w="109"/>
        <w:gridCol w:w="109"/>
        <w:gridCol w:w="308"/>
        <w:gridCol w:w="1055"/>
        <w:gridCol w:w="226"/>
      </w:tblGrid>
      <w:tr>
        <w:trPr/>
        <w:tc>
          <w:tcPr>
            <w:tcW w:w="109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Non-marketable equity investments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39,214 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25,298 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41,915 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27,920 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During the three months ended June 30, 2026, we recorded a step-up in fair value of two of the Company’s investees and, as a result, recognized remeasurement gains of $13,958, which were recorded in </w:t>
      </w:r>
      <w:r>
        <w:rPr>
          <w:rFonts w:ascii="Times New Roman;serif" w:hAnsi="Times New Roman;serif"/>
          <w:b w:val="false"/>
          <w:i/>
          <w:color w:val="000000"/>
          <w:sz w:val="20"/>
        </w:rPr>
        <w:t>Other income (expense), net</w:t>
      </w:r>
      <w:r>
        <w:rPr>
          <w:color w:val="000000"/>
        </w:rPr>
        <w:t xml:space="preserve"> </w:t>
      </w:r>
      <w:r>
        <w:rPr>
          <w:rFonts w:ascii="Times New Roman;serif" w:hAnsi="Times New Roman;serif"/>
          <w:b w:val="false"/>
          <w:color w:val="000000"/>
          <w:sz w:val="20"/>
        </w:rPr>
        <w:t>in the consolidated statements of operations (see Note 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8: Leases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operating leases consist of office facilities, office equipment, and automobiles. As of June 30, 2026, the Company’s leases have remaining terms of less than one year to 11 years, some of which include one or more options to renew, with renewal terms from one year to five years and some of which include options to terminate the leases from less than one year to five years.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operating lease cost is included in the consolidated statements of operations as follows:</w:t>
      </w:r>
    </w:p>
    <w:tbl>
      <w:tblPr>
        <w:tblW w:w="7080" w:type="dxa"/>
        <w:jc w:val="center"/>
        <w:tblInd w:w="0" w:type="dxa"/>
        <w:tblLayout w:type="fixed"/>
        <w:tblCellMar>
          <w:top w:w="28" w:type="dxa"/>
          <w:left w:w="28" w:type="dxa"/>
          <w:bottom w:w="28" w:type="dxa"/>
          <w:right w:w="28" w:type="dxa"/>
        </w:tblCellMar>
      </w:tblPr>
      <w:tblGrid>
        <w:gridCol w:w="798"/>
        <w:gridCol w:w="701"/>
        <w:gridCol w:w="706"/>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lease cost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(1)Operating lease cost includes rent cost related to operating leases for office facilities of $3,855 and $3,546 for the three months ended June 30, 2026 and 2025, respectively, and $7,646 and $7,078 for the six months ended June 30, 2026 and 2025, respectively.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Supplemental operating cash flows and other information related to leases was as follows:</w:t>
      </w:r>
    </w:p>
    <w:tbl>
      <w:tblPr>
        <w:tblW w:w="8544" w:type="dxa"/>
        <w:jc w:val="center"/>
        <w:tblInd w:w="0" w:type="dxa"/>
        <w:tblLayout w:type="fixed"/>
        <w:tblCellMar>
          <w:top w:w="28" w:type="dxa"/>
          <w:left w:w="28" w:type="dxa"/>
          <w:bottom w:w="28" w:type="dxa"/>
          <w:right w:w="28" w:type="dxa"/>
        </w:tblCellMar>
      </w:tblPr>
      <w:tblGrid>
        <w:gridCol w:w="2242"/>
        <w:gridCol w:w="1973"/>
        <w:gridCol w:w="1980"/>
        <w:gridCol w:w="211"/>
        <w:gridCol w:w="721"/>
        <w:gridCol w:w="109"/>
        <w:gridCol w:w="109"/>
        <w:gridCol w:w="109"/>
        <w:gridCol w:w="109"/>
        <w:gridCol w:w="211"/>
        <w:gridCol w:w="616"/>
        <w:gridCol w:w="154"/>
      </w:tblGrid>
      <w:tr>
        <w:trPr/>
        <w:tc>
          <w:tcPr>
            <w:tcW w:w="2242"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operating leases included in operating cash flows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operating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00"/>
        <w:jc w:val="both"/>
        <w:rPr/>
      </w:pPr>
      <w:hyperlink w:anchor="iea6d2020b0e14ed193dae4125f4f36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weighted average remaining lease term for operating leases was 5.7 years and 3.8 years as of June 30, 2026 and December 31, 2025, respectively. The weighted average discount rate was 5.6% and 5.4% as of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9: Accruals and Other Current Liabilities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Accruals and other current liabilities consist of the following:</w:t>
      </w:r>
    </w:p>
    <w:tbl>
      <w:tblPr>
        <w:tblW w:w="6579" w:type="dxa"/>
        <w:jc w:val="center"/>
        <w:tblInd w:w="0" w:type="dxa"/>
        <w:tblLayout w:type="fixed"/>
        <w:tblCellMar>
          <w:top w:w="28" w:type="dxa"/>
          <w:left w:w="28" w:type="dxa"/>
          <w:bottom w:w="28" w:type="dxa"/>
          <w:right w:w="28" w:type="dxa"/>
        </w:tblCellMar>
      </w:tblPr>
      <w:tblGrid>
        <w:gridCol w:w="1269"/>
        <w:gridCol w:w="1115"/>
        <w:gridCol w:w="1125"/>
        <w:gridCol w:w="212"/>
        <w:gridCol w:w="833"/>
        <w:gridCol w:w="109"/>
        <w:gridCol w:w="109"/>
        <w:gridCol w:w="109"/>
        <w:gridCol w:w="109"/>
        <w:gridCol w:w="281"/>
        <w:gridCol w:w="1103"/>
        <w:gridCol w:w="205"/>
      </w:tblGrid>
      <w:tr>
        <w:trPr/>
        <w:tc>
          <w:tcPr>
            <w:tcW w:w="126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benefits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45,120 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45,776 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and current liabilities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82,359 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accruals and other current liabilities</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173,255 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10: Long-Term Debt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Long</w:t>
        <w:noBreakHyphen/>
        <w:t>term debt consists of the following:</w:t>
      </w:r>
    </w:p>
    <w:tbl>
      <w:tblPr>
        <w:tblW w:w="8387" w:type="dxa"/>
        <w:jc w:val="center"/>
        <w:tblInd w:w="0" w:type="dxa"/>
        <w:tblLayout w:type="fixed"/>
        <w:tblCellMar>
          <w:top w:w="28" w:type="dxa"/>
          <w:left w:w="28" w:type="dxa"/>
          <w:bottom w:w="28" w:type="dxa"/>
          <w:right w:w="28" w:type="dxa"/>
        </w:tblCellMar>
      </w:tblPr>
      <w:tblGrid>
        <w:gridCol w:w="1875"/>
        <w:gridCol w:w="1646"/>
        <w:gridCol w:w="1654"/>
        <w:gridCol w:w="211"/>
        <w:gridCol w:w="976"/>
        <w:gridCol w:w="109"/>
        <w:gridCol w:w="109"/>
        <w:gridCol w:w="109"/>
        <w:gridCol w:w="109"/>
        <w:gridCol w:w="250"/>
        <w:gridCol w:w="1157"/>
        <w:gridCol w:w="182"/>
      </w:tblGrid>
      <w:tr>
        <w:trPr/>
        <w:tc>
          <w:tcPr>
            <w:tcW w:w="1875"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 facility due October 2029</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due October 2029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due January 2026 (the “2026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677,830 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due July 2027 (the “2027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575,000 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1,248,912 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1,210,305 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1,248,912 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had $150 of letters of credit outstanding as of June 30, 2026 and December 31, 2025 under its second amended and restated credit agreement, entered into on October 18, 2024 with a syndicate of banks (the “Credit Facility”). As of June 30, 2026 and December 31, 2025, the Company had $1,203,944 and $1,299,850, respectively, available under the Credit Facility.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23, 2026, the Company entered into a First Amendment and Incremental Facility Agreement to the Credit Facility with a syndicate of banks (the “First Amendment”), which provided for a new $550,000 senior secured term loan (the “Term Loan”). The maturity date of the Term Loan is October 18, 2029, subject to a “incremental term maturity date” on the date that is 91 days prior to the maturity date of the Company’s outstanding convertible debt, unless on such date the Company meets certain liquidity requirements. Voluntary prepayments under the Term Loan are permitted at any time without payment of any prepayment premiums. The Term Loan is subject to quarterly amortization equal to 1.25% of the initial aggregate principal amount of the Term Loan, on the last business day of each fiscal quarter of the Company commencing on June 30, 2027. Debt issuance costs related to the Term Loan were not material. The Company used the Term Loan borrowings to repay portions of the revolving indebtedness outstanding under the Credit Facility.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Term Loan borrowings under the Credit Facility, bear interest, at the Company’s option, at the Alternative Base Rate or Term Secured Overnight Financing Rate (“SOFR”) that reset every one, three, or six months. Under the Term SOFR elections, Term Loan borrowings bear an interest rate of the applicable Term SOFR rate, plus a spread ranging from 100 bps to 200 bps as determined by the Company’s net leverage ratio. Under the non</w:t>
        <w:noBreakHyphen/>
        <w:t>Term SOFR elections, Term Loan borrowings bear a base interest rate of the highest of (i) the prime rate, (ii) the overnight bank funding effective rate plus 50 bps, or (iii) the daily simple SOFR rate plus 100 bps, plus a spread ranging from 0 bps to 100 bps as determined by the Company’s net leverage ratio.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00"/>
        <w:jc w:val="both"/>
        <w:rPr/>
      </w:pPr>
      <w:hyperlink w:anchor="iea6d2020b0e14ed193dae4125f4f36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2026 Notes matured on January 15, 2026. Upon maturity, the Company repaid $678,254, which consisted of the remaining outstanding principal balance and accrued interest on the 2026 Notes using borrowings under the Credit Facility and available cash on hand. The capped call options entered into in connection with the pricing of the 2026 Notes expired on January 15, 2026.</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During the first quarter of 2025, the Company paid $9,797 in cash to repurchase $10,000 aggregate principal amount of its outstanding 2026 Notes through open market transactions resulting in an insignificant gain, which was recorded in </w:t>
      </w:r>
      <w:r>
        <w:rPr>
          <w:rFonts w:ascii="Times New Roman;serif" w:hAnsi="Times New Roman;serif"/>
          <w:b w:val="false"/>
          <w:i/>
          <w:color w:val="000000"/>
          <w:sz w:val="20"/>
        </w:rPr>
        <w:t>Other income (expense), net</w:t>
      </w:r>
      <w:r>
        <w:rPr>
          <w:color w:val="000000"/>
        </w:rPr>
        <w:t xml:space="preserve"> </w:t>
      </w:r>
      <w:r>
        <w:rPr>
          <w:rFonts w:ascii="Times New Roman;serif" w:hAnsi="Times New Roman;serif"/>
          <w:b w:val="false"/>
          <w:color w:val="000000"/>
          <w:sz w:val="20"/>
        </w:rPr>
        <w:t>in the consolidated statements of operations for the six months ended June 30, 2025. The 2026 Notes were repurchased under the BSY Stock Repurchase Program (the “Repurchase Program”) authorization (see Note 13).</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was in compliance with all debt covenants. Furthermore, none of the conditions to early convert had been met for the 2027 Notes as of June 30, 2026 and December 31, 2025.</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Interest Expense, Net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expense, net consists of the following:</w:t>
      </w:r>
    </w:p>
    <w:tbl>
      <w:tblPr>
        <w:tblW w:w="8879" w:type="dxa"/>
        <w:jc w:val="center"/>
        <w:tblInd w:w="0" w:type="dxa"/>
        <w:tblLayout w:type="fixed"/>
        <w:tblCellMar>
          <w:top w:w="28" w:type="dxa"/>
          <w:left w:w="28" w:type="dxa"/>
          <w:bottom w:w="28" w:type="dxa"/>
          <w:right w:w="28" w:type="dxa"/>
        </w:tblCellMar>
      </w:tblPr>
      <w:tblGrid>
        <w:gridCol w:w="1340"/>
        <w:gridCol w:w="1178"/>
        <w:gridCol w:w="1186"/>
        <w:gridCol w:w="211"/>
        <w:gridCol w:w="691"/>
        <w:gridCol w:w="109"/>
        <w:gridCol w:w="109"/>
        <w:gridCol w:w="109"/>
        <w:gridCol w:w="109"/>
        <w:gridCol w:w="211"/>
        <w:gridCol w:w="691"/>
        <w:gridCol w:w="109"/>
        <w:gridCol w:w="109"/>
        <w:gridCol w:w="109"/>
        <w:gridCol w:w="109"/>
        <w:gridCol w:w="211"/>
        <w:gridCol w:w="796"/>
        <w:gridCol w:w="109"/>
        <w:gridCol w:w="109"/>
        <w:gridCol w:w="109"/>
        <w:gridCol w:w="109"/>
        <w:gridCol w:w="211"/>
        <w:gridCol w:w="691"/>
        <w:gridCol w:w="154"/>
      </w:tblGrid>
      <w:tr>
        <w:trPr/>
        <w:tc>
          <w:tcPr>
            <w:tcW w:w="1340"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debt issuance costs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interest expense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weighted average interest rate on borrowings under the Credit Facility were 5.00% and 6.24% for the three months ended June 30, 2026 and 2025, respectively, and 5.15% and 6.22%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11: Executive Incentive Plans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Executive Bonus Plan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incentive compensation, including cash payments, election to receive shares of fully vested Class B common stock, and deferred compensation to plan participants, recognized under the amended and restated Bentley Systems, Incorporated Bonus Pool Plan (the “Bonus Plan”) (net of all applicable holdbacks) was $2,274 and $2,393 for the three months ended June 30, 2026 and 2025, respectively, and $5,140 and $4,828 for the six months ended June 30, 2026 and 2025, respectively.</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Career Stock Program</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maintains an equity</w:t>
        <w:noBreakHyphen/>
        <w:t>based incentive program to compensate a limited set of executives (the “Career Stock Program”) pursuant to which the Company may grant restricted stock units (“RSUs”) awards under the Bentley Systems, Incorporated 2020 Omnibus Incentive Plan (the “2020 Plan”). During the three months ended March 31, 2026, the Company granted 111,136 RSUs with a fair value of $4,422 under the Career Stock Program based on the achievement of the performance goals for the year ended December 31, 2025. During the three months ended March 31, 2025, the Company granted 28,913 RSUs with a fair value of $1,160 under the Career Stock Program based on the achievement of the performance goals for the year ended December 31, 2024. As of June 30, 2026, there was $4,972 of unrecognized compensation expense related to unvested RSUs under the Career Stock Program, which is expected to be recognized over a weighted average period of approximately 4.3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00"/>
        <w:jc w:val="both"/>
        <w:rPr/>
      </w:pPr>
      <w:hyperlink w:anchor="iea6d2020b0e14ed193dae4125f4f36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12: Retirement Plans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Deferred Compensation Plan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Company’s amended and restated Bentley Systems, Incorporated Nonqualified Deferred Compensation Plan (the “DCP”), certain officers and key employees may defer all or any part of their incentive compensation, and the Company may make discretionary awards on behalf of such participants. Elective participant deferrals and discretionary Company awards are received in the form of phantom shares of the Company’s Class B common stock, which are valued for accounting purposes in the same manner as actual shares of Class B common stock, and are recorded as stock</w:t>
        <w:noBreakHyphen/>
        <w:t>based compensation expense in the consolidated statements of operations (see Note 15). The DCP has 50,000,000 shares of Class B common stock reserved for issuance. As of June 30, 2026, shares of Class B common stock available for future issuance under the DCP were 5,178,038.</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there were no DCP elective participant deferrals and no discretionary contributions made to the DCP. As of June 30, 2026 and December 31, 2025, phantom shares of the Company’s Class B common stock issuable by the DCP were 8,149,496 and 10,805,223, respectively.</w:t>
      </w:r>
    </w:p>
    <w:p>
      <w:pPr>
        <w:pStyle w:val="TextBody"/>
        <w:bidi w:val="0"/>
        <w:spacing w:lineRule="auto" w:line="288" w:before="0" w:after="200"/>
        <w:ind w:left="0" w:right="0" w:firstLine="360"/>
        <w:jc w:val="both"/>
        <w:rPr/>
      </w:pPr>
      <w:r>
        <w:rPr>
          <w:rFonts w:ascii="Times New Roman;serif" w:hAnsi="Times New Roman;serif"/>
          <w:b w:val="false"/>
          <w:color w:val="000000"/>
          <w:sz w:val="20"/>
        </w:rPr>
        <w:t>In August 2021, the Company’s Board of Directors approved an amendment to the DCP, which offered to certain active executives in the DCP a one</w:t>
        <w:noBreakHyphen/>
        <w:t>time, short</w:t>
        <w:noBreakHyphen/>
        <w:t xml:space="preserve">term election to reallocate a limited portion of their DCP holdings from phantom shares of the Company’s Class B common stock into other phantom investment funds. DCP participants’ holdings in phantom investment funds are classified as liabilities in either </w:t>
      </w:r>
      <w:r>
        <w:rPr>
          <w:rFonts w:ascii="Times New Roman;serif" w:hAnsi="Times New Roman;serif"/>
          <w:b w:val="false"/>
          <w:i/>
          <w:color w:val="000000"/>
          <w:sz w:val="20"/>
        </w:rPr>
        <w:t>Accruals and other current liabilities</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i/>
          <w:color w:val="000000"/>
          <w:sz w:val="20"/>
        </w:rPr>
        <w:t>Deferred compensation plan liabilities</w:t>
      </w:r>
      <w:r>
        <w:rPr>
          <w:color w:val="000000"/>
        </w:rPr>
        <w:t xml:space="preserve"> </w:t>
      </w:r>
      <w:r>
        <w:rPr>
          <w:rFonts w:ascii="Times New Roman;serif" w:hAnsi="Times New Roman;serif"/>
          <w:b w:val="false"/>
          <w:color w:val="000000"/>
          <w:sz w:val="20"/>
        </w:rPr>
        <w:t xml:space="preserve">in the consolidated balance sheets as they will be settled in cash upon eventual distribution. The deferred compensation plan liabilities are marked to market at the end of each reporting period, with changes in the liabilities recorded as an expense (income) to </w:t>
      </w:r>
      <w:r>
        <w:rPr>
          <w:rFonts w:ascii="Times New Roman;serif" w:hAnsi="Times New Roman;serif"/>
          <w:b w:val="false"/>
          <w:i/>
          <w:color w:val="000000"/>
          <w:sz w:val="20"/>
        </w:rPr>
        <w:t>Deferred compensation plan</w:t>
      </w:r>
      <w:r>
        <w:rPr>
          <w:color w:val="000000"/>
        </w:rPr>
        <w:t xml:space="preserve"> </w:t>
      </w:r>
      <w:r>
        <w:rPr>
          <w:rFonts w:ascii="Times New Roman;serif" w:hAnsi="Times New Roman;serif"/>
          <w:b w:val="false"/>
          <w:color w:val="000000"/>
          <w:sz w:val="20"/>
        </w:rPr>
        <w:t>in the consolidated statements of operations.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Deferred compensation plan</w:t>
      </w:r>
      <w:r>
        <w:rPr>
          <w:color w:val="000000"/>
        </w:rPr>
        <w:t xml:space="preserve"> </w:t>
      </w:r>
      <w:r>
        <w:rPr>
          <w:rFonts w:ascii="Times New Roman;serif" w:hAnsi="Times New Roman;serif"/>
          <w:b w:val="false"/>
          <w:color w:val="000000"/>
          <w:sz w:val="20"/>
        </w:rPr>
        <w:t>expense was $11,661 and $7,584 for the three months ended June 30, 2026 and 2025, respectively, and $10,587 and $6,338 for the six months ended June 30, 2026 and 2025, respectively.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total liabilities related to the DCP are included in the consolidated balance sheets as follows:</w:t>
      </w:r>
    </w:p>
    <w:tbl>
      <w:tblPr>
        <w:tblW w:w="6294" w:type="dxa"/>
        <w:jc w:val="center"/>
        <w:tblInd w:w="0" w:type="dxa"/>
        <w:tblLayout w:type="fixed"/>
        <w:tblCellMar>
          <w:top w:w="28" w:type="dxa"/>
          <w:left w:w="28" w:type="dxa"/>
          <w:bottom w:w="28" w:type="dxa"/>
          <w:right w:w="28" w:type="dxa"/>
        </w:tblCellMar>
      </w:tblPr>
      <w:tblGrid>
        <w:gridCol w:w="1166"/>
        <w:gridCol w:w="1027"/>
        <w:gridCol w:w="1031"/>
        <w:gridCol w:w="212"/>
        <w:gridCol w:w="833"/>
        <w:gridCol w:w="109"/>
        <w:gridCol w:w="109"/>
        <w:gridCol w:w="109"/>
        <w:gridCol w:w="109"/>
        <w:gridCol w:w="281"/>
        <w:gridCol w:w="1103"/>
        <w:gridCol w:w="205"/>
      </w:tblGrid>
      <w:tr>
        <w:trPr/>
        <w:tc>
          <w:tcPr>
            <w:tcW w:w="116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Accruals and other current liabilities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4,294 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compensation plan liabilities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106,831 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DCP liabilities</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111,125 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13: Common Stock</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BSY Stock Repurchase Program</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Board of Directors approved the Repurchase Program authorizing the Company to repurchase up to $500,000 of the Company’s Class B common stock and/or outstanding convertible senior notes through December 31, 2028. As of June 30, 2026, $356,558 was available under the Company’s Board of Directors authorization for future repurchases of Class B common stock and/or outstanding convertible senior notes under the Repurchase Program.</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repurchased 3,747,742 shares for $125,075 under the Repurchase Program. During the six months ended June 30, 2025, the Company repurchased 1,173,041 shares for $50,023, and $10,000 aggregate principal amount of the Company’s outstanding 2026 Notes for $9,797 (see Note 10) under the Repurchase Program.</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Common Stock Conversions, Issuances, Sales, and Repurchases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22,500 shares of Class A common stock were converted to Class B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00"/>
        <w:jc w:val="both"/>
        <w:rPr/>
      </w:pPr>
      <w:hyperlink w:anchor="iea6d2020b0e14ed193dae4125f4f36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issued 2,093,487 shares of Class B common stock to DCP participants in connection with distributions from the plan, net of 598,006 shares which were sold back to the Company in the same period to pay for applicable income tax withholdings of $21,571. During the six months ended June 30, 2025, the Company issued 1,572,829 shares of Class B common stock to DCP participants in connection with distributions from the plan, net of 274,556 shares which were sold back to the Company in the same period to pay for applicable income tax withholdings of $11,165.</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issued 55,583 shares of Class B common stock in connection with Bonus Plan incentive compensation, net of 43,214 shares which were sold back to the Company in the same period to pay for applicable income tax withholdings of $1,510. During the six months ended June 30, 2025, the Company issued 49,545 shares of Class B common stock in connection with the Bonus Plan incentive compensation, net of 20,779 shares which were sold back to the Company in the same period to pay for applicable income tax withholdings of $902.</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declared cash dividends during the periods presented as follows:</w:t>
      </w:r>
    </w:p>
    <w:tbl>
      <w:tblPr>
        <w:tblW w:w="3603" w:type="dxa"/>
        <w:jc w:val="center"/>
        <w:tblInd w:w="0" w:type="dxa"/>
        <w:tblLayout w:type="fixed"/>
        <w:tblCellMar>
          <w:top w:w="28" w:type="dxa"/>
          <w:left w:w="28" w:type="dxa"/>
          <w:bottom w:w="28" w:type="dxa"/>
          <w:right w:w="28" w:type="dxa"/>
        </w:tblCellMar>
      </w:tblPr>
      <w:tblGrid>
        <w:gridCol w:w="483"/>
        <w:gridCol w:w="424"/>
        <w:gridCol w:w="428"/>
        <w:gridCol w:w="217"/>
        <w:gridCol w:w="526"/>
        <w:gridCol w:w="112"/>
        <w:gridCol w:w="109"/>
        <w:gridCol w:w="109"/>
        <w:gridCol w:w="109"/>
        <w:gridCol w:w="211"/>
        <w:gridCol w:w="721"/>
        <w:gridCol w:w="154"/>
      </w:tblGrid>
      <w:tr>
        <w:trPr/>
        <w:tc>
          <w:tcPr>
            <w:tcW w:w="48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Dividend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133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3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3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3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3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8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Global Employee Stock Purchase Plan</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During the six months ended June 30, 2026, colleagues who elected to participate in the Bentley Systems, Incorporated Global Employee Stock Purchase Plan (the “ESPP”) purchased a total of 164,906 shares of Class B common stock, net of shares withheld, resulting in cash proceeds to the Company of $5,500. Of the total 169,569 shares purchased, 4,663 shares were sold back to the Company to pay for applicable income tax withholdings of $178. During the six months ended June 30, 2025, colleagues who elected to participate in the ESPP purchased a total of 130,212 shares of Class B common stock, net of shares withheld, resulting in cash proceeds to the Company of $5,312. Of the total 133,840 shares purchased, 3,628 shares were sold back to the Company to pay for applicable income tax withholdings of $169. As of June 30, 2026 and December 31, 2025, $6,328 and $6,173 of ESPP withholdings via colleague payroll deduction were recorded in </w:t>
      </w:r>
      <w:r>
        <w:rPr>
          <w:rFonts w:ascii="Times New Roman;serif" w:hAnsi="Times New Roman;serif"/>
          <w:b w:val="false"/>
          <w:i/>
          <w:color w:val="000000"/>
          <w:sz w:val="20"/>
        </w:rPr>
        <w:t>Accruals and other current liabilities</w:t>
      </w:r>
      <w:r>
        <w:rPr>
          <w:color w:val="000000"/>
        </w:rPr>
        <w:t xml:space="preserve"> </w:t>
      </w:r>
      <w:r>
        <w:rPr>
          <w:rFonts w:ascii="Times New Roman;serif" w:hAnsi="Times New Roman;serif"/>
          <w:b w:val="false"/>
          <w:color w:val="000000"/>
          <w:sz w:val="20"/>
        </w:rPr>
        <w:t>in the consolidated balance sheets, respectively. As of June 30, 2026, shares of Class B common stock available for future issuance under the ESPP were 23,572,787.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00"/>
        <w:jc w:val="both"/>
        <w:rPr/>
      </w:pPr>
      <w:hyperlink w:anchor="iea6d2020b0e14ed193dae4125f4f36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14: Accumulated Other Comprehensive Loss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Accumulated other comprehensive loss consists of the following during the three months ended June 30, 2026 and 2025:</w:t>
      </w:r>
    </w:p>
    <w:tbl>
      <w:tblPr>
        <w:tblW w:w="10205" w:type="dxa"/>
        <w:jc w:val="center"/>
        <w:tblInd w:w="0" w:type="dxa"/>
        <w:tblLayout w:type="fixed"/>
        <w:tblCellMar>
          <w:top w:w="28" w:type="dxa"/>
          <w:left w:w="28" w:type="dxa"/>
          <w:bottom w:w="28" w:type="dxa"/>
          <w:right w:w="28" w:type="dxa"/>
        </w:tblCellMar>
      </w:tblPr>
      <w:tblGrid>
        <w:gridCol w:w="2198"/>
        <w:gridCol w:w="1890"/>
        <w:gridCol w:w="1891"/>
        <w:gridCol w:w="211"/>
        <w:gridCol w:w="789"/>
        <w:gridCol w:w="109"/>
        <w:gridCol w:w="109"/>
        <w:gridCol w:w="109"/>
        <w:gridCol w:w="109"/>
        <w:gridCol w:w="275"/>
        <w:gridCol w:w="890"/>
        <w:gridCol w:w="141"/>
        <w:gridCol w:w="109"/>
        <w:gridCol w:w="109"/>
        <w:gridCol w:w="109"/>
        <w:gridCol w:w="211"/>
        <w:gridCol w:w="789"/>
        <w:gridCol w:w="157"/>
      </w:tblGrid>
      <w:tr>
        <w:trPr/>
        <w:tc>
          <w:tcPr>
            <w:tcW w:w="2198"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Actuarial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(Loss) Gain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Retirement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5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(80,727)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before taxes</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taxes</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(5,665)</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Other comprehensive income (loss) attributable to noncontrolling interest</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(84,887)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(86,393)</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98"/>
        <w:gridCol w:w="1891"/>
        <w:gridCol w:w="1890"/>
        <w:gridCol w:w="211"/>
        <w:gridCol w:w="789"/>
        <w:gridCol w:w="109"/>
        <w:gridCol w:w="109"/>
        <w:gridCol w:w="109"/>
        <w:gridCol w:w="109"/>
        <w:gridCol w:w="328"/>
        <w:gridCol w:w="815"/>
        <w:gridCol w:w="163"/>
        <w:gridCol w:w="109"/>
        <w:gridCol w:w="109"/>
        <w:gridCol w:w="109"/>
        <w:gridCol w:w="211"/>
        <w:gridCol w:w="789"/>
        <w:gridCol w:w="157"/>
      </w:tblGrid>
      <w:tr>
        <w:trPr/>
        <w:tc>
          <w:tcPr>
            <w:tcW w:w="2198"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79"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Foreign</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Actuarial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Currency</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(Loss) Gain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Translation</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Retirement Plan</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5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(97,583)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before taxes</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expense</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taxes</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Other comprehensive income (loss) attributable to noncontrolling interest</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(68,971)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(69,095)</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00"/>
        <w:jc w:val="both"/>
        <w:rPr/>
      </w:pPr>
      <w:hyperlink w:anchor="iea6d2020b0e14ed193dae4125f4f36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Accumulated other comprehensive loss consists of the following during the six months ended June 30, 2026 and 2025:</w:t>
      </w:r>
    </w:p>
    <w:tbl>
      <w:tblPr>
        <w:tblW w:w="10205" w:type="dxa"/>
        <w:jc w:val="center"/>
        <w:tblInd w:w="0" w:type="dxa"/>
        <w:tblLayout w:type="fixed"/>
        <w:tblCellMar>
          <w:top w:w="28" w:type="dxa"/>
          <w:left w:w="28" w:type="dxa"/>
          <w:bottom w:w="28" w:type="dxa"/>
          <w:right w:w="28" w:type="dxa"/>
        </w:tblCellMar>
      </w:tblPr>
      <w:tblGrid>
        <w:gridCol w:w="2201"/>
        <w:gridCol w:w="1885"/>
        <w:gridCol w:w="1892"/>
        <w:gridCol w:w="211"/>
        <w:gridCol w:w="789"/>
        <w:gridCol w:w="109"/>
        <w:gridCol w:w="109"/>
        <w:gridCol w:w="109"/>
        <w:gridCol w:w="109"/>
        <w:gridCol w:w="275"/>
        <w:gridCol w:w="890"/>
        <w:gridCol w:w="141"/>
        <w:gridCol w:w="109"/>
        <w:gridCol w:w="109"/>
        <w:gridCol w:w="109"/>
        <w:gridCol w:w="211"/>
        <w:gridCol w:w="789"/>
        <w:gridCol w:w="158"/>
      </w:tblGrid>
      <w:tr>
        <w:trPr/>
        <w:tc>
          <w:tcPr>
            <w:tcW w:w="2201"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Actuarial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(Loss) Gain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Retirement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5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(74,558)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before taxes</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(12,338)</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taxes</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(11,835)</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Other comprehensive income (loss) attributable to noncontrolling interest</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(84,887)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(86,393)</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2145"/>
        <w:gridCol w:w="1817"/>
        <w:gridCol w:w="1825"/>
        <w:gridCol w:w="211"/>
        <w:gridCol w:w="892"/>
        <w:gridCol w:w="109"/>
        <w:gridCol w:w="109"/>
        <w:gridCol w:w="109"/>
        <w:gridCol w:w="109"/>
        <w:gridCol w:w="327"/>
        <w:gridCol w:w="804"/>
        <w:gridCol w:w="161"/>
        <w:gridCol w:w="109"/>
        <w:gridCol w:w="109"/>
        <w:gridCol w:w="109"/>
        <w:gridCol w:w="211"/>
        <w:gridCol w:w="892"/>
        <w:gridCol w:w="157"/>
      </w:tblGrid>
      <w:tr>
        <w:trPr/>
        <w:tc>
          <w:tcPr>
            <w:tcW w:w="2145"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Actuarial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(Loss) Gain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Retirement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5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(104,078)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before taxes</w:t>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expense</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taxes</w:t>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Other comprehensive income (loss) attributable to noncontrolling interest</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(68,971)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(69,095)</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15: Stock-Based Compensation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stock</w:t>
        <w:noBreakHyphen/>
        <w:t>based compensation expense consists of the following:</w:t>
      </w:r>
    </w:p>
    <w:tbl>
      <w:tblPr>
        <w:tblW w:w="8850" w:type="dxa"/>
        <w:jc w:val="center"/>
        <w:tblInd w:w="0" w:type="dxa"/>
        <w:tblLayout w:type="fixed"/>
        <w:tblCellMar>
          <w:top w:w="28" w:type="dxa"/>
          <w:left w:w="28" w:type="dxa"/>
          <w:bottom w:w="28" w:type="dxa"/>
          <w:right w:w="28" w:type="dxa"/>
        </w:tblCellMar>
      </w:tblPr>
      <w:tblGrid>
        <w:gridCol w:w="1321"/>
        <w:gridCol w:w="1164"/>
        <w:gridCol w:w="1175"/>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32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RSUs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Bonus Plan expense (see Note 11)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ESPP expense (see Note 13)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grants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stock-based compensation expense </w:t>
            </w:r>
            <w:r>
              <w:rPr>
                <w:rFonts w:ascii="Times New Roman;serif" w:hAnsi="Times New Roman;serif"/>
                <w:b w:val="false"/>
                <w:color w:val="000000"/>
                <w:sz w:val="13"/>
              </w:rPr>
              <w:t>(1)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pPr>
      <w:r>
        <w:rPr>
          <w:rFonts w:ascii="Times New Roman;serif" w:hAnsi="Times New Roman;serif"/>
          <w:b w:val="false"/>
          <w:color w:val="000000"/>
          <w:sz w:val="18"/>
        </w:rPr>
        <w:t xml:space="preserve">(1)As of June 30, 2026 and December 31, 2025, $2,047 and $1,814 remained in </w:t>
      </w:r>
      <w:r>
        <w:rPr>
          <w:rFonts w:ascii="Times New Roman;serif" w:hAnsi="Times New Roman;serif"/>
          <w:b w:val="false"/>
          <w:i/>
          <w:color w:val="000000"/>
          <w:sz w:val="18"/>
        </w:rPr>
        <w:t>Accruals and other current liabilities</w:t>
      </w:r>
      <w:r>
        <w:rPr>
          <w:color w:val="000000"/>
        </w:rPr>
        <w:t xml:space="preserve"> </w:t>
      </w:r>
      <w:r>
        <w:rPr>
          <w:rFonts w:ascii="Times New Roman;serif" w:hAnsi="Times New Roman;serif"/>
          <w:b w:val="false"/>
          <w:color w:val="000000"/>
          <w:sz w:val="18"/>
        </w:rPr>
        <w:t>in the consolidated balance sheets,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00"/>
        <w:jc w:val="both"/>
        <w:rPr/>
      </w:pPr>
      <w:hyperlink w:anchor="iea6d2020b0e14ed193dae4125f4f36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stock</w:t>
        <w:noBreakHyphen/>
        <w:t>based compensation expense is included in the consolidated statements of operations as follows:</w:t>
      </w:r>
    </w:p>
    <w:tbl>
      <w:tblPr>
        <w:tblW w:w="8640" w:type="dxa"/>
        <w:jc w:val="center"/>
        <w:tblInd w:w="0" w:type="dxa"/>
        <w:tblLayout w:type="fixed"/>
        <w:tblCellMar>
          <w:top w:w="28" w:type="dxa"/>
          <w:left w:w="28" w:type="dxa"/>
          <w:bottom w:w="28" w:type="dxa"/>
          <w:right w:w="28" w:type="dxa"/>
        </w:tblCellMar>
      </w:tblPr>
      <w:tblGrid>
        <w:gridCol w:w="1250"/>
        <w:gridCol w:w="1097"/>
        <w:gridCol w:w="110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subscriptions and licenses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Stock</w:t>
        <w:noBreakHyphen/>
        <w:t>based compensation expense is measured at the grant date fair value of the award and is recognized ratably over the requisite service period, which is generally the vesting period. Specifically for performance</w:t>
        <w:noBreakHyphen/>
        <w:t>based RSUs, stock</w:t>
        <w:noBreakHyphen/>
        <w:t>based compensation expense is measured at the grant date fair value of the award and is recognized ratably over the requisite service period based on the number of awards expected to vest at each reporting date. The Company accounts for forfeitures of equity awards as those forfeitures occur.</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Bentley Systems, Incorporated 2020 Omnibus Incentive Plan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2020 Plan provides for the granting of stock, stock options, restricted stock, RSUs, and other stock</w:t>
        <w:noBreakHyphen/>
        <w:t>based or performance</w:t>
        <w:noBreakHyphen/>
        <w:t>based awards to certain directors, officers, colleagues, consultants, and advisors of the Company, and terminates in September 2030. The 2020 Plan provides that 25,000,000 shares of Class B common stock may be issued for equity awards. Equity awards that are expired, canceled, forfeited, or terminated for any reason will be available for future grant under the 2020 Plan. As of June 30, 2026, equity awards available for future grants under the 2020 Plan were 16,303,754.</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Restricted Stock and RSUs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2020 Plan, the Company may grant both time</w:t>
        <w:noBreakHyphen/>
        <w:t>based and performance</w:t>
        <w:noBreakHyphen/>
        <w:t>based shares of restricted Class B common stock and RSUs to eligible colleagues. Time</w:t>
        <w:noBreakHyphen/>
        <w:t>based awards generally vest ratably on each of the first four anniversaries of the grant date. Performance</w:t>
        <w:noBreakHyphen/>
        <w:t>based awards vesting is determined by the achievement of certain business growth targets established by the Sustainability Committee of the Company’s Board of Directors. Performance targets are generally set for performance periods of one year to three years, which are subject to certain cliff vesting performance targets.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unvested RSUs activity and related information:</w:t>
      </w:r>
    </w:p>
    <w:tbl>
      <w:tblPr>
        <w:tblW w:w="9598" w:type="dxa"/>
        <w:jc w:val="center"/>
        <w:tblInd w:w="0" w:type="dxa"/>
        <w:tblLayout w:type="fixed"/>
        <w:tblCellMar>
          <w:top w:w="28" w:type="dxa"/>
          <w:left w:w="28" w:type="dxa"/>
          <w:bottom w:w="28" w:type="dxa"/>
          <w:right w:w="28" w:type="dxa"/>
        </w:tblCellMar>
      </w:tblPr>
      <w:tblGrid>
        <w:gridCol w:w="923"/>
        <w:gridCol w:w="811"/>
        <w:gridCol w:w="816"/>
        <w:gridCol w:w="524"/>
        <w:gridCol w:w="526"/>
        <w:gridCol w:w="166"/>
        <w:gridCol w:w="109"/>
        <w:gridCol w:w="109"/>
        <w:gridCol w:w="109"/>
        <w:gridCol w:w="488"/>
        <w:gridCol w:w="488"/>
        <w:gridCol w:w="178"/>
        <w:gridCol w:w="109"/>
        <w:gridCol w:w="109"/>
        <w:gridCol w:w="109"/>
        <w:gridCol w:w="449"/>
        <w:gridCol w:w="451"/>
        <w:gridCol w:w="371"/>
        <w:gridCol w:w="109"/>
        <w:gridCol w:w="109"/>
        <w:gridCol w:w="109"/>
        <w:gridCol w:w="213"/>
        <w:gridCol w:w="622"/>
        <w:gridCol w:w="110"/>
        <w:gridCol w:w="109"/>
        <w:gridCol w:w="109"/>
        <w:gridCol w:w="109"/>
        <w:gridCol w:w="247"/>
        <w:gridCol w:w="725"/>
        <w:gridCol w:w="182"/>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Performance-</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Based</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Performance-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Grant Date</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December 31, 2025</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3,408,609 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3,163,771 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244,838 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2,478,586 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1,934,288 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544,298 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(1,006,254)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(795,333)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(210,921)</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and canceled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(137,421)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June 30, 2026</w:t>
            </w:r>
          </w:p>
        </w:tc>
        <w:tc>
          <w:tcPr>
            <w:tcW w:w="10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4,743,137 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4,165,305 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577,832 </w:t>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40.59 </w:t>
            </w:r>
          </w:p>
        </w:tc>
        <w:tc>
          <w:tcPr>
            <w:tcW w:w="11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40.50 </w:t>
            </w:r>
          </w:p>
        </w:tc>
        <w:tc>
          <w:tcPr>
            <w:tcW w:w="18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pPr>
      <w:r>
        <w:rPr>
          <w:rFonts w:ascii="Times New Roman;serif" w:hAnsi="Times New Roman;serif"/>
          <w:b w:val="false"/>
          <w:color w:val="231F20"/>
          <w:sz w:val="18"/>
        </w:rPr>
        <w:t>(1)</w:t>
      </w:r>
      <w:r>
        <w:rPr>
          <w:rFonts w:ascii="Times New Roman;serif" w:hAnsi="Times New Roman;serif"/>
          <w:b w:val="false"/>
          <w:color w:val="000000"/>
          <w:sz w:val="18"/>
        </w:rPr>
        <w:t>Includes 51,683 RSUs which are expected to be settled in cash.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00"/>
        <w:jc w:val="both"/>
        <w:rPr/>
      </w:pPr>
      <w:hyperlink w:anchor="iea6d2020b0e14ed193dae4125f4f36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weighted average grant date fair values of RSUs granted were $36.73 and $40.54 for the six months ended June 30, 2026 and 2025, respectively.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RSUs were issued net of 168,613 and 276,569 shares, respectively, which were sold back to the Company to settle applicable income tax withholdings of $6,406 and $12,543, respectively.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there was $130,595 of unrecognized compensation expense related to unvested time</w:t>
        <w:noBreakHyphen/>
        <w:t>based RSUs, which is expected to be recognized over a weighted average period of approximately 2.0 years. As of June 30, 2026, there was $18,178 of unrecognized compensation expense related to unvested performance</w:t>
        <w:noBreakHyphen/>
        <w:t>based RSUs, which is expected to be recognized over a weighted average period of approximately 1.5 years.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Stock Grants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the Company granted 20,247 and 12,591 fully vested shares of Class B common stock, respectively, with a fair value of $675 and $600,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16: Income Taxes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income before income taxes, provision for income taxes, and effective tax rate for the periods presented:</w:t>
      </w:r>
    </w:p>
    <w:tbl>
      <w:tblPr>
        <w:tblW w:w="8432" w:type="dxa"/>
        <w:jc w:val="center"/>
        <w:tblInd w:w="0" w:type="dxa"/>
        <w:tblLayout w:type="fixed"/>
        <w:tblCellMar>
          <w:top w:w="28" w:type="dxa"/>
          <w:left w:w="28" w:type="dxa"/>
          <w:bottom w:w="28" w:type="dxa"/>
          <w:right w:w="28" w:type="dxa"/>
        </w:tblCellMar>
      </w:tblPr>
      <w:tblGrid>
        <w:gridCol w:w="863"/>
        <w:gridCol w:w="757"/>
        <w:gridCol w:w="764"/>
        <w:gridCol w:w="211"/>
        <w:gridCol w:w="721"/>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316"/>
      </w:tblGrid>
      <w:tr>
        <w:trPr/>
        <w:tc>
          <w:tcPr>
            <w:tcW w:w="86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95,069 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213,626 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191,140 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17: Fair Value of Financial Instruments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financial asset or liability classification is determined based on the lowest level input that is significant to the fair value measurement. The fair value hierarchy consists of the following three levels: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Level 1 inputs are quoted prices (unadjusted) in active markets for identical assets or liabilities.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Level 2 inputs are quoted prices for similar assets and liabilities in active markets or inputs that are observable for the asset or liability, either directly or indirectly through market corroboration, for substantially the full term of the financial instrument.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Level 3 inputs are unobservable inputs based on management’s own assumptions used to measure assets and liabilities at fair value.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financial instruments include cash equivalents, account receivables, certain other assets, accounts payable, accruals, certain other current and long</w:t>
        <w:noBreakHyphen/>
        <w:t>term liabilities, and long</w:t>
        <w:noBreakHyphen/>
        <w:t>term debt.</w:t>
      </w:r>
    </w:p>
    <w:p>
      <w:pPr>
        <w:pStyle w:val="TextBody"/>
        <w:bidi w:val="0"/>
        <w:spacing w:lineRule="auto" w:line="288" w:before="0" w:after="200"/>
        <w:ind w:left="0" w:right="0" w:firstLine="360"/>
        <w:jc w:val="both"/>
        <w:rPr/>
      </w:pPr>
      <w:r>
        <w:rPr>
          <w:rFonts w:ascii="Times New Roman;serif" w:hAnsi="Times New Roman;serif"/>
          <w:b/>
          <w:i/>
          <w:color w:val="000000"/>
          <w:sz w:val="20"/>
        </w:rPr>
        <w:t>Current Assets and Current Liabilities</w:t>
      </w:r>
      <w:r>
        <w:rPr>
          <w:color w:val="000000"/>
        </w:rPr>
        <w:t xml:space="preserve"> — </w:t>
      </w:r>
      <w:r>
        <w:rPr>
          <w:rFonts w:ascii="Times New Roman;serif" w:hAnsi="Times New Roman;serif"/>
          <w:b w:val="false"/>
          <w:color w:val="000000"/>
          <w:sz w:val="20"/>
        </w:rPr>
        <w:t>In general, the carrying amounts reported on the consolidated balance sheets for current assets and current liabilities approximate their fair values due to the short</w:t>
        <w:noBreakHyphen/>
        <w:t>term nature of those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00"/>
        <w:jc w:val="both"/>
        <w:rPr/>
      </w:pPr>
      <w:hyperlink w:anchor="iea6d2020b0e14ed193dae4125f4f36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methods and assumptions were used by the Company in estimating its fair value measurements for Level 2 financial instruments as of June 30, 2026 and December 31, 2025:</w:t>
      </w:r>
    </w:p>
    <w:p>
      <w:pPr>
        <w:pStyle w:val="TextBody"/>
        <w:bidi w:val="0"/>
        <w:spacing w:lineRule="auto" w:line="288" w:before="0" w:after="200"/>
        <w:ind w:left="0" w:right="0" w:firstLine="360"/>
        <w:jc w:val="both"/>
        <w:rPr/>
      </w:pPr>
      <w:r>
        <w:rPr>
          <w:rFonts w:ascii="Times New Roman;serif" w:hAnsi="Times New Roman;serif"/>
          <w:b/>
          <w:i/>
          <w:color w:val="000000"/>
          <w:sz w:val="20"/>
        </w:rPr>
        <w:t>Interest Rate Swap</w:t>
      </w:r>
      <w:r>
        <w:rPr>
          <w:color w:val="000000"/>
        </w:rPr>
        <w:t xml:space="preserve"> — </w:t>
      </w:r>
      <w:r>
        <w:rPr>
          <w:rFonts w:ascii="Times New Roman;serif" w:hAnsi="Times New Roman;serif"/>
          <w:b w:val="false"/>
          <w:color w:val="000000"/>
          <w:sz w:val="20"/>
        </w:rPr>
        <w:t>The fair value of the Company’s interest rate swap asset or liability is determined using an income approach and is measured based on the implied forward rates for the remaining term of the interest rate swap. The Company considers these valuation inputs to be Level 2 inputs in the fair value hierarchy.</w:t>
      </w:r>
    </w:p>
    <w:p>
      <w:pPr>
        <w:pStyle w:val="TextBody"/>
        <w:bidi w:val="0"/>
        <w:spacing w:lineRule="auto" w:line="288" w:before="0" w:after="200"/>
        <w:ind w:left="0" w:right="0" w:firstLine="360"/>
        <w:jc w:val="both"/>
        <w:rPr/>
      </w:pPr>
      <w:r>
        <w:rPr>
          <w:rFonts w:ascii="Times New Roman;serif" w:hAnsi="Times New Roman;serif"/>
          <w:b/>
          <w:i/>
          <w:color w:val="000000"/>
          <w:sz w:val="20"/>
        </w:rPr>
        <w:t>Long-Term Debt</w:t>
      </w:r>
      <w:r>
        <w:rPr>
          <w:color w:val="000000"/>
        </w:rPr>
        <w:t xml:space="preserve"> — </w:t>
      </w:r>
      <w:r>
        <w:rPr>
          <w:rFonts w:ascii="Times New Roman;serif" w:hAnsi="Times New Roman;serif"/>
          <w:b w:val="false"/>
          <w:color w:val="000000"/>
          <w:sz w:val="20"/>
        </w:rPr>
        <w:t>The fair value of the Company’s borrowings under the Credit Facility approximated its carrying value based upon discounted cash flows at current market rates for instruments with similar remaining terms. The Company considers these valuation inputs to be Level 2 inputs in the fair value hierarchy. As of June 30, 2026 and December 31, 2025, the estimated fair value of the 2027 Notes was $552,288 and $543,059, respectively. The estimated fair value of the 2027 Notes is based on quoted market prices of the Company’s instrument in markets that are not active and are classified as Level 2 within the fair value hierarchy. Considerable judgment is necessary to interpret the market data and develop estimates of fair values. Accordingly, the estimates presented are not necessarily indicative of the amounts at which these instruments could be purchased, sold, or settled.</w:t>
      </w:r>
    </w:p>
    <w:p>
      <w:pPr>
        <w:pStyle w:val="TextBody"/>
        <w:bidi w:val="0"/>
        <w:spacing w:lineRule="auto" w:line="288" w:before="0" w:after="200"/>
        <w:ind w:left="0" w:right="0" w:firstLine="360"/>
        <w:jc w:val="both"/>
        <w:rPr/>
      </w:pPr>
      <w:r>
        <w:rPr>
          <w:rFonts w:ascii="Times New Roman;serif" w:hAnsi="Times New Roman;serif"/>
          <w:b/>
          <w:i/>
          <w:color w:val="000000"/>
          <w:sz w:val="20"/>
        </w:rPr>
        <w:t>Deferred Compensation Plan Liabilities</w:t>
      </w:r>
      <w:r>
        <w:rPr>
          <w:color w:val="000000"/>
        </w:rPr>
        <w:t xml:space="preserve"> — </w:t>
      </w:r>
      <w:r>
        <w:rPr>
          <w:rFonts w:ascii="Times New Roman;serif" w:hAnsi="Times New Roman;serif"/>
          <w:b w:val="false"/>
          <w:color w:val="000000"/>
          <w:sz w:val="20"/>
        </w:rPr>
        <w:t>The fair value of deferred compensation plan liabilities, including the liability classified phantom investments in the DCP, are marked to market at the end of each reporting period.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Financial assets and financial liabilities carried at fair value measured on a recurring basis consist of the following:</w:t>
      </w:r>
    </w:p>
    <w:tbl>
      <w:tblPr>
        <w:tblW w:w="7684" w:type="dxa"/>
        <w:jc w:val="center"/>
        <w:tblInd w:w="0" w:type="dxa"/>
        <w:tblLayout w:type="fixed"/>
        <w:tblCellMar>
          <w:top w:w="28" w:type="dxa"/>
          <w:left w:w="28" w:type="dxa"/>
          <w:bottom w:w="28" w:type="dxa"/>
          <w:right w:w="28" w:type="dxa"/>
        </w:tblCellMar>
      </w:tblPr>
      <w:tblGrid>
        <w:gridCol w:w="1242"/>
        <w:gridCol w:w="1095"/>
        <w:gridCol w:w="1097"/>
        <w:gridCol w:w="211"/>
        <w:gridCol w:w="826"/>
        <w:gridCol w:w="109"/>
        <w:gridCol w:w="109"/>
        <w:gridCol w:w="109"/>
        <w:gridCol w:w="109"/>
        <w:gridCol w:w="211"/>
        <w:gridCol w:w="721"/>
        <w:gridCol w:w="109"/>
        <w:gridCol w:w="109"/>
        <w:gridCol w:w="109"/>
        <w:gridCol w:w="109"/>
        <w:gridCol w:w="109"/>
        <w:gridCol w:w="109"/>
        <w:gridCol w:w="211"/>
        <w:gridCol w:w="826"/>
        <w:gridCol w:w="154"/>
      </w:tblGrid>
      <w:tr>
        <w:trPr/>
        <w:tc>
          <w:tcPr>
            <w:tcW w:w="124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Money market funds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Interest rate swap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Deferred compensation plan liabilities </w:t>
            </w:r>
            <w:r>
              <w:rPr>
                <w:rFonts w:ascii="Times New Roman;serif" w:hAnsi="Times New Roman;serif"/>
                <w:b w:val="false"/>
                <w:color w:val="000000"/>
                <w:sz w:val="13"/>
              </w:rPr>
              <w:t>(3)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Cash-settled equity awards </w:t>
            </w:r>
            <w:r>
              <w:rPr>
                <w:rFonts w:ascii="Times New Roman;serif" w:hAnsi="Times New Roman;serif"/>
                <w:b w:val="false"/>
                <w:color w:val="000000"/>
                <w:sz w:val="13"/>
              </w:rPr>
              <w:t>(4)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117,659 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685" w:type="dxa"/>
        <w:jc w:val="center"/>
        <w:tblInd w:w="0" w:type="dxa"/>
        <w:tblLayout w:type="fixed"/>
        <w:tblCellMar>
          <w:top w:w="28" w:type="dxa"/>
          <w:left w:w="28" w:type="dxa"/>
          <w:bottom w:w="28" w:type="dxa"/>
          <w:right w:w="28" w:type="dxa"/>
        </w:tblCellMar>
      </w:tblPr>
      <w:tblGrid>
        <w:gridCol w:w="1245"/>
        <w:gridCol w:w="1092"/>
        <w:gridCol w:w="1098"/>
        <w:gridCol w:w="211"/>
        <w:gridCol w:w="826"/>
        <w:gridCol w:w="109"/>
        <w:gridCol w:w="109"/>
        <w:gridCol w:w="109"/>
        <w:gridCol w:w="109"/>
        <w:gridCol w:w="211"/>
        <w:gridCol w:w="721"/>
        <w:gridCol w:w="109"/>
        <w:gridCol w:w="109"/>
        <w:gridCol w:w="109"/>
        <w:gridCol w:w="109"/>
        <w:gridCol w:w="109"/>
        <w:gridCol w:w="109"/>
        <w:gridCol w:w="211"/>
        <w:gridCol w:w="826"/>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Money market funds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Interest rate swap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Deferred compensation plan liabilities </w:t>
            </w:r>
            <w:r>
              <w:rPr>
                <w:rFonts w:ascii="Times New Roman;serif" w:hAnsi="Times New Roman;serif"/>
                <w:b w:val="false"/>
                <w:color w:val="000000"/>
                <w:sz w:val="13"/>
              </w:rPr>
              <w:t>(3)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Cash-settled equity awards </w:t>
            </w:r>
            <w:r>
              <w:rPr>
                <w:rFonts w:ascii="Times New Roman;serif" w:hAnsi="Times New Roman;serif"/>
                <w:b w:val="false"/>
                <w:color w:val="000000"/>
                <w:sz w:val="13"/>
              </w:rPr>
              <w:t>(4)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pPr>
      <w:r>
        <w:rPr>
          <w:rFonts w:ascii="Times New Roman;serif" w:hAnsi="Times New Roman;serif"/>
          <w:b w:val="false"/>
          <w:color w:val="000000"/>
          <w:sz w:val="18"/>
        </w:rPr>
        <w:t xml:space="preserve">(1)Included in </w:t>
      </w:r>
      <w:r>
        <w:rPr>
          <w:rFonts w:ascii="Times New Roman;serif" w:hAnsi="Times New Roman;serif"/>
          <w:b w:val="false"/>
          <w:i/>
          <w:color w:val="000000"/>
          <w:sz w:val="18"/>
        </w:rPr>
        <w:t>Cash and cash equivalents</w:t>
      </w:r>
      <w:r>
        <w:rPr>
          <w:color w:val="000000"/>
        </w:rPr>
        <w:t xml:space="preserve"> </w:t>
      </w:r>
      <w:r>
        <w:rPr>
          <w:rFonts w:ascii="Times New Roman;serif" w:hAnsi="Times New Roman;serif"/>
          <w:b w:val="false"/>
          <w:color w:val="000000"/>
          <w:sz w:val="18"/>
        </w:rPr>
        <w:t>in the consolidated balance sheets.</w:t>
      </w:r>
    </w:p>
    <w:p>
      <w:pPr>
        <w:pStyle w:val="TextBody"/>
        <w:bidi w:val="0"/>
        <w:spacing w:lineRule="auto" w:line="288" w:before="0" w:after="60"/>
        <w:ind w:left="0" w:right="0" w:hanging="360"/>
        <w:jc w:val="both"/>
        <w:rPr/>
      </w:pPr>
      <w:r>
        <w:rPr>
          <w:rFonts w:ascii="Times New Roman;serif" w:hAnsi="Times New Roman;serif"/>
          <w:b w:val="false"/>
          <w:color w:val="000000"/>
          <w:sz w:val="18"/>
        </w:rPr>
        <w:t xml:space="preserve">(2)Included in </w:t>
      </w:r>
      <w:r>
        <w:rPr>
          <w:rFonts w:ascii="Times New Roman;serif" w:hAnsi="Times New Roman;serif"/>
          <w:b w:val="false"/>
          <w:i/>
          <w:color w:val="000000"/>
          <w:sz w:val="18"/>
        </w:rPr>
        <w:t>Other assets</w:t>
      </w:r>
      <w:r>
        <w:rPr>
          <w:color w:val="000000"/>
        </w:rPr>
        <w:t xml:space="preserve"> </w:t>
      </w:r>
      <w:r>
        <w:rPr>
          <w:rFonts w:ascii="Times New Roman;serif" w:hAnsi="Times New Roman;serif"/>
          <w:b w:val="false"/>
          <w:color w:val="000000"/>
          <w:sz w:val="18"/>
        </w:rPr>
        <w:t>in the consolidated balance sheets.</w:t>
      </w:r>
    </w:p>
    <w:p>
      <w:pPr>
        <w:pStyle w:val="TextBody"/>
        <w:bidi w:val="0"/>
        <w:spacing w:lineRule="auto" w:line="288" w:before="0" w:after="60"/>
        <w:ind w:left="0" w:right="0" w:hanging="360"/>
        <w:jc w:val="both"/>
        <w:rPr/>
      </w:pPr>
      <w:r>
        <w:rPr>
          <w:rFonts w:ascii="Times New Roman;serif" w:hAnsi="Times New Roman;serif"/>
          <w:b w:val="false"/>
          <w:color w:val="000000"/>
          <w:sz w:val="18"/>
        </w:rPr>
        <w:t xml:space="preserve">(3)Included in </w:t>
      </w:r>
      <w:r>
        <w:rPr>
          <w:rFonts w:ascii="Times New Roman;serif" w:hAnsi="Times New Roman;serif"/>
          <w:b w:val="false"/>
          <w:i/>
          <w:color w:val="000000"/>
          <w:sz w:val="18"/>
        </w:rPr>
        <w:t>Deferred compensation plan liabilities</w:t>
      </w:r>
      <w:r>
        <w:rPr>
          <w:rFonts w:ascii="Times New Roman;serif" w:hAnsi="Times New Roman;serif"/>
          <w:b w:val="false"/>
          <w:color w:val="000000"/>
          <w:sz w:val="18"/>
        </w:rPr>
        <w:t xml:space="preserve">, except for current liabilities of $4,687 and $4,294 as of June 30, 2026 and December 31, 2025, respectively, which are included in </w:t>
      </w:r>
      <w:r>
        <w:rPr>
          <w:rFonts w:ascii="Times New Roman;serif" w:hAnsi="Times New Roman;serif"/>
          <w:b w:val="false"/>
          <w:i/>
          <w:color w:val="000000"/>
          <w:sz w:val="18"/>
        </w:rPr>
        <w:t>Accruals and other current liabilities</w:t>
      </w:r>
      <w:r>
        <w:rPr>
          <w:color w:val="000000"/>
        </w:rPr>
        <w:t xml:space="preserve"> </w:t>
      </w:r>
      <w:r>
        <w:rPr>
          <w:rFonts w:ascii="Times New Roman;serif" w:hAnsi="Times New Roman;serif"/>
          <w:b w:val="false"/>
          <w:color w:val="000000"/>
          <w:sz w:val="18"/>
        </w:rPr>
        <w:t>in the consolidated balance sheets.</w:t>
      </w:r>
    </w:p>
    <w:p>
      <w:pPr>
        <w:pStyle w:val="TextBody"/>
        <w:bidi w:val="0"/>
        <w:spacing w:lineRule="auto" w:line="288" w:before="0" w:after="200"/>
        <w:ind w:left="0" w:right="0" w:hanging="360"/>
        <w:jc w:val="both"/>
        <w:rPr/>
      </w:pPr>
      <w:r>
        <w:rPr>
          <w:rFonts w:ascii="Times New Roman;serif" w:hAnsi="Times New Roman;serif"/>
          <w:b w:val="false"/>
          <w:color w:val="000000"/>
          <w:sz w:val="18"/>
        </w:rPr>
        <w:t xml:space="preserve">(4)Included in </w:t>
      </w:r>
      <w:r>
        <w:rPr>
          <w:rFonts w:ascii="Times New Roman;serif" w:hAnsi="Times New Roman;serif"/>
          <w:b w:val="false"/>
          <w:i/>
          <w:color w:val="000000"/>
          <w:sz w:val="18"/>
        </w:rPr>
        <w:t>Accruals and other current liabilities</w:t>
      </w:r>
      <w:r>
        <w:rPr>
          <w:color w:val="000000"/>
        </w:rPr>
        <w:t xml:space="preserve"> </w:t>
      </w:r>
      <w:r>
        <w:rPr>
          <w:rFonts w:ascii="Times New Roman;serif" w:hAnsi="Times New Roman;serif"/>
          <w:b w:val="false"/>
          <w:color w:val="000000"/>
          <w:sz w:val="18"/>
        </w:rPr>
        <w:t>in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00"/>
        <w:jc w:val="both"/>
        <w:rPr/>
      </w:pPr>
      <w:hyperlink w:anchor="iea6d2020b0e14ed193dae4125f4f36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18: Commitments and Contingencies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Purchase Commitments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enters into various purchase commitments for goods and services. During the six months ended June 30, 2026, the Company entered into approximately $204,000 of non</w:t>
        <w:noBreakHyphen/>
        <w:t>cancelable future cash purchase commitments for services related to cloud provisioning of the Company’s software and for internal-use software costs. As of June 30, 2026, total non</w:t>
        <w:noBreakHyphen/>
        <w:t>cancelable future cash purchase commitments were approximately $249,600 to be paid through 2029. The Company expects to fully consume its contractual commitments in the ordinary course of operations.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Litigation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is involved in certain legal actions arising in the ordinary course of business. In management’s opinion, based upon the advice of counsel, the outcome of such actions is not expected to have a material adverse effect on the Company’s future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19: Segment and Geographic Information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operates and manages its business in a single reportable segment, the development and marketing of computer software and related services. The Company defines its chief operating decision maker (“CODM”) to be its Chief Executive Officer, who reviews financial information presented on a consolidated basis. The Company’s reported measures of profit or loss for segment reporting purposes are Net income and Adjusted operating income less operating stock</w:t>
        <w:noBreakHyphen/>
        <w:t>based compensation expense (“AOI less Operating SBC”). The CODM is regularly provided Net income and AOI less Operating SBC to understand the Company’s financial and operating results across accounting periods and for comparison of the Company’s results to those of other companies. The CODM regularly reviews AOI less Operating SBC for internal budgeting and forecasting purposes, to evaluate operating performance, and to make decisions on allocation of resources. The CODM does not use segment asset information to evaluate operating performance or allocate resources.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presentation of Net income is included in the consolidated statements of operations. AOI less Operating SBC is a non</w:t>
        <w:noBreakHyphen/>
        <w:t>GAAP financial measure and is defined as operating income adjusted for the following: amortization of purchased intangibles, expense (income) relating to deferred compensation plan liabilities, acquisition expenses (inclusive of cash</w:t>
        <w:noBreakHyphen/>
        <w:t xml:space="preserve"> and equity</w:t>
        <w:noBreakHyphen/>
        <w:t>settled retention incentives provided to key employees of acquired companies), integration costs, and realignment expenses (income), for the respective periods.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uses AOI less Operating SBC as its primary performance measure because management believes it better reflects the Company’s core operating results by excluding items that are not indicative of the ordinary operation of its business, including costs arising directly from acquisition activity and the costs of discrete realignment initiatives. Consistent with that objective, the Company refined the measure during 2026: beginning in the first quarter of 2026, the Company expanded its acquisition expenses adjustment to include cash- and equity</w:t>
        <w:noBreakHyphen/>
        <w:t>settled retention incentives provided to key employees of acquired companies, and renamed the measure from “AOI less SBC” to “AOI less Operating SBC”; and beginning in the second quarter of 2026, applying the same principle, the Company began adjusting for integration costs incurred to integrate acquired businesses into its operations. The Company continues to adjust for discrete realignment initiatives, and does not adjust for severance or organizational and workforce changes undertaken in the ordinary course of managing its business, which remain reflected in AOI less Operating SBC. Prior period amounts have been revised to conform to the current definition; no integration costs were incurred in periods prior to the second quarter of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00"/>
        <w:jc w:val="both"/>
        <w:rPr/>
      </w:pPr>
      <w:hyperlink w:anchor="iea6d2020b0e14ed193dae4125f4f36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Reconciliation of operating income to AOI less Operating SBC:</w:t>
      </w:r>
    </w:p>
    <w:tbl>
      <w:tblPr>
        <w:tblW w:w="9854" w:type="dxa"/>
        <w:jc w:val="center"/>
        <w:tblInd w:w="0" w:type="dxa"/>
        <w:tblLayout w:type="fixed"/>
        <w:tblCellMar>
          <w:top w:w="28" w:type="dxa"/>
          <w:left w:w="28" w:type="dxa"/>
          <w:bottom w:w="28" w:type="dxa"/>
          <w:right w:w="28" w:type="dxa"/>
        </w:tblCellMar>
      </w:tblPr>
      <w:tblGrid>
        <w:gridCol w:w="1536"/>
        <w:gridCol w:w="1350"/>
        <w:gridCol w:w="1358"/>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536"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purchased intangibles (see Note 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compensation plan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Acquisition expenses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Integration costs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Realignment expenses (income) </w:t>
            </w:r>
            <w:r>
              <w:rPr>
                <w:rFonts w:ascii="Times New Roman;serif" w:hAnsi="Times New Roman;serif"/>
                <w:b w:val="false"/>
                <w:color w:val="000000"/>
                <w:sz w:val="13"/>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AOI less Operating SBC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Further explanation of certain of the Company’s adjustments in arriving at AOI less Operating SBC are as follows:</w:t>
      </w:r>
    </w:p>
    <w:p>
      <w:pPr>
        <w:pStyle w:val="TextBody"/>
        <w:bidi w:val="0"/>
        <w:spacing w:lineRule="auto" w:line="288" w:before="0" w:after="120"/>
        <w:ind w:left="0" w:right="0" w:hanging="360"/>
        <w:jc w:val="both"/>
        <w:rPr/>
      </w:pPr>
      <w:r>
        <w:rPr>
          <w:rFonts w:ascii="Times New Roman;serif" w:hAnsi="Times New Roman;serif"/>
          <w:b w:val="false"/>
          <w:color w:val="000000"/>
          <w:sz w:val="18"/>
        </w:rPr>
        <w:t>(1)</w:t>
      </w:r>
      <w:r>
        <w:rPr>
          <w:rFonts w:ascii="Times New Roman;serif" w:hAnsi="Times New Roman;serif"/>
          <w:b w:val="false"/>
          <w:i/>
          <w:color w:val="000000"/>
          <w:sz w:val="18"/>
        </w:rPr>
        <w:t>Acquisition expenses</w:t>
      </w:r>
      <w:r>
        <w:rPr>
          <w:rFonts w:ascii="Times New Roman;serif" w:hAnsi="Times New Roman;serif"/>
          <w:b w:val="false"/>
          <w:color w:val="000000"/>
          <w:sz w:val="18"/>
        </w:rPr>
        <w:t>. The Company incurs expenses for professional services rendered in connection with business combinations, which are recorded in general and administrative expenses in the Company’s GAAP consolidated statements of operations. Also included in the Company’s acquisition expenses are cash- and equity</w:t>
        <w:noBreakHyphen/>
        <w:t>settled retention incentives provided to key employees of the acquired companies.</w:t>
      </w:r>
    </w:p>
    <w:p>
      <w:pPr>
        <w:pStyle w:val="TextBody"/>
        <w:bidi w:val="0"/>
        <w:spacing w:lineRule="auto" w:line="288" w:before="0" w:after="120"/>
        <w:ind w:left="0" w:right="0" w:hanging="360"/>
        <w:jc w:val="both"/>
        <w:rPr/>
      </w:pPr>
      <w:r>
        <w:rPr>
          <w:rFonts w:ascii="Times New Roman;serif" w:hAnsi="Times New Roman;serif"/>
          <w:b w:val="false"/>
          <w:color w:val="000000"/>
          <w:sz w:val="18"/>
        </w:rPr>
        <w:t>(2)</w:t>
      </w:r>
      <w:r>
        <w:rPr>
          <w:rFonts w:ascii="Times New Roman;serif" w:hAnsi="Times New Roman;serif"/>
          <w:b w:val="false"/>
          <w:i/>
          <w:color w:val="000000"/>
          <w:sz w:val="18"/>
        </w:rPr>
        <w:t>Integration costs</w:t>
      </w:r>
      <w:r>
        <w:rPr>
          <w:rFonts w:ascii="Times New Roman;serif" w:hAnsi="Times New Roman;serif"/>
          <w:b w:val="false"/>
          <w:color w:val="000000"/>
          <w:sz w:val="18"/>
        </w:rPr>
        <w:t>. Integration costs are incremental costs incurred to integrate and consolidate acquired businesses with the Company’s existing operations, including where it combines an acquired business with an existing business and consolidate overlapping teams, products, and systems. These costs consist primarily of employee severance and related personnel costs arising from such consolidation, and also include contract termination costs and costs to combine or migrate systems, platforms, and processes, and, to a lesser extent, charges to exit or consolidate facilities or other assets, in each case incurred as a direct result of an acquisition. The Company excludes these costs when evaluating its continuing operational performance because they result from acquisition activity rather than the ordinary course of business. Integration costs do not include costs of discrete realignment initiatives that are not undertaken in connection with an acquisition, which are reported as realignment expenses (income). Integration costs may recur to the extent the Company completes and integrates additional acquisitions.</w:t>
      </w:r>
    </w:p>
    <w:p>
      <w:pPr>
        <w:pStyle w:val="TextBody"/>
        <w:bidi w:val="0"/>
        <w:spacing w:lineRule="auto" w:line="288" w:before="0" w:after="200"/>
        <w:ind w:left="0" w:right="0" w:hanging="360"/>
        <w:jc w:val="both"/>
        <w:rPr/>
      </w:pPr>
      <w:r>
        <w:rPr>
          <w:rFonts w:ascii="Times New Roman;serif" w:hAnsi="Times New Roman;serif"/>
          <w:b w:val="false"/>
          <w:color w:val="000000"/>
          <w:sz w:val="18"/>
        </w:rPr>
        <w:t>(3)</w:t>
      </w:r>
      <w:r>
        <w:rPr>
          <w:rFonts w:ascii="Times New Roman;serif" w:hAnsi="Times New Roman;serif"/>
          <w:b w:val="false"/>
          <w:i/>
          <w:color w:val="000000"/>
          <w:sz w:val="18"/>
        </w:rPr>
        <w:t>Realignment expenses (income)</w:t>
      </w:r>
      <w:r>
        <w:rPr>
          <w:rFonts w:ascii="Times New Roman;serif" w:hAnsi="Times New Roman;serif"/>
          <w:b w:val="false"/>
          <w:color w:val="000000"/>
          <w:sz w:val="18"/>
        </w:rPr>
        <w:t>. Realignment expenses (income) consist of the costs of discrete, significant realignment initiatives that the Company formally approves and that have a defined scope of actions and completion timeline—such as a broad reorganization or workforce-reduction program—including employee severance and related personnel costs and associated facility or asset costs. Such initiatives arise from time to time, and the related costs may recur in future periods. The Company excludes these amounts when evaluating its continuing operational performance because such initiatives are distinct from the ordinary course of business. The Company does not adjust for severance or organizational and workforce changes undertaken in the ordinary course of managing its business, which remain reflected in the measure.</w:t>
      </w:r>
    </w:p>
    <w:p>
      <w:pPr>
        <w:pStyle w:val="TextBody"/>
        <w:bidi w:val="0"/>
        <w:spacing w:lineRule="auto" w:line="288" w:before="0" w:after="200"/>
        <w:ind w:left="0" w:right="0" w:firstLine="360"/>
        <w:jc w:val="both"/>
        <w:rPr/>
      </w:pPr>
      <w:r>
        <w:rPr>
          <w:color w:val="000000"/>
        </w:rPr>
        <w:t>“</w:t>
      </w:r>
      <w:r>
        <w:rPr>
          <w:rFonts w:ascii="Times New Roman;serif" w:hAnsi="Times New Roman;serif"/>
          <w:b w:val="false"/>
          <w:color w:val="000000"/>
          <w:sz w:val="20"/>
        </w:rPr>
        <w:t>Headcount</w:t>
        <w:noBreakHyphen/>
        <w:t>related” costs are considered the Company’s significant expense category and primarily include salaries, benefits, bonuses, stock</w:t>
        <w:noBreakHyphen/>
        <w:t>based compensation expense, employment taxes, travel, training, and realignment and optimization of the Company’s colleagues, and third</w:t>
        <w:noBreakHyphen/>
        <w:t>party personnel expenses and related overhead. Certain of these amounts—cash- and equity</w:t>
        <w:noBreakHyphen/>
        <w:t>settled retention incentives provided to key employees of acquired companies, integration costs, and the costs of discrete realignment initiatives—are excluded in deriving AOI less Operating SBC, as described in the reconciliation above. The CODM is regularly provided headcount</w:t>
        <w:noBreakHyphen/>
        <w:t>related costs to understand and compare operating results across accounting periods, for internal budgeting and forecasting purposes, to evaluate financial performance, and to align colleague resources and evaluate compensation to support the Company’s operational efficiency and maximize long</w:t>
        <w:noBreakHyphen/>
        <w:t>term growth. Headcount</w:t>
        <w:noBreakHyphen/>
        <w:t xml:space="preserve">related costs of $236,745 and $209,081 for the three months ended June 30, 2026 and 2025, respectively, and $465,087 and $408,690 for the six months ended June 30, 2026 and 2025, respectively, are included in </w:t>
      </w:r>
      <w:r>
        <w:rPr>
          <w:rFonts w:ascii="Times New Roman;serif" w:hAnsi="Times New Roman;serif"/>
          <w:b w:val="false"/>
          <w:i/>
          <w:color w:val="000000"/>
          <w:sz w:val="20"/>
        </w:rPr>
        <w:t>Cost of subscriptions and licenses</w:t>
      </w:r>
      <w:r>
        <w:rPr>
          <w:rFonts w:ascii="Times New Roman;serif" w:hAnsi="Times New Roman;serif"/>
          <w:b w:val="false"/>
          <w:color w:val="000000"/>
          <w:sz w:val="20"/>
        </w:rPr>
        <w:t xml:space="preserve">, </w:t>
      </w:r>
      <w:r>
        <w:rPr>
          <w:rFonts w:ascii="Times New Roman;serif" w:hAnsi="Times New Roman;serif"/>
          <w:b w:val="false"/>
          <w:i/>
          <w:color w:val="000000"/>
          <w:sz w:val="20"/>
        </w:rPr>
        <w:t>Cost of services</w:t>
      </w:r>
      <w:r>
        <w:rPr>
          <w:rFonts w:ascii="Times New Roman;serif" w:hAnsi="Times New Roman;serif"/>
          <w:b w:val="false"/>
          <w:color w:val="000000"/>
          <w:sz w:val="20"/>
        </w:rPr>
        <w:t xml:space="preserve">, </w:t>
      </w:r>
      <w:r>
        <w:rPr>
          <w:rFonts w:ascii="Times New Roman;serif" w:hAnsi="Times New Roman;serif"/>
          <w:b w:val="false"/>
          <w:i/>
          <w:color w:val="000000"/>
          <w:sz w:val="20"/>
        </w:rPr>
        <w:t>Research and development</w:t>
      </w:r>
      <w:r>
        <w:rPr>
          <w:rFonts w:ascii="Times New Roman;serif" w:hAnsi="Times New Roman;serif"/>
          <w:b w:val="false"/>
          <w:color w:val="000000"/>
          <w:sz w:val="20"/>
        </w:rPr>
        <w:t xml:space="preserve">, </w:t>
      </w:r>
      <w:r>
        <w:rPr>
          <w:rFonts w:ascii="Times New Roman;serif" w:hAnsi="Times New Roman;serif"/>
          <w:b w:val="false"/>
          <w:i/>
          <w:color w:val="000000"/>
          <w:sz w:val="20"/>
        </w:rPr>
        <w:t>Selling and marketing</w:t>
      </w:r>
      <w:r>
        <w:rPr>
          <w:rFonts w:ascii="Times New Roman;serif" w:hAnsi="Times New Roman;serif"/>
          <w:b w:val="false"/>
          <w:color w:val="000000"/>
          <w:sz w:val="20"/>
        </w:rPr>
        <w:t xml:space="preserve">, and </w:t>
      </w:r>
      <w:r>
        <w:rPr>
          <w:rFonts w:ascii="Times New Roman;serif" w:hAnsi="Times New Roman;serif"/>
          <w:b w:val="false"/>
          <w:i/>
          <w:color w:val="000000"/>
          <w:sz w:val="20"/>
        </w:rPr>
        <w:t>General and administrative</w:t>
      </w:r>
      <w:r>
        <w:rPr>
          <w:color w:val="000000"/>
        </w:rPr>
        <w:t xml:space="preserve"> </w:t>
      </w:r>
      <w:r>
        <w:rPr>
          <w:rFonts w:ascii="Times New Roman;serif" w:hAnsi="Times New Roman;serif"/>
          <w:b w:val="false"/>
          <w:color w:val="000000"/>
          <w:sz w:val="20"/>
        </w:rPr>
        <w:t>in the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00"/>
        <w:jc w:val="both"/>
        <w:rPr/>
      </w:pPr>
      <w:hyperlink w:anchor="iea6d2020b0e14ed193dae4125f4f36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both"/>
        <w:rPr/>
      </w:pPr>
      <w:r>
        <w:rPr>
          <w:rFonts w:ascii="Times New Roman;serif" w:hAnsi="Times New Roman;serif"/>
          <w:b w:val="false"/>
          <w:color w:val="000000"/>
          <w:sz w:val="20"/>
        </w:rPr>
        <w:t>Under the Company’s Net income measure of profit or loss for segment reporting purposes, other segment items were $95,467 and $84,525 for the three months ended June 30, 2026 and 2025, respectively, and $195,957 and $164,120 for the six months ended June 30, 2026 and 2025, respectively. These other segment items primarily include cloud</w:t>
        <w:noBreakHyphen/>
        <w:t xml:space="preserve">related costs incurred for servicing the Company’s accounts using cloud provisioned offerings and the Company’s license administration platform, channel partner compensation for providing sales coverage to users, marketing costs, acquisition costs, depreciation expense, and amortization expense recorded in </w:t>
      </w:r>
      <w:r>
        <w:rPr>
          <w:rFonts w:ascii="Times New Roman;serif" w:hAnsi="Times New Roman;serif"/>
          <w:b w:val="false"/>
          <w:i/>
          <w:color w:val="000000"/>
          <w:sz w:val="20"/>
        </w:rPr>
        <w:t>Cost of subscriptions and licenses</w:t>
      </w:r>
      <w:r>
        <w:rPr>
          <w:rFonts w:ascii="Times New Roman;serif" w:hAnsi="Times New Roman;serif"/>
          <w:b w:val="false"/>
          <w:color w:val="000000"/>
          <w:sz w:val="20"/>
        </w:rPr>
        <w:t xml:space="preserve">, </w:t>
      </w:r>
      <w:r>
        <w:rPr>
          <w:rFonts w:ascii="Times New Roman;serif" w:hAnsi="Times New Roman;serif"/>
          <w:b w:val="false"/>
          <w:i/>
          <w:color w:val="000000"/>
          <w:sz w:val="20"/>
        </w:rPr>
        <w:t>Cost of services</w:t>
      </w:r>
      <w:r>
        <w:rPr>
          <w:rFonts w:ascii="Times New Roman;serif" w:hAnsi="Times New Roman;serif"/>
          <w:b w:val="false"/>
          <w:color w:val="000000"/>
          <w:sz w:val="20"/>
        </w:rPr>
        <w:t xml:space="preserve">, </w:t>
      </w:r>
      <w:r>
        <w:rPr>
          <w:rFonts w:ascii="Times New Roman;serif" w:hAnsi="Times New Roman;serif"/>
          <w:b w:val="false"/>
          <w:i/>
          <w:color w:val="000000"/>
          <w:sz w:val="20"/>
        </w:rPr>
        <w:t>Research and development</w:t>
      </w:r>
      <w:r>
        <w:rPr>
          <w:rFonts w:ascii="Times New Roman;serif" w:hAnsi="Times New Roman;serif"/>
          <w:b w:val="false"/>
          <w:color w:val="000000"/>
          <w:sz w:val="20"/>
        </w:rPr>
        <w:t xml:space="preserve">, </w:t>
      </w:r>
      <w:r>
        <w:rPr>
          <w:rFonts w:ascii="Times New Roman;serif" w:hAnsi="Times New Roman;serif"/>
          <w:b w:val="false"/>
          <w:i/>
          <w:color w:val="000000"/>
          <w:sz w:val="20"/>
        </w:rPr>
        <w:t>Selling and marketing</w:t>
      </w:r>
      <w:r>
        <w:rPr>
          <w:rFonts w:ascii="Times New Roman;serif" w:hAnsi="Times New Roman;serif"/>
          <w:b w:val="false"/>
          <w:color w:val="000000"/>
          <w:sz w:val="20"/>
        </w:rPr>
        <w:t xml:space="preserve">, and </w:t>
      </w:r>
      <w:r>
        <w:rPr>
          <w:rFonts w:ascii="Times New Roman;serif" w:hAnsi="Times New Roman;serif"/>
          <w:b w:val="false"/>
          <w:i/>
          <w:color w:val="000000"/>
          <w:sz w:val="20"/>
        </w:rPr>
        <w:t>General and administrative</w:t>
      </w:r>
      <w:r>
        <w:rPr>
          <w:color w:val="000000"/>
        </w:rPr>
        <w:t xml:space="preserve"> </w:t>
      </w:r>
      <w:r>
        <w:rPr>
          <w:rFonts w:ascii="Times New Roman;serif" w:hAnsi="Times New Roman;serif"/>
          <w:b w:val="false"/>
          <w:color w:val="000000"/>
          <w:sz w:val="20"/>
        </w:rPr>
        <w:t xml:space="preserve">in the consolidated statements of operations. Additionally, other segment items include </w:t>
      </w:r>
      <w:r>
        <w:rPr>
          <w:rFonts w:ascii="Times New Roman;serif" w:hAnsi="Times New Roman;serif"/>
          <w:b w:val="false"/>
          <w:i/>
          <w:color w:val="000000"/>
          <w:sz w:val="20"/>
        </w:rPr>
        <w:t>Deferred compensation plan</w:t>
      </w:r>
      <w:r>
        <w:rPr>
          <w:color w:val="000000"/>
        </w:rPr>
        <w:t xml:space="preserve"> </w:t>
      </w:r>
      <w:r>
        <w:rPr>
          <w:rFonts w:ascii="Times New Roman;serif" w:hAnsi="Times New Roman;serif"/>
          <w:b w:val="false"/>
          <w:color w:val="000000"/>
          <w:sz w:val="20"/>
        </w:rPr>
        <w:t xml:space="preserve">expense (income), </w:t>
      </w:r>
      <w:r>
        <w:rPr>
          <w:rFonts w:ascii="Times New Roman;serif" w:hAnsi="Times New Roman;serif"/>
          <w:b w:val="false"/>
          <w:i/>
          <w:color w:val="000000"/>
          <w:sz w:val="20"/>
        </w:rPr>
        <w:t>Amortization of purchased intangibles</w:t>
      </w:r>
      <w:r>
        <w:rPr>
          <w:rFonts w:ascii="Times New Roman;serif" w:hAnsi="Times New Roman;serif"/>
          <w:b w:val="false"/>
          <w:color w:val="000000"/>
          <w:sz w:val="20"/>
        </w:rPr>
        <w:t>, and non</w:t>
        <w:noBreakHyphen/>
        <w:t>operating expense (income) amounts presented in the consolidated statements of operations.</w:t>
      </w:r>
    </w:p>
    <w:p>
      <w:pPr>
        <w:pStyle w:val="TextBody"/>
        <w:bidi w:val="0"/>
        <w:spacing w:lineRule="auto" w:line="288" w:before="0" w:after="200"/>
        <w:ind w:left="0" w:right="0" w:firstLine="360"/>
        <w:jc w:val="both"/>
        <w:rPr/>
      </w:pPr>
      <w:r>
        <w:rPr>
          <w:rFonts w:ascii="Times New Roman;serif" w:hAnsi="Times New Roman;serif"/>
          <w:b w:val="false"/>
          <w:color w:val="000000"/>
          <w:sz w:val="20"/>
        </w:rPr>
        <w:t>Under the Company’s AOI less Operating SBC measure of profit or loss for segment reporting purposes, other segment items were $62,119 and $51,596 for the three months ended June 30, 2026 and 2025, respectively, and $120,697 and $97,125 for the six months ended June 30, 2026 and 2025, respectively. These other segment items primarily include cloud</w:t>
        <w:noBreakHyphen/>
        <w:t xml:space="preserve">related costs incurred for servicing the Company’s accounts using cloud provisioned offerings and the Company’s license administration platform, channel partner compensation for providing sales coverage to users, marketing costs, and depreciation expense recorded in </w:t>
      </w:r>
      <w:r>
        <w:rPr>
          <w:rFonts w:ascii="Times New Roman;serif" w:hAnsi="Times New Roman;serif"/>
          <w:b w:val="false"/>
          <w:i/>
          <w:color w:val="000000"/>
          <w:sz w:val="20"/>
        </w:rPr>
        <w:t>Cost of subscriptions and licenses</w:t>
      </w:r>
      <w:r>
        <w:rPr>
          <w:rFonts w:ascii="Times New Roman;serif" w:hAnsi="Times New Roman;serif"/>
          <w:b w:val="false"/>
          <w:color w:val="000000"/>
          <w:sz w:val="20"/>
        </w:rPr>
        <w:t xml:space="preserve">, </w:t>
      </w:r>
      <w:r>
        <w:rPr>
          <w:rFonts w:ascii="Times New Roman;serif" w:hAnsi="Times New Roman;serif"/>
          <w:b w:val="false"/>
          <w:i/>
          <w:color w:val="000000"/>
          <w:sz w:val="20"/>
        </w:rPr>
        <w:t>Cost of services</w:t>
      </w:r>
      <w:r>
        <w:rPr>
          <w:rFonts w:ascii="Times New Roman;serif" w:hAnsi="Times New Roman;serif"/>
          <w:b w:val="false"/>
          <w:color w:val="000000"/>
          <w:sz w:val="20"/>
        </w:rPr>
        <w:t xml:space="preserve">, </w:t>
      </w:r>
      <w:r>
        <w:rPr>
          <w:rFonts w:ascii="Times New Roman;serif" w:hAnsi="Times New Roman;serif"/>
          <w:b w:val="false"/>
          <w:i/>
          <w:color w:val="000000"/>
          <w:sz w:val="20"/>
        </w:rPr>
        <w:t>Research and development</w:t>
      </w:r>
      <w:r>
        <w:rPr>
          <w:rFonts w:ascii="Times New Roman;serif" w:hAnsi="Times New Roman;serif"/>
          <w:b w:val="false"/>
          <w:color w:val="000000"/>
          <w:sz w:val="20"/>
        </w:rPr>
        <w:t xml:space="preserve">, </w:t>
      </w:r>
      <w:r>
        <w:rPr>
          <w:rFonts w:ascii="Times New Roman;serif" w:hAnsi="Times New Roman;serif"/>
          <w:b w:val="false"/>
          <w:i/>
          <w:color w:val="000000"/>
          <w:sz w:val="20"/>
        </w:rPr>
        <w:t>Selling and marketing</w:t>
      </w:r>
      <w:r>
        <w:rPr>
          <w:rFonts w:ascii="Times New Roman;serif" w:hAnsi="Times New Roman;serif"/>
          <w:b w:val="false"/>
          <w:color w:val="000000"/>
          <w:sz w:val="20"/>
        </w:rPr>
        <w:t xml:space="preserve">, and </w:t>
      </w:r>
      <w:r>
        <w:rPr>
          <w:rFonts w:ascii="Times New Roman;serif" w:hAnsi="Times New Roman;serif"/>
          <w:b w:val="false"/>
          <w:i/>
          <w:color w:val="000000"/>
          <w:sz w:val="20"/>
        </w:rPr>
        <w:t>General and administrative</w:t>
      </w:r>
      <w:r>
        <w:rPr>
          <w:color w:val="000000"/>
        </w:rPr>
        <w:t xml:space="preserve"> </w:t>
      </w:r>
      <w:r>
        <w:rPr>
          <w:rFonts w:ascii="Times New Roman;serif" w:hAnsi="Times New Roman;serif"/>
          <w:b w:val="false"/>
          <w:color w:val="000000"/>
          <w:sz w:val="20"/>
        </w:rPr>
        <w:t>in the consolidated statements of operations. Within the reconciliation of AOI less Operating SBC, cash- and equity</w:t>
        <w:noBreakHyphen/>
        <w:t>settled retention incentives provided to key employees of acquired companies included as a component of acquisition expenses totaling $2,373 and $3,340 for the three months ended June 30, 2026 and 2025, respectively, and $6,035 and $6,244 for the six months ended June 30, 2026 and 2025, respectively, are excluded from the calculation of headcount</w:t>
        <w:noBreakHyphen/>
        <w:t>related costs. Additionally, within the reconciliation of AOI less Operating SBC, integration costs of $1,800 for both the three and six months ended June 30, 2026 are excluded from the calculation of headcount</w:t>
        <w:noBreakHyphen/>
        <w:t>related costs.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Revenues by geographic region are presented in Note 3. Long</w:t>
        <w:noBreakHyphen/>
        <w:t>lived assets (other than goodwill), net of depreciation and amortization by geographic region (see Notes 5, 6, and 8) are as follows:</w:t>
      </w:r>
    </w:p>
    <w:tbl>
      <w:tblPr>
        <w:tblW w:w="5034" w:type="dxa"/>
        <w:jc w:val="center"/>
        <w:tblInd w:w="0" w:type="dxa"/>
        <w:tblLayout w:type="fixed"/>
        <w:tblCellMar>
          <w:top w:w="28" w:type="dxa"/>
          <w:left w:w="28" w:type="dxa"/>
          <w:bottom w:w="28" w:type="dxa"/>
          <w:right w:w="28" w:type="dxa"/>
        </w:tblCellMar>
      </w:tblPr>
      <w:tblGrid>
        <w:gridCol w:w="710"/>
        <w:gridCol w:w="624"/>
        <w:gridCol w:w="630"/>
        <w:gridCol w:w="212"/>
        <w:gridCol w:w="833"/>
        <w:gridCol w:w="109"/>
        <w:gridCol w:w="109"/>
        <w:gridCol w:w="109"/>
        <w:gridCol w:w="109"/>
        <w:gridCol w:w="281"/>
        <w:gridCol w:w="1103"/>
        <w:gridCol w:w="205"/>
      </w:tblGrid>
      <w:tr>
        <w:trPr/>
        <w:tc>
          <w:tcPr>
            <w:tcW w:w="71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Americas</w:t>
            </w:r>
            <w:r>
              <w:rPr>
                <w:color w:val="000000"/>
              </w:rPr>
              <w:t xml:space="preserve"> </w:t>
            </w:r>
            <w:r>
              <w:rPr>
                <w:rFonts w:ascii="Times New Roman;serif" w:hAnsi="Times New Roman;serif"/>
                <w:b w:val="false"/>
                <w:color w:val="000000"/>
                <w:sz w:val="13"/>
              </w:rPr>
              <w:t>(1)</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213,352 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31,684 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long-lived assets</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260,190 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(1)Americas includes the U.S., Canada, and Latin America (including the Caribbean).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00"/>
        <w:jc w:val="both"/>
        <w:rPr/>
      </w:pPr>
      <w:hyperlink w:anchor="iea6d2020b0e14ed193dae4125f4f36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20: Other Income (Expense), Net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income (expense), net consists of the following:</w:t>
      </w:r>
    </w:p>
    <w:tbl>
      <w:tblPr>
        <w:tblW w:w="9659" w:type="dxa"/>
        <w:jc w:val="center"/>
        <w:tblInd w:w="0" w:type="dxa"/>
        <w:tblLayout w:type="fixed"/>
        <w:tblCellMar>
          <w:top w:w="28" w:type="dxa"/>
          <w:left w:w="28" w:type="dxa"/>
          <w:bottom w:w="28" w:type="dxa"/>
          <w:right w:w="28" w:type="dxa"/>
        </w:tblCellMar>
      </w:tblPr>
      <w:tblGrid>
        <w:gridCol w:w="1637"/>
        <w:gridCol w:w="1443"/>
        <w:gridCol w:w="1449"/>
        <w:gridCol w:w="211"/>
        <w:gridCol w:w="721"/>
        <w:gridCol w:w="109"/>
        <w:gridCol w:w="109"/>
        <w:gridCol w:w="109"/>
        <w:gridCol w:w="109"/>
        <w:gridCol w:w="211"/>
        <w:gridCol w:w="691"/>
        <w:gridCol w:w="109"/>
        <w:gridCol w:w="109"/>
        <w:gridCol w:w="109"/>
        <w:gridCol w:w="109"/>
        <w:gridCol w:w="211"/>
        <w:gridCol w:w="721"/>
        <w:gridCol w:w="109"/>
        <w:gridCol w:w="109"/>
        <w:gridCol w:w="109"/>
        <w:gridCol w:w="109"/>
        <w:gridCol w:w="211"/>
        <w:gridCol w:w="691"/>
        <w:gridCol w:w="154"/>
      </w:tblGrid>
      <w:tr>
        <w:trPr/>
        <w:tc>
          <w:tcPr>
            <w:tcW w:w="1637"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(loss) from:</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Change in fair value of interest rate swap (see Note 17)</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Foreign exchange </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Receipts related to interest rate swap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income (expense), net </w:t>
            </w:r>
            <w:r>
              <w:rPr>
                <w:rFonts w:ascii="Times New Roman;serif" w:hAnsi="Times New Roman;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(1)Foreign exchange (loss) gain is primarily attributable to foreign currency translation derived mainly from U.S. dollar denominated cash and cash equivalents, account receivables, customer deposits, and intercompany balances held by foreign subsidiaries.</w:t>
      </w:r>
    </w:p>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(2)Other income (expense), net for the three and six months ended June 30, 2026 includes remeasurement gains on non</w:t>
        <w:noBreakHyphen/>
        <w:t>marketable equity investments of $13,958 (see Note 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21: Net Income Per Share Attributable to Bentley Systems Stockholders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compute the numerator of basic net income per share attributable to Bentley Systems stockholders, undistributed net income attributable to Bentley Systems allocated to participating securities (described further below) using the required two</w:t>
        <w:noBreakHyphen/>
        <w:t xml:space="preserve">class method, is subtracted from net income attributable to Bentley Systems. The denominator of basic net income per share attributable to Bentley Systems stockholders is the weighted average number of shares, inclusive of undistributed shares held in the DCP as phantom shares of the Company’s Class B common stock.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may issue performance-based RSUs that meet the definition of participating securities, as the holders are entitled to non-forfeitable dividend rights upon the declaration of dividends on the Company’s common stock. As of June 30, 2026, no participating securities were outstanding and as of June 30, 2025, 206,013 participating securities were outstanding.</w:t>
      </w:r>
    </w:p>
    <w:p>
      <w:pPr>
        <w:pStyle w:val="TextBody"/>
        <w:bidi w:val="0"/>
        <w:spacing w:lineRule="auto" w:line="288" w:before="0" w:after="200"/>
        <w:ind w:left="0" w:right="0" w:firstLine="360"/>
        <w:jc w:val="both"/>
        <w:rPr/>
      </w:pPr>
      <w:r>
        <w:rPr>
          <w:rFonts w:ascii="Times New Roman;serif" w:hAnsi="Times New Roman;serif"/>
          <w:b w:val="false"/>
          <w:color w:val="000000"/>
          <w:sz w:val="20"/>
        </w:rPr>
        <w:t>To compute the numerator of</w:t>
      </w:r>
      <w:r>
        <w:rPr>
          <w:color w:val="212529"/>
        </w:rPr>
        <w:t xml:space="preserve"> </w:t>
      </w:r>
      <w:r>
        <w:rPr>
          <w:rFonts w:ascii="Times New Roman;serif" w:hAnsi="Times New Roman;serif"/>
          <w:b w:val="false"/>
          <w:color w:val="212529"/>
          <w:sz w:val="20"/>
        </w:rPr>
        <w:t xml:space="preserve">diluted </w:t>
      </w:r>
      <w:r>
        <w:rPr>
          <w:rFonts w:ascii="Times New Roman;serif" w:hAnsi="Times New Roman;serif"/>
          <w:b w:val="false"/>
          <w:color w:val="000000"/>
          <w:sz w:val="20"/>
        </w:rPr>
        <w:t>net income per share attributable to Bentley Systems stockholders</w:t>
      </w:r>
      <w:r>
        <w:rPr>
          <w:rFonts w:ascii="Times New Roman;serif" w:hAnsi="Times New Roman;serif"/>
          <w:b w:val="false"/>
          <w:color w:val="212529"/>
          <w:sz w:val="20"/>
        </w:rPr>
        <w:t>, interest expense, net of tax, attributable to the assumed conversion of the</w:t>
      </w:r>
      <w:r>
        <w:rPr>
          <w:color w:val="000000"/>
        </w:rPr>
        <w:t xml:space="preserve"> </w:t>
      </w:r>
      <w:r>
        <w:rPr>
          <w:rFonts w:ascii="Times New Roman;serif" w:hAnsi="Times New Roman;serif"/>
          <w:b w:val="false"/>
          <w:color w:val="000000"/>
          <w:sz w:val="20"/>
        </w:rPr>
        <w:t>convertible senior notes using the if</w:t>
        <w:noBreakHyphen/>
        <w:t>converted method</w:t>
      </w:r>
      <w:r>
        <w:rPr>
          <w:color w:val="212529"/>
        </w:rPr>
        <w:t xml:space="preserve"> </w:t>
      </w:r>
      <w:r>
        <w:rPr>
          <w:rFonts w:ascii="Times New Roman;serif" w:hAnsi="Times New Roman;serif"/>
          <w:b w:val="false"/>
          <w:color w:val="212529"/>
          <w:sz w:val="20"/>
        </w:rPr>
        <w:t xml:space="preserve">is added back to basic net </w:t>
      </w:r>
      <w:r>
        <w:rPr>
          <w:rFonts w:ascii="Times New Roman;serif" w:hAnsi="Times New Roman;serif"/>
          <w:b w:val="false"/>
          <w:color w:val="000000"/>
          <w:sz w:val="20"/>
        </w:rPr>
        <w:t>income</w:t>
      </w:r>
      <w:r>
        <w:rPr>
          <w:color w:val="212529"/>
        </w:rPr>
        <w:t xml:space="preserve"> </w:t>
      </w:r>
      <w:r>
        <w:rPr>
          <w:rFonts w:ascii="Times New Roman;serif" w:hAnsi="Times New Roman;serif"/>
          <w:b w:val="false"/>
          <w:color w:val="212529"/>
          <w:sz w:val="20"/>
        </w:rPr>
        <w:t xml:space="preserve">attributable to </w:t>
      </w:r>
      <w:r>
        <w:rPr>
          <w:rFonts w:ascii="Times New Roman;serif" w:hAnsi="Times New Roman;serif"/>
          <w:b w:val="false"/>
          <w:color w:val="000000"/>
          <w:sz w:val="20"/>
        </w:rPr>
        <w:t>Bentley Systems</w:t>
      </w:r>
      <w:r>
        <w:rPr>
          <w:rFonts w:ascii="Times New Roman;serif" w:hAnsi="Times New Roman;serif"/>
          <w:b w:val="false"/>
          <w:color w:val="212529"/>
          <w:sz w:val="20"/>
        </w:rPr>
        <w:t xml:space="preserve">. </w:t>
      </w:r>
      <w:r>
        <w:rPr>
          <w:rFonts w:ascii="Times New Roman;serif" w:hAnsi="Times New Roman;serif"/>
          <w:b w:val="false"/>
          <w:color w:val="000000"/>
          <w:sz w:val="20"/>
        </w:rPr>
        <w:t>To compute the denominator of</w:t>
      </w:r>
      <w:r>
        <w:rPr>
          <w:color w:val="212529"/>
        </w:rPr>
        <w:t xml:space="preserve"> </w:t>
      </w:r>
      <w:r>
        <w:rPr>
          <w:rFonts w:ascii="Times New Roman;serif" w:hAnsi="Times New Roman;serif"/>
          <w:b w:val="false"/>
          <w:color w:val="212529"/>
          <w:sz w:val="20"/>
        </w:rPr>
        <w:t xml:space="preserve">diluted </w:t>
      </w:r>
      <w:r>
        <w:rPr>
          <w:rFonts w:ascii="Times New Roman;serif" w:hAnsi="Times New Roman;serif"/>
          <w:b w:val="false"/>
          <w:color w:val="000000"/>
          <w:sz w:val="20"/>
        </w:rPr>
        <w:t>net income per share attributable to Bentley Systems stockholders</w:t>
      </w:r>
      <w:r>
        <w:rPr>
          <w:rFonts w:ascii="Times New Roman;serif" w:hAnsi="Times New Roman;serif"/>
          <w:b w:val="false"/>
          <w:color w:val="212529"/>
          <w:sz w:val="20"/>
        </w:rPr>
        <w:t xml:space="preserve">, the basic weighted average number of shares is adjusted for the effect of dilutive securities, including awards under the Company’s equity compensation plans and ESPP using the treasury stock method, and for the dilutive </w:t>
      </w:r>
      <w:r>
        <w:rPr>
          <w:rFonts w:ascii="Times New Roman;serif" w:hAnsi="Times New Roman;serif"/>
          <w:b w:val="false"/>
          <w:color w:val="000000"/>
          <w:sz w:val="20"/>
        </w:rPr>
        <w:t>effect of the assumed conversion of the convertible senior notes using the if</w:t>
        <w:noBreakHyphen/>
        <w:t>converted method.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Except with respect to voting and conversion, the rights of the holders of the Company’s Class A and Class B common stock are identical. Each class of shares has the same rights to dividends and allocation of income (loss) and, therefore, net income per share attributable to Bentley Systems stockholders would not differ under the two</w:t>
        <w:noBreakHyphen/>
        <w:t>class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00"/>
        <w:jc w:val="both"/>
        <w:rPr/>
      </w:pPr>
      <w:hyperlink w:anchor="iea6d2020b0e14ed193dae4125f4f36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both"/>
        <w:rPr/>
      </w:pPr>
      <w:r>
        <w:rPr>
          <w:rFonts w:ascii="Times New Roman;serif" w:hAnsi="Times New Roman;serif"/>
          <w:b w:val="false"/>
          <w:color w:val="000000"/>
          <w:sz w:val="20"/>
        </w:rPr>
        <w:t>The details of basic and diluted net income per share attributable to Bentley Systems stockholders are as follows</w:t>
      </w:r>
      <w:r>
        <w:rPr>
          <w:rFonts w:ascii="Times New Roman;serif" w:hAnsi="Times New Roman;serif"/>
          <w:b w:val="false"/>
          <w:color w:val="212529"/>
          <w:sz w:val="20"/>
        </w:rPr>
        <w:t>:</w:t>
      </w:r>
    </w:p>
    <w:tbl>
      <w:tblPr>
        <w:tblW w:w="10205" w:type="dxa"/>
        <w:jc w:val="center"/>
        <w:tblInd w:w="0" w:type="dxa"/>
        <w:tblLayout w:type="fixed"/>
        <w:tblCellMar>
          <w:top w:w="28" w:type="dxa"/>
          <w:left w:w="28" w:type="dxa"/>
          <w:bottom w:w="28" w:type="dxa"/>
          <w:right w:w="28" w:type="dxa"/>
        </w:tblCellMar>
      </w:tblPr>
      <w:tblGrid>
        <w:gridCol w:w="1374"/>
        <w:gridCol w:w="1144"/>
        <w:gridCol w:w="1153"/>
        <w:gridCol w:w="109"/>
        <w:gridCol w:w="109"/>
        <w:gridCol w:w="109"/>
        <w:gridCol w:w="268"/>
        <w:gridCol w:w="918"/>
        <w:gridCol w:w="109"/>
        <w:gridCol w:w="109"/>
        <w:gridCol w:w="109"/>
        <w:gridCol w:w="109"/>
        <w:gridCol w:w="268"/>
        <w:gridCol w:w="918"/>
        <w:gridCol w:w="109"/>
        <w:gridCol w:w="109"/>
        <w:gridCol w:w="109"/>
        <w:gridCol w:w="109"/>
        <w:gridCol w:w="241"/>
        <w:gridCol w:w="945"/>
        <w:gridCol w:w="109"/>
        <w:gridCol w:w="109"/>
        <w:gridCol w:w="109"/>
        <w:gridCol w:w="109"/>
        <w:gridCol w:w="241"/>
        <w:gridCol w:w="945"/>
        <w:gridCol w:w="155"/>
      </w:tblGrid>
      <w:tr>
        <w:trPr/>
        <w:tc>
          <w:tcPr>
            <w:tcW w:w="137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3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Bentley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161,850 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Bentley Systems allocated to participating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attributable to Bentley Systems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161,821 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Interest expense, net of tax, attributable to assumed conversion of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attributable to Bentley Systems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165,104 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311,784,740 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314,622,491 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312,227,764 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314,894,050 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638,912 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84,019 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assumed conversion of convertible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6,908,797 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17,477,861 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7,789,552 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17,533,301 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318,957,692 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332,824,020 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320,435,795 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333,150,282 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attributable to Bentley Systems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RSUs of 3,518,084 and 314,348 for the three months ended June 30, 2026 and 2025, respectively, and 2,133,053 and 277,635 for the six months ended June 30, 2026 and 2025, respectively, were excluded from the calculation of diluted net income per share attributable to Bentley Systems stockholders because their effect would have been anti</w:t>
        <w:noBreakHyphen/>
        <w:t>dilutive.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repaid the 2026 Notes at maturity on January 15, 2026, and no shares of the Company’s Class B common stock were issued upon settlement. Following the repayment, the 2026 Notes no longer represent potential common shares and were excluded from the dilutive effect of assumed conversion for periods after that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00"/>
        <w:jc w:val="both"/>
        <w:rPr/>
      </w:pPr>
      <w:hyperlink w:anchor="iea6d2020b0e14ed193dae4125f4f36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20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should be read in conjunction with our unaudited consolidated financial statements and notes thereto appearing in Part I, Item 1 of this Quarterly Report on Form 10</w:t>
        <w:noBreakHyphen/>
        <w:t>Q and with our audited consolidated financial statements and notes thereto included in our 2025 Annual Report on Form 10</w:t>
        <w:noBreakHyphen/>
        <w:t>K.</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amounts presented in this Management’s Discussion and Analysis of Financial Condition and Results of Operations, except share and per share amounts, are presented in thousands. Additionally, many of the amounts and percentages have been rounded for convenience of presentation. Minor differences in totals and percentage calculations may exist due to rounding.</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Bentley Systems is the infrastructure engineering software company. Our purpose is to advance the world’s infrastructure for better quality of life. Our mission is to reshape how infrastructure systems and critical resources are delivered and optimized. We manage our business globally within one reportable segment, the development and marketing of computer software and related services, which is consistent with how our CODM reviews and manages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lineRule="auto" w:line="288" w:before="0" w:after="200"/>
        <w:ind w:left="0" w:right="0" w:hanging="270"/>
        <w:jc w:val="both"/>
        <w:rPr/>
      </w:pPr>
      <w:r>
        <w:rPr>
          <w:color w:val="000000"/>
        </w:rPr>
        <w:t>•</w:t>
      </w:r>
      <w:r>
        <w:rPr>
          <w:rFonts w:ascii="Times New Roman;serif" w:hAnsi="Times New Roman;serif"/>
          <w:b w:val="false"/>
          <w:color w:val="000000"/>
          <w:sz w:val="20"/>
        </w:rPr>
        <w:t>Total revenues were $410,727 for the three months ended June 30, 2026, up 12.8% or 12.2% on a constant currency basis</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compared to the three months ended June 30, 2025. Total revenues were $834,908 for the six months ended June 30, 2026, up 13.6% or 12.1% on a constant currency basis</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compared to the six months ended June 30, 2025;</w:t>
      </w:r>
    </w:p>
    <w:p>
      <w:pPr>
        <w:pStyle w:val="TextBody"/>
        <w:bidi w:val="0"/>
        <w:spacing w:lineRule="auto" w:line="288" w:before="0" w:after="200"/>
        <w:ind w:left="0" w:right="0" w:hanging="270"/>
        <w:jc w:val="both"/>
        <w:rPr/>
      </w:pPr>
      <w:r>
        <w:rPr>
          <w:color w:val="000000"/>
        </w:rPr>
        <w:t>•</w:t>
      </w:r>
      <w:r>
        <w:rPr>
          <w:rFonts w:ascii="Times New Roman;serif" w:hAnsi="Times New Roman;serif"/>
          <w:b w:val="false"/>
          <w:color w:val="000000"/>
          <w:sz w:val="20"/>
        </w:rPr>
        <w:t>Subscriptions revenues were $378,635 for the three months ended June 30, 2026, up 13.6% or 13.0% on a constant currency basis</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compared to the three months ended June 30, 2025. Subscriptions revenues were $771,119 for the six months ended June 30, 2026, up 14.1% or 12.6% on a constant currency basis</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compared to the six months ended June 30, 2025;</w:t>
      </w:r>
    </w:p>
    <w:p>
      <w:pPr>
        <w:pStyle w:val="TextBody"/>
        <w:bidi w:val="0"/>
        <w:spacing w:lineRule="auto" w:line="288" w:before="0" w:after="200"/>
        <w:ind w:left="0" w:right="0" w:hanging="270"/>
        <w:jc w:val="both"/>
        <w:rPr/>
      </w:pPr>
      <w:r>
        <w:rPr>
          <w:color w:val="000000"/>
        </w:rPr>
        <w:t>•</w:t>
      </w:r>
      <w:r>
        <w:rPr>
          <w:rFonts w:ascii="Times New Roman;serif" w:hAnsi="Times New Roman;serif"/>
          <w:b w:val="false"/>
          <w:color w:val="000000"/>
          <w:sz w:val="20"/>
        </w:rPr>
        <w:t>Annualized recurring revenues (“ARR”)</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was $1,535,988 as of June 30, 2026, compared to $1,379,161 as of June 30, 2025. Constant currency</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ARR growth rate</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was 12%;</w:t>
      </w:r>
    </w:p>
    <w:p>
      <w:pPr>
        <w:pStyle w:val="TextBody"/>
        <w:bidi w:val="0"/>
        <w:spacing w:lineRule="auto" w:line="288" w:before="0" w:after="200"/>
        <w:ind w:left="0" w:right="0" w:hanging="270"/>
        <w:jc w:val="both"/>
        <w:rPr/>
      </w:pPr>
      <w:r>
        <w:rPr>
          <w:color w:val="000000"/>
        </w:rPr>
        <w:t>•</w:t>
      </w:r>
      <w:r>
        <w:rPr>
          <w:rFonts w:ascii="Times New Roman;serif" w:hAnsi="Times New Roman;serif"/>
          <w:b w:val="false"/>
          <w:color w:val="000000"/>
          <w:sz w:val="20"/>
        </w:rPr>
        <w:t>Last twelve-month recurring revenues dollar-based net retention rate</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was 109% as of June 30, 2026, consistent with the same period in the prior year;</w:t>
      </w:r>
    </w:p>
    <w:p>
      <w:pPr>
        <w:pStyle w:val="TextBody"/>
        <w:bidi w:val="0"/>
        <w:spacing w:lineRule="auto" w:line="288" w:before="0" w:after="200"/>
        <w:ind w:left="0" w:right="0" w:hanging="270"/>
        <w:jc w:val="both"/>
        <w:rPr/>
      </w:pPr>
      <w:r>
        <w:rPr>
          <w:color w:val="000000"/>
        </w:rPr>
        <w:t>•</w:t>
      </w:r>
      <w:r>
        <w:rPr>
          <w:rFonts w:ascii="Times New Roman;serif" w:hAnsi="Times New Roman;serif"/>
          <w:b w:val="false"/>
          <w:color w:val="000000"/>
          <w:sz w:val="20"/>
        </w:rPr>
        <w:t>Operating income was $88,608 for the three months ended June 30, 2026, compared to $84,430 for the three months ended June 30, 2025. Operating income was $214,868 for the six months ended June 30, 2026, compared to $199,614 for the six months ended June 30, 2025;</w:t>
      </w:r>
    </w:p>
    <w:p>
      <w:pPr>
        <w:pStyle w:val="TextBody"/>
        <w:bidi w:val="0"/>
        <w:spacing w:lineRule="auto" w:line="288" w:before="0" w:after="200"/>
        <w:ind w:left="0" w:right="0" w:hanging="270"/>
        <w:jc w:val="both"/>
        <w:rPr/>
      </w:pPr>
      <w:r>
        <w:rPr>
          <w:color w:val="000000"/>
        </w:rPr>
        <w:t>•</w:t>
      </w:r>
      <w:r>
        <w:rPr>
          <w:rFonts w:ascii="Times New Roman;serif" w:hAnsi="Times New Roman;serif"/>
          <w:b w:val="false"/>
          <w:color w:val="000000"/>
          <w:sz w:val="20"/>
        </w:rPr>
        <w:t>AOI less Operating SBC</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was $116,036 for the three months ended June 30, 2026, compared to $106,769 for the three months ended June 30, 2025. AOI less Operating SBC</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was $256,959 for the six months ended June 30, 2026, compared to $235,077 for the six months ended June 30, 2025; and</w:t>
      </w:r>
    </w:p>
    <w:p>
      <w:pPr>
        <w:pStyle w:val="TextBody"/>
        <w:bidi w:val="0"/>
        <w:spacing w:lineRule="auto" w:line="288" w:before="0" w:after="120"/>
        <w:ind w:left="0" w:right="0" w:hanging="270"/>
        <w:jc w:val="both"/>
        <w:rPr/>
      </w:pPr>
      <w:r>
        <w:rPr>
          <w:color w:val="000000"/>
        </w:rPr>
        <w:t>•</w:t>
      </w:r>
      <w:r>
        <w:rPr>
          <w:rFonts w:ascii="Times New Roman;serif" w:hAnsi="Times New Roman;serif"/>
          <w:b w:val="false"/>
          <w:color w:val="000000"/>
          <w:sz w:val="20"/>
        </w:rPr>
        <w:t>Cash flows from operating activities were $264,921 for the six months ended June 30, 2026, compared to $280,500 for the six months ended June 30,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(1)Constant currency and AOI less Operating SBC are non</w:t>
        <w:noBreakHyphen/>
        <w:t>GAAP financial measures. Refer to the “Non</w:t>
        <w:noBreakHyphen/>
        <w:t>GAAP Financial Measures” section for additional information, including our definitions and our uses of constant currency and AOI less Operating SBC.</w:t>
      </w:r>
    </w:p>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(2)Refer to the “Key Business Metrics” section for additional information, including our definitions and our uses of ARR, ARR growth rate, and recurring revenues dollar-based net retention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00"/>
        <w:jc w:val="both"/>
        <w:rPr/>
      </w:pPr>
      <w:hyperlink w:anchor="iea6d2020b0e14ed193dae4125f4f36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results of operations have been, and in the future will be, affected by changes in foreign currency exchange rates. Other than the natural hedge attributable to matching revenues and expenses in the same currencies, we do not currently hedge foreign currency exposure.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identify the effects of foreign currency on our operations and present constant currency growth rates and fluctuations because we believe exchange rates are an important factor in understanding period</w:t>
        <w:noBreakHyphen/>
        <w:t>over</w:t>
        <w:noBreakHyphen/>
        <w:t>period comparisons and enhance the understanding of our results and evaluation of our performance. Refer to the “Non</w:t>
        <w:noBreakHyphen/>
        <w:t>GAAP Financial Measures” section for additional information, including our definition and our use of constant currency.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Consolidated Revenues</w:t>
      </w:r>
    </w:p>
    <w:tbl>
      <w:tblPr>
        <w:tblW w:w="10541" w:type="dxa"/>
        <w:jc w:val="center"/>
        <w:tblInd w:w="0" w:type="dxa"/>
        <w:tblLayout w:type="fixed"/>
        <w:tblCellMar>
          <w:top w:w="28" w:type="dxa"/>
          <w:left w:w="28" w:type="dxa"/>
          <w:bottom w:w="28" w:type="dxa"/>
          <w:right w:w="28" w:type="dxa"/>
        </w:tblCellMar>
      </w:tblPr>
      <w:tblGrid>
        <w:gridCol w:w="381"/>
        <w:gridCol w:w="334"/>
        <w:gridCol w:w="336"/>
        <w:gridCol w:w="196"/>
        <w:gridCol w:w="736"/>
        <w:gridCol w:w="109"/>
        <w:gridCol w:w="109"/>
        <w:gridCol w:w="109"/>
        <w:gridCol w:w="109"/>
        <w:gridCol w:w="196"/>
        <w:gridCol w:w="736"/>
        <w:gridCol w:w="109"/>
        <w:gridCol w:w="109"/>
        <w:gridCol w:w="109"/>
        <w:gridCol w:w="109"/>
        <w:gridCol w:w="210"/>
        <w:gridCol w:w="211"/>
        <w:gridCol w:w="241"/>
        <w:gridCol w:w="109"/>
        <w:gridCol w:w="109"/>
        <w:gridCol w:w="109"/>
        <w:gridCol w:w="210"/>
        <w:gridCol w:w="211"/>
        <w:gridCol w:w="349"/>
        <w:gridCol w:w="109"/>
        <w:gridCol w:w="109"/>
        <w:gridCol w:w="109"/>
        <w:gridCol w:w="196"/>
        <w:gridCol w:w="736"/>
        <w:gridCol w:w="109"/>
        <w:gridCol w:w="109"/>
        <w:gridCol w:w="109"/>
        <w:gridCol w:w="109"/>
        <w:gridCol w:w="196"/>
        <w:gridCol w:w="736"/>
        <w:gridCol w:w="109"/>
        <w:gridCol w:w="109"/>
        <w:gridCol w:w="109"/>
        <w:gridCol w:w="109"/>
        <w:gridCol w:w="239"/>
        <w:gridCol w:w="242"/>
        <w:gridCol w:w="241"/>
        <w:gridCol w:w="109"/>
        <w:gridCol w:w="109"/>
        <w:gridCol w:w="109"/>
        <w:gridCol w:w="239"/>
        <w:gridCol w:w="242"/>
        <w:gridCol w:w="402"/>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Change</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Constant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Constant</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Currency</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4"/>
              </w:rPr>
              <w:t>%</w:t>
            </w:r>
            <w:r>
              <w:rPr>
                <w:rFonts w:ascii="Times New Roman;serif" w:hAnsi="Times New Roman;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4"/>
              </w:rPr>
              <w:t>%</w:t>
            </w:r>
            <w:r>
              <w:rPr>
                <w:rFonts w:ascii="Times New Roman;serif" w:hAnsi="Times New Roman;serif"/>
                <w:b/>
                <w:color w:val="000000"/>
                <w:sz w:val="9"/>
              </w:rPr>
              <w:t>(1)</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Subscriptions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Perpetual licenses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Subscriptions and licenses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410,727 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364,106 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834,908 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734,648 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(1)Constant currency is a non-GAAP financial measure. Refer to the “Non-GAAP Financial Measures” section for additional information, including our definition and our use of constant currency, and for a reconciliation of constant currency growth rates.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total revenues for the three and six months ended June 30, 2026 was primarily driven by an increase in subscriptions revenues, and to a lesser extent, an increase in services revenues, partially offset by a decrease in perpetual licenses revenues. Our business performance includes the impact from programmatic acquisitions, which generally are immaterial, individually and in the aggregate.</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Subscriptions</w:t>
      </w:r>
      <w:r>
        <w:rPr>
          <w:rFonts w:ascii="Times New Roman;serif" w:hAnsi="Times New Roman;serif"/>
          <w:b w:val="false"/>
          <w:color w:val="000000"/>
          <w:sz w:val="20"/>
        </w:rPr>
        <w:t xml:space="preserve">. For the three and six months ended June 30, 2026, subscriptions revenues increased $45,183 ($43,382 on a constant currency basis) and $95,349 ($85,116 on a constant currency basis), respectively, primarily driven by expansion from accounts with revenues in the same period in the prior year (“existing accounts”), and growth of 3% attributable to new accounts, most notably small- and medium-sized accounts. Increases in subscriptions revenues for the three and six months ended June 30, 2026 were led by </w:t>
      </w:r>
      <w:r>
        <w:rPr>
          <w:rFonts w:ascii="Times New Roman;serif" w:hAnsi="Times New Roman;serif"/>
          <w:b w:val="false"/>
          <w:i/>
          <w:color w:val="000000"/>
          <w:sz w:val="20"/>
        </w:rPr>
        <w:t>Bentley Open Applications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Seequent</w:t>
      </w:r>
      <w:r>
        <w:rPr>
          <w:color w:val="000000"/>
        </w:rPr>
        <w:t xml:space="preserve"> </w:t>
      </w:r>
      <w:r>
        <w:rPr>
          <w:rFonts w:ascii="Times New Roman;serif" w:hAnsi="Times New Roman;serif"/>
          <w:b w:val="false"/>
          <w:color w:val="000000"/>
          <w:sz w:val="20"/>
        </w:rPr>
        <w:t xml:space="preserve">applications, and to a lesser extent, </w:t>
      </w:r>
      <w:r>
        <w:rPr>
          <w:rFonts w:ascii="Times New Roman;serif" w:hAnsi="Times New Roman;serif"/>
          <w:b w:val="false"/>
          <w:i/>
          <w:color w:val="000000"/>
          <w:sz w:val="20"/>
        </w:rPr>
        <w:t>Bentley Infrastructure Cloud</w:t>
      </w:r>
      <w:r>
        <w:rPr>
          <w:rFonts w:ascii="Times New Roman;serif" w:hAnsi="Times New Roman;serif"/>
          <w:b w:val="false"/>
          <w:color w:val="000000"/>
          <w:sz w:val="20"/>
        </w:rPr>
        <w:t>.</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Perpetual licenses</w:t>
      </w:r>
      <w:r>
        <w:rPr>
          <w:rFonts w:ascii="Times New Roman;serif" w:hAnsi="Times New Roman;serif"/>
          <w:b w:val="false"/>
          <w:color w:val="000000"/>
          <w:sz w:val="20"/>
        </w:rPr>
        <w:t>. For the three and six months ended June 30, 2026, perpetual licenses revenues decreased $486 ($610 on a constant currency basis) and $2,221 ($2,556 on a constant currency basis), respectively.</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Services.</w:t>
      </w:r>
      <w:r>
        <w:rPr>
          <w:color w:val="000000"/>
        </w:rPr>
        <w:t xml:space="preserve"> </w:t>
      </w:r>
      <w:r>
        <w:rPr>
          <w:rFonts w:ascii="Times New Roman;serif" w:hAnsi="Times New Roman;serif"/>
          <w:b w:val="false"/>
          <w:color w:val="000000"/>
          <w:sz w:val="20"/>
        </w:rPr>
        <w:t>For the three and six months ended June 30, 2026, services revenues increased $1,924 ($1,771 on a constant currency basis) and $7,132 ($6,267 on a constant currency basis), respectively, primarily due to strength in Maximo</w:t>
        <w:noBreakHyphen/>
        <w:t>related work within our digital integrator.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200"/>
        <w:jc w:val="both"/>
        <w:rPr/>
      </w:pPr>
      <w:hyperlink w:anchor="iea6d2020b0e14ed193dae4125f4f36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Revenues by Geographic Region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from external customers is attributed to individual countries based upon the location of the customer.</w:t>
      </w:r>
    </w:p>
    <w:tbl>
      <w:tblPr>
        <w:tblW w:w="10205" w:type="dxa"/>
        <w:jc w:val="center"/>
        <w:tblInd w:w="0" w:type="dxa"/>
        <w:tblLayout w:type="fixed"/>
        <w:tblCellMar>
          <w:top w:w="28" w:type="dxa"/>
          <w:left w:w="28" w:type="dxa"/>
          <w:bottom w:w="28" w:type="dxa"/>
          <w:right w:w="28" w:type="dxa"/>
        </w:tblCellMar>
      </w:tblPr>
      <w:tblGrid>
        <w:gridCol w:w="301"/>
        <w:gridCol w:w="266"/>
        <w:gridCol w:w="267"/>
        <w:gridCol w:w="196"/>
        <w:gridCol w:w="736"/>
        <w:gridCol w:w="109"/>
        <w:gridCol w:w="109"/>
        <w:gridCol w:w="109"/>
        <w:gridCol w:w="109"/>
        <w:gridCol w:w="196"/>
        <w:gridCol w:w="736"/>
        <w:gridCol w:w="109"/>
        <w:gridCol w:w="109"/>
        <w:gridCol w:w="109"/>
        <w:gridCol w:w="109"/>
        <w:gridCol w:w="210"/>
        <w:gridCol w:w="211"/>
        <w:gridCol w:w="241"/>
        <w:gridCol w:w="109"/>
        <w:gridCol w:w="109"/>
        <w:gridCol w:w="109"/>
        <w:gridCol w:w="210"/>
        <w:gridCol w:w="211"/>
        <w:gridCol w:w="349"/>
        <w:gridCol w:w="109"/>
        <w:gridCol w:w="109"/>
        <w:gridCol w:w="109"/>
        <w:gridCol w:w="196"/>
        <w:gridCol w:w="736"/>
        <w:gridCol w:w="109"/>
        <w:gridCol w:w="109"/>
        <w:gridCol w:w="109"/>
        <w:gridCol w:w="109"/>
        <w:gridCol w:w="196"/>
        <w:gridCol w:w="736"/>
        <w:gridCol w:w="109"/>
        <w:gridCol w:w="109"/>
        <w:gridCol w:w="109"/>
        <w:gridCol w:w="109"/>
        <w:gridCol w:w="210"/>
        <w:gridCol w:w="211"/>
        <w:gridCol w:w="241"/>
        <w:gridCol w:w="109"/>
        <w:gridCol w:w="109"/>
        <w:gridCol w:w="109"/>
        <w:gridCol w:w="210"/>
        <w:gridCol w:w="211"/>
        <w:gridCol w:w="403"/>
      </w:tblGrid>
      <w:tr>
        <w:trPr/>
        <w:tc>
          <w:tcPr>
            <w:tcW w:w="30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Change</w:t>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Constant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Constant</w:t>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Currency</w:t>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4"/>
              </w:rPr>
              <w:t>%</w:t>
            </w:r>
            <w:r>
              <w:rPr>
                <w:rFonts w:ascii="Times New Roman;serif" w:hAnsi="Times New Roman;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4"/>
              </w:rPr>
              <w:t>%</w:t>
            </w:r>
            <w:r>
              <w:rPr>
                <w:rFonts w:ascii="Times New Roman;serif" w:hAnsi="Times New Roman;serif"/>
                <w:b/>
                <w:color w:val="000000"/>
                <w:sz w:val="9"/>
              </w:rPr>
              <w:t>(1)</w:t>
            </w:r>
          </w:p>
        </w:tc>
      </w:tr>
      <w:tr>
        <w:trPr/>
        <w:tc>
          <w:tcPr>
            <w:tcW w:w="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Americas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w:t>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APAC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w:t>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410,727 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364,106 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834,908 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734,648 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w:t>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(1)Constant currency is a non-GAAP financial measure. Refer to the “Non-GAAP Financial Measures” section for additional information, including our definition and our use of constant currency, and for a reconciliation of constant currency growth rates.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Americas.</w:t>
      </w:r>
      <w:r>
        <w:rPr>
          <w:color w:val="000000"/>
        </w:rPr>
        <w:t xml:space="preserve"> </w:t>
      </w:r>
      <w:r>
        <w:rPr>
          <w:rFonts w:ascii="Times New Roman;serif" w:hAnsi="Times New Roman;serif"/>
          <w:b w:val="false"/>
          <w:color w:val="000000"/>
          <w:sz w:val="20"/>
        </w:rPr>
        <w:t>For the three and six months ended June 30, 2026, revenues from the Americas increased $25,308 ($24,414 on a constant currency basis) and $51,967 ($49,737 on a constant currency basis), respectively, primarily due to expansion of our subscriptions revenues from existing accounts in the U.S. and Canada, as well as increases in our subscription revenues from new accounts.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EMEA</w:t>
      </w:r>
      <w:r>
        <w:rPr>
          <w:rFonts w:ascii="Times New Roman;serif" w:hAnsi="Times New Roman;serif"/>
          <w:b w:val="false"/>
          <w:color w:val="000000"/>
          <w:sz w:val="20"/>
        </w:rPr>
        <w:t>. For the three and six months ended June 30, 2026, revenues from EMEA increased $17,368 ($15,940 on a constant currency basis) and $36,604 ($28,727 on a constant currency basis), respectively, primarily due to expansion of our subscriptions revenues from existing accounts in the United Kingdom, the Middle East, and Africa, as well as increases in our subscriptions revenues from new accounts, and to a lesser extent, an increase in services revenues.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APAC.</w:t>
      </w:r>
      <w:r>
        <w:rPr>
          <w:color w:val="000000"/>
        </w:rPr>
        <w:t xml:space="preserve"> </w:t>
      </w:r>
      <w:r>
        <w:rPr>
          <w:rFonts w:ascii="Times New Roman;serif" w:hAnsi="Times New Roman;serif"/>
          <w:b w:val="false"/>
          <w:color w:val="000000"/>
          <w:sz w:val="20"/>
        </w:rPr>
        <w:t>For the three and six months ended June 30, 2026, revenues from APAC increased $3,945 ($4,189 on a constant currency basis) and $11,689 ($10,363 on a constant currency basis), respectively, primarily due to expansion of our subscriptions revenues from existing accounts in India and Australia, as well as increases in our subscriptions revenues from new accounts, partially offset by a decline in perpetual licenses and services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Cost of Revenues and Operating Expenses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Cost of Revenues</w:t>
      </w:r>
    </w:p>
    <w:tbl>
      <w:tblPr>
        <w:tblW w:w="10211" w:type="dxa"/>
        <w:jc w:val="center"/>
        <w:tblInd w:w="0" w:type="dxa"/>
        <w:tblLayout w:type="fixed"/>
        <w:tblCellMar>
          <w:top w:w="28" w:type="dxa"/>
          <w:left w:w="28" w:type="dxa"/>
          <w:bottom w:w="28" w:type="dxa"/>
          <w:right w:w="28" w:type="dxa"/>
        </w:tblCellMar>
      </w:tblPr>
      <w:tblGrid>
        <w:gridCol w:w="370"/>
        <w:gridCol w:w="325"/>
        <w:gridCol w:w="326"/>
        <w:gridCol w:w="196"/>
        <w:gridCol w:w="646"/>
        <w:gridCol w:w="109"/>
        <w:gridCol w:w="109"/>
        <w:gridCol w:w="109"/>
        <w:gridCol w:w="109"/>
        <w:gridCol w:w="196"/>
        <w:gridCol w:w="646"/>
        <w:gridCol w:w="109"/>
        <w:gridCol w:w="109"/>
        <w:gridCol w:w="109"/>
        <w:gridCol w:w="109"/>
        <w:gridCol w:w="210"/>
        <w:gridCol w:w="211"/>
        <w:gridCol w:w="241"/>
        <w:gridCol w:w="109"/>
        <w:gridCol w:w="109"/>
        <w:gridCol w:w="109"/>
        <w:gridCol w:w="210"/>
        <w:gridCol w:w="211"/>
        <w:gridCol w:w="349"/>
        <w:gridCol w:w="109"/>
        <w:gridCol w:w="109"/>
        <w:gridCol w:w="109"/>
        <w:gridCol w:w="196"/>
        <w:gridCol w:w="736"/>
        <w:gridCol w:w="109"/>
        <w:gridCol w:w="109"/>
        <w:gridCol w:w="109"/>
        <w:gridCol w:w="109"/>
        <w:gridCol w:w="196"/>
        <w:gridCol w:w="736"/>
        <w:gridCol w:w="109"/>
        <w:gridCol w:w="109"/>
        <w:gridCol w:w="109"/>
        <w:gridCol w:w="109"/>
        <w:gridCol w:w="210"/>
        <w:gridCol w:w="211"/>
        <w:gridCol w:w="241"/>
        <w:gridCol w:w="109"/>
        <w:gridCol w:w="109"/>
        <w:gridCol w:w="109"/>
        <w:gridCol w:w="210"/>
        <w:gridCol w:w="211"/>
        <w:gridCol w:w="402"/>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Change</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Constant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Constant</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Currency</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4"/>
              </w:rPr>
              <w:t>%</w:t>
            </w:r>
            <w:r>
              <w:rPr>
                <w:rFonts w:ascii="Times New Roman;serif" w:hAnsi="Times New Roman;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r>
              <w:rPr>
                <w:color w:val="000000"/>
              </w:rPr>
              <w:t>   </w:t>
            </w:r>
            <w:r>
              <w:rPr>
                <w:rFonts w:ascii="Times New Roman;serif" w:hAnsi="Times New Roman;serif"/>
                <w:b/>
                <w:color w:val="000000"/>
                <w:sz w:val="14"/>
              </w:rPr>
              <w:t>%</w:t>
            </w:r>
            <w:r>
              <w:rPr>
                <w:rFonts w:ascii="Times New Roman;serif" w:hAnsi="Times New Roman;serif"/>
                <w:b/>
                <w:color w:val="000000"/>
                <w:sz w:val="9"/>
              </w:rPr>
              <w:t>(1)</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subscriptions and licenses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services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cost of revenues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147,761 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134,435 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(1)Constant currency is a non-GAAP financial measure. Refer to the “Non-GAAP Financial Measures” section for additional information, including our definition and our use of constant currency, and for a reconciliation of constant currency growth rates.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 xml:space="preserve">Cost of subscriptions and licenses. </w:t>
      </w:r>
      <w:r>
        <w:rPr>
          <w:rFonts w:ascii="Times New Roman;serif" w:hAnsi="Times New Roman;serif"/>
          <w:b w:val="false"/>
          <w:color w:val="000000"/>
          <w:sz w:val="20"/>
        </w:rPr>
        <w:t>For the three and six months ended June 30, 2026, on a constant currency basis, cost of subscriptions and licenses expenses increased primarily due to an increase in cloud-related costs of $4,206 and $9,889, respectively.</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 xml:space="preserve">Cost of services. </w:t>
      </w:r>
      <w:r>
        <w:rPr>
          <w:rFonts w:ascii="Times New Roman;serif" w:hAnsi="Times New Roman;serif"/>
          <w:b w:val="false"/>
          <w:color w:val="000000"/>
          <w:sz w:val="20"/>
        </w:rPr>
        <w:t>For the three and six months ended June 30, 2026, on a constant currency basis, cost of services expenses decreased primarily due to a decrease in headcount</w:t>
        <w:noBreakHyphen/>
        <w:t>related costs of $1,283 and $615, respectively, mainly due to decreases in headcount, and annual and other compensation costs, partially offset by an increase in third</w:t>
        <w:noBreakHyphen/>
        <w:t>party personnel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00"/>
        <w:jc w:val="both"/>
        <w:rPr/>
      </w:pPr>
      <w:hyperlink w:anchor="iea6d2020b0e14ed193dae4125f4f36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Operating Expenses</w:t>
      </w:r>
    </w:p>
    <w:tbl>
      <w:tblPr>
        <w:tblW w:w="10466" w:type="dxa"/>
        <w:jc w:val="center"/>
        <w:tblInd w:w="0" w:type="dxa"/>
        <w:tblLayout w:type="fixed"/>
        <w:tblCellMar>
          <w:top w:w="28" w:type="dxa"/>
          <w:left w:w="28" w:type="dxa"/>
          <w:bottom w:w="28" w:type="dxa"/>
          <w:right w:w="28" w:type="dxa"/>
        </w:tblCellMar>
      </w:tblPr>
      <w:tblGrid>
        <w:gridCol w:w="445"/>
        <w:gridCol w:w="325"/>
        <w:gridCol w:w="326"/>
        <w:gridCol w:w="196"/>
        <w:gridCol w:w="736"/>
        <w:gridCol w:w="109"/>
        <w:gridCol w:w="109"/>
        <w:gridCol w:w="109"/>
        <w:gridCol w:w="109"/>
        <w:gridCol w:w="196"/>
        <w:gridCol w:w="736"/>
        <w:gridCol w:w="109"/>
        <w:gridCol w:w="109"/>
        <w:gridCol w:w="109"/>
        <w:gridCol w:w="109"/>
        <w:gridCol w:w="209"/>
        <w:gridCol w:w="212"/>
        <w:gridCol w:w="241"/>
        <w:gridCol w:w="109"/>
        <w:gridCol w:w="109"/>
        <w:gridCol w:w="109"/>
        <w:gridCol w:w="209"/>
        <w:gridCol w:w="212"/>
        <w:gridCol w:w="349"/>
        <w:gridCol w:w="109"/>
        <w:gridCol w:w="109"/>
        <w:gridCol w:w="109"/>
        <w:gridCol w:w="196"/>
        <w:gridCol w:w="736"/>
        <w:gridCol w:w="109"/>
        <w:gridCol w:w="109"/>
        <w:gridCol w:w="109"/>
        <w:gridCol w:w="109"/>
        <w:gridCol w:w="196"/>
        <w:gridCol w:w="736"/>
        <w:gridCol w:w="109"/>
        <w:gridCol w:w="109"/>
        <w:gridCol w:w="109"/>
        <w:gridCol w:w="109"/>
        <w:gridCol w:w="210"/>
        <w:gridCol w:w="211"/>
        <w:gridCol w:w="241"/>
        <w:gridCol w:w="109"/>
        <w:gridCol w:w="109"/>
        <w:gridCol w:w="109"/>
        <w:gridCol w:w="209"/>
        <w:gridCol w:w="212"/>
        <w:gridCol w:w="402"/>
      </w:tblGrid>
      <w:tr>
        <w:trPr/>
        <w:tc>
          <w:tcPr>
            <w:tcW w:w="44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Change</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Constant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Constant</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Currency</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4"/>
              </w:rPr>
              <w:t>%</w:t>
            </w:r>
            <w:r>
              <w:rPr>
                <w:rFonts w:ascii="Times New Roman;serif" w:hAnsi="Times New Roman;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4"/>
              </w:rPr>
              <w:t>%</w:t>
            </w:r>
            <w:r>
              <w:rPr>
                <w:rFonts w:ascii="Times New Roman;serif" w:hAnsi="Times New Roman;serif"/>
                <w:b/>
                <w:color w:val="000000"/>
                <w:sz w:val="9"/>
              </w:rPr>
              <w:t>(1)</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compensation plan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purchased intangibles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248,132 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210,900 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472,279 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400,599 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(1)Constant currency is a non-GAAP financial measure. Refer to the “Non-GAAP Financial Measures” section for additional information, including our definition and our use of constant currency, and for a reconciliation of constant currency growth rates.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 xml:space="preserve">Research and development. </w:t>
      </w:r>
      <w:r>
        <w:rPr>
          <w:rFonts w:ascii="Times New Roman;serif" w:hAnsi="Times New Roman;serif"/>
          <w:b w:val="false"/>
          <w:color w:val="000000"/>
          <w:sz w:val="20"/>
        </w:rPr>
        <w:t>For the three and six months ended June 30, 2026, on a constant currency basis, research and development expenses increased primarily due to an increase in headcount</w:t>
        <w:noBreakHyphen/>
        <w:t>related costs of $5,297 and $11,733, respectively, mainly due to increases in annual and other compensation costs.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 xml:space="preserve">Selling and marketing. </w:t>
      </w:r>
      <w:r>
        <w:rPr>
          <w:rFonts w:ascii="Times New Roman;serif" w:hAnsi="Times New Roman;serif"/>
          <w:b w:val="false"/>
          <w:color w:val="000000"/>
          <w:sz w:val="20"/>
        </w:rPr>
        <w:t>For the three and six months ended June 30, 2026, on a constant currency basis, selling and marketing expenses increased primarily due to an increase in headcount</w:t>
        <w:noBreakHyphen/>
        <w:t>related costs of $7,181 and $13,365, respectively, mainly due to increases in annual and other compensation costs, and an increase in promotional costs of $1,560 and $3,988, respectively.</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General and administrative.</w:t>
      </w:r>
      <w:r>
        <w:rPr>
          <w:color w:val="000000"/>
        </w:rPr>
        <w:t xml:space="preserve"> </w:t>
      </w:r>
      <w:r>
        <w:rPr>
          <w:rFonts w:ascii="Times New Roman;serif" w:hAnsi="Times New Roman;serif"/>
          <w:b w:val="false"/>
          <w:color w:val="000000"/>
          <w:sz w:val="20"/>
        </w:rPr>
        <w:t>For the three and six months ended June 30, 2026, on a constant currency basis, general and administrative expenses increased primarily due to higher headcount</w:t>
        <w:noBreakHyphen/>
        <w:t>related costs of $9,392 and $16,527, respectively. This increase reflected annual compensation increases, higher bonuses, stock</w:t>
        <w:noBreakHyphen/>
        <w:t>based compensation expense, and associated employment taxes, as well as strategic headcount expansion across our corporate functions, as we continue to scale the business. The comparison also reflects a prior-year period in which general and administrative expenses had decreased on a constant currency basis when compared to the same periods in 2024.</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general and administrative expenses increased in connection with our new enterprise-wide administrative and business management platform, which went live during the second quarter of 2026. This increase reflected higher software subscription costs, as well as certain non</w:t>
        <w:noBreakHyphen/>
        <w:t>recurring costs, including incremental audit and internal-control implementation costs and higher travel costs associated with system testing and go-live activities. General and administrative expenses were also affected by lower capitalization of internal-use software implementation costs as compared to the prior-year period, during which a greater portion of these costs was deferred. We expect the higher software subscription costs and reduced capitalization associated with the platforms to continue to affect general and administrative expenses.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for the three and six months ended June 30, 2026, we recognized approximately $2,200 of non</w:t>
        <w:noBreakHyphen/>
        <w:t>recurring third</w:t>
        <w:noBreakHyphen/>
        <w:t>party costs associated with other corporate initiatives, which did not occur in the prior-year period.</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Deferred compensation plan</w:t>
      </w:r>
      <w:r>
        <w:rPr>
          <w:rFonts w:ascii="Times New Roman;serif" w:hAnsi="Times New Roman;serif"/>
          <w:b w:val="false"/>
          <w:color w:val="000000"/>
          <w:sz w:val="20"/>
        </w:rPr>
        <w:t>. For the three and six months ended June 30, 2026 and 2025, deferred compensation plan expense was attributable to the marked to market impact on deferred compensation plan liability balances period over period.</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Amortization of purchased intangibles.</w:t>
      </w:r>
      <w:r>
        <w:rPr>
          <w:color w:val="000000"/>
        </w:rPr>
        <w:t xml:space="preserve"> </w:t>
      </w:r>
      <w:r>
        <w:rPr>
          <w:rFonts w:ascii="Times New Roman;serif" w:hAnsi="Times New Roman;serif"/>
          <w:b w:val="false"/>
          <w:color w:val="000000"/>
          <w:sz w:val="20"/>
        </w:rPr>
        <w:t>For the three and six months ended June 30, 2026, amortization of purchased intangibles was flat compared to the same periods in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200"/>
        <w:jc w:val="both"/>
        <w:rPr/>
      </w:pPr>
      <w:hyperlink w:anchor="iea6d2020b0e14ed193dae4125f4f36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Interest Expense, Net</w:t>
      </w:r>
    </w:p>
    <w:tbl>
      <w:tblPr>
        <w:tblW w:w="9533" w:type="dxa"/>
        <w:jc w:val="center"/>
        <w:tblInd w:w="0" w:type="dxa"/>
        <w:tblLayout w:type="fixed"/>
        <w:tblCellMar>
          <w:top w:w="28" w:type="dxa"/>
          <w:left w:w="28" w:type="dxa"/>
          <w:bottom w:w="28" w:type="dxa"/>
          <w:right w:w="28" w:type="dxa"/>
        </w:tblCellMar>
      </w:tblPr>
      <w:tblGrid>
        <w:gridCol w:w="641"/>
        <w:gridCol w:w="562"/>
        <w:gridCol w:w="567"/>
        <w:gridCol w:w="211"/>
        <w:gridCol w:w="691"/>
        <w:gridCol w:w="109"/>
        <w:gridCol w:w="109"/>
        <w:gridCol w:w="109"/>
        <w:gridCol w:w="109"/>
        <w:gridCol w:w="211"/>
        <w:gridCol w:w="691"/>
        <w:gridCol w:w="109"/>
        <w:gridCol w:w="109"/>
        <w:gridCol w:w="109"/>
        <w:gridCol w:w="109"/>
        <w:gridCol w:w="285"/>
        <w:gridCol w:w="286"/>
        <w:gridCol w:w="392"/>
        <w:gridCol w:w="109"/>
        <w:gridCol w:w="109"/>
        <w:gridCol w:w="109"/>
        <w:gridCol w:w="211"/>
        <w:gridCol w:w="796"/>
        <w:gridCol w:w="109"/>
        <w:gridCol w:w="109"/>
        <w:gridCol w:w="109"/>
        <w:gridCol w:w="109"/>
        <w:gridCol w:w="211"/>
        <w:gridCol w:w="691"/>
        <w:gridCol w:w="109"/>
        <w:gridCol w:w="109"/>
        <w:gridCol w:w="109"/>
        <w:gridCol w:w="109"/>
        <w:gridCol w:w="285"/>
        <w:gridCol w:w="286"/>
        <w:gridCol w:w="445"/>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interest expense, net increased compared to the same period in the prior year, primarily due to higher weighted average interest rates on borrowings following the January 2026 repayment of the 2026 Notes, which had a 0.125% coupon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Other Income (Expense), Net</w:t>
      </w:r>
    </w:p>
    <w:tbl>
      <w:tblPr>
        <w:tblW w:w="8549" w:type="dxa"/>
        <w:jc w:val="center"/>
        <w:tblInd w:w="0" w:type="dxa"/>
        <w:tblLayout w:type="fixed"/>
        <w:tblCellMar>
          <w:top w:w="28" w:type="dxa"/>
          <w:left w:w="28" w:type="dxa"/>
          <w:bottom w:w="28" w:type="dxa"/>
          <w:right w:w="28" w:type="dxa"/>
        </w:tblCellMar>
      </w:tblPr>
      <w:tblGrid>
        <w:gridCol w:w="1236"/>
        <w:gridCol w:w="1089"/>
        <w:gridCol w:w="1094"/>
        <w:gridCol w:w="211"/>
        <w:gridCol w:w="721"/>
        <w:gridCol w:w="109"/>
        <w:gridCol w:w="109"/>
        <w:gridCol w:w="109"/>
        <w:gridCol w:w="109"/>
        <w:gridCol w:w="211"/>
        <w:gridCol w:w="691"/>
        <w:gridCol w:w="109"/>
        <w:gridCol w:w="109"/>
        <w:gridCol w:w="109"/>
        <w:gridCol w:w="109"/>
        <w:gridCol w:w="211"/>
        <w:gridCol w:w="721"/>
        <w:gridCol w:w="109"/>
        <w:gridCol w:w="109"/>
        <w:gridCol w:w="109"/>
        <w:gridCol w:w="109"/>
        <w:gridCol w:w="211"/>
        <w:gridCol w:w="691"/>
        <w:gridCol w:w="154"/>
      </w:tblGrid>
      <w:tr>
        <w:trPr/>
        <w:tc>
          <w:tcPr>
            <w:tcW w:w="123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(loss) from:</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interest rate swap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Foreign exchange </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Receipts related to interest rate swap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income (expense), net </w:t>
            </w:r>
            <w:r>
              <w:rPr>
                <w:rFonts w:ascii="Times New Roman;serif" w:hAnsi="Times New Roman;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(1)Foreign exchange (loss) gain is primarily attributable to foreign currency translation derived mainly from U.S. dollar denominated cash and cash equivalents, account receivables, customer deposits, and intercompany balances held by foreign subsidiaries.</w:t>
      </w:r>
    </w:p>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(2)Other income (expense), net for the three and six months ended June 30, 2026 includes remeasurement gains on non</w:t>
        <w:noBreakHyphen/>
        <w:t>marketable equity investments of $13,958.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Provision for Income Taxes</w:t>
      </w:r>
    </w:p>
    <w:tbl>
      <w:tblPr>
        <w:tblW w:w="8432" w:type="dxa"/>
        <w:jc w:val="center"/>
        <w:tblInd w:w="0" w:type="dxa"/>
        <w:tblLayout w:type="fixed"/>
        <w:tblCellMar>
          <w:top w:w="28" w:type="dxa"/>
          <w:left w:w="28" w:type="dxa"/>
          <w:bottom w:w="28" w:type="dxa"/>
          <w:right w:w="28" w:type="dxa"/>
        </w:tblCellMar>
      </w:tblPr>
      <w:tblGrid>
        <w:gridCol w:w="863"/>
        <w:gridCol w:w="757"/>
        <w:gridCol w:w="764"/>
        <w:gridCol w:w="211"/>
        <w:gridCol w:w="721"/>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316"/>
      </w:tblGrid>
      <w:tr>
        <w:trPr/>
        <w:tc>
          <w:tcPr>
            <w:tcW w:w="86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95,069 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213,626 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191,140 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the effective tax rate was higher compared to the same period in the prior year primarily due to the impact of the decrease in discrete tax benefits related to stock-based compensation, net of the impact from officer compensation limitation provisions, recognized in the current year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200"/>
        <w:jc w:val="both"/>
        <w:rPr/>
      </w:pPr>
      <w:hyperlink w:anchor="iea6d2020b0e14ed193dae4125f4f36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Key Business Metrics: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our results of operations discussed above, we believe the following presentation of key business metrics provides additional useful information to investors regarding our results of operations. To the extent material, we disclose below the additional purposes, if any, for which our management uses these key business metrics. Our key business metrics may vary significantly from period to period for reasons unrelated to our operating performance and may differ from similarly titled measures presented by other companies.</w:t>
      </w:r>
    </w:p>
    <w:tbl>
      <w:tblPr>
        <w:tblW w:w="7457" w:type="dxa"/>
        <w:jc w:val="center"/>
        <w:tblInd w:w="0" w:type="dxa"/>
        <w:tblLayout w:type="fixed"/>
        <w:tblCellMar>
          <w:top w:w="28" w:type="dxa"/>
          <w:left w:w="28" w:type="dxa"/>
          <w:bottom w:w="28" w:type="dxa"/>
          <w:right w:w="28" w:type="dxa"/>
        </w:tblCellMar>
      </w:tblPr>
      <w:tblGrid>
        <w:gridCol w:w="1506"/>
        <w:gridCol w:w="1322"/>
        <w:gridCol w:w="1341"/>
        <w:gridCol w:w="211"/>
        <w:gridCol w:w="976"/>
        <w:gridCol w:w="271"/>
        <w:gridCol w:w="109"/>
        <w:gridCol w:w="109"/>
        <w:gridCol w:w="109"/>
        <w:gridCol w:w="211"/>
        <w:gridCol w:w="976"/>
        <w:gridCol w:w="316"/>
      </w:tblGrid>
      <w:tr>
        <w:trPr/>
        <w:tc>
          <w:tcPr>
            <w:tcW w:w="1506"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1,535,988 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1,379,161 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Last twelve-months recurring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1,485,992 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1,309,010 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Twelve-months ended constant currency </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ARR growth rate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 retention rate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revenues dollar-based net retention rate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(1)Constant currency is a non-GAAP financial measure. Refer to the “Non-GAAP Financial Measures” section for additional information, including our definition and our use of constant currency.</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Recurring Revenues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Recurring revenues are the basis for our other revenue-related key business metrics. We believe this measure is useful in evaluating our ability to consistently retain and grow our revenues within our existing accounts.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Recurring revenues are subscriptions revenues that recur monthly, quarterly, or annually with specific or automatic renewal clauses and professional services revenues in which the underlying contract is based on a fixed fee and contains automatic annual renewal provisions.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ARR</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ARR is a key business metric that we believe is useful in evaluating the scale and growth of our business as well as to assist in the evaluation of underlying trends in our business. Furthermore, we believe ARR, considered in connection with our last twelve</w:t>
        <w:noBreakHyphen/>
        <w:t>month recurring revenues dollar</w:t>
        <w:noBreakHyphen/>
        <w:t>based net retention rate, is a leading indicator of revenue growth.</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ARR is defined as the sum of the annualized value of our portfolio of contracts that produce recurring revenues as of the last day of the reporting period, and the annualized value of the last three months of recognized revenues for our contractually recurring consumption</w:t>
        <w:noBreakHyphen/>
        <w:t>based software subscriptions with consumption measurement durations of less than one year, calculated using the spot foreign currency exchange rates. We believe that the last three months of recognized revenues, on an annualized basis, for our recurring software subscriptions with consumption measurement period durations of less than one year is a reasonable estimate of the annual revenues, given our consistently high retention rate and stability of usage under such subscriptions.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ARR resulting from the annualization of recurring contracts with consumption measurement durations of less than one year, as a percentage of total ARR, was 51% as of June 30, 2026 and 2025, with our E365 subscription offering representing 46% and 45% of total ARR as of June 30, 2026 and 2025, respectively.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Constant currency ARR growth rate is the growth rate of ARR measured on a constant currency basis. In reporting period</w:t>
        <w:noBreakHyphen/>
        <w:t>over</w:t>
        <w:noBreakHyphen/>
        <w:t>period ARR growth rates in constant currency, we calculate constant currency growth rates by translating current and prior period ARR on a transactional basis to our reporting currency using current year budget exchange rates. We believe that ARR growth is an important metric indicating the scale and growth of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200"/>
        <w:jc w:val="both"/>
        <w:rPr/>
      </w:pPr>
      <w:hyperlink w:anchor="iea6d2020b0e14ed193dae4125f4f36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Last Twelve</w:t>
        <w:noBreakHyphen/>
        <w:t>Months Recurring Revenues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Last twelve</w:t>
        <w:noBreakHyphen/>
        <w:t>month recurring revenues is a key business metric that we believe is useful in evaluating our ability to consistently retain and grow our recurring revenues. We believe that we will continue to experience favorable growth in recurring revenues primarily due to our strong account retention and recurring revenues dollar</w:t>
        <w:noBreakHyphen/>
        <w:t>based net retention rates, as well as the addition of new accounts with recurring revenues.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Last twelve</w:t>
        <w:noBreakHyphen/>
        <w:t>months recurring revenues is calculated as recurring revenues recognized over the preceding twelve</w:t>
        <w:noBreakHyphen/>
        <w:t>month period.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last twelve</w:t>
        <w:noBreakHyphen/>
        <w:t>months recurring revenues for the periods ended June 30, 2026 compared to the last twelve</w:t>
        <w:noBreakHyphen/>
        <w:t>months of the comparative twelve</w:t>
        <w:noBreakHyphen/>
        <w:t>month period increased by $176,982. This increase was primarily due to growth in ARR, which is primarily the result of growing our recurring revenues within our existing accounts as expressed in our recurring revenues dollar</w:t>
        <w:noBreakHyphen/>
        <w:t>based net retention rate, as well as additional recurring revenues resulting from new accounts and acquisitions. For the twelve months ended June 30, 2026 and 2025, 93% and 92%, respectively, of our revenues were recurring revenues.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Account Retention Rate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Account retention rate is a key business metric that we believe is useful in evaluating the long</w:t>
        <w:noBreakHyphen/>
        <w:t>term value of our account relationships and our ability to retain our account base. We believe that our consistent and high account retention rates illustrate our ability to retain and cultivate long</w:t>
        <w:noBreakHyphen/>
        <w:t>term relationships with our accounts.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Account retention rate for any given twelve-month period is calculated using the average foreign currency exchange rates for the prior period, as follows: the prior period recurring revenues from all accounts with recurring revenues in the current and prior period, divided by total recurring revenues from all accounts during the prior period.</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Recurring Revenues Dollar</w:t>
        <w:noBreakHyphen/>
        <w:t>Based Net Retention Rate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Recurring revenues dollar</w:t>
        <w:noBreakHyphen/>
        <w:t>based net retention rate is a key business metric that we believe is useful in evaluating our ability to consistently retain and grow our recurring revenues.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Recurring revenues dollar</w:t>
        <w:noBreakHyphen/>
        <w:t>based net retention rate is calculated, using the average exchange rates for the prior period, as follows: the recurring revenues for the current period, including any growth or reductions from existing accounts, but excluding recurring revenues from any new accounts added during the current period, divided by the total recurring revenues from all accounts during the prior period. A period is defined as any trailing twelve months. Related to our platform acquisitions, recurring revenues into new accounts will be captured as existing accounts starting with the second anniversary of the acquisition when such data conforms to the calculation methodology. This may cause variability in the comparison.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Given that recurring revenues represented 93% and 92% of our total revenues for the twelve months ended June 30, 2026 and 2025, respectively, this metric helps explain our revenue performance as primarily growth from existing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our results determined in accordance with GAAP discussed above, we believe the following presentation of financial measures not in accordance with GAAP provides useful information to investors regarding our results of operations. To the extent material, we disclose below the additional purposes, if any, for which our management uses these non</w:t>
        <w:noBreakHyphen/>
        <w:t>GAAP financial measures and provide reconciliations between these non</w:t>
        <w:noBreakHyphen/>
        <w:t>GAAP financial measures and their most directly comparable GAAP financial measures. Non</w:t>
        <w:noBreakHyphen/>
        <w:t>GAAP financial information should be considered in addition to, not as a substitute for, or in isolation from, the financial information prepared in accordance with GAAP, including operating income, or other measures of performance. Our non</w:t>
        <w:noBreakHyphen/>
        <w:t>GAAP financial measures may vary significantly from period to period for reasons unrelated to our operating performance and may differ from similarly titled measures presented by other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200"/>
        <w:jc w:val="both"/>
        <w:rPr/>
      </w:pPr>
      <w:hyperlink w:anchor="iea6d2020b0e14ed193dae4125f4f36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use AOI less Operating SBC as our primary performance measure because we believe it better reflects our core operating results by excluding items that are not indicative of the ordinary operation of our business, including costs arising directly from our acquisition activity and the costs of discrete realignment initiatives. Consistent with that objective, we refined the measure during 2026: beginning in the first quarter of 2026, we expanded our acquisition expenses adjustment to include cash- and equity</w:t>
        <w:noBreakHyphen/>
        <w:t>settled retention incentives provided to key employees of acquired companies, and renamed the measure from “AOI less SBC” to “AOI less Operating SBC”; and beginning in the second quarter of 2026, applying the same principle, we began adjusting for integration costs incurred to integrate acquired businesses into our operations. We continue to adjust for discrete realignment initiatives, and we do not adjust for severance or organizational and workforce changes undertaken in the ordinary course of managing our business, which remain reflected in AOI less Operating SBC. Prior period amounts have been revised to conform to the current definition; no integration costs were incurred in periods prior to the second quarter of 2026.</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Adjusted Operating Income Less Operating Stock-Based Compensation Expense (“AOI less Operating SBC”)</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AOI less Operating SBC is a non-GAAP financial measure and is used to measure the operational strength and performance of our business, as well as to assist in the evaluation of underlying trends in our business.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AOI less Operating SBC is defined as operating income adjusted for the following: amortization of purchased intangibles, expense (income) relating to deferred compensation plan liabilities, acquisition expenses (inclusive of cash</w:t>
        <w:noBreakHyphen/>
        <w:t xml:space="preserve"> and equity</w:t>
        <w:noBreakHyphen/>
        <w:t>settled retention incentives provided to key employees of acquired companies), integration costs, and realignment expenses (income), for the respective periods.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AOI less Operating SBC is our primary performance measure, which excludes certain expenses and charges, including cash</w:t>
        <w:noBreakHyphen/>
        <w:t xml:space="preserve"> and equity</w:t>
        <w:noBreakHyphen/>
        <w:t>settled retention incentives provided to key employees of acquired companies, as we believe these may not be indicative of our core business operating results. We intentionally include operating stock</w:t>
        <w:noBreakHyphen/>
        <w:t>based compensation expense (non</w:t>
        <w:noBreakHyphen/>
        <w:t>cash stock</w:t>
        <w:noBreakHyphen/>
        <w:t>based compensation expense less equity</w:t>
        <w:noBreakHyphen/>
        <w:t>settled retention incentives provided to key employees of acquired companies) in this measure as we believe it better captures the economic costs of our business.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 uses this non-GAAP financial measure to understand and compare operating results across accounting periods, for internal budgeting and forecasting purposes, to evaluate financial performance, and in our comparison of our financial results to those of other companies. It is also a significant performance measure in certain of our executive incentive compensation programs.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Adjusted Operating Income (“AOI”)</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operating income is a non-GAAP financial measure that we believe is useful to investors in making comparisons to other companies, although this measure may not be directly comparable to similar measures used by other companies.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operating income is defined as operating income adjusted for the following: amortization of purchased intangibles, expense (income) relating to deferred compensation plan liabilities, acquisition expenses (inclusive of cash</w:t>
        <w:noBreakHyphen/>
        <w:t xml:space="preserve"> and equity</w:t>
        <w:noBreakHyphen/>
        <w:t>settled retention incentives provided to key employees of acquired companies), integration costs, realignment expenses (income), and operating stock</w:t>
        <w:noBreakHyphen/>
        <w:t>based compensation expense (non</w:t>
        <w:noBreakHyphen/>
        <w:t>cash stock</w:t>
        <w:noBreakHyphen/>
        <w:t>based compensation expense less equity</w:t>
        <w:noBreakHyphen/>
        <w:t>settled retention incentives provided to key employees of acquired companies), for the respective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200"/>
        <w:jc w:val="both"/>
        <w:rPr/>
      </w:pPr>
      <w:hyperlink w:anchor="iea6d2020b0e14ed193dae4125f4f36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Reconciliation of operating income to AOI less Operating SBC and to Adjusted operating income:</w:t>
      </w:r>
    </w:p>
    <w:tbl>
      <w:tblPr>
        <w:tblW w:w="9644" w:type="dxa"/>
        <w:jc w:val="center"/>
        <w:tblInd w:w="0" w:type="dxa"/>
        <w:tblLayout w:type="fixed"/>
        <w:tblCellMar>
          <w:top w:w="28" w:type="dxa"/>
          <w:left w:w="28" w:type="dxa"/>
          <w:bottom w:w="28" w:type="dxa"/>
          <w:right w:w="28" w:type="dxa"/>
        </w:tblCellMar>
      </w:tblPr>
      <w:tblGrid>
        <w:gridCol w:w="1460"/>
        <w:gridCol w:w="1283"/>
        <w:gridCol w:w="129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460"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Amortization of purchased intangibles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Deferred compensation plan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Acquisition expenses </w:t>
            </w:r>
            <w:r>
              <w:rPr>
                <w:rFonts w:ascii="Times New Roman;serif" w:hAnsi="Times New Roman;serif"/>
                <w:b w:val="false"/>
                <w:color w:val="000000"/>
                <w:sz w:val="13"/>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Integration costs </w:t>
            </w:r>
            <w:r>
              <w:rPr>
                <w:rFonts w:ascii="Times New Roman;serif" w:hAnsi="Times New Roman;serif"/>
                <w:b w:val="false"/>
                <w:color w:val="000000"/>
                <w:sz w:val="13"/>
              </w:rPr>
              <w:t>(4)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Realignment expenses (income) </w:t>
            </w:r>
            <w:r>
              <w:rPr>
                <w:rFonts w:ascii="Times New Roman;serif" w:hAnsi="Times New Roman;serif"/>
                <w:b w:val="false"/>
                <w:color w:val="000000"/>
                <w:sz w:val="13"/>
              </w:rPr>
              <w:t>(5)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AOI less Operating SBC</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stock-based compensation expense </w:t>
            </w:r>
            <w:r>
              <w:rPr>
                <w:rFonts w:ascii="Times New Roman;serif" w:hAnsi="Times New Roman;serif"/>
                <w:b w:val="false"/>
                <w:color w:val="000000"/>
                <w:sz w:val="13"/>
              </w:rPr>
              <w:t>(6)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Further explanation of certain of our adjustments in arriving at AOI less Operating SBC and Adjusted operating income are as follows:</w:t>
      </w:r>
    </w:p>
    <w:p>
      <w:pPr>
        <w:pStyle w:val="TextBody"/>
        <w:bidi w:val="0"/>
        <w:spacing w:lineRule="auto" w:line="288" w:before="0" w:after="120"/>
        <w:ind w:left="0" w:right="0" w:hanging="360"/>
        <w:jc w:val="both"/>
        <w:rPr/>
      </w:pPr>
      <w:r>
        <w:rPr>
          <w:rFonts w:ascii="Times New Roman;serif" w:hAnsi="Times New Roman;serif"/>
          <w:b w:val="false"/>
          <w:color w:val="000000"/>
          <w:sz w:val="18"/>
        </w:rPr>
        <w:t>(1)</w:t>
      </w:r>
      <w:r>
        <w:rPr>
          <w:rFonts w:ascii="Times New Roman;serif" w:hAnsi="Times New Roman;serif"/>
          <w:b w:val="false"/>
          <w:i/>
          <w:color w:val="000000"/>
          <w:sz w:val="18"/>
        </w:rPr>
        <w:t>Amortization of purchased intangibles</w:t>
      </w:r>
      <w:r>
        <w:rPr>
          <w:rFonts w:ascii="Times New Roman;serif" w:hAnsi="Times New Roman;serif"/>
          <w:b w:val="false"/>
          <w:color w:val="000000"/>
          <w:sz w:val="18"/>
        </w:rPr>
        <w:t>. Amortization of purchased intangibles varies in amount and frequency and is significantly impacted by the timing and size of our acquisitions. Management finds it useful to exclude these non</w:t>
        <w:noBreakHyphen/>
        <w:t>cash charges from our operating expenses to assist in budgeting, planning, and forecasting future periods. The use of intangible assets contributed to our revenues earned during the periods presented and will also contribute to our revenues in future periods. Amortization of purchased intangible assets will recur in future periods.</w:t>
      </w:r>
    </w:p>
    <w:p>
      <w:pPr>
        <w:pStyle w:val="TextBody"/>
        <w:bidi w:val="0"/>
        <w:spacing w:lineRule="auto" w:line="288" w:before="0" w:after="120"/>
        <w:ind w:left="0" w:right="0" w:hanging="360"/>
        <w:jc w:val="both"/>
        <w:rPr/>
      </w:pPr>
      <w:r>
        <w:rPr>
          <w:rFonts w:ascii="Times New Roman;serif" w:hAnsi="Times New Roman;serif"/>
          <w:b w:val="false"/>
          <w:color w:val="000000"/>
          <w:sz w:val="18"/>
        </w:rPr>
        <w:t>(2)</w:t>
      </w:r>
      <w:r>
        <w:rPr>
          <w:rFonts w:ascii="Times New Roman;serif" w:hAnsi="Times New Roman;serif"/>
          <w:b w:val="false"/>
          <w:i/>
          <w:color w:val="000000"/>
          <w:sz w:val="18"/>
        </w:rPr>
        <w:t>Deferred compensation plan</w:t>
      </w:r>
      <w:r>
        <w:rPr>
          <w:rFonts w:ascii="Times New Roman;serif" w:hAnsi="Times New Roman;serif"/>
          <w:b w:val="false"/>
          <w:color w:val="000000"/>
          <w:sz w:val="18"/>
        </w:rPr>
        <w:t xml:space="preserve">. We exclude </w:t>
      </w:r>
      <w:r>
        <w:rPr>
          <w:rFonts w:ascii="Times New Roman;serif" w:hAnsi="Times New Roman;serif"/>
          <w:b w:val="false"/>
          <w:i/>
          <w:color w:val="000000"/>
          <w:sz w:val="18"/>
        </w:rPr>
        <w:t>Deferred compensation plan</w:t>
      </w:r>
      <w:r>
        <w:rPr>
          <w:color w:val="000000"/>
        </w:rPr>
        <w:t xml:space="preserve"> </w:t>
      </w:r>
      <w:r>
        <w:rPr>
          <w:rFonts w:ascii="Times New Roman;serif" w:hAnsi="Times New Roman;serif"/>
          <w:b w:val="false"/>
          <w:color w:val="000000"/>
          <w:sz w:val="18"/>
        </w:rPr>
        <w:t xml:space="preserve">expense (income) when we evaluate our continuing operational performance because it is not reflective of our ongoing business and results of operations. We believe it is useful for investors to understand the effects of this item on our total operating expenses. Deferred compensation plan liabilities are marked to market at the end of each reporting period, with changes in the liabilities recorded as an expense (income) to </w:t>
      </w:r>
      <w:r>
        <w:rPr>
          <w:rFonts w:ascii="Times New Roman;serif" w:hAnsi="Times New Roman;serif"/>
          <w:b w:val="false"/>
          <w:i/>
          <w:color w:val="000000"/>
          <w:sz w:val="18"/>
        </w:rPr>
        <w:t>Deferred compensation plan</w:t>
      </w:r>
      <w:r>
        <w:rPr>
          <w:color w:val="000000"/>
        </w:rPr>
        <w:t xml:space="preserve"> </w:t>
      </w:r>
      <w:r>
        <w:rPr>
          <w:rFonts w:ascii="Times New Roman;serif" w:hAnsi="Times New Roman;serif"/>
          <w:b w:val="false"/>
          <w:color w:val="000000"/>
          <w:sz w:val="18"/>
        </w:rPr>
        <w:t>in the consolidated statements of operations.</w:t>
      </w:r>
    </w:p>
    <w:p>
      <w:pPr>
        <w:pStyle w:val="TextBody"/>
        <w:bidi w:val="0"/>
        <w:spacing w:lineRule="auto" w:line="288" w:before="0" w:after="120"/>
        <w:ind w:left="0" w:right="0" w:hanging="360"/>
        <w:jc w:val="both"/>
        <w:rPr/>
      </w:pPr>
      <w:r>
        <w:rPr>
          <w:rFonts w:ascii="Times New Roman;serif" w:hAnsi="Times New Roman;serif"/>
          <w:b w:val="false"/>
          <w:color w:val="000000"/>
          <w:sz w:val="18"/>
        </w:rPr>
        <w:t>(3)</w:t>
      </w:r>
      <w:r>
        <w:rPr>
          <w:rFonts w:ascii="Times New Roman;serif" w:hAnsi="Times New Roman;serif"/>
          <w:b w:val="false"/>
          <w:i/>
          <w:color w:val="000000"/>
          <w:sz w:val="18"/>
        </w:rPr>
        <w:t>Acquisition expenses</w:t>
      </w:r>
      <w:r>
        <w:rPr>
          <w:rFonts w:ascii="Times New Roman;serif" w:hAnsi="Times New Roman;serif"/>
          <w:b w:val="false"/>
          <w:color w:val="000000"/>
          <w:sz w:val="18"/>
        </w:rPr>
        <w:t>. We incur expenses for professional services rendered in connection with business combinations, which are recorded in general and administrative expenses in our GAAP consolidated statements of operations. Also included in our acquisition expenses are cash</w:t>
        <w:noBreakHyphen/>
        <w:t xml:space="preserve"> and equity</w:t>
        <w:noBreakHyphen/>
        <w:t>settled retention incentives provided to key employees of the acquired companies. We exclude these acquisition expenses when we evaluate our continuing operational performance as we would not have otherwise incurred these expenses in the periods presented as part of our continuing operations.</w:t>
      </w:r>
    </w:p>
    <w:p>
      <w:pPr>
        <w:pStyle w:val="TextBody"/>
        <w:bidi w:val="0"/>
        <w:spacing w:lineRule="auto" w:line="288" w:before="0" w:after="120"/>
        <w:ind w:left="0" w:right="0" w:hanging="360"/>
        <w:jc w:val="both"/>
        <w:rPr/>
      </w:pPr>
      <w:r>
        <w:rPr>
          <w:rFonts w:ascii="Times New Roman;serif" w:hAnsi="Times New Roman;serif"/>
          <w:b w:val="false"/>
          <w:color w:val="000000"/>
          <w:sz w:val="18"/>
        </w:rPr>
        <w:t>(4)</w:t>
      </w:r>
      <w:r>
        <w:rPr>
          <w:rFonts w:ascii="Times New Roman;serif" w:hAnsi="Times New Roman;serif"/>
          <w:b w:val="false"/>
          <w:i/>
          <w:color w:val="000000"/>
          <w:sz w:val="18"/>
        </w:rPr>
        <w:t>Integration costs</w:t>
      </w:r>
      <w:r>
        <w:rPr>
          <w:rFonts w:ascii="Times New Roman;serif" w:hAnsi="Times New Roman;serif"/>
          <w:b w:val="false"/>
          <w:color w:val="000000"/>
          <w:sz w:val="18"/>
        </w:rPr>
        <w:t>. Integration costs are incremental costs incurred to integrate and consolidate acquired businesses with our existing operations, including where we combine an acquired business with an existing business and consolidate overlapping teams, products, and systems. These costs consist primarily of employee severance and related personnel costs arising from such consolidation, and also include contract termination costs and costs to combine or migrate systems, platforms, and processes, and, to a lesser extent, charges to exit or consolidate facilities or other assets, in each case incurred as a direct result of an acquisition. We exclude these costs when evaluating our continuing operational performance because they result from acquisition activity rather than the ordinary course of business. Integration costs do not include costs of discrete realignment initiatives that are not undertaken in connection with an acquisition, which are reported as realignment expenses (income). Integration costs may recur to the extent we complete and integrate additional acquisitions.</w:t>
      </w:r>
    </w:p>
    <w:p>
      <w:pPr>
        <w:pStyle w:val="TextBody"/>
        <w:bidi w:val="0"/>
        <w:spacing w:lineRule="auto" w:line="288" w:before="0" w:after="120"/>
        <w:ind w:left="0" w:right="0" w:hanging="360"/>
        <w:jc w:val="both"/>
        <w:rPr/>
      </w:pPr>
      <w:r>
        <w:rPr>
          <w:rFonts w:ascii="Times New Roman;serif" w:hAnsi="Times New Roman;serif"/>
          <w:b w:val="false"/>
          <w:color w:val="000000"/>
          <w:sz w:val="18"/>
        </w:rPr>
        <w:t>(5)</w:t>
      </w:r>
      <w:r>
        <w:rPr>
          <w:rFonts w:ascii="Times New Roman;serif" w:hAnsi="Times New Roman;serif"/>
          <w:b w:val="false"/>
          <w:i/>
          <w:color w:val="000000"/>
          <w:sz w:val="18"/>
        </w:rPr>
        <w:t>Realignment expenses (income)</w:t>
      </w:r>
      <w:r>
        <w:rPr>
          <w:rFonts w:ascii="Times New Roman;serif" w:hAnsi="Times New Roman;serif"/>
          <w:b w:val="false"/>
          <w:color w:val="000000"/>
          <w:sz w:val="18"/>
        </w:rPr>
        <w:t>. Realignment expenses (income) consist of the costs of discrete, significant realignment initiatives that we formally approve and that have a defined scope of actions and completion timeline—such as a broad reorganization or workforce-reduction program—including employee severance and related personnel costs and associated facility or asset costs. Such initiatives arise from time to time, and the related costs may recur in future periods. We exclude these amounts when evaluating our continuing operational performance because such initiatives are distinct from the ordinary course of business. We do not adjust for severance or organizational and workforce changes undertaken in the ordinary course of managing our business, which remain reflected in the measure.</w:t>
      </w:r>
    </w:p>
    <w:p>
      <w:pPr>
        <w:pStyle w:val="TextBody"/>
        <w:bidi w:val="0"/>
        <w:spacing w:lineRule="auto" w:line="288" w:before="0" w:after="200"/>
        <w:ind w:left="0" w:right="0" w:hanging="360"/>
        <w:jc w:val="both"/>
        <w:rPr/>
      </w:pPr>
      <w:r>
        <w:rPr>
          <w:rFonts w:ascii="Times New Roman;serif" w:hAnsi="Times New Roman;serif"/>
          <w:b w:val="false"/>
          <w:color w:val="000000"/>
          <w:sz w:val="18"/>
        </w:rPr>
        <w:t>(6)</w:t>
      </w:r>
      <w:r>
        <w:rPr>
          <w:rFonts w:ascii="Times New Roman;serif" w:hAnsi="Times New Roman;serif"/>
          <w:b w:val="false"/>
          <w:i/>
          <w:color w:val="000000"/>
          <w:sz w:val="18"/>
        </w:rPr>
        <w:t>Operating stock</w:t>
        <w:noBreakHyphen/>
        <w:t>based compensation expense</w:t>
      </w:r>
      <w:r>
        <w:rPr>
          <w:rFonts w:ascii="Times New Roman;serif" w:hAnsi="Times New Roman;serif"/>
          <w:b w:val="false"/>
          <w:color w:val="000000"/>
          <w:sz w:val="18"/>
        </w:rPr>
        <w:t>. We define “operating” stock</w:t>
        <w:noBreakHyphen/>
        <w:t>based compensation expense as non</w:t>
        <w:noBreakHyphen/>
        <w:t>cash stock</w:t>
        <w:noBreakHyphen/>
        <w:t>based compensation expense less equity</w:t>
        <w:noBreakHyphen/>
        <w:t>settled retention incentives provided to key employees of acquired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200"/>
        <w:jc w:val="both"/>
        <w:rPr/>
      </w:pPr>
      <w:hyperlink w:anchor="iea6d2020b0e14ed193dae4125f4f36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Constant Currency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Constant currency and constant currency growth rates are non-GAAP financial measures that present our results of operations excluding the estimated effects of foreign currency exchange rate fluctuations. A significant amount of our operations is conducted in foreign currencies. As a result, the comparability of the financial results reported in U.S. dollars is affected by changes in foreign currency exchange rates. We use constant currency and constant currency growth rates to evaluate the underlying performance of the business, and we believe it is helpful for investors to present operating results on a comparable basis period over period to evaluate its underlying performance.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reporting period</w:t>
        <w:noBreakHyphen/>
        <w:t>over</w:t>
        <w:noBreakHyphen/>
        <w:t>period results, except for ARR as discussed above in “Key Business Metrics” section, we calculate the effects of foreign currency fluctuations and constant currency information by translating current and prior period results on a transactional basis to our reporting currency using prior period average foreign currency exchange rates in which the transactions occurred.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Reconciliation of consolidated revenues to consolidated revenues in constant currency:</w:t>
      </w:r>
    </w:p>
    <w:tbl>
      <w:tblPr>
        <w:tblW w:w="10205" w:type="dxa"/>
        <w:jc w:val="center"/>
        <w:tblInd w:w="0" w:type="dxa"/>
        <w:tblLayout w:type="fixed"/>
        <w:tblCellMar>
          <w:top w:w="28" w:type="dxa"/>
          <w:left w:w="28" w:type="dxa"/>
          <w:bottom w:w="28" w:type="dxa"/>
          <w:right w:w="28" w:type="dxa"/>
        </w:tblCellMar>
      </w:tblPr>
      <w:tblGrid>
        <w:gridCol w:w="501"/>
        <w:gridCol w:w="440"/>
        <w:gridCol w:w="441"/>
        <w:gridCol w:w="211"/>
        <w:gridCol w:w="826"/>
        <w:gridCol w:w="109"/>
        <w:gridCol w:w="109"/>
        <w:gridCol w:w="109"/>
        <w:gridCol w:w="109"/>
        <w:gridCol w:w="279"/>
        <w:gridCol w:w="863"/>
        <w:gridCol w:w="144"/>
        <w:gridCol w:w="109"/>
        <w:gridCol w:w="109"/>
        <w:gridCol w:w="109"/>
        <w:gridCol w:w="220"/>
        <w:gridCol w:w="863"/>
        <w:gridCol w:w="113"/>
        <w:gridCol w:w="109"/>
        <w:gridCol w:w="109"/>
        <w:gridCol w:w="109"/>
        <w:gridCol w:w="211"/>
        <w:gridCol w:w="826"/>
        <w:gridCol w:w="109"/>
        <w:gridCol w:w="109"/>
        <w:gridCol w:w="109"/>
        <w:gridCol w:w="109"/>
        <w:gridCol w:w="312"/>
        <w:gridCol w:w="690"/>
        <w:gridCol w:w="164"/>
        <w:gridCol w:w="109"/>
        <w:gridCol w:w="109"/>
        <w:gridCol w:w="109"/>
        <w:gridCol w:w="220"/>
        <w:gridCol w:w="862"/>
        <w:gridCol w:w="166"/>
      </w:tblGrid>
      <w:tr>
        <w:trPr/>
        <w:tc>
          <w:tcPr>
            <w:tcW w:w="50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2025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2025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377,017 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333,635 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Perpetual licenses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 and licenses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386,613 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343,841 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410,727 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408,832 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364,289 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495"/>
        <w:gridCol w:w="435"/>
        <w:gridCol w:w="437"/>
        <w:gridCol w:w="211"/>
        <w:gridCol w:w="826"/>
        <w:gridCol w:w="109"/>
        <w:gridCol w:w="109"/>
        <w:gridCol w:w="109"/>
        <w:gridCol w:w="109"/>
        <w:gridCol w:w="264"/>
        <w:gridCol w:w="944"/>
        <w:gridCol w:w="136"/>
        <w:gridCol w:w="109"/>
        <w:gridCol w:w="109"/>
        <w:gridCol w:w="109"/>
        <w:gridCol w:w="219"/>
        <w:gridCol w:w="860"/>
        <w:gridCol w:w="113"/>
        <w:gridCol w:w="109"/>
        <w:gridCol w:w="109"/>
        <w:gridCol w:w="109"/>
        <w:gridCol w:w="211"/>
        <w:gridCol w:w="826"/>
        <w:gridCol w:w="109"/>
        <w:gridCol w:w="109"/>
        <w:gridCol w:w="109"/>
        <w:gridCol w:w="109"/>
        <w:gridCol w:w="303"/>
        <w:gridCol w:w="670"/>
        <w:gridCol w:w="159"/>
        <w:gridCol w:w="109"/>
        <w:gridCol w:w="109"/>
        <w:gridCol w:w="109"/>
        <w:gridCol w:w="219"/>
        <w:gridCol w:w="858"/>
        <w:gridCol w:w="166"/>
      </w:tblGrid>
      <w:tr>
        <w:trPr/>
        <w:tc>
          <w:tcPr>
            <w:tcW w:w="49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2025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2025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(9,991)</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761,128 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676,012 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Perpetual licenses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 and licenses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(10,310)</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779,573 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697,013 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44,152 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37,885 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834,908 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(11,183)</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823,725 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734,648 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734,898 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Reconciliation of revenues by geographic region to revenues by geographic region in constant currency:</w:t>
      </w:r>
    </w:p>
    <w:tbl>
      <w:tblPr>
        <w:tblW w:w="10205" w:type="dxa"/>
        <w:jc w:val="center"/>
        <w:tblInd w:w="0" w:type="dxa"/>
        <w:tblLayout w:type="fixed"/>
        <w:tblCellMar>
          <w:top w:w="28" w:type="dxa"/>
          <w:left w:w="28" w:type="dxa"/>
          <w:bottom w:w="28" w:type="dxa"/>
          <w:right w:w="28" w:type="dxa"/>
        </w:tblCellMar>
      </w:tblPr>
      <w:tblGrid>
        <w:gridCol w:w="351"/>
        <w:gridCol w:w="309"/>
        <w:gridCol w:w="311"/>
        <w:gridCol w:w="211"/>
        <w:gridCol w:w="826"/>
        <w:gridCol w:w="109"/>
        <w:gridCol w:w="109"/>
        <w:gridCol w:w="109"/>
        <w:gridCol w:w="109"/>
        <w:gridCol w:w="314"/>
        <w:gridCol w:w="983"/>
        <w:gridCol w:w="162"/>
        <w:gridCol w:w="109"/>
        <w:gridCol w:w="109"/>
        <w:gridCol w:w="109"/>
        <w:gridCol w:w="225"/>
        <w:gridCol w:w="883"/>
        <w:gridCol w:w="116"/>
        <w:gridCol w:w="109"/>
        <w:gridCol w:w="109"/>
        <w:gridCol w:w="109"/>
        <w:gridCol w:w="211"/>
        <w:gridCol w:w="826"/>
        <w:gridCol w:w="109"/>
        <w:gridCol w:w="109"/>
        <w:gridCol w:w="109"/>
        <w:gridCol w:w="109"/>
        <w:gridCol w:w="361"/>
        <w:gridCol w:w="799"/>
        <w:gridCol w:w="189"/>
        <w:gridCol w:w="109"/>
        <w:gridCol w:w="109"/>
        <w:gridCol w:w="109"/>
        <w:gridCol w:w="224"/>
        <w:gridCol w:w="881"/>
        <w:gridCol w:w="170"/>
      </w:tblGrid>
      <w:tr>
        <w:trPr/>
        <w:tc>
          <w:tcPr>
            <w:tcW w:w="35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2025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2025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218,515 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194,101 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105,678 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68,699 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64,510 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410,727 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408,832 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364,289 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200"/>
        <w:jc w:val="both"/>
        <w:rPr/>
      </w:pPr>
      <w:hyperlink w:anchor="iea6d2020b0e14ed193dae4125f4f36c2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348"/>
        <w:gridCol w:w="306"/>
        <w:gridCol w:w="309"/>
        <w:gridCol w:w="211"/>
        <w:gridCol w:w="826"/>
        <w:gridCol w:w="109"/>
        <w:gridCol w:w="109"/>
        <w:gridCol w:w="109"/>
        <w:gridCol w:w="109"/>
        <w:gridCol w:w="294"/>
        <w:gridCol w:w="1063"/>
        <w:gridCol w:w="152"/>
        <w:gridCol w:w="109"/>
        <w:gridCol w:w="109"/>
        <w:gridCol w:w="109"/>
        <w:gridCol w:w="224"/>
        <w:gridCol w:w="879"/>
        <w:gridCol w:w="115"/>
        <w:gridCol w:w="109"/>
        <w:gridCol w:w="109"/>
        <w:gridCol w:w="109"/>
        <w:gridCol w:w="211"/>
        <w:gridCol w:w="826"/>
        <w:gridCol w:w="109"/>
        <w:gridCol w:w="109"/>
        <w:gridCol w:w="109"/>
        <w:gridCol w:w="109"/>
        <w:gridCol w:w="352"/>
        <w:gridCol w:w="779"/>
        <w:gridCol w:w="185"/>
        <w:gridCol w:w="109"/>
        <w:gridCol w:w="109"/>
        <w:gridCol w:w="109"/>
        <w:gridCol w:w="224"/>
        <w:gridCol w:w="877"/>
        <w:gridCol w:w="171"/>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2025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2025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r>
      <w:tr>
        <w:trPr/>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442,811 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393,074 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241,455 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212,728 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139,459 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129,096 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834,908 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(11,183)</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823,725 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734,648 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734,898 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Reconciliation of cost of revenues to cost of revenues in constant currency:</w:t>
      </w:r>
    </w:p>
    <w:tbl>
      <w:tblPr>
        <w:tblW w:w="10205" w:type="dxa"/>
        <w:jc w:val="center"/>
        <w:tblInd w:w="0" w:type="dxa"/>
        <w:tblLayout w:type="fixed"/>
        <w:tblCellMar>
          <w:top w:w="28" w:type="dxa"/>
          <w:left w:w="28" w:type="dxa"/>
          <w:bottom w:w="28" w:type="dxa"/>
          <w:right w:w="28" w:type="dxa"/>
        </w:tblCellMar>
      </w:tblPr>
      <w:tblGrid>
        <w:gridCol w:w="560"/>
        <w:gridCol w:w="491"/>
        <w:gridCol w:w="494"/>
        <w:gridCol w:w="211"/>
        <w:gridCol w:w="721"/>
        <w:gridCol w:w="109"/>
        <w:gridCol w:w="109"/>
        <w:gridCol w:w="109"/>
        <w:gridCol w:w="109"/>
        <w:gridCol w:w="331"/>
        <w:gridCol w:w="809"/>
        <w:gridCol w:w="171"/>
        <w:gridCol w:w="109"/>
        <w:gridCol w:w="109"/>
        <w:gridCol w:w="109"/>
        <w:gridCol w:w="230"/>
        <w:gridCol w:w="787"/>
        <w:gridCol w:w="118"/>
        <w:gridCol w:w="109"/>
        <w:gridCol w:w="109"/>
        <w:gridCol w:w="109"/>
        <w:gridCol w:w="211"/>
        <w:gridCol w:w="721"/>
        <w:gridCol w:w="109"/>
        <w:gridCol w:w="109"/>
        <w:gridCol w:w="109"/>
        <w:gridCol w:w="109"/>
        <w:gridCol w:w="351"/>
        <w:gridCol w:w="776"/>
        <w:gridCol w:w="184"/>
        <w:gridCol w:w="109"/>
        <w:gridCol w:w="109"/>
        <w:gridCol w:w="109"/>
        <w:gridCol w:w="229"/>
        <w:gridCol w:w="784"/>
        <w:gridCol w:w="173"/>
      </w:tblGrid>
      <w:tr>
        <w:trPr/>
        <w:tc>
          <w:tcPr>
            <w:tcW w:w="56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2025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2025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Constant Currency</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subscriptions and licenses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53,576 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73,256 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69,014 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518"/>
        <w:gridCol w:w="455"/>
        <w:gridCol w:w="457"/>
        <w:gridCol w:w="211"/>
        <w:gridCol w:w="826"/>
        <w:gridCol w:w="109"/>
        <w:gridCol w:w="109"/>
        <w:gridCol w:w="109"/>
        <w:gridCol w:w="109"/>
        <w:gridCol w:w="275"/>
        <w:gridCol w:w="848"/>
        <w:gridCol w:w="141"/>
        <w:gridCol w:w="109"/>
        <w:gridCol w:w="109"/>
        <w:gridCol w:w="109"/>
        <w:gridCol w:w="220"/>
        <w:gridCol w:w="861"/>
        <w:gridCol w:w="113"/>
        <w:gridCol w:w="109"/>
        <w:gridCol w:w="109"/>
        <w:gridCol w:w="109"/>
        <w:gridCol w:w="211"/>
        <w:gridCol w:w="826"/>
        <w:gridCol w:w="109"/>
        <w:gridCol w:w="109"/>
        <w:gridCol w:w="109"/>
        <w:gridCol w:w="109"/>
        <w:gridCol w:w="306"/>
        <w:gridCol w:w="678"/>
        <w:gridCol w:w="160"/>
        <w:gridCol w:w="109"/>
        <w:gridCol w:w="109"/>
        <w:gridCol w:w="109"/>
        <w:gridCol w:w="219"/>
        <w:gridCol w:w="860"/>
        <w:gridCol w:w="167"/>
      </w:tblGrid>
      <w:tr>
        <w:trPr/>
        <w:tc>
          <w:tcPr>
            <w:tcW w:w="51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2025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2025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Constant Currency</w:t>
            </w:r>
          </w:p>
        </w:tc>
      </w:tr>
      <w:tr>
        <w:trPr/>
        <w:tc>
          <w:tcPr>
            <w:tcW w:w="1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subscriptions and licenses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105,568 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94,436 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40,224 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(2,765)</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144,996 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134,660 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Reconciliation of operating expenses to operating expenses in constant currency:</w:t>
      </w:r>
    </w:p>
    <w:tbl>
      <w:tblPr>
        <w:tblW w:w="10205" w:type="dxa"/>
        <w:jc w:val="center"/>
        <w:tblInd w:w="0" w:type="dxa"/>
        <w:tblLayout w:type="fixed"/>
        <w:tblCellMar>
          <w:top w:w="28" w:type="dxa"/>
          <w:left w:w="28" w:type="dxa"/>
          <w:bottom w:w="28" w:type="dxa"/>
          <w:right w:w="28" w:type="dxa"/>
        </w:tblCellMar>
      </w:tblPr>
      <w:tblGrid>
        <w:gridCol w:w="612"/>
        <w:gridCol w:w="455"/>
        <w:gridCol w:w="458"/>
        <w:gridCol w:w="211"/>
        <w:gridCol w:w="826"/>
        <w:gridCol w:w="109"/>
        <w:gridCol w:w="109"/>
        <w:gridCol w:w="109"/>
        <w:gridCol w:w="109"/>
        <w:gridCol w:w="266"/>
        <w:gridCol w:w="821"/>
        <w:gridCol w:w="137"/>
        <w:gridCol w:w="109"/>
        <w:gridCol w:w="109"/>
        <w:gridCol w:w="109"/>
        <w:gridCol w:w="218"/>
        <w:gridCol w:w="856"/>
        <w:gridCol w:w="112"/>
        <w:gridCol w:w="109"/>
        <w:gridCol w:w="109"/>
        <w:gridCol w:w="109"/>
        <w:gridCol w:w="211"/>
        <w:gridCol w:w="826"/>
        <w:gridCol w:w="109"/>
        <w:gridCol w:w="109"/>
        <w:gridCol w:w="109"/>
        <w:gridCol w:w="109"/>
        <w:gridCol w:w="295"/>
        <w:gridCol w:w="652"/>
        <w:gridCol w:w="155"/>
        <w:gridCol w:w="109"/>
        <w:gridCol w:w="109"/>
        <w:gridCol w:w="109"/>
        <w:gridCol w:w="218"/>
        <w:gridCol w:w="855"/>
        <w:gridCol w:w="168"/>
      </w:tblGrid>
      <w:tr>
        <w:trPr/>
        <w:tc>
          <w:tcPr>
            <w:tcW w:w="61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1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2025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2025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81,817 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75,782 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70,282 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64,980 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50,019 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7,584 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purchased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246,829 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211,868 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200"/>
        <w:jc w:val="both"/>
        <w:rPr/>
      </w:pPr>
      <w:hyperlink w:anchor="iea6d2020b0e14ed193dae4125f4f36c2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612"/>
        <w:gridCol w:w="455"/>
        <w:gridCol w:w="458"/>
        <w:gridCol w:w="211"/>
        <w:gridCol w:w="826"/>
        <w:gridCol w:w="109"/>
        <w:gridCol w:w="109"/>
        <w:gridCol w:w="109"/>
        <w:gridCol w:w="109"/>
        <w:gridCol w:w="266"/>
        <w:gridCol w:w="821"/>
        <w:gridCol w:w="137"/>
        <w:gridCol w:w="109"/>
        <w:gridCol w:w="109"/>
        <w:gridCol w:w="109"/>
        <w:gridCol w:w="218"/>
        <w:gridCol w:w="856"/>
        <w:gridCol w:w="112"/>
        <w:gridCol w:w="109"/>
        <w:gridCol w:w="109"/>
        <w:gridCol w:w="109"/>
        <w:gridCol w:w="211"/>
        <w:gridCol w:w="826"/>
        <w:gridCol w:w="109"/>
        <w:gridCol w:w="109"/>
        <w:gridCol w:w="109"/>
        <w:gridCol w:w="109"/>
        <w:gridCol w:w="295"/>
        <w:gridCol w:w="652"/>
        <w:gridCol w:w="155"/>
        <w:gridCol w:w="109"/>
        <w:gridCol w:w="109"/>
        <w:gridCol w:w="109"/>
        <w:gridCol w:w="218"/>
        <w:gridCol w:w="855"/>
        <w:gridCol w:w="168"/>
      </w:tblGrid>
      <w:tr>
        <w:trPr/>
        <w:tc>
          <w:tcPr>
            <w:tcW w:w="61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1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2025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2025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162,118 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148,235 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152,571 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133,332 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122,156 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97,242 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6,338 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purchased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472,279 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(8,185)</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464,094 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400,599 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401,556 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Cash and Cash Equivalents</w:t>
      </w:r>
    </w:p>
    <w:tbl>
      <w:tblPr>
        <w:tblW w:w="7629" w:type="dxa"/>
        <w:jc w:val="center"/>
        <w:tblInd w:w="0" w:type="dxa"/>
        <w:tblLayout w:type="fixed"/>
        <w:tblCellMar>
          <w:top w:w="28" w:type="dxa"/>
          <w:left w:w="28" w:type="dxa"/>
          <w:bottom w:w="28" w:type="dxa"/>
          <w:right w:w="28" w:type="dxa"/>
        </w:tblCellMar>
      </w:tblPr>
      <w:tblGrid>
        <w:gridCol w:w="1651"/>
        <w:gridCol w:w="1452"/>
        <w:gridCol w:w="1456"/>
        <w:gridCol w:w="212"/>
        <w:gridCol w:w="833"/>
        <w:gridCol w:w="109"/>
        <w:gridCol w:w="109"/>
        <w:gridCol w:w="109"/>
        <w:gridCol w:w="109"/>
        <w:gridCol w:w="281"/>
        <w:gridCol w:w="1103"/>
        <w:gridCol w:w="205"/>
      </w:tblGrid>
      <w:tr>
        <w:trPr/>
        <w:tc>
          <w:tcPr>
            <w:tcW w:w="1651"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held domestically</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39,093 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held by foreign subsidiaries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84,185 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123,278 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primary source of operating cash is from the sale of our subscriptions, perpetual licenses, and services. Our primary use of cash is payment of our operating costs, which consist mainly of headcount</w:t>
        <w:noBreakHyphen/>
        <w:t>related costs. In addition to operating expenses, we also use cash to service our debt obligations, to pay quarterly dividends, to repurchase our Class B common stock and convertible debt, and for capital expenditures in support of our operations. We also use cash to fund our acquisitions of software assets and businesses, and other investment activities.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cash generated from operations, together with existing cash and cash equivalent balances, and external borrowings including available liquidity under the Credit Facility, will be sufficient to meet our domestic and international working capital and capital expenditure requirements. We regularly review our capital structure and consider a variety of potential financing alternatives and planning strategies to ensure that we have the proper liquidity available in the locations in which it is needed and to fund our operations and growth investments with cash that has not been permanently reinvested outside the U.S. Our future capital requirements may be materially different than those currently planned in our budgeting and forecasting activities and depend on many factors, including our strategy of regularly acquiring and integrating specialized infrastructure engineering software businesses, our rate of revenue growth, the timing and extent of spending on research and development, the expansion of our sales and marketing activities, the timing of new product introductions, market acceptance of our products, competitive factors, our discretionary payments of dividends or repurchases of our Class B common stock and convertible debt, funding of our purchase commitments, currency fluctuations, and overall economic conditions, globally.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while the incurrence of additional debt financing, including convertible debt, would result in additional debt service obligations. Such debt instruments also could introduce new or modified covenants that might restrict our operations and/or our ability to pay dividends, consummate acquisitions, or otherwise pursue our business strategies. We cannot provide assurance that we could obtain additional financing on favorable terms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200"/>
        <w:jc w:val="both"/>
        <w:rPr/>
      </w:pPr>
      <w:hyperlink w:anchor="iea6d2020b0e14ed193dae4125f4f36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Cash Flows Activity</w:t>
      </w:r>
    </w:p>
    <w:tbl>
      <w:tblPr>
        <w:tblW w:w="5468" w:type="dxa"/>
        <w:jc w:val="center"/>
        <w:tblInd w:w="0" w:type="dxa"/>
        <w:tblLayout w:type="fixed"/>
        <w:tblCellMar>
          <w:top w:w="28" w:type="dxa"/>
          <w:left w:w="28" w:type="dxa"/>
          <w:bottom w:w="28" w:type="dxa"/>
          <w:right w:w="28" w:type="dxa"/>
        </w:tblCellMar>
      </w:tblPr>
      <w:tblGrid>
        <w:gridCol w:w="961"/>
        <w:gridCol w:w="843"/>
        <w:gridCol w:w="850"/>
        <w:gridCol w:w="211"/>
        <w:gridCol w:w="901"/>
        <w:gridCol w:w="109"/>
        <w:gridCol w:w="109"/>
        <w:gridCol w:w="109"/>
        <w:gridCol w:w="109"/>
        <w:gridCol w:w="211"/>
        <w:gridCol w:w="901"/>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compared to the same period in the prior year, net cash provided by operating activities was lower by $15,579 due to a decrease in net cash flows from the change in operating assets and liabilities of $35,140, partially offset by an increase in net income of $12,026 and a net increase in non</w:t>
        <w:noBreakHyphen/>
        <w:t>cash adjustments of $7,535. The decrease in net cash flows from the change in operating assets and liabilities period over period was primarily due to timing of collections on our receivables, overall timing of payments for income taxes, and lower accounts payable. Partially offsetting these decreases were higher period over period accruals and other current liabilities, and Cloud Services Subscription deposits.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higher by $6,131 for the six months ended June 30, 2026, compared to the same period in the prior year, due to higher purchases of property and equipment and investment in capitalized software.</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lower by $32,570 for the six months ended June 30, 2026 compared to the same period in the prior year. Net borrowings under the Credit Facility increased $781,221 for the six months ended June 30, 2026 compared to the same period in the prior year due to proceeds from our new $550,000 Term Loan and higher net revolving borrowings. During the first quarter of 2026, we utilized revolving borrowings and available cash on hand to repay the $677,830 outstanding principal balance of the 2026 Notes upon maturity in January 2026. Subsequently, during the second quarter of 2026, proceeds from the Term Loan were used to repay a portion of those revolving borrowings. Further, payments for shares acquired, including shares repurchased under the Repurchase Program, were higher by $79,938 for the six months ended June 30, 2026 compared to the same period in the prior year. Additionally, under the Repurchase Program, we paid $9,797 in cash to repurchase $10,000 aggregate principal amount of outstanding 2026 Notes during the first quarter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200"/>
        <w:jc w:val="both"/>
        <w:rPr/>
      </w:pPr>
      <w:hyperlink w:anchor="iea6d2020b0e14ed193dae4125f4f36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Long-Term Debt</w:t>
      </w:r>
    </w:p>
    <w:tbl>
      <w:tblPr>
        <w:tblW w:w="6046" w:type="dxa"/>
        <w:jc w:val="center"/>
        <w:tblInd w:w="0" w:type="dxa"/>
        <w:tblLayout w:type="fixed"/>
        <w:tblCellMar>
          <w:top w:w="28" w:type="dxa"/>
          <w:left w:w="28" w:type="dxa"/>
          <w:bottom w:w="28" w:type="dxa"/>
          <w:right w:w="28" w:type="dxa"/>
        </w:tblCellMar>
      </w:tblPr>
      <w:tblGrid>
        <w:gridCol w:w="1027"/>
        <w:gridCol w:w="900"/>
        <w:gridCol w:w="907"/>
        <w:gridCol w:w="211"/>
        <w:gridCol w:w="976"/>
        <w:gridCol w:w="109"/>
        <w:gridCol w:w="109"/>
        <w:gridCol w:w="109"/>
        <w:gridCol w:w="109"/>
        <w:gridCol w:w="250"/>
        <w:gridCol w:w="1157"/>
        <w:gridCol w:w="182"/>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1,248,912 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1,217,180 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1,248,912 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2026 Notes matured on January 15, 2026. Upon maturity, we repaid $678,254, which consisted of the remaining outstanding principal balance and accrued interest on the 2026 Notes using borrowings under the Credit Facility and available cash on hand. Subsequently, on April 23, 2026, we entered into a First Amendment to our Credit Facility, which provided for a new $550,000 Term Loan and used those borrowings to repay portions of the revolving indebtedness outstanding under the Credit Facility.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we had $1,203,944 available under the Credit Facility, and we were in compliance with all covenants under the Credit Facility and the 2027 Notes. Any failure to comply with such covenants under the Credit Facility would prevent us from being able to borrow additional funds under the Credit Facility, and, as with any failure to comply with such covenants under the 2027 Notes, could constitute a default that may cause all amounts outstanding to become due and immediately payable in full.</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Stock Repurchases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BSY Stock Repurchase Program</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of Directors approved the Repurchase Program authorizing us to repurchase up to $500,000 of our Class B common stock and/or outstanding convertible senior notes through December 31, 2028. We may use available working capital, cash provided by operating activities, and/or external borrowings including available liquidity under our Credit Facility to make repurchases.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repurchased 3,747,742 shares for $125,075 under the Repurchase Program. During the six months ended June 30, 2025, we repurchased 1,173,041 shares for $50,023, and $10,000 aggregate principal amount of our outstanding 2026 Notes for $9,797 under the Repurchase Program.</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timing, as well as the number and value of shares and/or outstanding convertible senior notes repurchased under the Repurchase Program, will be determined at our discretion and will depend on a variety of factors, including our assessment of the intrinsic value of our shares, the market price of our Class B common stock and outstanding convertible senior notes, general market and economic conditions, available liquidity, compliance with our debt and other agreements, and applicable legal requirements.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Withholding Taxes on Certain Equity Awards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the right to require that certain equity awardees receive gross or net quantities of shares of our Class B common stock, including distributions from the DCP and share issuances under the Bonus Plan. In the case of a gross issuance or distribution, an awardee is required to reimburse promptly to us the cash required for his or her tax withholding amounts. Conversely, under a net issuance or distribution, shares are withheld in consideration of remitting withholding taxes on behalf of an equity awardee, thereby requiring us to remit cash for the tax withholdings. During the six months ended June 30, 2026, we allowed impacted awardees the option to receive net quantities of shares of our Class B common stock. We exercised our right to require that impacted equity awardees receive gross quantities of our Class B common stock during the first quarter of 2025, but we allowed impacted awardees the option to receive net quantities of shares of our Class B common stock during the second quarter of 2025. We will continue to evaluate whether share awards will be required to be received by awardees on a gross basis, or if net settlement may be elected by awardees.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200"/>
        <w:jc w:val="both"/>
        <w:rPr/>
      </w:pPr>
      <w:hyperlink w:anchor="iea6d2020b0e14ed193dae4125f4f36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Dividend Payments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declaration and payment of dividends is within the discretion of our Board of Directors. We paid quarterly dividends of $0.07 per share of common stock during the six months ended June 30, 2026 and 2025. While we intend to continue paying quarterly dividends, any future determination will be subject to the discretion of our Board of Directors and will be dependent on a number of factors, including our results of operations, capital requirements, restrictions under Delaware law, and overall financial condition, as well as any other factors our Board of Directors considers relevant. In addition, the terms of the agreement governing the Credit Facility limit the amount of dividends we can pay.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market risk exposure as described in Part II, Item 7A. Quantitative and Qualitative Disclosures About Market Risk in our 2025 Annual Report on Form 10</w:t>
        <w:noBreakHyphen/>
        <w:t>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Evaluation of Effectiveness of Disclosure Controls and Procedures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maintains disclosure controls and procedures as defined in Rules 13a</w:t>
        <w:noBreakHyphen/>
        <w:t>15(e) and 15d</w:t>
        <w:noBreakHyphen/>
        <w:t>15(e) under the Securities Exchange Act of 1934, as amended (the “Exchange Act”) that are designed to provide reasonable assurance that information required to be disclosed in our reports filed or submitted under the Exchange Act is processed, recorded, summarized, and reported within the time periods specified in the SEC’s rules and forms, and that such information is accumulated and communicated to our management, including our Chief Executive Officer and Chief Financial Officer (our principal executive officer and principal financial officer, respectively), as appropriate, to allow for timely decisions regarding required disclosure.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evaluated, under the supervision and with the participation of management, including our principal executive and principal financial officers, the effectiveness of the design and operation of our disclosure controls and procedures as of the end of the period covered by this report. Based on this evaluation, our principal executive officer and principal financial officer concluded that, as of June 30, 2026, our disclosure controls and procedures were effective at the reasonable assurance level.</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Bentley Systems, Incorporated have been detected.</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2026, we implemented our new enterprise-wide administrative and business management platform, which resulted in changes to some of our business processes, accounting systems, and related internal controls. We continue to conduct post</w:t>
        <w:noBreakHyphen/>
        <w:t>implementation monitoring and enhancements as needed to maintain effective internal controls over financial reporting. There were no other changes in our internal control over financial reporting identified in management’s evaluation pursuant to Rules 13a or 15d of the Exchange Act that occurred during the quarter ended June 30, 2026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200"/>
        <w:jc w:val="both"/>
        <w:rPr/>
      </w:pPr>
      <w:hyperlink w:anchor="iea6d2020b0e14ed193dae4125f4f36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from time to time to various legal proceedings and claims which arise in the ordinary course of our business. Although the outcome of these and other claims cannot be predicted with certainty, we do not believe that the ultimate resolution of pending matters will have a material adverse effect on our financial condition, results of operations, or cash flows. We currently believe that we do not have any material litigation pending against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from the risk factors previously disclosed in Part I, Item 1A. Risk Factors in our 2025 Annual Report on Form 10</w:t>
        <w:noBreakHyphen/>
        <w:t>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Recent Sales of Unregistered Equity Securities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April 1, 2026 to June 30, 2026, we issued 818,949 shares of our Class B common stock in connection with distributions from our DCP.</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 of the foregoing transactions involved any underwriters, underwriting discounts or commissions, or any public offering. Unless otherwise stated, the sales of the above securities were deemed to be exempt from registration under the Securities Act in reliance on Rule 701 promulgated under Section 3(b) of the Securities Act as transactions by an issuer pursuant to benefit plans and contracts relating to compensation as provided under Rule 701. All recipients had adequate access, through their relationships with us, to information about us. The issuance of these securities were made without any general solicitation or advertising.</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Issuer Purchases of Equity Securities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our Class B common stock we repurchased during the three months ended June 30, 2026:</w:t>
      </w:r>
    </w:p>
    <w:tbl>
      <w:tblPr>
        <w:tblW w:w="9389" w:type="dxa"/>
        <w:jc w:val="center"/>
        <w:tblInd w:w="0" w:type="dxa"/>
        <w:tblLayout w:type="fixed"/>
        <w:tblCellMar>
          <w:top w:w="28" w:type="dxa"/>
          <w:left w:w="28" w:type="dxa"/>
          <w:bottom w:w="28" w:type="dxa"/>
          <w:right w:w="28" w:type="dxa"/>
        </w:tblCellMar>
      </w:tblPr>
      <w:tblGrid>
        <w:gridCol w:w="848"/>
        <w:gridCol w:w="747"/>
        <w:gridCol w:w="759"/>
        <w:gridCol w:w="109"/>
        <w:gridCol w:w="109"/>
        <w:gridCol w:w="109"/>
        <w:gridCol w:w="459"/>
        <w:gridCol w:w="459"/>
        <w:gridCol w:w="461"/>
        <w:gridCol w:w="109"/>
        <w:gridCol w:w="109"/>
        <w:gridCol w:w="109"/>
        <w:gridCol w:w="269"/>
        <w:gridCol w:w="766"/>
        <w:gridCol w:w="149"/>
        <w:gridCol w:w="109"/>
        <w:gridCol w:w="109"/>
        <w:gridCol w:w="109"/>
        <w:gridCol w:w="514"/>
        <w:gridCol w:w="514"/>
        <w:gridCol w:w="516"/>
        <w:gridCol w:w="109"/>
        <w:gridCol w:w="109"/>
        <w:gridCol w:w="109"/>
        <w:gridCol w:w="226"/>
        <w:gridCol w:w="1216"/>
        <w:gridCol w:w="178"/>
      </w:tblGrid>
      <w:tr>
        <w:trPr/>
        <w:tc>
          <w:tcPr>
            <w:tcW w:w="84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Dollar</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Value of Shares</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Part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that May Yet Be</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Publicly Announced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Purchased Under</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Program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the Program </w:t>
            </w:r>
            <w:r>
              <w:rPr>
                <w:rFonts w:ascii="Times New Roman;serif" w:hAnsi="Times New Roman;serif"/>
                <w:b/>
                <w:color w:val="000000"/>
                <w:sz w:val="10"/>
              </w:rPr>
              <w:t>(2)</w:t>
            </w:r>
          </w:p>
        </w:tc>
      </w:tr>
      <w:tr>
        <w:trPr/>
        <w:tc>
          <w:tcPr>
            <w:tcW w:w="2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April 1, 2026 to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581,521 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34.39 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581,521 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421,558,267 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1, 2026 to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773,172 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773,172 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396,558,324 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1, 2026 to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1,355,201 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1,355,201 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356,558,387 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2,709,894 </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31.37 </w:t>
            </w:r>
          </w:p>
        </w:tc>
        <w:tc>
          <w:tcPr>
            <w:tcW w:w="14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2,709,894 </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(1)Represents shares purchased in open</w:t>
        <w:noBreakHyphen/>
        <w:t>market transactions under the Repurchase Program approved by our Board of Directors.</w:t>
      </w:r>
    </w:p>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(2)These amounts correspond to the program publicly announced and approved by our Board of Directors in November 2025 that authorizes the repurchase of up to $500 million of our Class B common stock and/or outstanding convertible senior notes through December 31, 2028.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200"/>
        <w:jc w:val="both"/>
        <w:rPr/>
      </w:pPr>
      <w:hyperlink w:anchor="iea6d2020b0e14ed193dae4125f4f36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Rule 10b5-1 Trading Plans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the Company’s directors or executive officers adopted or terminated any contract, instruction or written plan for the purchase or sale of Company securities that was intended to satisfy the affirmative defense conditions of Rule 10b5</w:t>
        <w:noBreakHyphen/>
        <w:t>1(c) or any “non-Rule 10b5</w:t>
        <w:noBreakHyphen/>
        <w:t>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264"/>
        <w:gridCol w:w="232"/>
        <w:gridCol w:w="235"/>
        <w:gridCol w:w="109"/>
        <w:gridCol w:w="109"/>
        <w:gridCol w:w="109"/>
        <w:gridCol w:w="1624"/>
        <w:gridCol w:w="1403"/>
        <w:gridCol w:w="1409"/>
        <w:gridCol w:w="109"/>
        <w:gridCol w:w="109"/>
        <w:gridCol w:w="109"/>
        <w:gridCol w:w="170"/>
        <w:gridCol w:w="170"/>
        <w:gridCol w:w="171"/>
        <w:gridCol w:w="109"/>
        <w:gridCol w:w="109"/>
        <w:gridCol w:w="109"/>
        <w:gridCol w:w="154"/>
        <w:gridCol w:w="154"/>
        <w:gridCol w:w="155"/>
        <w:gridCol w:w="109"/>
        <w:gridCol w:w="109"/>
        <w:gridCol w:w="109"/>
        <w:gridCol w:w="210"/>
        <w:gridCol w:w="210"/>
        <w:gridCol w:w="211"/>
        <w:gridCol w:w="109"/>
        <w:gridCol w:w="109"/>
        <w:gridCol w:w="109"/>
        <w:gridCol w:w="213"/>
        <w:gridCol w:w="213"/>
        <w:gridCol w:w="214"/>
        <w:gridCol w:w="109"/>
        <w:gridCol w:w="109"/>
        <w:gridCol w:w="109"/>
        <w:gridCol w:w="240"/>
        <w:gridCol w:w="240"/>
        <w:gridCol w:w="351"/>
      </w:tblGrid>
      <w:tr>
        <w:trPr/>
        <w:tc>
          <w:tcPr>
            <w:tcW w:w="2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color w:val="000000"/>
                <w:sz w:val="16"/>
              </w:rPr>
            </w:pPr>
            <w:r>
              <w:rPr>
                <w:rFonts w:ascii="Times New Roman;serif" w:hAnsi="Times New Roman;serif"/>
                <w:b/>
                <w:color w:val="000000"/>
                <w:sz w:val="16"/>
              </w:rPr>
              <w:t xml:space="preserve">Exhibit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Filed </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6"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Herewith</w:t>
            </w:r>
          </w:p>
        </w:tc>
      </w:tr>
      <w:tr>
        <w:trPr/>
        <w:tc>
          <w:tcPr>
            <w:tcW w:w="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a26q2exhibit311.htm">
              <w:r>
                <w:rPr>
                  <w:rStyle w:val="InternetLink"/>
                  <w:rFonts w:ascii="Times New Roman;serif" w:hAnsi="Times New Roman;serif"/>
                  <w:b w:val="false"/>
                  <w:color w:val="0000FF"/>
                  <w:sz w:val="18"/>
                  <w:u w:val="single"/>
                </w:rPr>
                <w:t>Certification of CEO pursuant to Rule 13a-14(a) and Rule 15d-14(a) of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  </w:t>
            </w: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6q2exhibit312.htm">
              <w:r>
                <w:rPr>
                  <w:rStyle w:val="InternetLink"/>
                  <w:rFonts w:ascii="Times New Roman;serif" w:hAnsi="Times New Roman;serif"/>
                  <w:b w:val="false"/>
                  <w:color w:val="0000FF"/>
                  <w:sz w:val="18"/>
                  <w:u w:val="single"/>
                </w:rPr>
                <w:t>Certification of CFO pursuant to Rule 13a-14(a) and Rule 15d-14(a) of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6q2exhibit32.htm">
              <w:r>
                <w:rPr>
                  <w:rStyle w:val="InternetLink"/>
                  <w:rFonts w:ascii="Times New Roman;serif" w:hAnsi="Times New Roman;serif"/>
                  <w:b w:val="false"/>
                  <w:color w:val="0000FF"/>
                  <w:sz w:val="18"/>
                  <w:u w:val="single"/>
                </w:rPr>
                <w:t>Certification of CEO and CFO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Document—the instance document does not appear in the Interactive Data File as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Filed or furnished herewith. The certification attached as Exhibit 32 that accompanies this Quarterly Report on Form 10</w:t>
              <w:noBreakHyphen/>
              <w:t>Q is not deemed filed with the SEC and is not to be incorporated by reference into any filing of Bentley Systems, Incorporated under the Securities Act of 1933, as amended, or the Securities Exchange Act of 1934, as amended, whether made before or after the date of this Quarterly Report on Form 10</w:t>
              <w:noBreakHyphen/>
              <w:t>Q, irrespective of any general incorporation language contained in such filing.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200"/>
        <w:jc w:val="both"/>
        <w:rPr/>
      </w:pPr>
      <w:hyperlink w:anchor="iea6d2020b0e14ed193dae4125f4f36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809"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408"/>
        <w:gridCol w:w="408"/>
        <w:gridCol w:w="408"/>
        <w:gridCol w:w="703"/>
        <w:gridCol w:w="703"/>
        <w:gridCol w:w="100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Bentley Systems, Incorporated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6" w:before="0" w:after="4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W</w:t>
            </w:r>
            <w:r>
              <w:rPr>
                <w:rFonts w:ascii="Times New Roman;serif" w:hAnsi="Times New Roman;serif"/>
                <w:b w:val="false"/>
                <w:color w:val="000000"/>
                <w:sz w:val="16"/>
              </w:rPr>
              <w:t>ERNER</w:t>
            </w:r>
            <w:r>
              <w:rPr>
                <w:color w:val="000000"/>
              </w:rPr>
              <w:t xml:space="preserve"> </w:t>
            </w:r>
            <w:r>
              <w:rPr>
                <w:rFonts w:ascii="Times New Roman;serif" w:hAnsi="Times New Roman;serif"/>
                <w:b w:val="false"/>
                <w:color w:val="000000"/>
                <w:sz w:val="20"/>
              </w:rPr>
              <w:t>A</w:t>
            </w:r>
            <w:r>
              <w:rPr>
                <w:rFonts w:ascii="Times New Roman;serif" w:hAnsi="Times New Roman;serif"/>
                <w:b w:val="false"/>
                <w:color w:val="000000"/>
                <w:sz w:val="16"/>
              </w:rPr>
              <w:t>NDRE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Werner Andre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Management Certification Pursuant to</w:t>
      </w:r>
    </w:p>
    <w:p>
      <w:pPr>
        <w:pStyle w:val="TextBody"/>
        <w:bidi w:val="0"/>
        <w:spacing w:lineRule="auto" w:line="288" w:before="0" w:after="20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302 of the Sarbanes-Oxley Act of 2002</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 Nicholas H. Cumins, certify that: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w:t>
        <w:noBreakHyphen/>
        <w:t>Q of Bentley Systems, Incorporated (the “registrant”);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bl>
      <w:tblPr>
        <w:tblW w:w="2490" w:type="dxa"/>
        <w:jc w:val="left"/>
        <w:tblInd w:w="0" w:type="dxa"/>
        <w:tblLayout w:type="fixed"/>
        <w:tblCellMar>
          <w:top w:w="28" w:type="dxa"/>
          <w:left w:w="28" w:type="dxa"/>
          <w:bottom w:w="28" w:type="dxa"/>
          <w:right w:w="28" w:type="dxa"/>
        </w:tblCellMar>
      </w:tblPr>
      <w:tblGrid>
        <w:gridCol w:w="795"/>
        <w:gridCol w:w="700"/>
        <w:gridCol w:w="995"/>
      </w:tblGrid>
      <w:tr>
        <w:trPr/>
        <w:tc>
          <w:tcPr>
            <w:tcW w:w="79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 N</w:t>
            </w:r>
            <w:r>
              <w:rPr>
                <w:rFonts w:ascii="Times New Roman;serif" w:hAnsi="Times New Roman;serif"/>
                <w:b w:val="false"/>
                <w:color w:val="000000"/>
                <w:sz w:val="16"/>
              </w:rPr>
              <w:t>ICHOLAS</w:t>
            </w:r>
            <w:r>
              <w:rPr>
                <w:color w:val="000000"/>
              </w:rPr>
              <w:t xml:space="preserve"> </w:t>
            </w:r>
            <w:r>
              <w:rPr>
                <w:rFonts w:ascii="Times New Roman;serif" w:hAnsi="Times New Roman;serif"/>
                <w:b w:val="false"/>
                <w:color w:val="000000"/>
                <w:sz w:val="20"/>
              </w:rPr>
              <w:t>H. C</w:t>
            </w:r>
            <w:r>
              <w:rPr>
                <w:rFonts w:ascii="Times New Roman;serif" w:hAnsi="Times New Roman;serif"/>
                <w:b w:val="false"/>
                <w:color w:val="000000"/>
                <w:sz w:val="16"/>
              </w:rPr>
              <w:t>UMINS</w:t>
            </w:r>
          </w:p>
        </w:tc>
      </w:tr>
      <w:tr>
        <w:trPr/>
        <w:tc>
          <w:tcPr>
            <w:tcW w:w="249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Nicholas H. Cumins</w:t>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Management Certification Pursuant to</w:t>
      </w:r>
    </w:p>
    <w:p>
      <w:pPr>
        <w:pStyle w:val="TextBody"/>
        <w:bidi w:val="0"/>
        <w:spacing w:lineRule="auto" w:line="288" w:before="0" w:after="20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302 of the Sarbanes-Oxley Act of 2002</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 Werner Andre, certify that: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w:t>
        <w:noBreakHyphen/>
        <w:t>Q of Bentley Systems, Incorporated (the “registrant”);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bl>
      <w:tblPr>
        <w:tblW w:w="2430" w:type="dxa"/>
        <w:jc w:val="left"/>
        <w:tblInd w:w="0" w:type="dxa"/>
        <w:tblLayout w:type="fixed"/>
        <w:tblCellMar>
          <w:top w:w="28" w:type="dxa"/>
          <w:left w:w="28" w:type="dxa"/>
          <w:bottom w:w="28" w:type="dxa"/>
          <w:right w:w="28" w:type="dxa"/>
        </w:tblCellMar>
      </w:tblPr>
      <w:tblGrid>
        <w:gridCol w:w="776"/>
        <w:gridCol w:w="683"/>
        <w:gridCol w:w="971"/>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 W</w:t>
            </w:r>
            <w:r>
              <w:rPr>
                <w:rFonts w:ascii="Times New Roman;serif" w:hAnsi="Times New Roman;serif"/>
                <w:b w:val="false"/>
                <w:color w:val="000000"/>
                <w:sz w:val="16"/>
              </w:rPr>
              <w:t>ERNER</w:t>
            </w:r>
            <w:r>
              <w:rPr>
                <w:color w:val="000000"/>
              </w:rPr>
              <w:t xml:space="preserve"> </w:t>
            </w:r>
            <w:r>
              <w:rPr>
                <w:rFonts w:ascii="Times New Roman;serif" w:hAnsi="Times New Roman;serif"/>
                <w:b w:val="false"/>
                <w:color w:val="000000"/>
                <w:sz w:val="20"/>
              </w:rPr>
              <w:t>A</w:t>
            </w:r>
            <w:r>
              <w:rPr>
                <w:rFonts w:ascii="Times New Roman;serif" w:hAnsi="Times New Roman;serif"/>
                <w:b w:val="false"/>
                <w:color w:val="000000"/>
                <w:sz w:val="16"/>
              </w:rPr>
              <w:t>NDRE</w:t>
            </w:r>
          </w:p>
        </w:tc>
      </w:tr>
      <w:tr>
        <w:trPr/>
        <w:tc>
          <w:tcPr>
            <w:tcW w:w="24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Werner Andre</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of CEO and CFO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Bentley Systems, Incorporated (the “Company”) on Form 10</w:t>
        <w:noBreakHyphen/>
        <w:t>Q for the period ended June 30, 2026, as filed with the Securities and Exchange Commission on the date hereof (the “Report”), each of the undersigned officers of the Company certifies, pursuant to 18 U.S.C. Section 1350, as adopted pursuant to Section 906 of the Sarbanes-Oxley Act of 2002, that, to his knowledge:</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bl>
      <w:tblPr>
        <w:tblW w:w="2490" w:type="dxa"/>
        <w:jc w:val="left"/>
        <w:tblInd w:w="0" w:type="dxa"/>
        <w:tblLayout w:type="fixed"/>
        <w:tblCellMar>
          <w:top w:w="28" w:type="dxa"/>
          <w:left w:w="28" w:type="dxa"/>
          <w:bottom w:w="28" w:type="dxa"/>
          <w:right w:w="28" w:type="dxa"/>
        </w:tblCellMar>
      </w:tblPr>
      <w:tblGrid>
        <w:gridCol w:w="795"/>
        <w:gridCol w:w="700"/>
        <w:gridCol w:w="995"/>
      </w:tblGrid>
      <w:tr>
        <w:trPr/>
        <w:tc>
          <w:tcPr>
            <w:tcW w:w="79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 N</w:t>
            </w:r>
            <w:r>
              <w:rPr>
                <w:rFonts w:ascii="Times New Roman;serif" w:hAnsi="Times New Roman;serif"/>
                <w:b w:val="false"/>
                <w:color w:val="000000"/>
                <w:sz w:val="16"/>
              </w:rPr>
              <w:t>ICHOLAS</w:t>
            </w:r>
            <w:r>
              <w:rPr>
                <w:color w:val="000000"/>
              </w:rPr>
              <w:t xml:space="preserve"> </w:t>
            </w:r>
            <w:r>
              <w:rPr>
                <w:rFonts w:ascii="Times New Roman;serif" w:hAnsi="Times New Roman;serif"/>
                <w:b w:val="false"/>
                <w:color w:val="000000"/>
                <w:sz w:val="20"/>
              </w:rPr>
              <w:t>H. C</w:t>
            </w:r>
            <w:r>
              <w:rPr>
                <w:rFonts w:ascii="Times New Roman;serif" w:hAnsi="Times New Roman;serif"/>
                <w:b w:val="false"/>
                <w:color w:val="000000"/>
                <w:sz w:val="16"/>
              </w:rPr>
              <w:t>UMINS</w:t>
            </w:r>
          </w:p>
        </w:tc>
      </w:tr>
      <w:tr>
        <w:trPr/>
        <w:tc>
          <w:tcPr>
            <w:tcW w:w="249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Nicholas H. Cumins</w:t>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tbl>
      <w:tblPr>
        <w:tblW w:w="2430" w:type="dxa"/>
        <w:jc w:val="left"/>
        <w:tblInd w:w="0" w:type="dxa"/>
        <w:tblLayout w:type="fixed"/>
        <w:tblCellMar>
          <w:top w:w="28" w:type="dxa"/>
          <w:left w:w="28" w:type="dxa"/>
          <w:bottom w:w="28" w:type="dxa"/>
          <w:right w:w="28" w:type="dxa"/>
        </w:tblCellMar>
      </w:tblPr>
      <w:tblGrid>
        <w:gridCol w:w="776"/>
        <w:gridCol w:w="683"/>
        <w:gridCol w:w="971"/>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 W</w:t>
            </w:r>
            <w:r>
              <w:rPr>
                <w:rFonts w:ascii="Times New Roman;serif" w:hAnsi="Times New Roman;serif"/>
                <w:b w:val="false"/>
                <w:color w:val="000000"/>
                <w:sz w:val="16"/>
              </w:rPr>
              <w:t>ERNER</w:t>
            </w:r>
            <w:r>
              <w:rPr>
                <w:color w:val="000000"/>
              </w:rPr>
              <w:t xml:space="preserve"> </w:t>
            </w:r>
            <w:r>
              <w:rPr>
                <w:rFonts w:ascii="Times New Roman;serif" w:hAnsi="Times New Roman;serif"/>
                <w:b w:val="false"/>
                <w:color w:val="000000"/>
                <w:sz w:val="20"/>
              </w:rPr>
              <w:t>A</w:t>
            </w:r>
            <w:r>
              <w:rPr>
                <w:rFonts w:ascii="Times New Roman;serif" w:hAnsi="Times New Roman;serif"/>
                <w:b w:val="false"/>
                <w:color w:val="000000"/>
                <w:sz w:val="16"/>
              </w:rPr>
              <w:t>NDRE</w:t>
            </w:r>
          </w:p>
        </w:tc>
      </w:tr>
      <w:tr>
        <w:trPr/>
        <w:tc>
          <w:tcPr>
            <w:tcW w:w="24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Werner Andre</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21551</Words>
  <Characters>121343</Characters>
  <CharactersWithSpaces>140538</CharactersWithSpaces>
  <Paragraphs>3851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