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27"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82"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quarterly period ended March 31, 2021</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99" w:right="339" w:bottom="1440" w:gutter="0" w:footer="0" w:header="0"/>
        </w:sectPr>
      </w:pPr>
    </w:p>
    <w:p>
      <w:pPr>
        <w:spacing w:after="0" w:line="66" w:lineRule="exact"/>
        <w:rPr>
          <w:sz w:val="24"/>
          <w:szCs w:val="24"/>
          <w:color w:val="auto"/>
        </w:rPr>
      </w:pPr>
    </w:p>
    <w:p>
      <w:pPr>
        <w:ind w:left="1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99" w:right="339" w:bottom="1440" w:gutter="0" w:footer="0" w:header="0"/>
          <w:type w:val="continuous"/>
        </w:sectPr>
      </w:pPr>
    </w:p>
    <w:p>
      <w:pPr>
        <w:spacing w:after="0" w:line="98"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Commission File Number: 001-39548</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05"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BENTLEY SYSTEMS, INCORPORATED</w:t>
      </w:r>
    </w:p>
    <w:p>
      <w:pPr>
        <w:spacing w:after="0" w:line="41"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399" w:right="339" w:bottom="1440" w:gutter="0" w:footer="0" w:header="0"/>
          <w:type w:val="continuous"/>
        </w:sectPr>
      </w:pPr>
    </w:p>
    <w:p>
      <w:pPr>
        <w:spacing w:after="0" w:line="264"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95-3936623</w:t>
      </w:r>
    </w:p>
    <w:p>
      <w:pPr>
        <w:spacing w:after="0" w:line="90" w:lineRule="exact"/>
        <w:rPr>
          <w:sz w:val="24"/>
          <w:szCs w:val="24"/>
          <w:color w:val="auto"/>
        </w:rPr>
      </w:pPr>
    </w:p>
    <w:p>
      <w:pPr>
        <w:sectPr>
          <w:pgSz w:w="11900" w:h="16838" w:orient="portrait"/>
          <w:cols w:equalWidth="0" w:num="2">
            <w:col w:w="7600" w:space="720"/>
            <w:col w:w="2920"/>
          </w:cols>
          <w:pgMar w:left="320" w:top="1399" w:right="339" w:bottom="1440" w:gutter="0" w:footer="0" w:header="0"/>
          <w:type w:val="continuous"/>
        </w:sect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52" w:lineRule="exact"/>
        <w:rPr>
          <w:sz w:val="24"/>
          <w:szCs w:val="24"/>
          <w:color w:val="auto"/>
        </w:rPr>
      </w:pPr>
    </w:p>
    <w:p>
      <w:pPr>
        <w:sectPr>
          <w:pgSz w:w="11900" w:h="16838" w:orient="portrait"/>
          <w:cols w:equalWidth="0" w:num="2">
            <w:col w:w="6940" w:space="720"/>
            <w:col w:w="3580"/>
          </w:cols>
          <w:pgMar w:left="320" w:top="1399" w:right="339" w:bottom="1440" w:gutter="0" w:footer="0" w:header="0"/>
          <w:type w:val="continuous"/>
        </w:sectPr>
      </w:pPr>
    </w:p>
    <w:p>
      <w:pPr>
        <w:ind w:left="1880"/>
        <w:spacing w:after="0"/>
        <w:rPr>
          <w:sz w:val="20"/>
          <w:szCs w:val="20"/>
          <w:color w:val="auto"/>
        </w:rPr>
      </w:pPr>
      <w:r>
        <w:rPr>
          <w:rFonts w:ascii="Arial" w:cs="Arial" w:eastAsia="Arial" w:hAnsi="Arial"/>
          <w:sz w:val="15"/>
          <w:szCs w:val="15"/>
          <w:b w:val="1"/>
          <w:bCs w:val="1"/>
          <w:color w:val="auto"/>
        </w:rPr>
        <w:t>685 Stockton Drive</w:t>
      </w:r>
    </w:p>
    <w:p>
      <w:pPr>
        <w:spacing w:after="0" w:line="44"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19341</w:t>
      </w:r>
    </w:p>
    <w:p>
      <w:pPr>
        <w:spacing w:after="0" w:line="50" w:lineRule="exact"/>
        <w:rPr>
          <w:sz w:val="24"/>
          <w:szCs w:val="24"/>
          <w:color w:val="auto"/>
        </w:rPr>
      </w:pPr>
    </w:p>
    <w:p>
      <w:pPr>
        <w:sectPr>
          <w:pgSz w:w="11900" w:h="16838" w:orient="portrait"/>
          <w:cols w:equalWidth="0" w:num="2">
            <w:col w:w="7780" w:space="720"/>
            <w:col w:w="274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39" w:lineRule="exact"/>
        <w:rPr>
          <w:sz w:val="24"/>
          <w:szCs w:val="24"/>
          <w:color w:val="auto"/>
        </w:rPr>
      </w:pPr>
    </w:p>
    <w:p>
      <w:pPr>
        <w:sectPr>
          <w:pgSz w:w="11900" w:h="16838" w:orient="portrait"/>
          <w:cols w:equalWidth="0" w:num="2">
            <w:col w:w="7660" w:space="720"/>
            <w:col w:w="2860"/>
          </w:cols>
          <w:pgMar w:left="320" w:top="1399"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18" w:lineRule="exact"/>
        <w:rPr>
          <w:sz w:val="24"/>
          <w:szCs w:val="24"/>
          <w:color w:val="auto"/>
        </w:rPr>
      </w:pPr>
    </w:p>
    <w:tbl>
      <w:tblPr>
        <w:tblLayout w:type="fixed"/>
        <w:tblInd w:w="340" w:type="dxa"/>
        <w:tblCellMar>
          <w:top w:w="0" w:type="dxa"/>
          <w:left w:w="0" w:type="dxa"/>
          <w:bottom w:w="0" w:type="dxa"/>
          <w:right w:w="0" w:type="dxa"/>
        </w:tblCellMar>
      </w:tblPr>
      <w:tr>
        <w:trPr>
          <w:trHeight w:val="182"/>
        </w:trPr>
        <w:tc>
          <w:tcPr>
            <w:tcW w:w="47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452"/>
        </w:trPr>
        <w:tc>
          <w:tcPr>
            <w:tcW w:w="62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2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3"/>
        </w:trPr>
        <w:tc>
          <w:tcPr>
            <w:tcW w:w="620" w:type="dxa"/>
            <w:vAlign w:val="bottom"/>
          </w:tcPr>
          <w:p>
            <w:pPr>
              <w:spacing w:after="0"/>
              <w:rPr>
                <w:sz w:val="17"/>
                <w:szCs w:val="17"/>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Class B Common Stock, par value $0.01 per share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BSY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236" w:lineRule="exact"/>
        <w:rPr>
          <w:sz w:val="24"/>
          <w:szCs w:val="24"/>
          <w:color w:val="auto"/>
        </w:rPr>
      </w:pPr>
    </w:p>
    <w:p>
      <w:pPr>
        <w:ind w:right="2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firstLine="324"/>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9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39"/>
        </w:trPr>
        <w:tc>
          <w:tcPr>
            <w:tcW w:w="390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30"/>
        </w:trPr>
        <w:tc>
          <w:tcPr>
            <w:tcW w:w="3900" w:type="dxa"/>
            <w:vAlign w:val="bottom"/>
          </w:tcPr>
          <w:p>
            <w:pPr>
              <w:spacing w:after="0"/>
              <w:rPr>
                <w:sz w:val="19"/>
                <w:szCs w:val="19"/>
                <w:color w:val="auto"/>
              </w:rPr>
            </w:pP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spacing w:after="0" w:line="99"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7" w:lineRule="exact"/>
        <w:rPr>
          <w:sz w:val="24"/>
          <w:szCs w:val="24"/>
          <w:color w:val="auto"/>
        </w:rPr>
      </w:pPr>
    </w:p>
    <w:p>
      <w:pPr>
        <w:ind w:left="340"/>
        <w:spacing w:after="0" w:line="196"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May 4, 2021, the registrant had 11,601,757 shares of Class A and 265,119,441 shares of Class B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762635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00" w:type="dxa"/>
            <w:vAlign w:val="bottom"/>
            <w:gridSpan w:val="21"/>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1"/>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Item 1. Unaudited Consolidated Financial Statements</w:t>
              </w:r>
            </w:hyperlink>
          </w:p>
        </w:tc>
        <w:tc>
          <w:tcPr>
            <w:tcW w:w="648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40" w:type="dxa"/>
            <w:vAlign w:val="bottom"/>
            <w:tcBorders>
              <w:bottom w:val="single" w:sz="8" w:color="0000FF"/>
            </w:tcBorders>
            <w:gridSpan w:val="13"/>
          </w:tcPr>
          <w:p>
            <w:pPr>
              <w:ind w:left="20"/>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Consolidated Balance Sheets as of March 31, 2021 and December 31, 2020</w:t>
              </w:r>
            </w:hyperlink>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40" w:type="dxa"/>
            <w:vAlign w:val="bottom"/>
            <w:gridSpan w:val="2"/>
          </w:tcPr>
          <w:p>
            <w:pPr>
              <w:jc w:val="center"/>
              <w:ind w:left="190"/>
              <w:spacing w:after="0"/>
              <w:rPr>
                <w:sz w:val="20"/>
                <w:szCs w:val="20"/>
                <w:color w:val="auto"/>
              </w:rPr>
            </w:pPr>
            <w:r>
              <w:rPr>
                <w:rFonts w:ascii="Arial" w:cs="Arial" w:eastAsia="Arial" w:hAnsi="Arial"/>
                <w:sz w:val="18"/>
                <w:szCs w:val="18"/>
                <w:color w:val="0000FF"/>
                <w:w w:val="79"/>
              </w:rPr>
              <w:t>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4"/>
            <w:vMerge w:val="restart"/>
          </w:tcPr>
          <w:p>
            <w:pPr>
              <w:ind w:left="20"/>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 for the three months ended March 31, 2021 and 2020</w:t>
              </w:r>
            </w:hyperlink>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00" w:type="dxa"/>
            <w:vAlign w:val="bottom"/>
            <w:tcBorders>
              <w:bottom w:val="single" w:sz="8" w:color="0000FF"/>
            </w:tcBorders>
            <w:gridSpan w:val="14"/>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20" w:type="dxa"/>
            <w:vAlign w:val="bottom"/>
            <w:gridSpan w:val="18"/>
            <w:vMerge w:val="restart"/>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Income for the three months ended March 31, 2021 and 2020</w:t>
              </w:r>
            </w:hyperlink>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20" w:type="dxa"/>
            <w:vAlign w:val="bottom"/>
            <w:tcBorders>
              <w:bottom w:val="single" w:sz="8" w:color="0000FF"/>
            </w:tcBorders>
            <w:gridSpan w:val="18"/>
            <w:vMerge w:val="continue"/>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40" w:type="dxa"/>
            <w:vAlign w:val="bottom"/>
            <w:gridSpan w:val="17"/>
            <w:vMerge w:val="restart"/>
          </w:tcPr>
          <w:p>
            <w:pPr>
              <w:ind w:left="20"/>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Consolidated Statements of Stockholders’ Equity for the three months ended March 31, 2021 and 2020</w:t>
              </w:r>
            </w:hyperlink>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tcBorders>
              <w:bottom w:val="single" w:sz="8" w:color="0000FF"/>
            </w:tcBorders>
            <w:gridSpan w:val="17"/>
            <w:vMerge w:val="continue"/>
          </w:tcPr>
          <w:p>
            <w:pPr>
              <w:spacing w:after="0"/>
              <w:rPr>
                <w:sz w:val="18"/>
                <w:szCs w:val="18"/>
                <w:color w:val="auto"/>
              </w:rPr>
            </w:pPr>
          </w:p>
        </w:tc>
        <w:tc>
          <w:tcPr>
            <w:tcW w:w="2740" w:type="dxa"/>
            <w:vAlign w:val="bottom"/>
            <w:gridSpan w:val="2"/>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60" w:type="dxa"/>
            <w:vAlign w:val="bottom"/>
            <w:gridSpan w:val="15"/>
            <w:vMerge w:val="restart"/>
          </w:tcPr>
          <w:p>
            <w:pPr>
              <w:ind w:left="20"/>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 for the three months ended March 31, 2021 and 2020</w:t>
              </w:r>
            </w:hyperlink>
          </w:p>
        </w:tc>
        <w:tc>
          <w:tcPr>
            <w:tcW w:w="10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60" w:type="dxa"/>
            <w:vAlign w:val="bottom"/>
            <w:tcBorders>
              <w:bottom w:val="single" w:sz="8" w:color="0000FF"/>
            </w:tcBorders>
            <w:gridSpan w:val="15"/>
            <w:vMerge w:val="continue"/>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9"/>
            <w:vMerge w:val="restart"/>
          </w:tcPr>
          <w:p>
            <w:pPr>
              <w:ind w:left="20"/>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9"/>
            <w:vMerge w:val="continue"/>
          </w:tcPr>
          <w:p>
            <w:pPr>
              <w:spacing w:after="0"/>
              <w:rPr>
                <w:sz w:val="18"/>
                <w:szCs w:val="18"/>
                <w:color w:val="auto"/>
              </w:rPr>
            </w:pPr>
          </w:p>
        </w:tc>
        <w:tc>
          <w:tcPr>
            <w:tcW w:w="1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4"/>
          </w:tcPr>
          <w:p>
            <w:pPr>
              <w:spacing w:after="0"/>
              <w:rPr>
                <w:sz w:val="18"/>
                <w:szCs w:val="18"/>
                <w:color w:val="auto"/>
              </w:rPr>
            </w:pPr>
          </w:p>
        </w:tc>
        <w:tc>
          <w:tcPr>
            <w:tcW w:w="3320" w:type="dxa"/>
            <w:vAlign w:val="bottom"/>
            <w:gridSpan w:val="3"/>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7"/>
            <w:vMerge w:val="restart"/>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Item 2. Management’s Discussion and Analysis of Financial Condition and Results of Operations</w:t>
              </w:r>
            </w:hyperlink>
          </w:p>
        </w:tc>
        <w:tc>
          <w:tcPr>
            <w:tcW w:w="3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7"/>
            <w:vMerge w:val="continue"/>
          </w:tcPr>
          <w:p>
            <w:pPr>
              <w:spacing w:after="0"/>
              <w:rPr>
                <w:sz w:val="18"/>
                <w:szCs w:val="18"/>
                <w:color w:val="auto"/>
              </w:rPr>
            </w:pPr>
          </w:p>
        </w:tc>
        <w:tc>
          <w:tcPr>
            <w:tcW w:w="3320" w:type="dxa"/>
            <w:vAlign w:val="bottom"/>
            <w:gridSpan w:val="3"/>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3"/>
            <w:vMerge w:val="restart"/>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Item 3. Quantitative and Qualitative Disclosures About Market Risk</w:t>
              </w:r>
            </w:hyperlink>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3"/>
            <w:vMerge w:val="continue"/>
          </w:tcPr>
          <w:p>
            <w:pPr>
              <w:spacing w:after="0"/>
              <w:rPr>
                <w:sz w:val="18"/>
                <w:szCs w:val="18"/>
                <w:color w:val="auto"/>
              </w:rPr>
            </w:pPr>
          </w:p>
        </w:tc>
        <w:tc>
          <w:tcPr>
            <w:tcW w:w="5420" w:type="dxa"/>
            <w:vAlign w:val="bottom"/>
            <w:gridSpan w:val="7"/>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64">
              <w:r>
                <w:rPr>
                  <w:rFonts w:ascii="Arial" w:cs="Arial" w:eastAsia="Arial" w:hAnsi="Arial"/>
                  <w:sz w:val="18"/>
                  <w:szCs w:val="18"/>
                  <w:color w:val="0000FF"/>
                  <w:w w:val="94"/>
                </w:rPr>
                <w:t>Item 4.</w:t>
              </w:r>
            </w:hyperlink>
          </w:p>
        </w:tc>
        <w:tc>
          <w:tcPr>
            <w:tcW w:w="1800" w:type="dxa"/>
            <w:vAlign w:val="bottom"/>
            <w:gridSpan w:val="5"/>
            <w:vMerge w:val="restart"/>
          </w:tcPr>
          <w:p>
            <w:pPr>
              <w:ind w:left="20"/>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Controls and Procedures</w:t>
              </w:r>
            </w:hyperlink>
          </w:p>
        </w:tc>
        <w:tc>
          <w:tcPr>
            <w:tcW w:w="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1800" w:type="dxa"/>
            <w:vAlign w:val="bottom"/>
            <w:tcBorders>
              <w:bottom w:val="single" w:sz="8" w:color="0000FF"/>
            </w:tcBorders>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65</w:t>
              </w:r>
            </w:hyperlink>
          </w:p>
        </w:tc>
        <w:tc>
          <w:tcPr>
            <w:tcW w:w="0" w:type="dxa"/>
            <w:vAlign w:val="bottom"/>
          </w:tcPr>
          <w:p>
            <w:pPr>
              <w:spacing w:after="0"/>
              <w:rPr>
                <w:sz w:val="1"/>
                <w:szCs w:val="1"/>
                <w:color w:val="auto"/>
              </w:rPr>
            </w:pPr>
          </w:p>
        </w:tc>
      </w:tr>
      <w:tr>
        <w:trPr>
          <w:trHeight w:val="20"/>
        </w:trPr>
        <w:tc>
          <w:tcPr>
            <w:tcW w:w="2580" w:type="dxa"/>
            <w:vAlign w:val="bottom"/>
            <w:gridSpan w:val="9"/>
            <w:vMerge w:val="restart"/>
          </w:tcPr>
          <w:p>
            <w:pPr>
              <w:spacing w:after="0"/>
              <w:rPr>
                <w:rFonts w:ascii="Arial" w:cs="Arial" w:eastAsia="Arial" w:hAnsi="Arial"/>
                <w:sz w:val="18"/>
                <w:szCs w:val="18"/>
                <w:color w:val="0000FF"/>
                <w:w w:val="95"/>
              </w:rPr>
            </w:pPr>
            <w:hyperlink w:anchor="page65">
              <w:r>
                <w:rPr>
                  <w:rFonts w:ascii="Arial" w:cs="Arial" w:eastAsia="Arial" w:hAnsi="Arial"/>
                  <w:sz w:val="18"/>
                  <w:szCs w:val="18"/>
                  <w:color w:val="0000FF"/>
                  <w:w w:val="95"/>
                </w:rPr>
                <w:t>PART II. OTHER INFORMATION</w:t>
              </w:r>
            </w:hyperlink>
          </w:p>
        </w:tc>
        <w:tc>
          <w:tcPr>
            <w:tcW w:w="7920" w:type="dxa"/>
            <w:vAlign w:val="bottom"/>
            <w:gridSpan w:val="1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580" w:type="dxa"/>
            <w:vAlign w:val="bottom"/>
            <w:tcBorders>
              <w:bottom w:val="single" w:sz="8" w:color="0000FF"/>
            </w:tcBorders>
            <w:gridSpan w:val="9"/>
            <w:vMerge w:val="continue"/>
          </w:tcPr>
          <w:p>
            <w:pPr>
              <w:spacing w:after="0"/>
              <w:rPr>
                <w:sz w:val="24"/>
                <w:szCs w:val="24"/>
                <w:color w:val="auto"/>
              </w:rPr>
            </w:pPr>
          </w:p>
        </w:tc>
        <w:tc>
          <w:tcPr>
            <w:tcW w:w="792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65">
              <w:r>
                <w:rPr>
                  <w:rFonts w:ascii="Arial" w:cs="Arial" w:eastAsia="Arial" w:hAnsi="Arial"/>
                  <w:sz w:val="18"/>
                  <w:szCs w:val="18"/>
                  <w:color w:val="0000FF"/>
                  <w:w w:val="94"/>
                </w:rPr>
                <w:t>Item 1.</w:t>
              </w:r>
            </w:hyperlink>
          </w:p>
        </w:tc>
        <w:tc>
          <w:tcPr>
            <w:tcW w:w="1360" w:type="dxa"/>
            <w:vAlign w:val="bottom"/>
            <w:tcBorders>
              <w:bottom w:val="single" w:sz="8" w:color="0000FF"/>
            </w:tcBorders>
            <w:gridSpan w:val="4"/>
          </w:tcPr>
          <w:p>
            <w:pPr>
              <w:ind w:left="20"/>
              <w:spacing w:after="0"/>
              <w:rPr>
                <w:rFonts w:ascii="Arial" w:cs="Arial" w:eastAsia="Arial" w:hAnsi="Arial"/>
                <w:sz w:val="18"/>
                <w:szCs w:val="18"/>
                <w:color w:val="0000FF"/>
                <w:w w:val="88"/>
              </w:rPr>
            </w:pPr>
            <w:hyperlink w:anchor="page65">
              <w:r>
                <w:rPr>
                  <w:rFonts w:ascii="Arial" w:cs="Arial" w:eastAsia="Arial" w:hAnsi="Arial"/>
                  <w:sz w:val="18"/>
                  <w:szCs w:val="18"/>
                  <w:color w:val="0000FF"/>
                  <w:w w:val="88"/>
                </w:rPr>
                <w:t>Legal Proceedings</w:t>
              </w:r>
            </w:hyperlink>
          </w:p>
        </w:tc>
        <w:tc>
          <w:tcPr>
            <w:tcW w:w="3000" w:type="dxa"/>
            <w:vAlign w:val="bottom"/>
            <w:gridSpan w:val="6"/>
          </w:tcPr>
          <w:p>
            <w:pPr>
              <w:spacing w:after="0"/>
              <w:rPr>
                <w:sz w:val="19"/>
                <w:szCs w:val="19"/>
                <w:color w:val="auto"/>
              </w:rPr>
            </w:pPr>
          </w:p>
        </w:tc>
        <w:tc>
          <w:tcPr>
            <w:tcW w:w="5440" w:type="dxa"/>
            <w:vAlign w:val="bottom"/>
            <w:gridSpan w:val="8"/>
          </w:tcPr>
          <w:p>
            <w:pPr>
              <w:spacing w:after="0"/>
              <w:rPr>
                <w:sz w:val="19"/>
                <w:szCs w:val="19"/>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5"/>
            <w:vMerge w:val="restart"/>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Item 1A. Risk Factors</w:t>
              </w:r>
            </w:hyperlink>
          </w:p>
        </w:tc>
        <w:tc>
          <w:tcPr>
            <w:tcW w:w="3300" w:type="dxa"/>
            <w:vAlign w:val="bottom"/>
            <w:gridSpan w:val="7"/>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5"/>
            <w:vMerge w:val="continue"/>
          </w:tcPr>
          <w:p>
            <w:pPr>
              <w:spacing w:after="0"/>
              <w:rPr>
                <w:sz w:val="18"/>
                <w:szCs w:val="18"/>
                <w:color w:val="auto"/>
              </w:rPr>
            </w:pPr>
          </w:p>
        </w:tc>
        <w:tc>
          <w:tcPr>
            <w:tcW w:w="3300" w:type="dxa"/>
            <w:vAlign w:val="bottom"/>
            <w:gridSpan w:val="7"/>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66">
              <w:r>
                <w:rPr>
                  <w:rFonts w:ascii="Arial" w:cs="Arial" w:eastAsia="Arial" w:hAnsi="Arial"/>
                  <w:sz w:val="18"/>
                  <w:szCs w:val="18"/>
                  <w:color w:val="0000FF"/>
                  <w:w w:val="94"/>
                </w:rPr>
                <w:t>Item 2.</w:t>
              </w:r>
            </w:hyperlink>
          </w:p>
        </w:tc>
        <w:tc>
          <w:tcPr>
            <w:tcW w:w="4360" w:type="dxa"/>
            <w:vAlign w:val="bottom"/>
            <w:gridSpan w:val="10"/>
            <w:vMerge w:val="restart"/>
          </w:tcPr>
          <w:p>
            <w:pPr>
              <w:ind w:left="2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Unregistered Sales of Equity Securities and Use of Proceeds</w:t>
              </w:r>
            </w:hyperlink>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4360" w:type="dxa"/>
            <w:vAlign w:val="bottom"/>
            <w:tcBorders>
              <w:bottom w:val="single" w:sz="8" w:color="0000FF"/>
            </w:tcBorders>
            <w:gridSpan w:val="10"/>
            <w:vMerge w:val="continue"/>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66">
              <w:r>
                <w:rPr>
                  <w:rFonts w:ascii="Arial" w:cs="Arial" w:eastAsia="Arial" w:hAnsi="Arial"/>
                  <w:sz w:val="18"/>
                  <w:szCs w:val="18"/>
                  <w:color w:val="0000FF"/>
                  <w:w w:val="94"/>
                </w:rPr>
                <w:t>Item 6.</w:t>
              </w:r>
            </w:hyperlink>
          </w:p>
        </w:tc>
        <w:tc>
          <w:tcPr>
            <w:tcW w:w="620" w:type="dxa"/>
            <w:vAlign w:val="bottom"/>
            <w:gridSpan w:val="2"/>
            <w:vMerge w:val="restart"/>
          </w:tcPr>
          <w:p>
            <w:pPr>
              <w:ind w:left="20"/>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Exhibits</w:t>
              </w:r>
            </w:hyperlink>
          </w:p>
        </w:tc>
        <w:tc>
          <w:tcPr>
            <w:tcW w:w="918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620" w:type="dxa"/>
            <w:vAlign w:val="bottom"/>
            <w:tcBorders>
              <w:bottom w:val="single" w:sz="8" w:color="0000FF"/>
            </w:tcBorders>
            <w:gridSpan w:val="2"/>
            <w:vMerge w:val="continue"/>
          </w:tcPr>
          <w:p>
            <w:pPr>
              <w:spacing w:after="0"/>
              <w:rPr>
                <w:sz w:val="18"/>
                <w:szCs w:val="18"/>
                <w:color w:val="auto"/>
              </w:rPr>
            </w:pPr>
          </w:p>
        </w:tc>
        <w:tc>
          <w:tcPr>
            <w:tcW w:w="9180" w:type="dxa"/>
            <w:vAlign w:val="bottom"/>
            <w:gridSpan w:val="16"/>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67</w:t>
              </w:r>
            </w:hyperlink>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950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00" w:type="dxa"/>
            <w:vAlign w:val="bottom"/>
            <w:gridSpan w:val="21"/>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SIGNATURE</w:t>
              </w:r>
            </w:hyperlink>
          </w:p>
        </w:tc>
        <w:tc>
          <w:tcPr>
            <w:tcW w:w="720" w:type="dxa"/>
            <w:vAlign w:val="bottom"/>
            <w:gridSpan w:val="3"/>
          </w:tcPr>
          <w:p>
            <w:pPr>
              <w:jc w:val="center"/>
              <w:ind w:right="2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68</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82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Arial" w:cs="Arial" w:eastAsia="Arial" w:hAnsi="Arial"/>
                <w:sz w:val="16"/>
                <w:szCs w:val="16"/>
                <w:b w:val="1"/>
                <w:bCs w:val="1"/>
                <w:color w:val="auto"/>
                <w:w w:val="92"/>
              </w:rPr>
              <w:t>December 31, 2020</w:t>
            </w:r>
          </w:p>
        </w:tc>
      </w:tr>
      <w:tr>
        <w:trPr>
          <w:trHeight w:val="212"/>
        </w:trPr>
        <w:tc>
          <w:tcPr>
            <w:tcW w:w="6680" w:type="dxa"/>
            <w:vAlign w:val="bottom"/>
            <w:tcBorders>
              <w:top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569,536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122,006</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189,530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195,782</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3,994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25,118</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24,694</w:t>
            </w:r>
          </w:p>
        </w:tc>
      </w:tr>
      <w:tr>
        <w:trPr>
          <w:trHeight w:val="224"/>
        </w:trPr>
        <w:tc>
          <w:tcPr>
            <w:tcW w:w="6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781,808</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340,258</w:t>
            </w:r>
          </w:p>
        </w:tc>
      </w:tr>
      <w:tr>
        <w:trPr>
          <w:trHeight w:val="26"/>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28,414</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41,691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46,128</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45,627</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622,756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581,174</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39,224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39,519</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1,626,868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1,126,035</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6"/>
        </w:trPr>
        <w:tc>
          <w:tcPr>
            <w:tcW w:w="6680" w:type="dxa"/>
            <w:vAlign w:val="bottom"/>
            <w:shd w:val="clear" w:color="auto" w:fill="CCEEFF"/>
          </w:tcPr>
          <w:p>
            <w:pPr>
              <w:ind w:left="18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296,497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226,793</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186,396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202,294</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15,894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16,610</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24"/>
        </w:trPr>
        <w:tc>
          <w:tcPr>
            <w:tcW w:w="6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526,455</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465,555</w:t>
            </w:r>
          </w:p>
        </w:tc>
      </w:tr>
      <w:tr>
        <w:trPr>
          <w:trHeight w:val="26"/>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672,599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27,861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31,767</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14,305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10,849</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16,660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15,362</w:t>
            </w:r>
          </w:p>
        </w:tc>
      </w:tr>
      <w:tr>
        <w:trPr>
          <w:trHeight w:val="27"/>
        </w:trPr>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1,272,871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784,436</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9"/>
        </w:trPr>
        <w:tc>
          <w:tcPr>
            <w:tcW w:w="6680" w:type="dxa"/>
            <w:vAlign w:val="bottom"/>
          </w:tcPr>
          <w:p>
            <w:pPr>
              <w:ind w:left="180"/>
              <w:spacing w:after="0"/>
              <w:rPr>
                <w:sz w:val="20"/>
                <w:szCs w:val="20"/>
                <w:color w:val="auto"/>
              </w:rPr>
            </w:pPr>
            <w:r>
              <w:rPr>
                <w:rFonts w:ascii="Arial" w:cs="Arial" w:eastAsia="Arial" w:hAnsi="Arial"/>
                <w:sz w:val="18"/>
                <w:szCs w:val="18"/>
                <w:color w:val="auto"/>
              </w:rPr>
              <w:t>Preferred stock, $0.01 par value, authorized 100,000,000 shares; none issued</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7"/>
        </w:trPr>
        <w:tc>
          <w:tcPr>
            <w:tcW w:w="6680" w:type="dxa"/>
            <w:vAlign w:val="bottom"/>
          </w:tcPr>
          <w:p>
            <w:pPr>
              <w:ind w:left="340"/>
              <w:spacing w:after="0"/>
              <w:rPr>
                <w:sz w:val="20"/>
                <w:szCs w:val="20"/>
                <w:color w:val="auto"/>
              </w:rPr>
            </w:pPr>
            <w:r>
              <w:rPr>
                <w:rFonts w:ascii="Arial" w:cs="Arial" w:eastAsia="Arial" w:hAnsi="Arial"/>
                <w:sz w:val="18"/>
                <w:szCs w:val="18"/>
                <w:color w:val="auto"/>
              </w:rPr>
              <w:t>or outstanding as of March 31, 2021 and December 31, 2020</w:t>
            </w:r>
          </w:p>
        </w:tc>
        <w:tc>
          <w:tcPr>
            <w:tcW w:w="220" w:type="dxa"/>
            <w:vAlign w:val="bottom"/>
          </w:tcPr>
          <w:p>
            <w:pPr>
              <w:spacing w:after="0"/>
              <w:rPr>
                <w:sz w:val="22"/>
                <w:szCs w:val="22"/>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Class A Common Stock, $0.01 par value, authorized 100,000,000 shares; issued and</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outstanding 11,601,757 shares as of March 31, 2021 and December 31, 2020, and</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Class B Common Stock, $0.01 par value, authorized 1,800,000,000 shares; issued</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and outstanding 262,120,726 and 260,552,747 shares as of March 31, 2021 and</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57"/>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2020, respectively</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732,635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741,113</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(345,981)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(376,003)</w:t>
            </w:r>
          </w:p>
        </w:tc>
      </w:tr>
      <w:tr>
        <w:trPr>
          <w:trHeight w:val="27"/>
        </w:trPr>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353,997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341,599</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1,626,868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1,126,035</w:t>
            </w: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985" w:right="339" w:bottom="3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374" w:gutter="0" w:footer="0" w:header="0"/>
          <w:type w:val="continuous"/>
        </w:sectPr>
      </w:pPr>
    </w:p>
    <w:bookmarkStart w:id="3" w:name="page4"/>
    <w:bookmarkEnd w:id="3"/>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BENTLEY SYSTEMS, INCORPORATED AND SUBSIDIARIES</w:t>
      </w:r>
    </w:p>
    <w:p>
      <w:pPr>
        <w:spacing w:after="0" w:line="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jc w:val="both"/>
        <w:ind w:left="8480"/>
        <w:spacing w:after="0"/>
        <w:tabs>
          <w:tab w:leader="none" w:pos="102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ectPr>
          <w:pgSz w:w="11900" w:h="16838" w:orient="portrait"/>
          <w:cols w:equalWidth="0" w:num="1">
            <w:col w:w="11240"/>
          </w:cols>
          <w:pgMar w:left="320" w:top="1440"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Subscriptions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Perpetual licenses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Subscriptions and licenses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Services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revenues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Cost of subscriptions and licenses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services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188,125</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170,182</w:t>
            </w:r>
          </w:p>
        </w:tc>
      </w:tr>
      <w:tr>
        <w:trPr>
          <w:trHeight w:val="270"/>
        </w:trPr>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w:t>
            </w:r>
          </w:p>
        </w:tc>
        <w:tc>
          <w:tcPr>
            <w:tcW w:w="2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w:t>
            </w:r>
          </w:p>
        </w:tc>
      </w:tr>
      <w:tr>
        <w:trPr>
          <w:trHeight w:val="250"/>
        </w:trPr>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198,241</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180,996</w:t>
            </w:r>
          </w:p>
        </w:tc>
      </w:tr>
      <w:tr>
        <w:trPr>
          <w:trHeight w:val="270"/>
        </w:trPr>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c>
          <w:tcPr>
            <w:tcW w:w="2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r>
      <w:tr>
        <w:trPr>
          <w:trHeight w:val="250"/>
        </w:trPr>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c>
          <w:tcPr>
            <w:tcW w:w="2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194,690</w:t>
            </w:r>
          </w:p>
        </w:tc>
      </w:tr>
      <w:tr>
        <w:trPr>
          <w:trHeight w:val="480"/>
        </w:trPr>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28,945</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21,327</w:t>
            </w:r>
          </w:p>
        </w:tc>
      </w:tr>
      <w:tr>
        <w:trPr>
          <w:trHeight w:val="270"/>
        </w:trPr>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20,344</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-1173480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-830580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-487680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-1490980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40" w:space="720"/>
            <w:col w:w="33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49,289</w:t>
            </w:r>
          </w:p>
        </w:tc>
        <w:tc>
          <w:tcPr>
            <w:tcW w:w="2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37,259</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172,716</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157,431</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45,135</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32,440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36,095</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26,804</w:t>
            </w:r>
          </w:p>
        </w:tc>
        <w:tc>
          <w:tcPr>
            <w:tcW w:w="0" w:type="dxa"/>
            <w:vAlign w:val="bottom"/>
          </w:tcPr>
          <w:p>
            <w:pPr>
              <w:spacing w:after="0"/>
              <w:rPr>
                <w:sz w:val="1"/>
                <w:szCs w:val="1"/>
                <w:color w:val="auto"/>
              </w:rPr>
            </w:pP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117,069</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111,470</w:t>
            </w:r>
          </w:p>
        </w:tc>
        <w:tc>
          <w:tcPr>
            <w:tcW w:w="0" w:type="dxa"/>
            <w:vAlign w:val="bottom"/>
          </w:tcPr>
          <w:p>
            <w:pPr>
              <w:spacing w:after="0"/>
              <w:rPr>
                <w:sz w:val="1"/>
                <w:szCs w:val="1"/>
                <w:color w:val="auto"/>
              </w:rPr>
            </w:pPr>
          </w:p>
        </w:tc>
      </w:tr>
      <w:tr>
        <w:trPr>
          <w:trHeight w:val="250"/>
        </w:trPr>
        <w:tc>
          <w:tcPr>
            <w:tcW w:w="786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55,647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45,961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14,482</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67,810</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(10,358)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(7,176)</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50"/>
        </w:trPr>
        <w:tc>
          <w:tcPr>
            <w:tcW w:w="78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57,006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29,669</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57,006</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Net income per share, basic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302,583,452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285,486,972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321,736,649</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292,378,627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ind w:left="5380"/>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95"/>
        </w:trPr>
        <w:tc>
          <w:tcPr>
            <w:tcW w:w="8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8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21"/>
                <w:szCs w:val="21"/>
                <w:color w:val="auto"/>
              </w:rPr>
            </w:pPr>
          </w:p>
        </w:tc>
      </w:tr>
      <w:tr>
        <w:trPr>
          <w:trHeight w:val="237"/>
        </w:trPr>
        <w:tc>
          <w:tcPr>
            <w:tcW w:w="8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comprehensive loss, net of taxes: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r>
      <w:tr>
        <w:trPr>
          <w:trHeight w:val="270"/>
        </w:trPr>
        <w:tc>
          <w:tcPr>
            <w:tcW w:w="8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Actuarial gain on retirement plan, net of tax effect of $(8) and $(7), respectively</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47,845</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24,593</w:t>
            </w:r>
          </w:p>
        </w:tc>
      </w:tr>
      <w:tr>
        <w:trPr>
          <w:trHeight w:val="21"/>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272,154,504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741,113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341,599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57,006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57,006</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w w:val="93"/>
              </w:rPr>
              <w:t>Purchase of capped call options, net of tax of $6,250</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(19,430)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339,503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(8,859)</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Deferred compensation plan voluntary contributions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w w:val="98"/>
              </w:rPr>
              <w:t>Shares issued in connection with Executive Bonus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79,961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3,537</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1,263,121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2,786</w:t>
            </w:r>
          </w:p>
        </w:tc>
      </w:tr>
      <w:tr>
        <w:trPr>
          <w:trHeight w:val="243"/>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March 31, 2021</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273,722,483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732,635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(345,981)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353,997</w:t>
            </w: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28"/>
        </w:trPr>
        <w:tc>
          <w:tcPr>
            <w:tcW w:w="3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254,842,949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334,619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29,669</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(7,666)</w:t>
            </w:r>
          </w:p>
        </w:tc>
      </w:tr>
      <w:tr>
        <w:trPr>
          <w:trHeight w:val="246"/>
        </w:trPr>
        <w:tc>
          <w:tcPr>
            <w:tcW w:w="3700" w:type="dxa"/>
            <w:vAlign w:val="bottom"/>
            <w:shd w:val="clear" w:color="auto" w:fill="CCEEFF"/>
          </w:tcPr>
          <w:p>
            <w:pPr>
              <w:ind w:left="18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683,072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Deferred compensation plan voluntary contributions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Payment of shareholder Put and Call rights</w:t>
            </w:r>
          </w:p>
        </w:tc>
        <w:tc>
          <w:tcPr>
            <w:tcW w:w="1240" w:type="dxa"/>
            <w:vAlign w:val="bottom"/>
          </w:tcPr>
          <w:p>
            <w:pPr>
              <w:jc w:val="right"/>
              <w:spacing w:after="0"/>
              <w:rPr>
                <w:sz w:val="20"/>
                <w:szCs w:val="20"/>
                <w:color w:val="auto"/>
              </w:rPr>
            </w:pPr>
            <w:r>
              <w:rPr>
                <w:rFonts w:ascii="Arial" w:cs="Arial" w:eastAsia="Arial" w:hAnsi="Arial"/>
                <w:sz w:val="16"/>
                <w:szCs w:val="16"/>
                <w:color w:val="auto"/>
              </w:rPr>
              <w:t>(37,870)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697,833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for stock grants</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10,951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tcPr>
          <w:p>
            <w:pPr>
              <w:jc w:val="right"/>
              <w:spacing w:after="0"/>
              <w:rPr>
                <w:sz w:val="20"/>
                <w:szCs w:val="20"/>
                <w:color w:val="auto"/>
              </w:rPr>
            </w:pPr>
            <w:r>
              <w:rPr>
                <w:rFonts w:ascii="Arial" w:cs="Arial" w:eastAsia="Arial" w:hAnsi="Arial"/>
                <w:sz w:val="16"/>
                <w:szCs w:val="16"/>
                <w:color w:val="auto"/>
              </w:rPr>
              <w:t>(285,019)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3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1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255,725,201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412,038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351,010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BENTLEY SYSTEMS, INCORPORATED AND SUBSIDIARIES</w:t>
      </w:r>
    </w:p>
    <w:p>
      <w:pPr>
        <w:spacing w:after="0" w:line="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20320</wp:posOffset>
            </wp:positionV>
            <wp:extent cx="1560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9" w:lineRule="exact"/>
        <w:rPr>
          <w:sz w:val="20"/>
          <w:szCs w:val="20"/>
          <w:color w:val="auto"/>
        </w:rPr>
      </w:pPr>
    </w:p>
    <w:p>
      <w:pPr>
        <w:jc w:val="both"/>
        <w:ind w:left="9180"/>
        <w:spacing w:after="0"/>
        <w:tabs>
          <w:tab w:leader="none" w:pos="1050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ectPr>
          <w:pgSz w:w="11900" w:h="16838" w:orient="portrait"/>
          <w:cols w:equalWidth="0" w:num="1">
            <w:col w:w="11240"/>
          </w:cols>
          <w:pgMar w:left="320" w:top="1440"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Bad debt allowance (recovery)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compensation plan activity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and write-off of deferred debt issuance costs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fair value of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fair value of contingent consideration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 currency remeasurement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 from investment accounted for using the equity method, net of tax</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assets and liabilities, net of effect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accruals and other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taxes payable</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Purchases of property and equipment and investment in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 net of cash acquired of $1,326 and $1,986, respectively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credit facilities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Proceeds from convertible senior notes, net of discounts and commissions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capped call options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acquisition debt and other consideration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right="3200"/>
        <w:spacing w:after="0" w:line="316" w:lineRule="auto"/>
        <w:rPr>
          <w:sz w:val="20"/>
          <w:szCs w:val="20"/>
          <w:color w:val="auto"/>
        </w:rPr>
      </w:pPr>
      <w:r>
        <w:rPr>
          <w:rFonts w:ascii="Arial" w:cs="Arial" w:eastAsia="Arial" w:hAnsi="Arial"/>
          <w:sz w:val="18"/>
          <w:szCs w:val="18"/>
          <w:color w:val="auto"/>
        </w:rPr>
        <w:t>Payments for shares acquired including shares withheld for taxes Proceeds from exercise of stock options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57,006</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29,669</w:t>
            </w:r>
          </w:p>
        </w:tc>
      </w:tr>
      <w:tr>
        <w:trPr>
          <w:trHeight w:val="540"/>
        </w:trPr>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8,993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8,050</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8,913</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(13,661)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6,985</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540"/>
        </w:trPr>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14,903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38,273</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5,653</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54,977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6,778</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(21,889)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(28,247)</w:t>
            </w:r>
          </w:p>
        </w:tc>
      </w:tr>
      <w:tr>
        <w:trPr>
          <w:trHeight w:val="270"/>
        </w:trPr>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r>
      <w:tr>
        <w:trPr>
          <w:trHeight w:val="243"/>
        </w:trPr>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132,798</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72,612</w:t>
            </w:r>
          </w:p>
        </w:tc>
      </w:tr>
      <w:tr>
        <w:trPr>
          <w:trHeight w:val="486"/>
        </w:trPr>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70"/>
        </w:trPr>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(57,975)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(39,329)</w:t>
            </w:r>
          </w:p>
        </w:tc>
      </w:tr>
    </w:tbl>
    <w:p>
      <w:pPr>
        <w:spacing w:after="0" w:line="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(1,414)</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(60,630)</w:t>
      </w:r>
      <w:r>
        <w:rPr>
          <w:rFonts w:ascii="Arial" w:cs="Arial" w:eastAsia="Arial" w:hAnsi="Arial"/>
          <w:sz w:val="16"/>
          <w:szCs w:val="16"/>
          <w:color w:val="auto"/>
        </w:rPr>
        <w:t>(45,243)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5601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86" w:lineRule="exact"/>
        <w:rPr>
          <w:sz w:val="20"/>
          <w:szCs w:val="20"/>
          <w:color w:val="auto"/>
        </w:rPr>
      </w:pPr>
    </w:p>
    <w:p>
      <w:pPr>
        <w:ind w:left="580"/>
        <w:spacing w:after="0"/>
        <w:tabs>
          <w:tab w:leader="none" w:pos="1880" w:val="left"/>
        </w:tabs>
        <w:rPr>
          <w:sz w:val="20"/>
          <w:szCs w:val="20"/>
          <w:color w:val="auto"/>
        </w:rPr>
      </w:pPr>
      <w:r>
        <w:rPr>
          <w:rFonts w:ascii="Arial" w:cs="Arial" w:eastAsia="Arial" w:hAnsi="Arial"/>
          <w:sz w:val="18"/>
          <w:szCs w:val="18"/>
          <w:color w:val="auto"/>
        </w:rPr>
        <w:t>16,000</w:t>
      </w:r>
      <w:r>
        <w:rPr>
          <w:sz w:val="20"/>
          <w:szCs w:val="20"/>
          <w:color w:val="auto"/>
        </w:rPr>
        <w:tab/>
      </w:r>
      <w:r>
        <w:rPr>
          <w:rFonts w:ascii="Arial" w:cs="Arial" w:eastAsia="Arial" w:hAnsi="Arial"/>
          <w:sz w:val="18"/>
          <w:szCs w:val="18"/>
          <w:color w:val="auto"/>
        </w:rPr>
        <w:t>58,907</w:t>
      </w:r>
    </w:p>
    <w:p>
      <w:pPr>
        <w:spacing w:after="0" w:line="63" w:lineRule="exact"/>
        <w:rPr>
          <w:sz w:val="20"/>
          <w:szCs w:val="20"/>
          <w:color w:val="auto"/>
        </w:rPr>
      </w:pPr>
    </w:p>
    <w:p>
      <w:pPr>
        <w:ind w:left="400"/>
        <w:spacing w:after="0"/>
        <w:tabs>
          <w:tab w:leader="none" w:pos="1700" w:val="left"/>
        </w:tabs>
        <w:rPr>
          <w:sz w:val="20"/>
          <w:szCs w:val="20"/>
          <w:color w:val="auto"/>
        </w:rPr>
      </w:pPr>
      <w:r>
        <w:rPr>
          <w:rFonts w:ascii="Arial" w:cs="Arial" w:eastAsia="Arial" w:hAnsi="Arial"/>
          <w:sz w:val="17"/>
          <w:szCs w:val="17"/>
          <w:color w:val="auto"/>
        </w:rPr>
        <w:t>(262,000)</w:t>
      </w:r>
      <w:r>
        <w:rPr>
          <w:sz w:val="20"/>
          <w:szCs w:val="20"/>
          <w:color w:val="auto"/>
        </w:rPr>
        <w:tab/>
      </w:r>
      <w:r>
        <w:rPr>
          <w:rFonts w:ascii="Arial" w:cs="Arial" w:eastAsia="Arial" w:hAnsi="Arial"/>
          <w:sz w:val="17"/>
          <w:szCs w:val="17"/>
          <w:color w:val="auto"/>
        </w:rPr>
        <w:t>(133,625)</w:t>
      </w:r>
    </w:p>
    <w:p>
      <w:pPr>
        <w:spacing w:after="0" w:line="75" w:lineRule="exact"/>
        <w:rPr>
          <w:sz w:val="20"/>
          <w:szCs w:val="20"/>
          <w:color w:val="auto"/>
        </w:rPr>
      </w:pPr>
    </w:p>
    <w:p>
      <w:pPr>
        <w:ind w:left="480"/>
        <w:spacing w:after="0"/>
        <w:tabs>
          <w:tab w:leader="none" w:pos="2180" w:val="left"/>
        </w:tabs>
        <w:rPr>
          <w:sz w:val="20"/>
          <w:szCs w:val="20"/>
          <w:color w:val="auto"/>
        </w:rPr>
      </w:pPr>
      <w:r>
        <w:rPr>
          <w:rFonts w:ascii="Arial" w:cs="Arial" w:eastAsia="Arial" w:hAnsi="Arial"/>
          <w:sz w:val="18"/>
          <w:szCs w:val="18"/>
          <w:color w:val="auto"/>
        </w:rPr>
        <w:t>672,750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580"/>
        <w:spacing w:after="0"/>
        <w:tabs>
          <w:tab w:leader="none" w:pos="2180" w:val="left"/>
        </w:tabs>
        <w:rPr>
          <w:sz w:val="20"/>
          <w:szCs w:val="20"/>
          <w:color w:val="auto"/>
        </w:rPr>
      </w:pPr>
      <w:r>
        <w:rPr>
          <w:rFonts w:ascii="Arial" w:cs="Arial" w:eastAsia="Arial" w:hAnsi="Arial"/>
          <w:sz w:val="18"/>
          <w:szCs w:val="18"/>
          <w:color w:val="auto"/>
        </w:rPr>
        <w:t>(3,777)</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500"/>
        <w:spacing w:after="0"/>
        <w:tabs>
          <w:tab w:leader="none" w:pos="2180" w:val="left"/>
        </w:tabs>
        <w:rPr>
          <w:sz w:val="20"/>
          <w:szCs w:val="20"/>
          <w:color w:val="auto"/>
        </w:rPr>
      </w:pPr>
      <w:r>
        <w:rPr>
          <w:rFonts w:ascii="Arial" w:cs="Arial" w:eastAsia="Arial" w:hAnsi="Arial"/>
          <w:sz w:val="18"/>
          <w:szCs w:val="18"/>
          <w:color w:val="auto"/>
        </w:rPr>
        <w:t>(25,530)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140" w:hanging="1330"/>
        <w:spacing w:after="0"/>
        <w:tabs>
          <w:tab w:leader="none" w:pos="2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(47)</w:t>
      </w:r>
    </w:p>
    <w:p>
      <w:pPr>
        <w:spacing w:after="0" w:line="75" w:lineRule="exact"/>
        <w:rPr>
          <w:sz w:val="20"/>
          <w:szCs w:val="20"/>
          <w:color w:val="auto"/>
        </w:rPr>
      </w:pPr>
    </w:p>
    <w:p>
      <w:pPr>
        <w:ind w:left="2040" w:hanging="1230"/>
        <w:spacing w:after="0"/>
        <w:tabs>
          <w:tab w:leader="none" w:pos="2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(127)</w:t>
      </w:r>
    </w:p>
    <w:p>
      <w:pPr>
        <w:spacing w:after="0" w:line="74"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(8,219)</w:t>
      </w:r>
      <w:r>
        <w:rPr>
          <w:rFonts w:ascii="Arial" w:cs="Arial" w:eastAsia="Arial" w:hAnsi="Arial"/>
          <w:sz w:val="17"/>
          <w:szCs w:val="17"/>
          <w:color w:val="auto"/>
        </w:rPr>
        <w:t>(7,802)</w:t>
      </w:r>
    </w:p>
    <w:p>
      <w:pPr>
        <w:spacing w:after="0" w:line="63" w:lineRule="exact"/>
        <w:rPr>
          <w:sz w:val="20"/>
          <w:szCs w:val="20"/>
          <w:color w:val="auto"/>
        </w:rPr>
      </w:pPr>
    </w:p>
    <w:p>
      <w:pPr>
        <w:ind w:left="500"/>
        <w:spacing w:after="0"/>
        <w:tabs>
          <w:tab w:leader="none" w:pos="1880" w:val="left"/>
        </w:tabs>
        <w:rPr>
          <w:sz w:val="20"/>
          <w:szCs w:val="20"/>
          <w:color w:val="auto"/>
        </w:rPr>
      </w:pPr>
      <w:r>
        <w:rPr>
          <w:rFonts w:ascii="Arial" w:cs="Arial" w:eastAsia="Arial" w:hAnsi="Arial"/>
          <w:sz w:val="17"/>
          <w:szCs w:val="17"/>
          <w:color w:val="auto"/>
        </w:rPr>
        <w:t>(18,763)</w:t>
      </w:r>
      <w:r>
        <w:rPr>
          <w:sz w:val="20"/>
          <w:szCs w:val="20"/>
          <w:color w:val="auto"/>
        </w:rPr>
        <w:tab/>
      </w:r>
      <w:r>
        <w:rPr>
          <w:rFonts w:ascii="Arial" w:cs="Arial" w:eastAsia="Arial" w:hAnsi="Arial"/>
          <w:sz w:val="17"/>
          <w:szCs w:val="17"/>
          <w:color w:val="auto"/>
        </w:rPr>
        <w:t>(3,918)</w:t>
      </w:r>
    </w:p>
    <w:p>
      <w:pPr>
        <w:spacing w:after="0" w:line="7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color w:val="auto"/>
        </w:rPr>
        <w:t>1,751</w:t>
      </w:r>
      <w:r>
        <w:rPr>
          <w:sz w:val="20"/>
          <w:szCs w:val="20"/>
          <w:color w:val="auto"/>
        </w:rPr>
        <w:tab/>
      </w:r>
      <w:r>
        <w:rPr>
          <w:rFonts w:ascii="Arial" w:cs="Arial" w:eastAsia="Arial" w:hAnsi="Arial"/>
          <w:sz w:val="18"/>
          <w:szCs w:val="18"/>
          <w:color w:val="auto"/>
        </w:rPr>
        <w:t>724</w:t>
      </w:r>
    </w:p>
    <w:p>
      <w:pPr>
        <w:spacing w:after="0" w:line="42" w:lineRule="exact"/>
        <w:rPr>
          <w:sz w:val="20"/>
          <w:szCs w:val="20"/>
          <w:color w:val="auto"/>
        </w:rPr>
      </w:pPr>
    </w:p>
    <w:p>
      <w:pPr>
        <w:sectPr>
          <w:pgSz w:w="11900" w:h="16838" w:orient="portrait"/>
          <w:cols w:equalWidth="0" w:num="2">
            <w:col w:w="8060" w:space="720"/>
            <w:col w:w="24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372,137</w:t>
            </w: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(85,888)</w:t>
            </w:r>
          </w:p>
        </w:tc>
      </w:tr>
      <w:tr>
        <w:trPr>
          <w:trHeight w:val="223"/>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r>
      <w:tr>
        <w:trPr>
          <w:trHeight w:val="250"/>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447,530</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(60,812)</w:t>
            </w:r>
          </w:p>
        </w:tc>
      </w:tr>
      <w:tr>
        <w:trPr>
          <w:trHeight w:val="229"/>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121,101</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569,536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60,289</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19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2"/>
              </w:rPr>
              <w:t>Three Months Ended</w:t>
            </w:r>
          </w:p>
        </w:tc>
      </w:tr>
      <w:tr>
        <w:trPr>
          <w:trHeight w:val="219"/>
        </w:trPr>
        <w:tc>
          <w:tcPr>
            <w:tcW w:w="8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6"/>
                <w:szCs w:val="16"/>
                <w:b w:val="1"/>
                <w:bCs w:val="1"/>
                <w:color w:val="auto"/>
                <w:w w:val="94"/>
              </w:rPr>
              <w:t>March 31,</w:t>
            </w:r>
          </w:p>
        </w:tc>
        <w:tc>
          <w:tcPr>
            <w:tcW w:w="800" w:type="dxa"/>
            <w:vAlign w:val="bottom"/>
            <w:tcBorders>
              <w:bottom w:val="single" w:sz="8" w:color="auto"/>
            </w:tcBorders>
          </w:tcPr>
          <w:p>
            <w:pPr>
              <w:spacing w:after="0"/>
              <w:rPr>
                <w:sz w:val="19"/>
                <w:szCs w:val="19"/>
                <w:color w:val="auto"/>
              </w:rPr>
            </w:pPr>
          </w:p>
        </w:tc>
      </w:tr>
      <w:tr>
        <w:trPr>
          <w:trHeight w:val="233"/>
        </w:trPr>
        <w:tc>
          <w:tcPr>
            <w:tcW w:w="87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r>
      <w:tr>
        <w:trPr>
          <w:trHeight w:val="21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70"/>
        </w:trPr>
        <w:tc>
          <w:tcPr>
            <w:tcW w:w="878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4,214</w:t>
            </w:r>
          </w:p>
        </w:tc>
        <w:tc>
          <w:tcPr>
            <w:tcW w:w="1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4,181</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refunds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87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1,842</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70"/>
        </w:trPr>
        <w:tc>
          <w:tcPr>
            <w:tcW w:w="8780" w:type="dxa"/>
            <w:vAlign w:val="bottom"/>
          </w:tcPr>
          <w:p>
            <w:pPr>
              <w:ind w:left="180"/>
              <w:spacing w:after="0"/>
              <w:rPr>
                <w:sz w:val="20"/>
                <w:szCs w:val="20"/>
                <w:color w:val="auto"/>
              </w:rPr>
            </w:pPr>
            <w:r>
              <w:rPr>
                <w:rFonts w:ascii="Arial" w:cs="Arial" w:eastAsia="Arial" w:hAnsi="Arial"/>
                <w:sz w:val="18"/>
                <w:szCs w:val="18"/>
                <w:color w:val="auto"/>
              </w:rPr>
              <w:t>Contingent acquisition consideration</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780" w:type="dxa"/>
            <w:vAlign w:val="bottom"/>
          </w:tcPr>
          <w:p>
            <w:pPr>
              <w:ind w:left="180"/>
              <w:spacing w:after="0"/>
              <w:rPr>
                <w:sz w:val="20"/>
                <w:szCs w:val="20"/>
                <w:color w:val="auto"/>
              </w:rPr>
            </w:pPr>
            <w:r>
              <w:rPr>
                <w:rFonts w:ascii="Arial" w:cs="Arial" w:eastAsia="Arial" w:hAnsi="Arial"/>
                <w:sz w:val="18"/>
                <w:szCs w:val="18"/>
                <w:color w:val="auto"/>
              </w:rPr>
              <w:t xml:space="preserve">Convertible senior notes expenses included in </w:t>
            </w:r>
            <w:r>
              <w:rPr>
                <w:rFonts w:ascii="Arial" w:cs="Arial" w:eastAsia="Arial" w:hAnsi="Arial"/>
                <w:sz w:val="18"/>
                <w:szCs w:val="18"/>
                <w:i w:val="1"/>
                <w:iCs w:val="1"/>
                <w:color w:val="auto"/>
              </w:rPr>
              <w:t>Accounts payable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Accruals and other current liabilities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Capped call options expenses included in </w:t>
            </w:r>
            <w:r>
              <w:rPr>
                <w:rFonts w:ascii="Arial" w:cs="Arial" w:eastAsia="Arial" w:hAnsi="Arial"/>
                <w:sz w:val="18"/>
                <w:szCs w:val="18"/>
                <w:i w:val="1"/>
                <w:iCs w:val="1"/>
                <w:color w:val="auto"/>
              </w:rPr>
              <w:t>Accounts payable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780" w:type="dxa"/>
            <w:vAlign w:val="bottom"/>
          </w:tcPr>
          <w:p>
            <w:pPr>
              <w:ind w:left="180"/>
              <w:spacing w:after="0"/>
              <w:rPr>
                <w:sz w:val="20"/>
                <w:szCs w:val="20"/>
                <w:color w:val="auto"/>
              </w:rPr>
            </w:pPr>
            <w:r>
              <w:rPr>
                <w:rFonts w:ascii="Arial" w:cs="Arial" w:eastAsia="Arial" w:hAnsi="Arial"/>
                <w:sz w:val="18"/>
                <w:szCs w:val="18"/>
                <w:color w:val="auto"/>
              </w:rPr>
              <w:t>Share-settled Executive Bonus Plan awards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Voluntary deferred compensation plan contributions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r>
    </w:tbl>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accompanying unaudited consolidated financial statements include the accounts of Bentley Systems, Incorporated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(“Bentley” or the “Company”) and its wholly-owned subsidiaries, and have been prepared in accordance with accounting principles generally accepted in the United States of America (“U.S. GAAP”) and in accordance with the rules and regulations of the U.S.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Part II, Item 8 of the Company’s 2020 Annual Report on Form 10</w:t>
      </w:r>
      <w:r>
        <w:rPr>
          <w:rFonts w:ascii="MS PGothic" w:cs="MS PGothic" w:eastAsia="MS PGothic" w:hAnsi="MS PGothic"/>
          <w:sz w:val="17"/>
          <w:szCs w:val="17"/>
          <w:i w:val="1"/>
          <w:iCs w:val="1"/>
          <w:color w:val="auto"/>
        </w:rPr>
        <w:t>‑</w:t>
      </w:r>
      <w:r>
        <w:rPr>
          <w:rFonts w:ascii="Arial" w:cs="Arial" w:eastAsia="Arial" w:hAnsi="Arial"/>
          <w:sz w:val="17"/>
          <w:szCs w:val="17"/>
          <w:color w:val="auto"/>
        </w:rPr>
        <w:t>K on file with the SEC. In management’s opinion, the Company made all adjustments (consisting of normal, recurring and non-recurring adjustments) during the quarter that were considered necessary for the fair statement of the financial position and operating results of the Company. The preparation of financial statements in conformity with U.S. GAAP requires management to make estimates and assumptions that affect reported amounts in the financial statements and accompanying notes. Actual results could differ from those estimates. The December 31, 2020 consolidated balance sheet included herein is derived from the Company’s audited consolidated financial statements.</w:t>
      </w:r>
    </w:p>
    <w:p>
      <w:pPr>
        <w:spacing w:after="0" w:line="20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Convertible Notes </w:t>
      </w:r>
      <w:r>
        <w:rPr>
          <w:rFonts w:ascii="Arial" w:cs="Arial" w:eastAsia="Arial" w:hAnsi="Arial"/>
          <w:sz w:val="17"/>
          <w:szCs w:val="17"/>
          <w:color w:val="auto"/>
        </w:rPr>
        <w:t>— On January 26, 2021, the Company completed a private offering of $690,000 of 0.125% convertible senior notes due 2026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“2026 Notes”). The Company incurred $18,055 of expenses in connection with the 2026 Notes offering consisting of the payment of initial purchasers’ discounts and commissions, professional fees, and other expenses (“transaction costs”). In connection with the pricing of the 2026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Company paid premiums of $25,530 in connection with the capped call options (See Note 10).</w:t>
      </w:r>
    </w:p>
    <w:p>
      <w:pPr>
        <w:spacing w:after="0" w:line="17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b w:val="1"/>
          <w:bCs w:val="1"/>
          <w:i w:val="1"/>
          <w:iCs w:val="1"/>
          <w:color w:val="auto"/>
        </w:rPr>
        <w:t xml:space="preserve">Initial Public Offering </w:t>
      </w:r>
      <w:r>
        <w:rPr>
          <w:rFonts w:ascii="Arial" w:cs="Arial" w:eastAsia="Arial" w:hAnsi="Arial"/>
          <w:sz w:val="16"/>
          <w:szCs w:val="16"/>
          <w:color w:val="auto"/>
        </w:rPr>
        <w:t>— On September 25, 2020, the Company completed its initial public offering (“IPO”). The selling stockholders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12,360,991 shares of Class B Common Stock at a public offering price of $22.00 per share. The Company did not sell any shares in the IPO and did not receive any of the proceeds from the sale of the Class B Common Stock sold by the selling stockholders. For further detail, see the audited consolidated financial statements and notes thereto included in Part II, Item 8 of the Company’s 2020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on file with the SEC.</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Follow-On Public Offering </w:t>
      </w:r>
      <w:r>
        <w:rPr>
          <w:rFonts w:ascii="Arial" w:cs="Arial" w:eastAsia="Arial" w:hAnsi="Arial"/>
          <w:sz w:val="18"/>
          <w:szCs w:val="18"/>
          <w:color w:val="auto"/>
        </w:rPr>
        <w:t>— On November 17, 2020, the Company completed its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of 11,500,000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public offering price of $32.00 per share (the “Follow</w:t>
      </w:r>
      <w:r>
        <w:rPr>
          <w:rFonts w:ascii="MS PGothic" w:cs="MS PGothic" w:eastAsia="MS PGothic" w:hAnsi="MS PGothic"/>
          <w:sz w:val="18"/>
          <w:szCs w:val="18"/>
          <w:color w:val="auto"/>
        </w:rPr>
        <w:t>‑</w:t>
      </w:r>
      <w:r>
        <w:rPr>
          <w:rFonts w:ascii="Arial" w:cs="Arial" w:eastAsia="Arial" w:hAnsi="Arial"/>
          <w:sz w:val="18"/>
          <w:szCs w:val="18"/>
          <w:color w:val="auto"/>
        </w:rPr>
        <w:t>On Offering”).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For further detail, see the audited consolidated financial statements and notes thereto included in Part II, Item 8 of the Company’s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line="19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Risks and Uncertainties —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19 Pandemic </w:t>
      </w:r>
      <w:r>
        <w:rPr>
          <w:rFonts w:ascii="Arial" w:cs="Arial" w:eastAsia="Arial" w:hAnsi="Arial"/>
          <w:sz w:val="16"/>
          <w:szCs w:val="16"/>
          <w:color w:val="auto"/>
        </w:rPr>
        <w:t>— In March 2020, the World Health Organization declared a global pandemic related to the rapidly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outbreak of the disease COVID</w:t>
      </w:r>
      <w:r>
        <w:rPr>
          <w:rFonts w:ascii="MS PGothic" w:cs="MS PGothic" w:eastAsia="MS PGothic" w:hAnsi="MS PGothic"/>
          <w:sz w:val="16"/>
          <w:szCs w:val="16"/>
          <w:color w:val="auto"/>
        </w:rPr>
        <w:t>‑</w:t>
      </w:r>
      <w:r>
        <w:rPr>
          <w:rFonts w:ascii="Arial" w:cs="Arial" w:eastAsia="Arial" w:hAnsi="Arial"/>
          <w:sz w:val="16"/>
          <w:szCs w:val="16"/>
          <w:color w:val="auto"/>
        </w:rPr>
        <w:t>19, caused by a novel strain of coronavirus, SARS</w:t>
      </w:r>
      <w:r>
        <w:rPr>
          <w:rFonts w:ascii="MS PGothic" w:cs="MS PGothic" w:eastAsia="MS PGothic" w:hAnsi="MS PGothic"/>
          <w:sz w:val="16"/>
          <w:szCs w:val="16"/>
          <w:color w:val="auto"/>
        </w:rPr>
        <w:t>‑</w:t>
      </w:r>
      <w:r>
        <w:rPr>
          <w:rFonts w:ascii="Arial" w:cs="Arial" w:eastAsia="Arial" w:hAnsi="Arial"/>
          <w:sz w:val="16"/>
          <w:szCs w:val="16"/>
          <w:color w:val="auto"/>
        </w:rPr>
        <w:t>CoV</w:t>
      </w:r>
      <w:r>
        <w:rPr>
          <w:rFonts w:ascii="MS PGothic" w:cs="MS PGothic" w:eastAsia="MS PGothic" w:hAnsi="MS PGothic"/>
          <w:sz w:val="16"/>
          <w:szCs w:val="16"/>
          <w:color w:val="auto"/>
        </w:rPr>
        <w:t>‑</w:t>
      </w:r>
      <w:r>
        <w:rPr>
          <w:rFonts w:ascii="Arial" w:cs="Arial" w:eastAsia="Arial" w:hAnsi="Arial"/>
          <w:sz w:val="16"/>
          <w:szCs w:val="16"/>
          <w:color w:val="auto"/>
        </w:rPr>
        <w:t>2. The COVID</w:t>
      </w:r>
      <w:r>
        <w:rPr>
          <w:rFonts w:ascii="MS PGothic" w:cs="MS PGothic" w:eastAsia="MS PGothic" w:hAnsi="MS PGothic"/>
          <w:sz w:val="16"/>
          <w:szCs w:val="16"/>
          <w:color w:val="auto"/>
        </w:rPr>
        <w:t>‑</w:t>
      </w:r>
      <w:r>
        <w:rPr>
          <w:rFonts w:ascii="Arial" w:cs="Arial" w:eastAsia="Arial" w:hAnsi="Arial"/>
          <w:sz w:val="16"/>
          <w:szCs w:val="16"/>
          <w:color w:val="auto"/>
        </w:rPr>
        <w:t>19 outbreak and certain preventative or protective actions that governments, businesses, and individuals have taken in respect of COVID</w:t>
      </w:r>
      <w:r>
        <w:rPr>
          <w:rFonts w:ascii="MS PGothic" w:cs="MS PGothic" w:eastAsia="MS PGothic" w:hAnsi="MS PGothic"/>
          <w:sz w:val="16"/>
          <w:szCs w:val="16"/>
          <w:color w:val="auto"/>
        </w:rPr>
        <w:t>‑</w:t>
      </w:r>
      <w:r>
        <w:rPr>
          <w:rFonts w:ascii="Arial" w:cs="Arial" w:eastAsia="Arial" w:hAnsi="Arial"/>
          <w:sz w:val="16"/>
          <w:szCs w:val="16"/>
          <w:color w:val="auto"/>
        </w:rPr>
        <w:t>19 have resulted in global business disruptions.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In response to the COVID</w:t>
      </w:r>
      <w:r>
        <w:rPr>
          <w:rFonts w:ascii="MS PGothic" w:cs="MS PGothic" w:eastAsia="MS PGothic" w:hAnsi="MS PGothic"/>
          <w:sz w:val="16"/>
          <w:szCs w:val="16"/>
          <w:color w:val="auto"/>
        </w:rPr>
        <w:t>‑</w:t>
      </w:r>
      <w:r>
        <w:rPr>
          <w:rFonts w:ascii="Arial" w:cs="Arial" w:eastAsia="Arial" w:hAnsi="Arial"/>
          <w:sz w:val="16"/>
          <w:szCs w:val="16"/>
          <w:color w:val="auto"/>
        </w:rPr>
        <w:t>19 pandemic, the Company implemented a number of initiatives to ensure the safety of its colleagues and enable them to move to a work from home environment seamlessly and continue working effectively. The Company’s business model is such that there was minimal disruption to the Company’s ability to deliver its solutions to accounts, and the Company believes it did not have any significant loss of productivity during this transition. The Company has also taken measures to reduce selected operating expenses, including various costs associated with travel and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In March 2020, the Financial Accounting Standards Board (“FASB”) issued ASU No. 2020</w:t>
      </w:r>
      <w:r>
        <w:rPr>
          <w:rFonts w:ascii="MS PGothic" w:cs="MS PGothic" w:eastAsia="MS PGothic" w:hAnsi="MS PGothic"/>
          <w:sz w:val="16"/>
          <w:szCs w:val="16"/>
          <w:color w:val="auto"/>
        </w:rPr>
        <w:t>‑</w:t>
      </w:r>
      <w:r>
        <w:rPr>
          <w:rFonts w:ascii="Arial" w:cs="Arial" w:eastAsia="Arial" w:hAnsi="Arial"/>
          <w:sz w:val="16"/>
          <w:szCs w:val="16"/>
          <w:color w:val="auto"/>
        </w:rPr>
        <w:t xml:space="preserve">04, </w:t>
      </w:r>
      <w:r>
        <w:rPr>
          <w:rFonts w:ascii="Arial" w:cs="Arial" w:eastAsia="Arial" w:hAnsi="Arial"/>
          <w:sz w:val="16"/>
          <w:szCs w:val="16"/>
          <w:i w:val="1"/>
          <w:iCs w:val="1"/>
          <w:color w:val="auto"/>
        </w:rPr>
        <w:t>Reference Rate Reform (Topic 848): 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of Reference Rate Reform on Financial Reporting </w:t>
      </w:r>
      <w:r>
        <w:rPr>
          <w:rFonts w:ascii="Arial" w:cs="Arial" w:eastAsia="Arial" w:hAnsi="Arial"/>
          <w:sz w:val="16"/>
          <w:szCs w:val="16"/>
          <w:color w:val="auto"/>
        </w:rPr>
        <w:t>(“ASU 2020</w:t>
      </w:r>
      <w:r>
        <w:rPr>
          <w:rFonts w:ascii="MS PGothic" w:cs="MS PGothic" w:eastAsia="MS PGothic" w:hAnsi="MS PGothic"/>
          <w:sz w:val="16"/>
          <w:szCs w:val="16"/>
          <w:color w:val="auto"/>
        </w:rPr>
        <w:t>‑</w:t>
      </w:r>
      <w:r>
        <w:rPr>
          <w:rFonts w:ascii="Arial" w:cs="Arial" w:eastAsia="Arial" w:hAnsi="Arial"/>
          <w:sz w:val="16"/>
          <w:szCs w:val="16"/>
          <w:color w:val="auto"/>
        </w:rPr>
        <w:t>04”), which provides optional expedients and exceptions for applying U.S. GAAP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hedging relationships, and other transactions affected by reference rate reform if certain criteria are met. ASU 2020</w:t>
      </w:r>
      <w:r>
        <w:rPr>
          <w:rFonts w:ascii="MS PGothic" w:cs="MS PGothic" w:eastAsia="MS PGothic" w:hAnsi="MS PGothic"/>
          <w:sz w:val="16"/>
          <w:szCs w:val="16"/>
          <w:color w:val="auto"/>
        </w:rPr>
        <w:t>‑</w:t>
      </w:r>
      <w:r>
        <w:rPr>
          <w:rFonts w:ascii="Arial" w:cs="Arial" w:eastAsia="Arial" w:hAnsi="Arial"/>
          <w:sz w:val="16"/>
          <w:szCs w:val="16"/>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The expedients and exceptions provided by ASU 2020</w:t>
      </w:r>
      <w:r>
        <w:rPr>
          <w:rFonts w:ascii="MS PGothic" w:cs="MS PGothic" w:eastAsia="MS PGothic" w:hAnsi="MS PGothic"/>
          <w:sz w:val="16"/>
          <w:szCs w:val="16"/>
          <w:color w:val="auto"/>
        </w:rPr>
        <w:t>‑</w:t>
      </w:r>
      <w:r>
        <w:rPr>
          <w:rFonts w:ascii="Arial" w:cs="Arial" w:eastAsia="Arial" w:hAnsi="Arial"/>
          <w:sz w:val="16"/>
          <w:szCs w:val="16"/>
          <w:color w:val="auto"/>
        </w:rPr>
        <w:t>04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Company had no transactions that were impacted by ASU 2020</w:t>
      </w:r>
      <w:r>
        <w:rPr>
          <w:rFonts w:ascii="MS PGothic" w:cs="MS PGothic" w:eastAsia="MS PGothic" w:hAnsi="MS PGothic"/>
          <w:sz w:val="16"/>
          <w:szCs w:val="16"/>
          <w:color w:val="auto"/>
        </w:rPr>
        <w:t>‑</w:t>
      </w:r>
      <w:r>
        <w:rPr>
          <w:rFonts w:ascii="Arial" w:cs="Arial" w:eastAsia="Arial" w:hAnsi="Arial"/>
          <w:sz w:val="16"/>
          <w:szCs w:val="16"/>
          <w:color w:val="auto"/>
        </w:rPr>
        <w:t>04 during the three months ended March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In January 2017, the FASB issued ASU No. 2017</w:t>
      </w:r>
      <w:r>
        <w:rPr>
          <w:rFonts w:ascii="MS PGothic" w:cs="MS PGothic" w:eastAsia="MS PGothic" w:hAnsi="MS PGothic"/>
          <w:sz w:val="16"/>
          <w:szCs w:val="16"/>
          <w:color w:val="auto"/>
        </w:rPr>
        <w:t>‑</w:t>
      </w:r>
      <w:r>
        <w:rPr>
          <w:rFonts w:ascii="Arial" w:cs="Arial" w:eastAsia="Arial" w:hAnsi="Arial"/>
          <w:sz w:val="16"/>
          <w:szCs w:val="16"/>
          <w:color w:val="auto"/>
        </w:rPr>
        <w:t xml:space="preserve">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removes Step 2 of the goodwill impairment test. A goodwill impairment will now be calculated as the amount by which a reporting unit’s carrying value exceeds its fair value, not to exceed the carrying amount of goodwill. The new guidance is required to be applied on a prospective basis and as such, the Company will use the simplified test in its annual fourth quarter testing or more often if circumstances indicate a potential impairment may exist. The Company does not believe this ASU will have a material impact on its consolidated results of operations and financial position.</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2018, the FASB issued ASU No. 2018</w:t>
      </w:r>
      <w:r>
        <w:rPr>
          <w:rFonts w:ascii="MS PGothic" w:cs="MS PGothic" w:eastAsia="MS PGothic" w:hAnsi="MS PGothic"/>
          <w:sz w:val="18"/>
          <w:szCs w:val="18"/>
          <w:color w:val="auto"/>
        </w:rPr>
        <w:t>‑</w:t>
      </w:r>
      <w:r>
        <w:rPr>
          <w:rFonts w:ascii="Arial" w:cs="Arial" w:eastAsia="Arial" w:hAnsi="Arial"/>
          <w:sz w:val="18"/>
          <w:szCs w:val="18"/>
          <w:color w:val="auto"/>
        </w:rPr>
        <w:t xml:space="preserve">15, </w:t>
      </w:r>
      <w:r>
        <w:rPr>
          <w:rFonts w:ascii="Arial" w:cs="Arial" w:eastAsia="Arial" w:hAnsi="Arial"/>
          <w:sz w:val="18"/>
          <w:szCs w:val="18"/>
          <w:i w:val="1"/>
          <w:iCs w:val="1"/>
          <w:color w:val="auto"/>
        </w:rPr>
        <w:t>Intangibles–Goodwill and Other–Internal-Use Software (Subtopic 350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w:t>
      </w:r>
      <w:r>
        <w:rPr>
          <w:rFonts w:ascii="MS PGothic" w:cs="MS PGothic" w:eastAsia="MS PGothic" w:hAnsi="MS PGothic"/>
          <w:sz w:val="18"/>
          <w:szCs w:val="18"/>
          <w:color w:val="auto"/>
        </w:rPr>
        <w:t>‑</w:t>
      </w:r>
      <w:r>
        <w:rPr>
          <w:rFonts w:ascii="Arial" w:cs="Arial" w:eastAsia="Arial" w:hAnsi="Arial"/>
          <w:sz w:val="18"/>
          <w:szCs w:val="18"/>
          <w:color w:val="auto"/>
        </w:rPr>
        <w:t>15”), 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 cloud computing arrangements with the requirements for capitalizing implementation costs incurred to develop or obtain internal</w:t>
      </w:r>
      <w:r>
        <w:rPr>
          <w:rFonts w:ascii="MS PGothic" w:cs="MS PGothic" w:eastAsia="MS PGothic" w:hAnsi="MS PGothic"/>
          <w:sz w:val="18"/>
          <w:szCs w:val="18"/>
          <w:color w:val="auto"/>
        </w:rPr>
        <w:t>‑</w:t>
      </w:r>
      <w:r>
        <w:rPr>
          <w:rFonts w:ascii="Arial" w:cs="Arial" w:eastAsia="Arial" w:hAnsi="Arial"/>
          <w:sz w:val="18"/>
          <w:szCs w:val="18"/>
          <w:color w:val="auto"/>
        </w:rPr>
        <w:t xml:space="preserve">use software. The Company prospectively adopted the ASU effective January 1, 2021. Capitalized costs related to cloud computing arrangements for the three months ended March 31, 2021, which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 were not material.</w:t>
      </w:r>
    </w:p>
    <w:p>
      <w:pPr>
        <w:spacing w:after="0" w:line="20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2020, the FASB issued ASU No. 2020</w:t>
      </w:r>
      <w:r>
        <w:rPr>
          <w:rFonts w:ascii="MS PGothic" w:cs="MS PGothic" w:eastAsia="MS PGothic" w:hAnsi="MS PGothic"/>
          <w:sz w:val="18"/>
          <w:szCs w:val="18"/>
          <w:color w:val="auto"/>
        </w:rPr>
        <w:t>‑</w:t>
      </w:r>
      <w:r>
        <w:rPr>
          <w:rFonts w:ascii="Arial" w:cs="Arial" w:eastAsia="Arial" w:hAnsi="Arial"/>
          <w:sz w:val="18"/>
          <w:szCs w:val="18"/>
          <w:color w:val="auto"/>
        </w:rPr>
        <w:t xml:space="preserve">06, </w:t>
      </w:r>
      <w:r>
        <w:rPr>
          <w:rFonts w:ascii="Arial" w:cs="Arial" w:eastAsia="Arial" w:hAnsi="Arial"/>
          <w:sz w:val="18"/>
          <w:szCs w:val="18"/>
          <w:i w:val="1"/>
          <w:iCs w:val="1"/>
          <w:color w:val="auto"/>
        </w:rPr>
        <w:t>Debt–Debt with Conversion and Other Options (Subtopic 470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40): Accounting for Convertible Instruments and Contracts in an Entity’s Own Equity </w:t>
      </w:r>
      <w:r>
        <w:rPr>
          <w:rFonts w:ascii="Arial" w:cs="Arial" w:eastAsia="Arial" w:hAnsi="Arial"/>
          <w:sz w:val="18"/>
          <w:szCs w:val="18"/>
          <w:color w:val="auto"/>
        </w:rPr>
        <w:t>(“ASU 2020</w:t>
      </w:r>
      <w:r>
        <w:rPr>
          <w:rFonts w:ascii="MS PGothic" w:cs="MS PGothic" w:eastAsia="MS PGothic" w:hAnsi="MS PGothic"/>
          <w:sz w:val="18"/>
          <w:szCs w:val="18"/>
          <w:color w:val="auto"/>
        </w:rPr>
        <w:t>‑</w:t>
      </w:r>
      <w:r>
        <w:rPr>
          <w:rFonts w:ascii="Arial" w:cs="Arial" w:eastAsia="Arial" w:hAnsi="Arial"/>
          <w:sz w:val="18"/>
          <w:szCs w:val="18"/>
          <w:color w:val="auto"/>
        </w:rPr>
        <w:t>06”),</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w:t>
      </w:r>
      <w:r>
        <w:rPr>
          <w:rFonts w:ascii="MS PGothic" w:cs="MS PGothic" w:eastAsia="MS PGothic" w:hAnsi="MS PGothic"/>
          <w:sz w:val="18"/>
          <w:szCs w:val="18"/>
          <w:color w:val="auto"/>
        </w:rPr>
        <w:t>‑</w:t>
      </w:r>
      <w:r>
        <w:rPr>
          <w:rFonts w:ascii="Arial" w:cs="Arial" w:eastAsia="Arial" w:hAnsi="Arial"/>
          <w:sz w:val="18"/>
          <w:szCs w:val="18"/>
          <w:color w:val="auto"/>
        </w:rPr>
        <w:t>converted method. The Company early adopted the ASU effective January 1, 2021 using the modified retrospective method of adoption (see Notes 10 and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revenue upon the transfer of promised goods or services to customers in an amount that reflects the expected consideration received in exchange for those goods or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revenues from subscriptions, perpetual licenses, and professional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 A prepaid annual recurring subscription that accounts (which are based on distinct contractual and billing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7"/>
          <w:szCs w:val="17"/>
          <w:color w:val="auto"/>
        </w:rPr>
        <w:t>‑</w:t>
      </w:r>
      <w:r>
        <w:rPr>
          <w:rFonts w:ascii="Arial" w:cs="Arial" w:eastAsia="Arial" w:hAnsi="Arial"/>
          <w:sz w:val="17"/>
          <w:szCs w:val="17"/>
          <w:color w:val="auto"/>
        </w:rPr>
        <w:t>based cloud collaboration services, mobility advantages, and access to other available benefits.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Enterprise subscriptions </w:t>
      </w:r>
      <w:r>
        <w:rPr>
          <w:rFonts w:ascii="Arial" w:cs="Arial" w:eastAsia="Arial" w:hAnsi="Arial"/>
          <w:sz w:val="17"/>
          <w:szCs w:val="17"/>
          <w:color w:val="auto"/>
        </w:rPr>
        <w:t>— The Company also provides Enterprise subscription offerings which provide its largest accounts with complete and</w:t>
      </w:r>
      <w:r>
        <w:rPr>
          <w:rFonts w:ascii="Arial" w:cs="Arial" w:eastAsia="Arial" w:hAnsi="Arial"/>
          <w:sz w:val="17"/>
          <w:szCs w:val="17"/>
          <w:i w:val="1"/>
          <w:iCs w:val="1"/>
          <w:color w:val="auto"/>
        </w:rPr>
        <w:t xml:space="preserve"> </w:t>
      </w:r>
      <w:r>
        <w:rPr>
          <w:rFonts w:ascii="Arial" w:cs="Arial" w:eastAsia="Arial" w:hAnsi="Arial"/>
          <w:sz w:val="17"/>
          <w:szCs w:val="17"/>
          <w:color w:val="auto"/>
        </w:rPr>
        <w:t>unlimited global access to the Company’s comprehensive portfolio of solutions. Enterprise License Subscriptions (“ELS”) provide access for a prepaid fee, which is based on the account’s usage of software in the preceding year, to effectively create a fee</w:t>
      </w:r>
      <w:r>
        <w:rPr>
          <w:rFonts w:ascii="MS PGothic" w:cs="MS PGothic" w:eastAsia="MS PGothic" w:hAnsi="MS PGothic"/>
          <w:sz w:val="17"/>
          <w:szCs w:val="17"/>
          <w:color w:val="auto"/>
        </w:rPr>
        <w:t>‑</w:t>
      </w:r>
      <w:r>
        <w:rPr>
          <w:rFonts w:ascii="Arial" w:cs="Arial" w:eastAsia="Arial" w:hAnsi="Arial"/>
          <w:sz w:val="17"/>
          <w:szCs w:val="17"/>
          <w:color w:val="auto"/>
        </w:rPr>
        <w:t>certain consumption</w:t>
      </w:r>
      <w:r>
        <w:rPr>
          <w:rFonts w:ascii="MS PGothic" w:cs="MS PGothic" w:eastAsia="MS PGothic" w:hAnsi="MS PGothic"/>
          <w:sz w:val="17"/>
          <w:szCs w:val="17"/>
          <w:color w:val="auto"/>
        </w:rPr>
        <w:t>‑</w:t>
      </w:r>
      <w:r>
        <w:rPr>
          <w:rFonts w:ascii="Arial" w:cs="Arial" w:eastAsia="Arial" w:hAnsi="Arial"/>
          <w:sz w:val="17"/>
          <w:szCs w:val="17"/>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Enterprise 365 (“E365”) subscriptions provide unrestricted access to the Company’s comprehensive software portfolio, similar to ELS, however, the accounts are charged based upon daily usage. The daily usage fee also includes a term license component, SELECT maintenance and support, hosting, and Success Plan services, which are designed to achieve business outcomes through more efficient and effective use of the Company’s software. E365 revenues are recognized based upon usage incurred by the account. Usage is defined as distinct user access on a daily basis. E365 subscriptions can contain quarterly usage floors or collars as accounts transition to the usage model or for accounts within the public sector. The term of E365 subscriptions aligns with calendar quarters and revenue is recognized based on actual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 xml:space="preserve">Term license subscriptions </w:t>
      </w:r>
      <w:r>
        <w:rPr>
          <w:rFonts w:ascii="Arial" w:cs="Arial" w:eastAsia="Arial" w:hAnsi="Arial"/>
          <w:sz w:val="16"/>
          <w:szCs w:val="16"/>
          <w:color w:val="auto"/>
        </w:rPr>
        <w:t>— The Company provides annual, quarterly, and monthly term licenses for its software products. Term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Arial" w:cs="Arial" w:eastAsia="Arial" w:hAnsi="Arial"/>
          <w:sz w:val="16"/>
          <w:szCs w:val="16"/>
          <w:i w:val="1"/>
          <w:iCs w:val="1"/>
          <w:color w:val="auto"/>
        </w:rPr>
        <w:t>Deferred revenues</w:t>
      </w:r>
      <w:r>
        <w:rPr>
          <w:rFonts w:ascii="Arial" w:cs="Arial" w:eastAsia="Arial" w:hAnsi="Arial"/>
          <w:sz w:val="16"/>
          <w:szCs w:val="16"/>
          <w:color w:val="auto"/>
        </w:rPr>
        <w:t xml:space="preserve"> in the consolidated balance sheets. For usage</w:t>
      </w:r>
      <w:r>
        <w:rPr>
          <w:rFonts w:ascii="MS PGothic" w:cs="MS PGothic" w:eastAsia="MS PGothic" w:hAnsi="MS PGothic"/>
          <w:sz w:val="16"/>
          <w:szCs w:val="16"/>
          <w:color w:val="auto"/>
        </w:rPr>
        <w:t>‑</w:t>
      </w:r>
      <w:r>
        <w:rPr>
          <w:rFonts w:ascii="Arial" w:cs="Arial" w:eastAsia="Arial" w:hAnsi="Arial"/>
          <w:sz w:val="16"/>
          <w:szCs w:val="16"/>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Visas and Passports are quarterly or annual term licenses enabling users to access specific project or enterprise information and entitles users to certain functionality of the Company’s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The Company’s standard offerings are usage based with monetization through the Company’s CSS program as described below.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Perpetual licenses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w:t>
      </w:r>
      <w:r>
        <w:rPr>
          <w:rFonts w:ascii="MS PGothic" w:cs="MS PGothic" w:eastAsia="MS PGothic" w:hAnsi="MS PGothic"/>
          <w:sz w:val="16"/>
          <w:szCs w:val="16"/>
          <w:color w:val="auto"/>
        </w:rPr>
        <w:t>‑</w:t>
      </w:r>
      <w:r>
        <w:rPr>
          <w:rFonts w:ascii="Arial" w:cs="Arial" w:eastAsia="Arial" w:hAnsi="Arial"/>
          <w:sz w:val="16"/>
          <w:szCs w:val="16"/>
          <w:color w:val="auto"/>
        </w:rPr>
        <w:t>like, packaged offerings which are annually recurring in nature, and</w:t>
      </w:r>
    </w:p>
    <w:p>
      <w:pPr>
        <w:spacing w:after="0" w:line="2" w:lineRule="exact"/>
        <w:rPr>
          <w:sz w:val="20"/>
          <w:szCs w:val="20"/>
          <w:color w:val="auto"/>
        </w:rPr>
      </w:pPr>
    </w:p>
    <w:p>
      <w:pPr>
        <w:ind w:firstLine="8"/>
        <w:spacing w:after="0" w:line="323" w:lineRule="auto"/>
        <w:tabs>
          <w:tab w:leader="none" w:pos="285"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w:t>
      </w:r>
    </w:p>
    <w:p>
      <w:pPr>
        <w:spacing w:after="0" w:line="13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Arial" w:cs="Arial" w:eastAsia="Arial" w:hAnsi="Arial"/>
          <w:sz w:val="18"/>
          <w:szCs w:val="18"/>
          <w:color w:val="auto"/>
        </w:rPr>
        <w:t>users. Channel partners are authorized to promote the sale of an authorized set of Bentley products and subscriptions within an authorized geography under a Channel Partner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The Company’s contracts with customers may include promises to transfer licenses (perpetual or term</w:t>
      </w:r>
      <w:r>
        <w:rPr>
          <w:rFonts w:ascii="MS PGothic" w:cs="MS PGothic" w:eastAsia="MS PGothic" w:hAnsi="MS PGothic"/>
          <w:sz w:val="16"/>
          <w:szCs w:val="16"/>
          <w:color w:val="auto"/>
        </w:rPr>
        <w:t>‑</w:t>
      </w:r>
      <w:r>
        <w:rPr>
          <w:rFonts w:ascii="Arial" w:cs="Arial" w:eastAsia="Arial" w:hAnsi="Arial"/>
          <w:sz w:val="16"/>
          <w:szCs w:val="16"/>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March 31, 2021 and December 31, 2020, the Company has deferred $18,016 and $18,166, respectively, related to portfolio balancing exchange rights which is included in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80" w:type="dxa"/>
            <w:vAlign w:val="bottom"/>
          </w:tcPr>
          <w:p>
            <w:pPr>
              <w:jc w:val="right"/>
              <w:ind w:right="193"/>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193,504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209,314</w:t>
            </w:r>
          </w:p>
        </w:tc>
      </w:tr>
    </w:tbl>
    <w:p>
      <w:pPr>
        <w:spacing w:after="0" w:line="20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As of March 31, 2021 and December 31, 2020, the Company’s contract assets relate to performance obligations completed in advance of the right to invoice and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sheets. Contract assets were not impaired as of March 31, 2021 and December 31, 2020.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professional services. The timing of revenue recognition may differ from the timing of billings to users.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2021, $91,125 of revenue that was included in the December 31, 2020 deferred revenue balance was recognized. There were additional deferrals of $78,210, which were primarily related to new billings. For the three months ended March 31, 2020, $98,928 of revenue that was included in the December 31, 2019 deferred revenue opening balance was recognized. There were additional deferrals of $73,512, which were primarily related to new billings.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March 31, 2021, amounts allocated to these remaining performance obligations are $193,504, of which the Company expects to recognize 96.3%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jc w:val="right"/>
        <w:ind w:right="4260"/>
        <w:spacing w:after="0"/>
        <w:rPr>
          <w:sz w:val="20"/>
          <w:szCs w:val="20"/>
          <w:color w:val="auto"/>
        </w:rPr>
      </w:pPr>
      <w:r>
        <w:rPr>
          <w:rFonts w:ascii="Arial" w:cs="Arial" w:eastAsia="Arial" w:hAnsi="Arial"/>
          <w:sz w:val="18"/>
          <w:szCs w:val="18"/>
          <w:color w:val="auto"/>
        </w:rPr>
        <w:t>The following table details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Subscriptions: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SELECT subscriptions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Enterprise subscriptions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Term license subscriptions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Subscriptions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Perpetual licenses: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Perpetual licenses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Subscriptions and licenses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Professional services (recurring)</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Professional services (other)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Services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712"/>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66,140</w:t>
            </w:r>
          </w:p>
        </w:tc>
        <w:tc>
          <w:tcPr>
            <w:tcW w:w="26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67,891</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71,015</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58,734</w:t>
            </w:r>
          </w:p>
        </w:tc>
      </w:tr>
      <w:tr>
        <w:trPr>
          <w:trHeight w:val="270"/>
        </w:trPr>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50,970</w:t>
            </w:r>
          </w:p>
        </w:tc>
        <w:tc>
          <w:tcPr>
            <w:tcW w:w="2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43,557</w:t>
            </w:r>
          </w:p>
        </w:tc>
      </w:tr>
      <w:tr>
        <w:trPr>
          <w:trHeight w:val="250"/>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188,125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170,182</w:t>
            </w:r>
          </w:p>
        </w:tc>
      </w:tr>
      <w:tr>
        <w:trPr>
          <w:trHeight w:val="500"/>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w:t>
            </w: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w:t>
            </w:r>
          </w:p>
        </w:tc>
      </w:tr>
      <w:tr>
        <w:trPr>
          <w:trHeight w:val="250"/>
        </w:trPr>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198,241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180,996</w:t>
            </w:r>
          </w:p>
        </w:tc>
      </w:tr>
      <w:tr>
        <w:trPr>
          <w:trHeight w:val="499"/>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6,077</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3,780</w:t>
            </w:r>
          </w:p>
        </w:tc>
      </w:tr>
      <w:tr>
        <w:trPr>
          <w:trHeight w:val="270"/>
        </w:trPr>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w:t>
            </w:r>
          </w:p>
        </w:tc>
        <w:tc>
          <w:tcPr>
            <w:tcW w:w="2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-2313940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-2022475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-1679575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-1336675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-1019175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-702310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-359410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440" w:right="339" w:bottom="1440" w:gutter="0" w:footer="0" w:header="0"/>
        </w:sectPr>
      </w:pPr>
    </w:p>
    <w:p>
      <w:pPr>
        <w:spacing w:after="0" w:line="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Company recognizes perpetual licenses and the term license component of subscriptions as revenue when either the licenses are delivered or at the start of the subscription term. For the three months ended March 31, 2021 and 2020, the Company recognized $95,625 and $85,417 of license related revenues, respectively, of which $85,509 and $74,603, respectively, were attributable to the term license component of the Company’s subscription based commercial offerings recorded in </w:t>
      </w:r>
      <w:r>
        <w:rPr>
          <w:rFonts w:ascii="Arial" w:cs="Arial" w:eastAsia="Arial" w:hAnsi="Arial"/>
          <w:sz w:val="17"/>
          <w:szCs w:val="17"/>
          <w:i w:val="1"/>
          <w:iCs w:val="1"/>
          <w:color w:val="auto"/>
        </w:rPr>
        <w:t>Subscriptions</w:t>
      </w:r>
      <w:r>
        <w:rPr>
          <w:rFonts w:ascii="Arial" w:cs="Arial" w:eastAsia="Arial" w:hAnsi="Arial"/>
          <w:sz w:val="17"/>
          <w:szCs w:val="17"/>
          <w:color w:val="auto"/>
        </w:rPr>
        <w:t xml:space="preserve"> in the consolidated statements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derived 8% and 7% and of its total revenues through channel partners for the three months ended March 31, 2021 and 2020,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to external customers is attributed to individual countries based upon the location of the customer.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30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12"/>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108,862</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97,900</w:t>
            </w:r>
          </w:p>
        </w:tc>
      </w:tr>
      <w:tr>
        <w:trPr>
          <w:trHeight w:val="230"/>
        </w:trPr>
        <w:tc>
          <w:tcPr>
            <w:tcW w:w="83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Europe, the Middle East, and Africa (“EMEA”)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62,114</w:t>
            </w:r>
          </w:p>
        </w:tc>
      </w:tr>
      <w:tr>
        <w:trPr>
          <w:trHeight w:val="230"/>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Asia-Pacific (“APAC”)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39,295</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34,676</w:t>
            </w:r>
          </w:p>
        </w:tc>
      </w:tr>
      <w:tr>
        <w:trPr>
          <w:trHeight w:val="248"/>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222,005</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194,690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5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94" w:lineRule="exact"/>
        <w:rPr>
          <w:sz w:val="20"/>
          <w:szCs w:val="20"/>
          <w:color w:val="auto"/>
        </w:rPr>
      </w:pPr>
    </w:p>
    <w:p>
      <w:pPr>
        <w:ind w:left="34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Americas includes the United States (“U.S.”), Canada, and Latin America (including the Caribbean). Revenue attributable to the U.S. totaled $92,940 and $82,420 for the three months ended March 31, 2021 and 2020, respectively.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attributable to the United Kingdom (“U.K.”) totaled $22,383 and $13,680 for the three months ended March 31, 2021 and 2020, respectively.</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and the year ended December 31, 2020, the Company completed a number of acquisitions, none of which were material, individually or in the aggregate, to the Company’s consolidated statements of operations and financial position. The aggregate details of the Company’s acquisition activity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4"/>
          </w:tcPr>
          <w:p>
            <w:pPr>
              <w:jc w:val="right"/>
              <w:ind w:right="1233"/>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1860" w:type="dxa"/>
            <w:vAlign w:val="bottom"/>
          </w:tcPr>
          <w:p>
            <w:pPr>
              <w:jc w:val="right"/>
              <w:ind w:right="553"/>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March 31, 2021</w:t>
            </w:r>
          </w:p>
        </w:tc>
        <w:tc>
          <w:tcPr>
            <w:tcW w:w="240" w:type="dxa"/>
            <w:vAlign w:val="bottom"/>
          </w:tcPr>
          <w:p>
            <w:pPr>
              <w:spacing w:after="0"/>
              <w:rPr>
                <w:sz w:val="19"/>
                <w:szCs w:val="19"/>
                <w:color w:val="auto"/>
              </w:rPr>
            </w:pPr>
          </w:p>
        </w:tc>
        <w:tc>
          <w:tcPr>
            <w:tcW w:w="1860" w:type="dxa"/>
            <w:vAlign w:val="bottom"/>
          </w:tcPr>
          <w:p>
            <w:pPr>
              <w:jc w:val="right"/>
              <w:ind w:right="313"/>
              <w:spacing w:after="0"/>
              <w:rPr>
                <w:sz w:val="20"/>
                <w:szCs w:val="20"/>
                <w:color w:val="auto"/>
              </w:rPr>
            </w:pPr>
            <w:r>
              <w:rPr>
                <w:rFonts w:ascii="Arial" w:cs="Arial" w:eastAsia="Arial" w:hAnsi="Arial"/>
                <w:sz w:val="16"/>
                <w:szCs w:val="16"/>
                <w:b w:val="1"/>
                <w:bCs w:val="1"/>
                <w:color w:val="auto"/>
                <w:w w:val="99"/>
              </w:rPr>
              <w:t>December 31, 2020</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acquisitions</w:t>
            </w:r>
          </w:p>
        </w:tc>
        <w:tc>
          <w:tcPr>
            <w:tcW w:w="20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59,301</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98,298</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Net cash paid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93,032</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 Independent valuations are obtained to support purchase price allocations when deemed appropriate.</w:t>
      </w:r>
    </w:p>
    <w:p>
      <w:pPr>
        <w:spacing w:after="0" w:line="14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 The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recognizable over the remaining support contract term of the Company’s acquired contracts. For the three months ended March 31, 2021 and 2020, the fair value adjustments to reduce revenue were $12 and $116,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purchase accounting for the three acquisitions completed for the three months ended March 31, 2021 and two of the acquisitions completed during the year ended December 31, 2020 are not yet completed.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Acquisition and integration costs are expensed as incurred and are recorded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 the consolidated statements of operations. For the three months ended March 31, 2021 and 2020, the Company incurred acquisition and integration costs of $6,861 and $813, respectively, which include costs related to legal, accounting, valuation, general administrative, and other consulting fees. For the three months ended March 31, 2021, $6,716 of the Company’s acquisition and integration costs related to entering into the definitive agreement to acquire Seequent Holdings Limited (“Seequent”). See the section titled “—Acquisitions Subsequent to March 31, 2021” below.</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Acquisitions Completed in</w:t>
      </w:r>
    </w:p>
    <w:p>
      <w:pPr>
        <w:spacing w:after="0" w:line="26" w:lineRule="exact"/>
        <w:rPr>
          <w:sz w:val="20"/>
          <w:szCs w:val="20"/>
          <w:color w:val="auto"/>
        </w:rPr>
      </w:pPr>
    </w:p>
    <w:tbl>
      <w:tblPr>
        <w:tblLayout w:type="fixed"/>
        <w:tblInd w:w="6840" w:type="dxa"/>
        <w:tblCellMar>
          <w:top w:w="0" w:type="dxa"/>
          <w:left w:w="0" w:type="dxa"/>
          <w:bottom w:w="0" w:type="dxa"/>
          <w:right w:w="0" w:type="dxa"/>
        </w:tblCellMar>
      </w:tblPr>
      <w:tr>
        <w:trPr>
          <w:trHeight w:val="210"/>
        </w:trPr>
        <w:tc>
          <w:tcPr>
            <w:tcW w:w="224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Three Months Ended</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Year Ended</w:t>
            </w:r>
          </w:p>
        </w:tc>
      </w:tr>
      <w:tr>
        <w:trPr>
          <w:trHeight w:val="215"/>
        </w:trPr>
        <w:tc>
          <w:tcPr>
            <w:tcW w:w="22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March 31, 2021</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2020</w:t>
            </w:r>
          </w:p>
        </w:tc>
      </w:tr>
    </w:tbl>
    <w:p>
      <w:pPr>
        <w:spacing w:after="0" w:line="5"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Consideration:</w:t>
            </w:r>
          </w:p>
        </w:tc>
        <w:tc>
          <w:tcPr>
            <w:tcW w:w="240" w:type="dxa"/>
            <w:vAlign w:val="bottom"/>
          </w:tcPr>
          <w:p>
            <w:pPr>
              <w:spacing w:after="0"/>
              <w:rPr>
                <w:sz w:val="20"/>
                <w:szCs w:val="20"/>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Cash paid at closing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Deferred, non-contingent consideration, net</w:t>
            </w:r>
          </w:p>
        </w:tc>
        <w:tc>
          <w:tcPr>
            <w:tcW w:w="240" w:type="dxa"/>
            <w:vAlign w:val="bottom"/>
          </w:tcPr>
          <w:p>
            <w:pPr>
              <w:spacing w:after="0"/>
              <w:rPr>
                <w:sz w:val="23"/>
                <w:szCs w:val="23"/>
                <w:color w:val="auto"/>
              </w:rPr>
            </w:pPr>
          </w:p>
        </w:tc>
      </w:tr>
      <w:tr>
        <w:trPr>
          <w:trHeight w:val="296"/>
        </w:trPr>
        <w:tc>
          <w:tcPr>
            <w:tcW w:w="6680" w:type="dxa"/>
            <w:vAlign w:val="bottom"/>
          </w:tcPr>
          <w:p>
            <w:pPr>
              <w:spacing w:after="0"/>
              <w:rPr>
                <w:sz w:val="20"/>
                <w:szCs w:val="20"/>
                <w:color w:val="auto"/>
              </w:rPr>
            </w:pPr>
            <w:r>
              <w:rPr>
                <w:rFonts w:ascii="Arial" w:cs="Arial" w:eastAsia="Arial" w:hAnsi="Arial"/>
                <w:sz w:val="18"/>
                <w:szCs w:val="18"/>
                <w:color w:val="auto"/>
              </w:rPr>
              <w:t>Total consideration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Assets acquired and liabilities assumed:</w:t>
            </w:r>
          </w:p>
        </w:tc>
        <w:tc>
          <w:tcPr>
            <w:tcW w:w="240" w:type="dxa"/>
            <w:vAlign w:val="bottom"/>
          </w:tcPr>
          <w:p>
            <w:pPr>
              <w:spacing w:after="0"/>
              <w:rPr>
                <w:sz w:val="20"/>
                <w:szCs w:val="20"/>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Pr>
          <w:p>
            <w:pPr>
              <w:spacing w:after="0"/>
              <w:rPr>
                <w:sz w:val="21"/>
                <w:szCs w:val="21"/>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w w:val="92"/>
              </w:rPr>
              <w:t>Customer relationship asset (weighted average useful life of 5 and 6 years, respectively)</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Software and technology (weighted average useful life of 3 years)</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Non-compete agreement (useful life of 5 years)</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Trademarks (weighted average useful life of 3 and 7 years, respectively)</w:t>
            </w:r>
          </w:p>
        </w:tc>
        <w:tc>
          <w:tcPr>
            <w:tcW w:w="240" w:type="dxa"/>
            <w:vAlign w:val="bottom"/>
          </w:tcPr>
          <w:p>
            <w:pPr>
              <w:spacing w:after="0"/>
              <w:rPr>
                <w:sz w:val="23"/>
                <w:szCs w:val="23"/>
                <w:color w:val="auto"/>
              </w:rPr>
            </w:pPr>
          </w:p>
        </w:tc>
      </w:tr>
      <w:tr>
        <w:trPr>
          <w:trHeight w:val="270"/>
        </w:trPr>
        <w:tc>
          <w:tcPr>
            <w:tcW w:w="6680" w:type="dxa"/>
            <w:vAlign w:val="bottom"/>
          </w:tcPr>
          <w:p>
            <w:pPr>
              <w:ind w:left="340"/>
              <w:spacing w:after="0"/>
              <w:rPr>
                <w:sz w:val="20"/>
                <w:szCs w:val="20"/>
                <w:color w:val="auto"/>
              </w:rPr>
            </w:pPr>
            <w:r>
              <w:rPr>
                <w:rFonts w:ascii="Arial" w:cs="Arial" w:eastAsia="Arial" w:hAnsi="Arial"/>
                <w:sz w:val="18"/>
                <w:szCs w:val="18"/>
                <w:color w:val="auto"/>
              </w:rPr>
              <w:t>Total identifiable assets acquired excluding goodwill</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Accruals and other current liabilities</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r>
      <w:tr>
        <w:trPr>
          <w:trHeight w:val="270"/>
        </w:trPr>
        <w:tc>
          <w:tcPr>
            <w:tcW w:w="66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-2871470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-3531235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170"/>
              <w:spacing w:after="0"/>
              <w:rPr>
                <w:sz w:val="20"/>
                <w:szCs w:val="20"/>
                <w:color w:val="auto"/>
              </w:rPr>
            </w:pPr>
            <w:r>
              <w:rPr>
                <w:rFonts w:ascii="Arial" w:cs="Arial" w:eastAsia="Arial" w:hAnsi="Arial"/>
                <w:sz w:val="18"/>
                <w:szCs w:val="18"/>
                <w:color w:val="auto"/>
                <w:w w:val="87"/>
              </w:rPr>
              <w:t>59,301</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98,298</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549</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1,718</w:t>
            </w:r>
          </w:p>
        </w:tc>
        <w:tc>
          <w:tcPr>
            <w:tcW w:w="7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r>
      <w:tr>
        <w:trPr>
          <w:trHeight w:val="223"/>
        </w:trPr>
        <w:tc>
          <w:tcPr>
            <w:tcW w:w="760" w:type="dxa"/>
            <w:vAlign w:val="bottom"/>
          </w:tcPr>
          <w:p>
            <w:pPr>
              <w:jc w:val="right"/>
              <w:ind w:right="170"/>
              <w:spacing w:after="0"/>
              <w:rPr>
                <w:sz w:val="20"/>
                <w:szCs w:val="20"/>
                <w:color w:val="auto"/>
              </w:rPr>
            </w:pPr>
            <w:r>
              <w:rPr>
                <w:rFonts w:ascii="Arial" w:cs="Arial" w:eastAsia="Arial" w:hAnsi="Arial"/>
                <w:sz w:val="18"/>
                <w:szCs w:val="18"/>
                <w:color w:val="auto"/>
                <w:w w:val="87"/>
              </w:rPr>
              <w:t>61,568</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102,094</w:t>
            </w:r>
          </w:p>
        </w:tc>
      </w:tr>
      <w:tr>
        <w:trPr>
          <w:trHeight w:val="20"/>
        </w:trPr>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66"/>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1,326</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5,617</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8,701</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192</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550</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300</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w w:val="87"/>
              </w:rPr>
              <w:t>11,326</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11,371</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1,399</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760" w:type="dxa"/>
            <w:vAlign w:val="bottom"/>
          </w:tcPr>
          <w:p>
            <w:pPr>
              <w:jc w:val="right"/>
              <w:ind w:right="170"/>
              <w:spacing w:after="0"/>
              <w:rPr>
                <w:sz w:val="20"/>
                <w:szCs w:val="20"/>
                <w:color w:val="auto"/>
              </w:rPr>
            </w:pPr>
            <w:r>
              <w:rPr>
                <w:rFonts w:ascii="Arial" w:cs="Arial" w:eastAsia="Arial" w:hAnsi="Arial"/>
                <w:sz w:val="18"/>
                <w:szCs w:val="18"/>
                <w:color w:val="auto"/>
              </w:rPr>
              <w:t>481</w:t>
            </w:r>
          </w:p>
        </w:tc>
        <w:tc>
          <w:tcPr>
            <w:tcW w:w="7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r>
      <w:tr>
        <w:trPr>
          <w:trHeight w:val="250"/>
        </w:trPr>
        <w:tc>
          <w:tcPr>
            <w:tcW w:w="760" w:type="dxa"/>
            <w:vAlign w:val="bottom"/>
          </w:tcPr>
          <w:p>
            <w:pPr>
              <w:jc w:val="right"/>
              <w:ind w:right="170"/>
              <w:spacing w:after="0"/>
              <w:rPr>
                <w:sz w:val="20"/>
                <w:szCs w:val="20"/>
                <w:color w:val="auto"/>
              </w:rPr>
            </w:pPr>
            <w:r>
              <w:rPr>
                <w:rFonts w:ascii="Arial" w:cs="Arial" w:eastAsia="Arial" w:hAnsi="Arial"/>
                <w:sz w:val="18"/>
                <w:szCs w:val="18"/>
                <w:color w:val="auto"/>
                <w:w w:val="87"/>
              </w:rPr>
              <w:t>21,191</w:t>
            </w: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34,762</w:t>
            </w:r>
          </w:p>
        </w:tc>
      </w:tr>
      <w:tr>
        <w:trPr>
          <w:trHeight w:val="250"/>
        </w:trPr>
        <w:tc>
          <w:tcPr>
            <w:tcW w:w="760" w:type="dxa"/>
            <w:vAlign w:val="bottom"/>
          </w:tcPr>
          <w:p>
            <w:pPr>
              <w:jc w:val="right"/>
              <w:ind w:right="130"/>
              <w:spacing w:after="0"/>
              <w:rPr>
                <w:sz w:val="20"/>
                <w:szCs w:val="20"/>
                <w:color w:val="auto"/>
              </w:rPr>
            </w:pPr>
            <w:r>
              <w:rPr>
                <w:rFonts w:ascii="Arial" w:cs="Arial" w:eastAsia="Arial" w:hAnsi="Arial"/>
                <w:sz w:val="18"/>
                <w:szCs w:val="18"/>
                <w:color w:val="auto"/>
                <w:w w:val="91"/>
              </w:rPr>
              <w:t>(3,678)</w:t>
            </w:r>
          </w:p>
        </w:tc>
        <w:tc>
          <w:tcPr>
            <w:tcW w:w="7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70"/>
        </w:trPr>
        <w:tc>
          <w:tcPr>
            <w:tcW w:w="760" w:type="dxa"/>
            <w:vAlign w:val="bottom"/>
          </w:tcPr>
          <w:p>
            <w:pPr>
              <w:jc w:val="right"/>
              <w:ind w:right="130"/>
              <w:spacing w:after="0"/>
              <w:rPr>
                <w:sz w:val="20"/>
                <w:szCs w:val="20"/>
                <w:color w:val="auto"/>
              </w:rPr>
            </w:pPr>
            <w:r>
              <w:rPr>
                <w:rFonts w:ascii="Arial" w:cs="Arial" w:eastAsia="Arial" w:hAnsi="Arial"/>
                <w:sz w:val="18"/>
                <w:szCs w:val="18"/>
                <w:color w:val="auto"/>
                <w:w w:val="91"/>
              </w:rPr>
              <w:t>(1,902)</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(5,351)</w:t>
            </w:r>
          </w:p>
        </w:tc>
      </w:tr>
      <w:tr>
        <w:trPr>
          <w:trHeight w:val="270"/>
        </w:trPr>
        <w:tc>
          <w:tcPr>
            <w:tcW w:w="76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70"/>
        </w:trPr>
        <w:tc>
          <w:tcPr>
            <w:tcW w:w="760" w:type="dxa"/>
            <w:vAlign w:val="bottom"/>
          </w:tcPr>
          <w:p>
            <w:pPr>
              <w:jc w:val="right"/>
              <w:ind w:right="130"/>
              <w:spacing w:after="0"/>
              <w:rPr>
                <w:sz w:val="20"/>
                <w:szCs w:val="20"/>
                <w:color w:val="auto"/>
              </w:rPr>
            </w:pPr>
            <w:r>
              <w:rPr>
                <w:rFonts w:ascii="Arial" w:cs="Arial" w:eastAsia="Arial" w:hAnsi="Arial"/>
                <w:sz w:val="18"/>
                <w:szCs w:val="18"/>
                <w:color w:val="auto"/>
                <w:w w:val="91"/>
              </w:rPr>
              <w:t>(3,280)</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70"/>
        </w:trPr>
        <w:tc>
          <w:tcPr>
            <w:tcW w:w="760" w:type="dxa"/>
            <w:vAlign w:val="bottom"/>
          </w:tcPr>
          <w:p>
            <w:pPr>
              <w:jc w:val="right"/>
              <w:ind w:right="130"/>
              <w:spacing w:after="0"/>
              <w:rPr>
                <w:sz w:val="20"/>
                <w:szCs w:val="20"/>
                <w:color w:val="auto"/>
              </w:rPr>
            </w:pPr>
            <w:r>
              <w:rPr>
                <w:rFonts w:ascii="Arial" w:cs="Arial" w:eastAsia="Arial" w:hAnsi="Arial"/>
                <w:sz w:val="18"/>
                <w:szCs w:val="18"/>
                <w:color w:val="auto"/>
              </w:rPr>
              <w:t>(178)</w:t>
            </w:r>
          </w:p>
        </w:tc>
        <w:tc>
          <w:tcPr>
            <w:tcW w:w="7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-977900</wp:posOffset>
            </wp:positionH>
            <wp:positionV relativeFrom="paragraph">
              <wp:posOffset>-1028065</wp:posOffset>
            </wp:positionV>
            <wp:extent cx="13373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-2708275</wp:posOffset>
            </wp:positionV>
            <wp:extent cx="13373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660" w:space="720"/>
            <w:col w:w="28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 assumed</w:t>
            </w:r>
          </w:p>
        </w:tc>
        <w:tc>
          <w:tcPr>
            <w:tcW w:w="8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1"/>
              </w:rPr>
              <w:t>(9,230)</w:t>
            </w:r>
          </w:p>
        </w:tc>
        <w:tc>
          <w:tcPr>
            <w:tcW w:w="2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(14,658)</w:t>
            </w: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11,961</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20,104</w:t>
            </w:r>
          </w:p>
        </w:tc>
      </w:tr>
      <w:tr>
        <w:trPr>
          <w:trHeight w:val="270"/>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Goodwill</w:t>
            </w:r>
          </w:p>
        </w:tc>
        <w:tc>
          <w:tcPr>
            <w:tcW w:w="8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8"/>
              </w:rPr>
              <w:t>49,607</w:t>
            </w:r>
          </w:p>
        </w:tc>
        <w:tc>
          <w:tcPr>
            <w:tcW w:w="2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81,990</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8"/>
              </w:rPr>
              <w:t>61,568</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102,094</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70"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As discussed above, the fair values of deferred revenues were determined using the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Goodwill recorded in connection with the acquisitions was attributable to synergies expected to arise from cost saving opportunities, as well as future expected cash flows. Of the goodwill recorded as of March 31, 2021, none is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Subsequent to March 31, 2021</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2021, the Company completed two acquisitions and entered into a definitive agreement to acquire a third company totaling approximately $54,200 in cash, net of cash acquired and subject to customary adjustments, including for working capital. The third acquisition is expected to close during May 2021. The acquisitions are not expected to be material to the Company’s consolidated statements of operations and financial position.</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11, 2021, the Company entered into a definitive agreement to acquire Seequent, a leader in software for geological and geophysical modeling, geotechnical stability, and cloud services for geodata management and collaboration, for approximately $900,000 in cash, net of cash acquired and subject to customary adjustments, including for working capital, plus 3,141,361 shares of the Company’s Class B Common Stock. The transaction is subject to customary closing conditions, including regulatory approvals, and is expected to close during the second quarter of 2021. The Company expects to use readily available cash, including a portion of the net proceeds from the January 26, 2021 convertible debt offering (see Note 10), and borrowings under its bank credit facility (see Note 10), to fund the cash component of the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33,243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33,094</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44,369</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13,210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12,849</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97,256</w:t>
            </w:r>
          </w:p>
        </w:tc>
      </w:tr>
      <w:tr>
        <w:trPr>
          <w:trHeight w:val="270"/>
        </w:trPr>
        <w:tc>
          <w:tcPr>
            <w:tcW w:w="7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(70,793)</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(68,842)</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for the three months ended March 31, 2021 and 2020 was $2,497 and $2,423,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4"/>
          </w:tcPr>
          <w:p>
            <w:pPr>
              <w:spacing w:after="0"/>
              <w:rPr>
                <w:sz w:val="20"/>
                <w:szCs w:val="20"/>
                <w:color w:val="auto"/>
              </w:rPr>
            </w:pPr>
            <w:r>
              <w:rPr>
                <w:rFonts w:ascii="Arial" w:cs="Arial" w:eastAsia="Arial" w:hAnsi="Arial"/>
                <w:sz w:val="18"/>
                <w:szCs w:val="18"/>
                <w:b w:val="1"/>
                <w:bCs w:val="1"/>
                <w:color w:val="auto"/>
                <w:w w:val="95"/>
              </w:rPr>
              <w:t>Note 6: Goodwill and Other Intangible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20" w:type="dxa"/>
            <w:vAlign w:val="bottom"/>
            <w:gridSpan w:val="6"/>
          </w:tcPr>
          <w:p>
            <w:pPr>
              <w:ind w:left="320"/>
              <w:spacing w:after="0"/>
              <w:rPr>
                <w:sz w:val="20"/>
                <w:szCs w:val="20"/>
                <w:color w:val="auto"/>
              </w:rPr>
            </w:pPr>
            <w:r>
              <w:rPr>
                <w:rFonts w:ascii="Arial" w:cs="Arial" w:eastAsia="Arial" w:hAnsi="Arial"/>
                <w:sz w:val="18"/>
                <w:szCs w:val="18"/>
                <w:color w:val="auto"/>
                <w:w w:val="92"/>
              </w:rPr>
              <w:t>The changes in the carrying amount of goodwill are as follows: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Acquisitions</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adjustments</w:t>
            </w: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622,756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gridSpan w:val="6"/>
            <w:vMerge w:val="restart"/>
          </w:tcPr>
          <w:p>
            <w:pPr>
              <w:ind w:left="320"/>
              <w:spacing w:after="0"/>
              <w:rPr>
                <w:sz w:val="20"/>
                <w:szCs w:val="20"/>
                <w:color w:val="auto"/>
              </w:rPr>
            </w:pPr>
            <w:r>
              <w:rPr>
                <w:rFonts w:ascii="Arial" w:cs="Arial" w:eastAsia="Arial" w:hAnsi="Arial"/>
                <w:sz w:val="18"/>
                <w:szCs w:val="18"/>
                <w:color w:val="auto"/>
                <w:w w:val="93"/>
              </w:rPr>
              <w:t>Details of intangible assets other than goodwill are as follows:</w:t>
            </w: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92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7"/>
              </w:rPr>
              <w:t>March 31, 2021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93"/>
              </w:rPr>
              <w:t>December 31, 2020</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w:t>
            </w: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4"/>
              </w:rPr>
              <w:t>Net Book</w:t>
            </w: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1"/>
                <w:szCs w:val="11"/>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Net Book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Useful Life</w:t>
            </w: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Amortization</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Value</w:t>
            </w: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Amortization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Software and technology</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3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68,501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(63,646)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67,691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(63,046)</w:t>
            </w:r>
          </w:p>
        </w:tc>
        <w:tc>
          <w:tcPr>
            <w:tcW w:w="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3-10 years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3-10 years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(16,888)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5 years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202,829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(149,132)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53,697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191,659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(146,032)</w:t>
            </w:r>
          </w:p>
        </w:tc>
        <w:tc>
          <w:tcPr>
            <w:tcW w:w="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was reflected in the Company’s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2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r>
      <w:tr>
        <w:trPr>
          <w:trHeight w:val="219"/>
        </w:trPr>
        <w:tc>
          <w:tcPr>
            <w:tcW w:w="8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9"/>
                <w:szCs w:val="19"/>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1,013</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3,438</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3,436</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4,589</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4,449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Company acquired an interest in a platform as a service technology company with a focus on digital twin integration in the energy sector, which the Company accounts for using the cost method. As of March 31, 2021 and December 31, 2020, the carrying amount of the Company’s cost method investment was $3,440.</w:t>
      </w:r>
    </w:p>
    <w:p>
      <w:pPr>
        <w:spacing w:after="0" w:line="18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In September 2019, the Company and Topcon Positioning Systems, Inc. (“Topcon”) formed Digital Construction Works, Inc. (“DCW”), a joint venture which operates as a digital integrator of software and cloud services for the construction industry, which the Company accounts for using the equity method. DCW’s focus is to transform the construction industry from its legacy document</w:t>
      </w:r>
      <w:r>
        <w:rPr>
          <w:rFonts w:ascii="MS PGothic" w:cs="MS PGothic" w:eastAsia="MS PGothic" w:hAnsi="MS PGothic"/>
          <w:sz w:val="16"/>
          <w:szCs w:val="16"/>
          <w:color w:val="auto"/>
        </w:rPr>
        <w:t>‑</w:t>
      </w:r>
      <w:r>
        <w:rPr>
          <w:rFonts w:ascii="Arial" w:cs="Arial" w:eastAsia="Arial" w:hAnsi="Arial"/>
          <w:sz w:val="16"/>
          <w:szCs w:val="16"/>
          <w:color w:val="auto"/>
        </w:rPr>
        <w:t>centric paradigm by simplifying and enabling digital automated workflows and processes, technology integration, and digital twinning services for infrastructure. The Company and Topcon each have a 50% ownership in DCW. As of March 31, 2021 and December 31, 2020, the carrying amount of the Company’s investment in DCW was $1,805 and $2,251, respectively.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tests its investments for impairment whenever circumstances indicate that the carrying value of the investment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were not impaired as of March 31,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98" w:lineRule="exact"/>
        <w:rPr>
          <w:sz w:val="20"/>
          <w:szCs w:val="20"/>
          <w:color w:val="auto"/>
        </w:rPr>
      </w:pPr>
    </w:p>
    <w:p>
      <w:pPr>
        <w:jc w:val="both"/>
        <w:ind w:right="20" w:firstLine="324"/>
        <w:spacing w:after="0" w:line="220" w:lineRule="exact"/>
        <w:rPr>
          <w:sz w:val="20"/>
          <w:szCs w:val="20"/>
          <w:color w:val="auto"/>
        </w:rPr>
      </w:pPr>
      <w:r>
        <w:rPr>
          <w:rFonts w:ascii="Arial" w:cs="Arial" w:eastAsia="Arial" w:hAnsi="Arial"/>
          <w:sz w:val="18"/>
          <w:szCs w:val="18"/>
          <w:i w:val="1"/>
          <w:iCs w:val="1"/>
          <w:color w:val="auto"/>
        </w:rPr>
        <w:t xml:space="preserve">Related Party Disclosures </w:t>
      </w:r>
      <w:r>
        <w:rPr>
          <w:rFonts w:ascii="Arial" w:cs="Arial" w:eastAsia="Arial" w:hAnsi="Arial"/>
          <w:sz w:val="18"/>
          <w:szCs w:val="18"/>
          <w:color w:val="auto"/>
        </w:rPr>
        <w:t>— Pursuant to Accounting Standards Codification (“ASC”) 850</w:t>
      </w: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20,</w:t>
      </w:r>
      <w:r>
        <w:rPr>
          <w:rFonts w:ascii="Arial" w:cs="Arial" w:eastAsia="Arial" w:hAnsi="Arial"/>
          <w:sz w:val="18"/>
          <w:szCs w:val="18"/>
          <w:i w:val="1"/>
          <w:iCs w:val="1"/>
          <w:color w:val="auto"/>
        </w:rPr>
        <w:t xml:space="preserve"> Related Party Disclosures</w:t>
      </w:r>
      <w:r>
        <w:rPr>
          <w:rFonts w:ascii="Arial" w:cs="Arial" w:eastAsia="Arial" w:hAnsi="Arial"/>
          <w:sz w:val="18"/>
          <w:szCs w:val="18"/>
          <w:color w:val="auto"/>
        </w:rPr>
        <w: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DCW is a related party. For the three months ended March 31, 2021 and 2020, transactions between the Company and DCW were not material to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operating leases consist of office facilities, office equipment, and automobiles, and the Company’s finance lease consists of computer equipment. The finance lease is not material for the periods presented. As of March 31, 2021, the Company’s leases have remaining terms of less than one year to nine years, some of which include one or more options to renew, with renewal terms from one year to ten years and some of which include options to terminate the leases from less than one year to ten years.</w:t>
      </w:r>
    </w:p>
    <w:p>
      <w:pPr>
        <w:spacing w:after="0" w:line="18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For contracts with lease and non</w:t>
      </w:r>
      <w:r>
        <w:rPr>
          <w:rFonts w:ascii="MS PGothic" w:cs="MS PGothic" w:eastAsia="MS PGothic" w:hAnsi="MS PGothic"/>
          <w:sz w:val="16"/>
          <w:szCs w:val="16"/>
          <w:color w:val="auto"/>
        </w:rPr>
        <w:t>‑</w:t>
      </w:r>
      <w:r>
        <w:rPr>
          <w:rFonts w:ascii="Arial" w:cs="Arial" w:eastAsia="Arial" w:hAnsi="Arial"/>
          <w:sz w:val="16"/>
          <w:szCs w:val="16"/>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 or lease liability for short</w:t>
      </w:r>
      <w:r>
        <w:rPr>
          <w:rFonts w:ascii="MS PGothic" w:cs="MS PGothic" w:eastAsia="MS PGothic" w:hAnsi="MS PGothic"/>
          <w:sz w:val="16"/>
          <w:szCs w:val="16"/>
          <w:color w:val="auto"/>
        </w:rPr>
        <w:t>‑</w:t>
      </w:r>
      <w:r>
        <w:rPr>
          <w:rFonts w:ascii="Arial" w:cs="Arial" w:eastAsia="Arial" w:hAnsi="Arial"/>
          <w:sz w:val="16"/>
          <w:szCs w:val="16"/>
          <w:color w:val="auto"/>
        </w:rPr>
        <w:t>term leases (leases with a term of twelve months or less). Short</w:t>
      </w:r>
      <w:r>
        <w:rPr>
          <w:rFonts w:ascii="MS PGothic" w:cs="MS PGothic" w:eastAsia="MS PGothic" w:hAnsi="MS PGothic"/>
          <w:sz w:val="16"/>
          <w:szCs w:val="16"/>
          <w:color w:val="auto"/>
        </w:rPr>
        <w:t>‑</w:t>
      </w:r>
      <w:r>
        <w:rPr>
          <w:rFonts w:ascii="Arial" w:cs="Arial" w:eastAsia="Arial" w:hAnsi="Arial"/>
          <w:sz w:val="16"/>
          <w:szCs w:val="16"/>
          <w:color w:val="auto"/>
        </w:rPr>
        <w:t>term leases are recognized in the consolidated statement of operations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lease term. Short</w:t>
      </w:r>
      <w:r>
        <w:rPr>
          <w:rFonts w:ascii="MS PGothic" w:cs="MS PGothic" w:eastAsia="MS PGothic" w:hAnsi="MS PGothic"/>
          <w:sz w:val="16"/>
          <w:szCs w:val="16"/>
          <w:color w:val="auto"/>
        </w:rPr>
        <w:t>‑</w:t>
      </w:r>
      <w:r>
        <w:rPr>
          <w:rFonts w:ascii="Arial" w:cs="Arial" w:eastAsia="Arial" w:hAnsi="Arial"/>
          <w:sz w:val="16"/>
          <w:szCs w:val="16"/>
          <w:color w:val="auto"/>
        </w:rPr>
        <w:t>term lease expense was not material for the periods presented.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212529"/>
        </w:rPr>
        <w:t>The components of operating lease cost reflected in the consolidated statement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2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26"/>
        </w:trPr>
        <w:tc>
          <w:tcPr>
            <w:tcW w:w="81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4,543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4,345</w:t>
            </w: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968</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1,021</w:t>
            </w: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5,515</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5,391</w:t>
            </w:r>
          </w:p>
        </w:tc>
      </w:tr>
      <w:tr>
        <w:trPr>
          <w:trHeight w:val="20"/>
        </w:trPr>
        <w:tc>
          <w:tcPr>
            <w:tcW w:w="3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42"/>
        </w:trPr>
        <w:tc>
          <w:tcPr>
            <w:tcW w:w="3000" w:type="dxa"/>
            <w:vAlign w:val="bottom"/>
            <w:tcBorders>
              <w:bottom w:val="single" w:sz="8" w:color="auto"/>
            </w:tcBorders>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r>
    </w:tbl>
    <w:p>
      <w:pPr>
        <w:spacing w:after="0" w:line="94" w:lineRule="exact"/>
        <w:rPr>
          <w:sz w:val="20"/>
          <w:szCs w:val="20"/>
          <w:color w:val="auto"/>
        </w:rPr>
      </w:pPr>
    </w:p>
    <w:p>
      <w:pPr>
        <w:ind w:left="34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lease cost includes rent cost related to operating leases for office facilities of $4,351 and $4,146 for the three months ended March 31, 2021 and 2020, respectively.</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Other information related to leases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753"/>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4,686</w:t>
            </w:r>
          </w:p>
        </w:tc>
        <w:tc>
          <w:tcPr>
            <w:tcW w:w="2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4,482</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r>
    </w:tbl>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 average remaining lease term for operating leases was 3.5 years and 3.7 years as of March 31, 2021 and December 31, 2020, respectively. The weighted average discount rate was 2.1% as of March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12,972</w:t>
            </w:r>
          </w:p>
        </w:tc>
      </w:tr>
      <w:tr>
        <w:trPr>
          <w:trHeight w:val="230"/>
        </w:trPr>
        <w:tc>
          <w:tcPr>
            <w:tcW w:w="936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13,768</w:t>
            </w:r>
          </w:p>
        </w:tc>
      </w:tr>
      <w:tr>
        <w:trPr>
          <w:trHeight w:val="229"/>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r>
      <w:tr>
        <w:trPr>
          <w:trHeight w:val="230"/>
        </w:trPr>
        <w:tc>
          <w:tcPr>
            <w:tcW w:w="93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4,719</w:t>
            </w:r>
          </w:p>
        </w:tc>
      </w:tr>
      <w:tr>
        <w:trPr>
          <w:trHeight w:val="229"/>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r>
      <w:tr>
        <w:trPr>
          <w:trHeight w:val="229"/>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45,593</w:t>
            </w:r>
          </w:p>
        </w:tc>
      </w:tr>
      <w:tr>
        <w:trPr>
          <w:trHeight w:val="270"/>
        </w:trPr>
        <w:tc>
          <w:tcPr>
            <w:tcW w:w="9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r>
      <w:tr>
        <w:trPr>
          <w:trHeight w:val="24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the Company had additional operating lease minimum lease payments of $8,505 for executed leases that have not yet commenced, primarily for office locations.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the financing lease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Accruals and Other Current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tcPr>
          <w:p>
            <w:pPr>
              <w:ind w:left="340"/>
              <w:spacing w:after="0"/>
              <w:rPr>
                <w:sz w:val="20"/>
                <w:szCs w:val="20"/>
                <w:color w:val="auto"/>
              </w:rPr>
            </w:pPr>
            <w:r>
              <w:rPr>
                <w:rFonts w:ascii="Arial" w:cs="Arial" w:eastAsia="Arial" w:hAnsi="Arial"/>
                <w:sz w:val="18"/>
                <w:szCs w:val="18"/>
                <w:color w:val="auto"/>
              </w:rPr>
              <w:t>Accruals and other current liabilities consist of the following:</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24"/>
                <w:szCs w:val="24"/>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CSS deposits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173,788</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34,254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36,613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11,852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Accrued hosting costs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Accrued acquisition stay bonuses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Accrued severance and realignment costs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Accrued facility costs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contributions (see Note 13)</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and current liabilities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13,799</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296,497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226,793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9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10: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Senior secured revolving loan facility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246,000</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70"/>
        </w:trPr>
        <w:tc>
          <w:tcPr>
            <w:tcW w:w="724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690,000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(17,401)</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carrying value</w:t>
            </w: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672,599</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672,599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Credit Facility</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On January 25, 2021, the Company entered into the Second Amendment to the Amended and Restated Credit Agreement dated December 19, 2017, which increased the senior secured revolving loan facility from $500,000 to $850,000 and extended the maturity date from December 18, 2022 to November 15, 2025 (the “Credit Facility”). In connection with the Second Amendment, certain lenders exited the Credit Facility. The Company performed an extinguishment versus modification assessment on a lender</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lender basis resulting in the write</w:t>
      </w:r>
      <w:r>
        <w:rPr>
          <w:rFonts w:ascii="MS PGothic" w:cs="MS PGothic" w:eastAsia="MS PGothic" w:hAnsi="MS PGothic"/>
          <w:sz w:val="18"/>
          <w:szCs w:val="18"/>
          <w:color w:val="auto"/>
        </w:rPr>
        <w:t>‑</w:t>
      </w:r>
      <w:r>
        <w:rPr>
          <w:rFonts w:ascii="Arial" w:cs="Arial" w:eastAsia="Arial" w:hAnsi="Arial"/>
          <w:sz w:val="18"/>
          <w:szCs w:val="18"/>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incremental borrowings subject to availability, including a $85,000 multi</w:t>
      </w:r>
      <w:r>
        <w:rPr>
          <w:rFonts w:ascii="MS PGothic" w:cs="MS PGothic" w:eastAsia="MS PGothic" w:hAnsi="MS PGothic"/>
          <w:sz w:val="18"/>
          <w:szCs w:val="18"/>
          <w:color w:val="auto"/>
        </w:rPr>
        <w:t>‑</w:t>
      </w:r>
      <w:r>
        <w:rPr>
          <w:rFonts w:ascii="Arial" w:cs="Arial" w:eastAsia="Arial" w:hAnsi="Arial"/>
          <w:sz w:val="18"/>
          <w:szCs w:val="18"/>
          <w:color w:val="auto"/>
        </w:rPr>
        <w:t>currency swing</w:t>
      </w:r>
      <w:r>
        <w:rPr>
          <w:rFonts w:ascii="MS PGothic" w:cs="MS PGothic" w:eastAsia="MS PGothic" w:hAnsi="MS PGothic"/>
          <w:sz w:val="18"/>
          <w:szCs w:val="18"/>
          <w:color w:val="auto"/>
        </w:rPr>
        <w:t>‑</w:t>
      </w:r>
      <w:r>
        <w:rPr>
          <w:rFonts w:ascii="Arial" w:cs="Arial" w:eastAsia="Arial" w:hAnsi="Arial"/>
          <w:sz w:val="18"/>
          <w:szCs w:val="18"/>
          <w:color w:val="auto"/>
        </w:rPr>
        <w:t>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The Company had $150 of letters of credit and surety bonds outstanding as of March 31, 2021 and December 31, 2020. As of March 31, 2021 and December 31, 2020, the Company had $849,850 and $253,850 available under the Credit Facility.</w:t>
      </w:r>
    </w:p>
    <w:p>
      <w:pPr>
        <w:spacing w:after="0" w:line="13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Under the Credit Facility, the Company may make either Euro currency or non</w:t>
      </w:r>
      <w:r>
        <w:rPr>
          <w:rFonts w:ascii="MS PGothic" w:cs="MS PGothic" w:eastAsia="MS PGothic" w:hAnsi="MS PGothic"/>
          <w:sz w:val="16"/>
          <w:szCs w:val="16"/>
          <w:color w:val="auto"/>
        </w:rPr>
        <w:t>‑</w:t>
      </w:r>
      <w:r>
        <w:rPr>
          <w:rFonts w:ascii="Arial" w:cs="Arial" w:eastAsia="Arial" w:hAnsi="Arial"/>
          <w:sz w:val="16"/>
          <w:szCs w:val="16"/>
          <w:color w:val="auto"/>
        </w:rPr>
        <w:t>Euro currency interest rate elections. Interest on the Euro currency borrowings is at the one</w:t>
      </w:r>
      <w:r>
        <w:rPr>
          <w:rFonts w:ascii="MS PGothic" w:cs="MS PGothic" w:eastAsia="MS PGothic" w:hAnsi="MS PGothic"/>
          <w:sz w:val="16"/>
          <w:szCs w:val="16"/>
          <w:color w:val="auto"/>
        </w:rPr>
        <w:t>‑</w:t>
      </w:r>
      <w:r>
        <w:rPr>
          <w:rFonts w:ascii="Arial" w:cs="Arial" w:eastAsia="Arial" w:hAnsi="Arial"/>
          <w:sz w:val="16"/>
          <w:szCs w:val="16"/>
          <w:color w:val="auto"/>
        </w:rPr>
        <w:t>month LIBOR plus a spread ranging from 125 basis points (“bps”) to 225 bps as determined by the Company’s net leverage ratio. Under the non</w:t>
      </w:r>
      <w:r>
        <w:rPr>
          <w:rFonts w:ascii="MS PGothic" w:cs="MS PGothic" w:eastAsia="MS PGothic" w:hAnsi="MS PGothic"/>
          <w:sz w:val="16"/>
          <w:szCs w:val="16"/>
          <w:color w:val="auto"/>
        </w:rPr>
        <w:t>‑</w:t>
      </w:r>
      <w:r>
        <w:rPr>
          <w:rFonts w:ascii="Arial" w:cs="Arial" w:eastAsia="Arial" w:hAnsi="Arial"/>
          <w:sz w:val="16"/>
          <w:szCs w:val="16"/>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the Company’s leverage ratio. In addition, a commitment fee for the unused Credit Facility ranges from 20 bps to 30 bps as determined by the Company’s net leverage ratio.</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As of March 31, 2021 and December 31, 2020, the Company was in compliance with all covenants in its Credit Facility debt agreements.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the Company gives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the Company must pay customary breakage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On January 26, 2021, the Company completed a private offering of $690,000 of 0.125% convertible senior notes due 2026. The 2026 Notes were issued pursuant to an indenture, dated as of January 26, 2021, between the Company and Wilmington Trust, National Association, as trustee (the “Trustee”) (the “Indenture”). Interest will accrue from January 26,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 xml:space="preserve">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the payment of transaction costs. As of March 31, 2021, $555 and $50 of the transaction costs were recorded in </w:t>
      </w:r>
      <w:r>
        <w:rPr>
          <w:rFonts w:ascii="Arial" w:cs="Arial" w:eastAsia="Arial" w:hAnsi="Arial"/>
          <w:sz w:val="17"/>
          <w:szCs w:val="17"/>
          <w:i w:val="1"/>
          <w:iCs w:val="1"/>
          <w:color w:val="auto"/>
        </w:rPr>
        <w:t>Accounts payable</w:t>
      </w:r>
      <w:r>
        <w:rPr>
          <w:rFonts w:ascii="Arial" w:cs="Arial" w:eastAsia="Arial" w:hAnsi="Arial"/>
          <w:sz w:val="17"/>
          <w:szCs w:val="17"/>
          <w:color w:val="auto"/>
        </w:rPr>
        <w:t xml:space="preserve"> and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 respectively.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intends to use the remainder of the net proceeds from the sale of the 2026 Notes for general corporate purposes and towards funding the acquisition of Seequent (see Note 4).</w:t>
      </w:r>
    </w:p>
    <w:p>
      <w:pPr>
        <w:spacing w:after="0" w:line="21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Indenture. If a “make-whole fundamental change” (as defined in the Indenture) occurs, then the Company will, in certain circumstances, increase the conversion rate for a specified period of time.</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Upon a fundamental change (as defined in the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Indenture), the Company will, under certain circumstances, increase the applicable conversion rate for a holder that elects to convert its 2026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$44.23 per share or greater than $210.00 per share. The Company will not increase the conversion rate to an amount that exceeds 22.6090 shares per $1 principal amount of 2026 Notes, subject to adjustment. The Indenture also contains a customary merger covenant.</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Under the Indenture, the 2026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2026 Notes shall automatically become due and payable. If any other event of default occurs and is continuing, the Trustee by notice to the Company, or the holders of the 2026 Notes of at least 25% in principal amount of the outstanding 2026 Notes by notice to the Company and the Trustee, may declare the principal of, and accrued and unpaid interest on, all of the then outstanding 2026 Notes to be due and payable. Notwithstanding the foregoing, the Indenture provides that, to the extent the Company elects, the sole remedy for an event of default relating to certain failures by the Company to comply with reporting covenant in the Indenture consists exclusively of the right to receive additional interest on the 2026 Notes.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discussed in Note 2, the Company early adopted ASU 2020</w:t>
      </w:r>
      <w:r>
        <w:rPr>
          <w:rFonts w:ascii="MS PGothic" w:cs="MS PGothic" w:eastAsia="MS PGothic" w:hAnsi="MS PGothic"/>
          <w:sz w:val="18"/>
          <w:szCs w:val="18"/>
          <w:color w:val="auto"/>
        </w:rPr>
        <w:t>‑</w:t>
      </w:r>
      <w:r>
        <w:rPr>
          <w:rFonts w:ascii="Arial" w:cs="Arial" w:eastAsia="Arial" w:hAnsi="Arial"/>
          <w:sz w:val="18"/>
          <w:szCs w:val="18"/>
          <w:color w:val="auto"/>
        </w:rPr>
        <w:t>06 as of January 1, 2021 and concluded the 2026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2026 Notes. For the three months ended March 31, 2021, the effective interest rate for the 2026 Notes was 0.658%.</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none of the conditions of the 2026 Notes to early convert have been met.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2026 Notes are the Company’s senior, unsecured obligations that rank senior in right of payment to the Company’s future indebtedness that is expressly subordinated to the 2026 Notes, rank equally in right of payment with the Company’s future senior unsecured indebtedness that is not so subordinated,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2026 Notes contain both affirmative and negative covenants. As of March 31, 2021, the Company was in compliance with all covenants in the 2026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Options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connection with the pricing of the 2026 Notes, the Company entered into capped call options with certain of the initial purchasers or their respective affiliates and certain other financial institutions. The Company incurred $150 of expenses in connection with the capped call options, which were recorded in </w:t>
      </w:r>
      <w:r>
        <w:rPr>
          <w:rFonts w:ascii="Arial" w:cs="Arial" w:eastAsia="Arial" w:hAnsi="Arial"/>
          <w:sz w:val="16"/>
          <w:szCs w:val="16"/>
          <w:i w:val="1"/>
          <w:iCs w:val="1"/>
          <w:color w:val="auto"/>
        </w:rPr>
        <w:t>Accounts payable</w:t>
      </w:r>
      <w:r>
        <w:rPr>
          <w:rFonts w:ascii="Arial" w:cs="Arial" w:eastAsia="Arial" w:hAnsi="Arial"/>
          <w:sz w:val="16"/>
          <w:szCs w:val="16"/>
          <w:color w:val="auto"/>
        </w:rPr>
        <w:t xml:space="preserve"> in the consolidated balance sheet as of March 31, 2021.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8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6"/>
                <w:szCs w:val="16"/>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2020</w:t>
            </w:r>
          </w:p>
        </w:tc>
      </w:tr>
      <w:tr>
        <w:trPr>
          <w:trHeight w:val="21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70"/>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 xml:space="preserve">Senior secured revolving loan facility </w:t>
            </w:r>
            <w:r>
              <w:rPr>
                <w:rFonts w:ascii="Arial" w:cs="Arial" w:eastAsia="Arial" w:hAnsi="Arial"/>
                <w:sz w:val="23"/>
                <w:szCs w:val="23"/>
                <w:color w:val="auto"/>
                <w:vertAlign w:val="superscript"/>
              </w:rPr>
              <w:t>(1)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23"/>
                <w:szCs w:val="23"/>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70"/>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Amortization and write-off of deferred debt issuance costs</w:t>
            </w:r>
          </w:p>
        </w:tc>
        <w:tc>
          <w:tcPr>
            <w:tcW w:w="4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30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09"/>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2026 Notes: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0"/>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Coupon interest</w:t>
            </w: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4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obligations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The weighted average interest rate was 1.90% and 2.59% for the three months ended March 31, 2021 and 2020, respectively.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Interest rate risk associated with the Credit Facility is managed through an interest rate swap which the Company executed on March 31, 2020. The swap has an effective date of April 2, 2020 and a termination date of April 2, 2030. Under the terms of the swap, the Company fixed its LIBOR borrowing rate at 0.73% on a notional amount of $200,000.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in the consolidated statement of operations. As of March 31, 2021 and December 31, 2020, the Company recorded a swap related asset at fair value of $14,011 and $347, respectively,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Certain of the Company’s key employees, including its named executive officers, participate in the Bentley Systems, Incorporated Bonus Pool Plan, as amended and restated, effective as of September 22, 2020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6"/>
          <w:szCs w:val="16"/>
          <w:color w:val="auto"/>
        </w:rPr>
        <w:t>‑</w:t>
      </w:r>
      <w:r>
        <w:rPr>
          <w:rFonts w:ascii="Arial" w:cs="Arial" w:eastAsia="Arial" w:hAnsi="Arial"/>
          <w:sz w:val="16"/>
          <w:szCs w:val="16"/>
          <w:color w:val="auto"/>
        </w:rPr>
        <w:t>plan participants and participant charitable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A participant may defer any portion, or all, of such participant’s incentive bonus payable pursuant to the Bonus Plan into the amended and restated Bentley Systems, Incorporated Nonqualified Deferred Compensation Plan (the “DCP”) (see Note 12). Prior to September 22, 2020, a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was payable in cash. Effective September 22, 2020, the Bonus Plan provides, in part, that a participant may elect to receive any portion, or all, of such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in the form of shares of fully vested Class B Common Stock issued under the Bentley Systems, Incorporated 2020 Omnibus Incentive Plan (the “2020 Incentive Award Plan”) beginning in the fourth quarter of 2020, subject to the limitation described below. The Company records the election of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in the form of shares of fully vested Class B Common Stock as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 the consolidated statement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bonuses exceeds $7,500, the portion of each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and 2020, the incentive compensation, including cash payments, election to receive shares of fully vested Class B Common Stock beginning in the fourth quarter of 2020, and deferred compensation to plan participants, recognized under this plan (net of all applicable holdbacks) was $8,875 and $8,097,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also has a nonqualified DCP, which was amended and restated effective September 22, 2020, under which certain officers and key colleagues may defer all or any part of their incentive compensation, and the Company may make discretionary awards on behalf of such participants. Elective participant deferrals and discretionary Company awards are required to be in the form of phantom shares of the Company’s Class B Common Stock, which are valued for tax and accounting purposes in the same manner as actual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for the three months ended March 31, 2021 and 2020. As of March 31, 2021 and December 31, 2020, phantom shares issuable by the DCP were 30,076,143 and 30,590,955, respectively.</w:t>
      </w:r>
    </w:p>
    <w:p>
      <w:pPr>
        <w:spacing w:after="0" w:line="19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Amounts in the DCP attributable to certain non</w:t>
      </w:r>
      <w:r>
        <w:rPr>
          <w:rFonts w:ascii="MS PGothic" w:cs="MS PGothic" w:eastAsia="MS PGothic" w:hAnsi="MS PGothic"/>
          <w:sz w:val="18"/>
          <w:szCs w:val="18"/>
          <w:color w:val="auto"/>
        </w:rPr>
        <w:t>‑</w:t>
      </w:r>
      <w:r>
        <w:rPr>
          <w:rFonts w:ascii="Arial" w:cs="Arial" w:eastAsia="Arial" w:hAnsi="Arial"/>
          <w:sz w:val="18"/>
          <w:szCs w:val="18"/>
          <w:color w:val="auto"/>
        </w:rPr>
        <w:t>colleague participants are settled in cash and are classified as liabilities which are marked to market at the end of each reporting period. The total liability related to the DCP for non</w:t>
      </w:r>
      <w:r>
        <w:rPr>
          <w:rFonts w:ascii="MS PGothic" w:cs="MS PGothic" w:eastAsia="MS PGothic" w:hAnsi="MS PGothic"/>
          <w:sz w:val="18"/>
          <w:szCs w:val="18"/>
          <w:color w:val="auto"/>
        </w:rPr>
        <w:t>‑</w:t>
      </w:r>
      <w:r>
        <w:rPr>
          <w:rFonts w:ascii="Arial" w:cs="Arial" w:eastAsia="Arial" w:hAnsi="Arial"/>
          <w:sz w:val="18"/>
          <w:szCs w:val="18"/>
          <w:color w:val="auto"/>
        </w:rPr>
        <w:t>colleague participants was $2,757 and $2,591 as of March 31, 2021 and December 31, 2020,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Repurchases, and Issuances of Company Common Stock</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both"/>
        <w:ind w:firstLine="324"/>
        <w:spacing w:after="0" w:line="220" w:lineRule="exact"/>
        <w:rPr>
          <w:sz w:val="20"/>
          <w:szCs w:val="20"/>
          <w:color w:val="auto"/>
        </w:rPr>
      </w:pPr>
      <w:r>
        <w:rPr>
          <w:rFonts w:ascii="Arial" w:cs="Arial" w:eastAsia="Arial" w:hAnsi="Arial"/>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w:t>
      </w:r>
      <w:r>
        <w:rPr>
          <w:rFonts w:ascii="MS PGothic" w:cs="MS PGothic" w:eastAsia="MS PGothic" w:hAnsi="MS PGothic"/>
          <w:sz w:val="18"/>
          <w:szCs w:val="18"/>
          <w:color w:val="auto"/>
        </w:rPr>
        <w:t>‑</w:t>
      </w:r>
      <w:r>
        <w:rPr>
          <w:rFonts w:ascii="Arial" w:cs="Arial" w:eastAsia="Arial" w:hAnsi="Arial"/>
          <w:sz w:val="18"/>
          <w:szCs w:val="18"/>
          <w:color w:val="auto"/>
        </w:rPr>
        <w:t>IPO right of first refusal on any sale of the Company and a post</w:t>
      </w:r>
      <w:r>
        <w:rPr>
          <w:rFonts w:ascii="MS PGothic" w:cs="MS PGothic" w:eastAsia="MS PGothic" w:hAnsi="MS PGothic"/>
          <w:sz w:val="18"/>
          <w:szCs w:val="18"/>
          <w:color w:val="auto"/>
        </w:rPr>
        <w:t>‑</w:t>
      </w:r>
      <w:r>
        <w:rPr>
          <w:rFonts w:ascii="Arial" w:cs="Arial" w:eastAsia="Arial" w:hAnsi="Arial"/>
          <w:sz w:val="18"/>
          <w:szCs w:val="18"/>
          <w:color w:val="auto"/>
        </w:rPr>
        <w:t>IPO right to participate in any sale process the Company may undertake. The strategic investor’s right of first refusal terminated upon the effectiveness of the Company’s IPO registration statement.</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23, 2018, the Company entered into an amendment to the Common Stock Purchase Agreement, which (i) increased the maximum purchase amount from $200,000 to $250,000 thereunder, (ii) extended the expiration of the agreement from 2026 to 2030, and (iii) granted the Company the right to retain a portion of the shares that would otherwise be sold to the investor.</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2020, there were no shares purchased under the Common Stock Purchase Agreement. As of December 31, 2020, the investor reached the maximum purchase amount of $250,000.</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the Company issued 1,263,121 shares of Class B Common Stock to colleagues who exercised their stock options, net of 262,210 shares withheld at exercise to pay for the cost of the stock options, as well as for $7,158 of applicable income tax withholdings. The Company received $1,751 in proceeds from the exercise of stock options.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March 31, 2020, the Company issued 697,833 shares of Class B Common Stock to colleagues who exercised their stock options, net of 561,667 shares withheld at exercise to pay for the cost of the stock options, as well as for $1,341 of applicable income tax withholdings. The Company received $724 in proceeds from the exercise of stock options. For the three months ended March 31, 2020, the Company paid $302 for 37,870 shares sold back to the Company upon exercise of the Put and Call provisions under its applicable equity incentive plans. Upon the completion of the IPO, the Put and Call provisions of the Company’s Amended and Restated 2015 Equity Incentive Plan (the “2015 Equity Incentive Plan”) terminated automatically.</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the Company issued 79,961 shares of Class B Common Stock in connection with Bonus Plan incentive compensation earned in the fourth quarter of 2020, net of shares withheld. Of the total 126,038 shares awarded, 46,077 shares were sold back to the Company to pay for applicable income tax withholdings of $2,037.</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2021 and 2020, the Company issued 339,503 and 683,072 shares of Class B Common Stock to DCP participants in connection with distributions from the plan. The distribution in shares for the three months ended March 31, 2021 totaled 556,475 shares of which 216,972 shares were sold back to the Company in the same period to pay for applicable income tax withholdings of $8,859. The distribution in shares for the three months ended March 31, 2020 totaled 720,827 shares of which 37,755 shares were sold back to the Company to pay for the cost of applicable income tax withholding of $301.</w:t>
      </w:r>
    </w:p>
    <w:p>
      <w:pPr>
        <w:spacing w:after="0" w:line="188"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For the three months ended March 31, 2021, the Company did not repurchase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The Company repurchased 186,715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for $1,850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 The Company declared cash dividends during the periods presented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Dividend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Per Share</w:t>
            </w:r>
          </w:p>
        </w:tc>
        <w:tc>
          <w:tcPr>
            <w:tcW w:w="260" w:type="dxa"/>
            <w:vAlign w:val="bottom"/>
          </w:tcPr>
          <w:p>
            <w:pPr>
              <w:spacing w:after="0"/>
              <w:rPr>
                <w:sz w:val="19"/>
                <w:szCs w:val="19"/>
                <w:color w:val="auto"/>
              </w:rPr>
            </w:pPr>
          </w:p>
        </w:tc>
        <w:tc>
          <w:tcPr>
            <w:tcW w:w="1180" w:type="dxa"/>
            <w:vAlign w:val="bottom"/>
          </w:tcPr>
          <w:p>
            <w:pPr>
              <w:jc w:val="right"/>
              <w:ind w:right="353"/>
              <w:spacing w:after="0"/>
              <w:rPr>
                <w:sz w:val="20"/>
                <w:szCs w:val="20"/>
                <w:color w:val="auto"/>
              </w:rPr>
            </w:pPr>
            <w:r>
              <w:rPr>
                <w:rFonts w:ascii="Arial" w:cs="Arial" w:eastAsia="Arial" w:hAnsi="Arial"/>
                <w:sz w:val="16"/>
                <w:szCs w:val="16"/>
                <w:b w:val="1"/>
                <w:bCs w:val="1"/>
                <w:color w:val="auto"/>
              </w:rPr>
              <w:t>Amount</w:t>
            </w:r>
          </w:p>
        </w:tc>
      </w:tr>
      <w:tr>
        <w:trPr>
          <w:trHeight w:val="212"/>
        </w:trPr>
        <w:tc>
          <w:tcPr>
            <w:tcW w:w="8100" w:type="dxa"/>
            <w:vAlign w:val="bottom"/>
            <w:tcBorders>
              <w:top w:val="single" w:sz="8" w:color="CCEEFF"/>
            </w:tcBorders>
            <w:shd w:val="clear" w:color="auto" w:fill="CCEEFF"/>
          </w:tcPr>
          <w:p>
            <w:pPr>
              <w:jc w:val="right"/>
              <w:ind w:right="7570"/>
              <w:spacing w:after="0"/>
              <w:rPr>
                <w:sz w:val="20"/>
                <w:szCs w:val="20"/>
                <w:color w:val="auto"/>
              </w:rPr>
            </w:pPr>
            <w:r>
              <w:rPr>
                <w:rFonts w:ascii="Arial" w:cs="Arial" w:eastAsia="Arial" w:hAnsi="Arial"/>
                <w:sz w:val="18"/>
                <w:szCs w:val="18"/>
                <w:b w:val="1"/>
                <w:bCs w:val="1"/>
                <w:color w:val="auto"/>
                <w:w w:val="91"/>
              </w:rPr>
              <w:t>2021:</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8100" w:type="dxa"/>
            <w:vAlign w:val="bottom"/>
          </w:tcPr>
          <w:p>
            <w:pPr>
              <w:jc w:val="right"/>
              <w:ind w:right="693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8,219</w:t>
            </w:r>
          </w:p>
        </w:tc>
      </w:tr>
      <w:tr>
        <w:trPr>
          <w:trHeight w:val="230"/>
        </w:trPr>
        <w:tc>
          <w:tcPr>
            <w:tcW w:w="8100" w:type="dxa"/>
            <w:vAlign w:val="bottom"/>
            <w:shd w:val="clear" w:color="auto" w:fill="CCEEFF"/>
          </w:tcPr>
          <w:p>
            <w:pPr>
              <w:jc w:val="right"/>
              <w:ind w:right="7570"/>
              <w:spacing w:after="0"/>
              <w:rPr>
                <w:sz w:val="20"/>
                <w:szCs w:val="20"/>
                <w:color w:val="auto"/>
              </w:rPr>
            </w:pPr>
            <w:r>
              <w:rPr>
                <w:rFonts w:ascii="Arial" w:cs="Arial" w:eastAsia="Arial" w:hAnsi="Arial"/>
                <w:sz w:val="18"/>
                <w:szCs w:val="18"/>
                <w:b w:val="1"/>
                <w:bCs w:val="1"/>
                <w:color w:val="auto"/>
                <w:w w:val="91"/>
              </w:rPr>
              <w:t>2020: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70"/>
        </w:trPr>
        <w:tc>
          <w:tcPr>
            <w:tcW w:w="8100" w:type="dxa"/>
            <w:vAlign w:val="bottom"/>
          </w:tcPr>
          <w:p>
            <w:pPr>
              <w:jc w:val="right"/>
              <w:ind w:right="693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7,666</w:t>
            </w:r>
          </w:p>
        </w:tc>
      </w:tr>
    </w:tbl>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Global Employee Stock Purchase Plan </w:t>
      </w:r>
      <w:r>
        <w:rPr>
          <w:rFonts w:ascii="Arial" w:cs="Arial" w:eastAsia="Arial" w:hAnsi="Arial"/>
          <w:sz w:val="17"/>
          <w:szCs w:val="17"/>
          <w:color w:val="auto"/>
        </w:rPr>
        <w:t>— Effective September 22, 2020, the Company’s Board and its stockholders adopted and approved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Bentley Systems, Incorporated Global Employee Stock Purchase Plan (the “ESPP”).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The ESPP has 25,000,000 shares of Class B Common Stock reserved for issuance. The ESPP will be implemented by means of consecutive offering periods, with the first offering period commencing on the first trading day on or after January 1, 2021 and ending on the last trading day on or before June 30, 2021.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 As of March 31, 2021, $1,946 of ESPP withholding via employee payroll deduction were recorded in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 As of March 31, 2021, no shares were issued under the ESPP.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(9,182)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(9,153)</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(9,182)</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(9,161)</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(34,401)</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81"/>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(5,069)</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15: Equity Awards and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2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2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1,534</w:t>
            </w: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Restricted stock and restricted stock units (“RSUs”)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1,497</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grants expense</w:t>
            </w: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Bonus Plan expense (see Note 11)</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6,124</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ESPP expense (see Note 13)</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Total pre-tax expense </w:t>
            </w:r>
            <w:r>
              <w:rPr>
                <w:rFonts w:ascii="Arial" w:cs="Arial" w:eastAsia="Arial" w:hAnsi="Arial"/>
                <w:sz w:val="23"/>
                <w:szCs w:val="23"/>
                <w:color w:val="auto"/>
                <w:vertAlign w:val="superscript"/>
              </w:rPr>
              <w:t>(1)</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9,068</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1,653</w:t>
            </w:r>
          </w:p>
        </w:tc>
      </w:tr>
      <w:tr>
        <w:trPr>
          <w:trHeight w:val="21"/>
        </w:trPr>
        <w:tc>
          <w:tcPr>
            <w:tcW w:w="3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94" w:lineRule="exact"/>
        <w:rPr>
          <w:sz w:val="20"/>
          <w:szCs w:val="20"/>
          <w:color w:val="auto"/>
        </w:rPr>
      </w:pPr>
    </w:p>
    <w:p>
      <w:pPr>
        <w:ind w:left="34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As of March 31, 2021 and December 31, 2020, $6,279 and $6,835 remained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respectively.</w:t>
      </w:r>
    </w:p>
    <w:p>
      <w:pPr>
        <w:spacing w:after="0" w:line="170"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operations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2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r>
      <w:tr>
        <w:trPr>
          <w:trHeight w:val="219"/>
        </w:trPr>
        <w:tc>
          <w:tcPr>
            <w:tcW w:w="8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tcPr>
          <w:p>
            <w:pPr>
              <w:spacing w:after="0"/>
              <w:rPr>
                <w:sz w:val="19"/>
                <w:szCs w:val="19"/>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3,955</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788</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3,993</w:t>
            </w:r>
          </w:p>
        </w:tc>
        <w:tc>
          <w:tcPr>
            <w:tcW w:w="2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9,068</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1,653</w:t>
            </w:r>
          </w:p>
        </w:tc>
      </w:tr>
      <w:tr>
        <w:trPr>
          <w:trHeight w:val="20"/>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which is generally the vesting period. The Company accounts for forfeitures of equity awards as those forfeitures occur.</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 of the common stock during periods prior to the IPO was determined by the board of directors at each award grant date based upon a variety of factors, including the results obtained from independent third</w:t>
      </w:r>
      <w:r>
        <w:rPr>
          <w:rFonts w:ascii="MS PGothic" w:cs="MS PGothic" w:eastAsia="MS PGothic" w:hAnsi="MS PGothic"/>
          <w:sz w:val="18"/>
          <w:szCs w:val="18"/>
          <w:color w:val="auto"/>
        </w:rPr>
        <w:t>‑</w:t>
      </w:r>
      <w:r>
        <w:rPr>
          <w:rFonts w:ascii="Arial" w:cs="Arial" w:eastAsia="Arial" w:hAnsi="Arial"/>
          <w:sz w:val="18"/>
          <w:szCs w:val="18"/>
          <w:color w:val="auto"/>
        </w:rPr>
        <w:t>party valuations, the Company’s financial position, and historical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and related information under the Company’s applicable equity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Average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r>
      <w:tr>
        <w:trPr>
          <w:trHeight w:val="216"/>
        </w:trPr>
        <w:tc>
          <w:tcPr>
            <w:tcW w:w="46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93"/>
              </w:rPr>
              <w:t>Intrinsic</w:t>
            </w:r>
          </w:p>
        </w:tc>
      </w:tr>
      <w:tr>
        <w:trPr>
          <w:trHeight w:val="219"/>
        </w:trPr>
        <w:tc>
          <w:tcPr>
            <w:tcW w:w="466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Options</w:t>
            </w:r>
          </w:p>
        </w:tc>
        <w:tc>
          <w:tcPr>
            <w:tcW w:w="160" w:type="dxa"/>
            <w:vAlign w:val="bottom"/>
          </w:tcPr>
          <w:p>
            <w:pPr>
              <w:spacing w:after="0"/>
              <w:rPr>
                <w:sz w:val="19"/>
                <w:szCs w:val="19"/>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Per Share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Life (in years)</w:t>
            </w:r>
          </w:p>
        </w:tc>
        <w:tc>
          <w:tcPr>
            <w:tcW w:w="260" w:type="dxa"/>
            <w:vAlign w:val="bottom"/>
          </w:tcPr>
          <w:p>
            <w:pPr>
              <w:spacing w:after="0"/>
              <w:rPr>
                <w:sz w:val="19"/>
                <w:szCs w:val="19"/>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12,842,226</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(1,525,331)</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March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11,271,645</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1.93</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473,067</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6,859,645</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1.52</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290,383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and 2020, the Company received cash proceeds of $1,751 and $724, respectively, related to the exercise of stock options. The total intrinsic value of stock options exercised for the three months ended March 31, 2021 and 2020 was $61,267 and $8,143, respectively.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there was $5,459 of unrecognized compensation expense related to unvested stock options, which is expected to be recognized over a weighted average period of approximately 2.7 years.</w:t>
      </w:r>
    </w:p>
    <w:p>
      <w:pPr>
        <w:spacing w:after="0" w:line="17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Acquisition Options </w:t>
      </w:r>
      <w:r>
        <w:rPr>
          <w:rFonts w:ascii="Arial" w:cs="Arial" w:eastAsia="Arial" w:hAnsi="Arial"/>
          <w:sz w:val="18"/>
          <w:szCs w:val="18"/>
          <w:color w:val="auto"/>
        </w:rPr>
        <w:t>— In addition to stock options granted under the Company’s equity incentive plans, in connection with an acquisition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March 2018, the Company issued to certain selling shareholder entities options to acquire an aggregate of up to 900,000 shares of Class B Common Stock. The options have a five</w:t>
      </w:r>
      <w:r>
        <w:rPr>
          <w:rFonts w:ascii="MS PGothic" w:cs="MS PGothic" w:eastAsia="MS PGothic" w:hAnsi="MS PGothic"/>
          <w:sz w:val="18"/>
          <w:szCs w:val="18"/>
          <w:color w:val="auto"/>
        </w:rPr>
        <w:t>‑</w:t>
      </w:r>
      <w:r>
        <w:rPr>
          <w:rFonts w:ascii="Arial" w:cs="Arial" w:eastAsia="Arial" w:hAnsi="Arial"/>
          <w:sz w:val="18"/>
          <w:szCs w:val="18"/>
          <w:color w:val="auto"/>
        </w:rPr>
        <w:t>year term, are exercisable on the fourth anniversary of the closing of the acquisition, and have an initial exercise price of $6.805 per share. The options had a four</w:t>
      </w:r>
      <w:r>
        <w:rPr>
          <w:rFonts w:ascii="MS PGothic" w:cs="MS PGothic" w:eastAsia="MS PGothic" w:hAnsi="MS PGothic"/>
          <w:sz w:val="18"/>
          <w:szCs w:val="18"/>
          <w:color w:val="auto"/>
        </w:rPr>
        <w:t>‑</w:t>
      </w:r>
      <w:r>
        <w:rPr>
          <w:rFonts w:ascii="Arial" w:cs="Arial" w:eastAsia="Arial" w:hAnsi="Arial"/>
          <w:sz w:val="18"/>
          <w:szCs w:val="18"/>
          <w:color w:val="auto"/>
        </w:rPr>
        <w:t>year service condition, which terminated automatically upon the completion of the IPO, and therefore,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options was fully recognized as of September 30, 2020.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As of March 31, 2021, all options to acquire 900,000 shares remain outstanding. As of March 31, 2021, these options are non</w:t>
      </w:r>
      <w:r>
        <w:rPr>
          <w:rFonts w:ascii="MS PGothic" w:cs="MS PGothic" w:eastAsia="MS PGothic" w:hAnsi="MS PGothic"/>
          <w:sz w:val="18"/>
          <w:szCs w:val="18"/>
          <w:color w:val="auto"/>
        </w:rPr>
        <w:t>‑</w:t>
      </w:r>
      <w:r>
        <w:rPr>
          <w:rFonts w:ascii="Arial" w:cs="Arial" w:eastAsia="Arial" w:hAnsi="Arial"/>
          <w:sz w:val="18"/>
          <w:szCs w:val="18"/>
          <w:color w:val="auto"/>
        </w:rPr>
        <w:t>exercisable and have an aggregate intrinsic value of $7,992.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RSUs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Under the equity incentive plans, the Company may grant both time</w:t>
      </w:r>
      <w:r>
        <w:rPr>
          <w:rFonts w:ascii="MS PGothic" w:cs="MS PGothic" w:eastAsia="MS PGothic" w:hAnsi="MS PGothic"/>
          <w:sz w:val="16"/>
          <w:szCs w:val="16"/>
          <w:color w:val="auto"/>
        </w:rPr>
        <w:t>‑</w:t>
      </w:r>
      <w:r>
        <w:rPr>
          <w:rFonts w:ascii="Arial" w:cs="Arial" w:eastAsia="Arial" w:hAnsi="Arial"/>
          <w:sz w:val="16"/>
          <w:szCs w:val="16"/>
          <w:color w:val="auto"/>
        </w:rPr>
        <w:t>based and performance</w:t>
      </w:r>
      <w:r>
        <w:rPr>
          <w:rFonts w:ascii="MS PGothic" w:cs="MS PGothic" w:eastAsia="MS PGothic" w:hAnsi="MS PGothic"/>
          <w:sz w:val="16"/>
          <w:szCs w:val="16"/>
          <w:color w:val="auto"/>
        </w:rPr>
        <w:t>‑</w:t>
      </w:r>
      <w:r>
        <w:rPr>
          <w:rFonts w:ascii="Arial" w:cs="Arial" w:eastAsia="Arial" w:hAnsi="Arial"/>
          <w:sz w:val="16"/>
          <w:szCs w:val="16"/>
          <w:color w:val="auto"/>
        </w:rPr>
        <w:t>based shares of restricted Class B Common Stock and RSUs to eligible colleagues. Time</w:t>
      </w:r>
      <w:r>
        <w:rPr>
          <w:rFonts w:ascii="MS PGothic" w:cs="MS PGothic" w:eastAsia="MS PGothic" w:hAnsi="MS PGothic"/>
          <w:sz w:val="16"/>
          <w:szCs w:val="16"/>
          <w:color w:val="auto"/>
        </w:rPr>
        <w:t>‑</w:t>
      </w:r>
      <w:r>
        <w:rPr>
          <w:rFonts w:ascii="Arial" w:cs="Arial" w:eastAsia="Arial" w:hAnsi="Arial"/>
          <w:sz w:val="16"/>
          <w:szCs w:val="16"/>
          <w:color w:val="auto"/>
        </w:rPr>
        <w:t>based awards generally vest ratably on each of the first four anniversaries of the grant date. Performance</w:t>
      </w:r>
      <w:r>
        <w:rPr>
          <w:rFonts w:ascii="MS PGothic" w:cs="MS PGothic" w:eastAsia="MS PGothic" w:hAnsi="MS PGothic"/>
          <w:sz w:val="16"/>
          <w:szCs w:val="16"/>
          <w:color w:val="auto"/>
        </w:rPr>
        <w:t>‑</w:t>
      </w:r>
      <w:r>
        <w:rPr>
          <w:rFonts w:ascii="Arial" w:cs="Arial" w:eastAsia="Arial" w:hAnsi="Arial"/>
          <w:sz w:val="16"/>
          <w:szCs w:val="16"/>
          <w:color w:val="auto"/>
        </w:rPr>
        <w:t>based awards vesting is determined by the achievement of certain business profitability and growth targets, which include growth in annual recurring revenues, as well as actual bookings for perpetual licenses and non</w:t>
      </w:r>
      <w:r>
        <w:rPr>
          <w:rFonts w:ascii="MS PGothic" w:cs="MS PGothic" w:eastAsia="MS PGothic" w:hAnsi="MS PGothic"/>
          <w:sz w:val="16"/>
          <w:szCs w:val="16"/>
          <w:color w:val="auto"/>
        </w:rPr>
        <w:t>‑</w:t>
      </w:r>
      <w:r>
        <w:rPr>
          <w:rFonts w:ascii="Arial" w:cs="Arial" w:eastAsia="Arial" w:hAnsi="Arial"/>
          <w:sz w:val="16"/>
          <w:szCs w:val="16"/>
          <w:color w:val="auto"/>
        </w:rPr>
        <w:t>recurring services. Performance targets are set for annual performance periods.</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restricted stock and RSUs is determined by the product of the number of shares granted and the Company’s common stock price (as described above)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ind w:firstLine="324"/>
        <w:spacing w:after="0" w:line="277" w:lineRule="auto"/>
        <w:rPr>
          <w:sz w:val="20"/>
          <w:szCs w:val="20"/>
          <w:color w:val="auto"/>
        </w:rPr>
      </w:pPr>
      <w:r>
        <w:rPr>
          <w:rFonts w:ascii="Arial" w:cs="Arial" w:eastAsia="Arial" w:hAnsi="Arial"/>
          <w:sz w:val="18"/>
          <w:szCs w:val="18"/>
          <w:color w:val="auto"/>
        </w:rPr>
        <w:t>The following is a summary of unvested restricted stock and RSU activity and related information under the Company’s applicable equity incentive plans: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Performance-</w:t>
            </w:r>
          </w:p>
        </w:tc>
      </w:tr>
      <w:tr>
        <w:trPr>
          <w:trHeight w:val="189"/>
        </w:trPr>
        <w:tc>
          <w:tcPr>
            <w:tcW w:w="3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Based</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Based</w:t>
            </w:r>
          </w:p>
        </w:tc>
      </w:tr>
      <w:tr>
        <w:trPr>
          <w:trHeight w:val="189"/>
        </w:trPr>
        <w:tc>
          <w:tcPr>
            <w:tcW w:w="3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Time-</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Performance-</w:t>
            </w:r>
          </w:p>
        </w:tc>
        <w:tc>
          <w:tcPr>
            <w:tcW w:w="20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Weighted</w:t>
            </w:r>
          </w:p>
        </w:tc>
      </w:tr>
      <w:tr>
        <w:trPr>
          <w:trHeight w:val="189"/>
        </w:trPr>
        <w:tc>
          <w:tcPr>
            <w:tcW w:w="3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Based</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Based</w:t>
            </w:r>
          </w:p>
        </w:tc>
        <w:tc>
          <w:tcPr>
            <w:tcW w:w="20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3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20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Grant Date</w:t>
            </w:r>
          </w:p>
        </w:tc>
        <w:tc>
          <w:tcPr>
            <w:tcW w:w="16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7"/>
              </w:rPr>
              <w:t>Grant Date</w:t>
            </w:r>
          </w:p>
        </w:tc>
      </w:tr>
      <w:tr>
        <w:trPr>
          <w:trHeight w:val="189"/>
        </w:trPr>
        <w:tc>
          <w:tcPr>
            <w:tcW w:w="3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Fair Value</w:t>
            </w:r>
          </w:p>
        </w:tc>
      </w:tr>
      <w:tr>
        <w:trPr>
          <w:trHeight w:val="228"/>
        </w:trPr>
        <w:tc>
          <w:tcPr>
            <w:tcW w:w="3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RSUs</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and RSUs</w:t>
            </w:r>
          </w:p>
        </w:tc>
        <w:tc>
          <w:tcPr>
            <w:tcW w:w="1540" w:type="dxa"/>
            <w:vAlign w:val="bottom"/>
            <w:gridSpan w:val="2"/>
          </w:tcPr>
          <w:p>
            <w:pPr>
              <w:jc w:val="center"/>
              <w:ind w:right="260"/>
              <w:spacing w:after="0" w:line="228" w:lineRule="exact"/>
              <w:rPr>
                <w:sz w:val="20"/>
                <w:szCs w:val="20"/>
                <w:color w:val="auto"/>
              </w:rPr>
            </w:pPr>
            <w:r>
              <w:rPr>
                <w:rFonts w:ascii="Arial" w:cs="Arial" w:eastAsia="Arial" w:hAnsi="Arial"/>
                <w:sz w:val="16"/>
                <w:szCs w:val="16"/>
                <w:b w:val="1"/>
                <w:bCs w:val="1"/>
                <w:color w:val="auto"/>
                <w:w w:val="86"/>
              </w:rPr>
              <w:t xml:space="preserve">and RSUs </w:t>
            </w:r>
            <w:r>
              <w:rPr>
                <w:rFonts w:ascii="Arial" w:cs="Arial" w:eastAsia="Arial" w:hAnsi="Arial"/>
                <w:sz w:val="21"/>
                <w:szCs w:val="21"/>
                <w:b w:val="1"/>
                <w:bCs w:val="1"/>
                <w:color w:val="auto"/>
                <w:w w:val="86"/>
                <w:vertAlign w:val="superscript"/>
              </w:rPr>
              <w:t>(2)</w:t>
            </w:r>
          </w:p>
        </w:tc>
        <w:tc>
          <w:tcPr>
            <w:tcW w:w="200" w:type="dxa"/>
            <w:vAlign w:val="bottom"/>
          </w:tcPr>
          <w:p>
            <w:pPr>
              <w:spacing w:after="0"/>
              <w:rPr>
                <w:sz w:val="19"/>
                <w:szCs w:val="19"/>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9"/>
                <w:szCs w:val="19"/>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Per Share</w:t>
            </w:r>
          </w:p>
        </w:tc>
      </w:tr>
      <w:tr>
        <w:trPr>
          <w:trHeight w:val="223"/>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1,423,715</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1,263,193</w:t>
            </w:r>
          </w:p>
        </w:tc>
        <w:tc>
          <w:tcPr>
            <w:tcW w:w="2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160,522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16.38</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16.62</w:t>
            </w:r>
          </w:p>
        </w:tc>
      </w:tr>
      <w:tr>
        <w:trPr>
          <w:trHeight w:val="270"/>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23"/>
                <w:szCs w:val="23"/>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45.32</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(40,695)</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19.68</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17.53</w:t>
            </w:r>
          </w:p>
        </w:tc>
      </w:tr>
      <w:tr>
        <w:trPr>
          <w:trHeight w:val="270"/>
        </w:trPr>
        <w:tc>
          <w:tcPr>
            <w:tcW w:w="3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(132,892)</w:t>
            </w:r>
          </w:p>
        </w:tc>
        <w:tc>
          <w:tcPr>
            <w:tcW w:w="26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26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(125,592)</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15.48</w:t>
            </w: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16.36</w:t>
            </w:r>
          </w:p>
        </w:tc>
      </w:tr>
      <w:tr>
        <w:trPr>
          <w:trHeight w:val="248"/>
        </w:trPr>
        <w:tc>
          <w:tcPr>
            <w:tcW w:w="38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Unvested, March 31, 2021 </w:t>
            </w:r>
            <w:r>
              <w:rPr>
                <w:rFonts w:ascii="Arial" w:cs="Arial" w:eastAsia="Arial" w:hAnsi="Arial"/>
                <w:sz w:val="23"/>
                <w:szCs w:val="23"/>
                <w:color w:val="auto"/>
                <w:vertAlign w:val="superscript"/>
              </w:rPr>
              <w:t>(1)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1,259,128</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1,259,128</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16.57</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9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43,000 RSUs which are expected to be settled in cash.</w:t>
      </w:r>
    </w:p>
    <w:p>
      <w:pPr>
        <w:spacing w:after="0" w:line="171"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Relates to the 2020 annual performance period.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awards was fully recognized as of December 31, 2020.</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2021, the weighted average grant date fair value of RSUs was $45.32. No RSUs were granted during the three months ended March 31, 2020. No restricted stocks were granted during the three months ended March 31, 2021 and 2020.</w:t>
      </w:r>
    </w:p>
    <w:p>
      <w:pPr>
        <w:spacing w:after="0" w:line="170" w:lineRule="exact"/>
        <w:rPr>
          <w:sz w:val="20"/>
          <w:szCs w:val="20"/>
          <w:color w:val="auto"/>
        </w:rPr>
      </w:pPr>
    </w:p>
    <w:p>
      <w:pPr>
        <w:jc w:val="both"/>
        <w:ind w:right="20" w:firstLine="324"/>
        <w:spacing w:after="0" w:line="220" w:lineRule="exact"/>
        <w:rPr>
          <w:sz w:val="20"/>
          <w:szCs w:val="20"/>
          <w:color w:val="auto"/>
        </w:rPr>
      </w:pPr>
      <w:r>
        <w:rPr>
          <w:rFonts w:ascii="Arial" w:cs="Arial" w:eastAsia="Arial" w:hAnsi="Arial"/>
          <w:sz w:val="17"/>
          <w:szCs w:val="17"/>
          <w:color w:val="auto"/>
        </w:rPr>
        <w:t>In 2016, the Company granted RSUs subject to performance</w:t>
      </w:r>
      <w:r>
        <w:rPr>
          <w:rFonts w:ascii="MS PGothic" w:cs="MS PGothic" w:eastAsia="MS PGothic" w:hAnsi="MS PGothic"/>
          <w:sz w:val="17"/>
          <w:szCs w:val="17"/>
          <w:color w:val="auto"/>
        </w:rPr>
        <w:t>‑</w:t>
      </w:r>
      <w:r>
        <w:rPr>
          <w:rFonts w:ascii="Arial" w:cs="Arial" w:eastAsia="Arial" w:hAnsi="Arial"/>
          <w:sz w:val="17"/>
          <w:szCs w:val="17"/>
          <w:color w:val="auto"/>
        </w:rPr>
        <w:t>based vesting as determined by the achievement of certain business growth targets. Certain colleagues elected to defer delivery of such shares upon vesting. During the three months ended March 31, 2021 and 2020, 10,864 and 9,830 shares, respectively, were delivered to colleagues, and 14 and 124 additional shares, respectively, were earned as a result of dividends. As of March 31, 2021 and December 31, 2020, 20,190 and 31,040 shares, respectively, of these RSUs remained outstanding.</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2021 and 2020, restricted stock and RSUs were issued net of 14,869 and 26,511 shares, respectively, which were sold back to the Company to settle applicable income tax withholdings of $708 and $121, respectively.</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of March 31, 2021, there was $18,560 of unrecognized compensation expense related to unvested time</w:t>
      </w:r>
      <w:r>
        <w:rPr>
          <w:rFonts w:ascii="MS PGothic" w:cs="MS PGothic" w:eastAsia="MS PGothic" w:hAnsi="MS PGothic"/>
          <w:sz w:val="18"/>
          <w:szCs w:val="18"/>
          <w:color w:val="auto"/>
        </w:rPr>
        <w:t>‑</w:t>
      </w:r>
      <w:r>
        <w:rPr>
          <w:rFonts w:ascii="Arial" w:cs="Arial" w:eastAsia="Arial" w:hAnsi="Arial"/>
          <w:sz w:val="18"/>
          <w:szCs w:val="18"/>
          <w:color w:val="auto"/>
        </w:rPr>
        <w:t>based restricted stock and RSUs, which is expected to be recognized over a weighted average period of approximately 3.2 years. There was no remaining unrecognized compensation expense related to unvested performance</w:t>
      </w:r>
      <w:r>
        <w:rPr>
          <w:rFonts w:ascii="MS PGothic" w:cs="MS PGothic" w:eastAsia="MS PGothic" w:hAnsi="MS PGothic"/>
          <w:sz w:val="18"/>
          <w:szCs w:val="18"/>
          <w:color w:val="auto"/>
        </w:rPr>
        <w:t>‑</w:t>
      </w:r>
      <w:r>
        <w:rPr>
          <w:rFonts w:ascii="Arial" w:cs="Arial" w:eastAsia="Arial" w:hAnsi="Arial"/>
          <w:sz w:val="18"/>
          <w:szCs w:val="18"/>
          <w:color w:val="auto"/>
        </w:rPr>
        <w:t>based restricted stock and RSUs.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Grants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did not grant fully vested shares of Class B Common Stock during the three months ended March 31, 2021. For the three months ended March 31, 2020, the Company granted 10,951 fully vested shares of Class B Common Stock with a fair value of and $119.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ESPP</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accordance with the guidance in ASC 718-50,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the ability to purchase shares of the Company’s Class B Common Stock for 85% of the of the lower of the price of the first day of the offering period or the last day of the offering period (i.e., the purchase date) represents an option and, therefore, the ESPP is a compensatory plan under this guidance.</w:t>
      </w:r>
    </w:p>
    <w:p>
      <w:pPr>
        <w:spacing w:after="0" w:line="184" w:lineRule="exact"/>
        <w:rPr>
          <w:sz w:val="20"/>
          <w:szCs w:val="20"/>
          <w:color w:val="auto"/>
        </w:rPr>
      </w:pPr>
    </w:p>
    <w:p>
      <w:pPr>
        <w:jc w:val="both"/>
        <w:ind w:right="20" w:firstLine="324"/>
        <w:spacing w:after="0" w:line="220" w:lineRule="exact"/>
        <w:rPr>
          <w:sz w:val="20"/>
          <w:szCs w:val="20"/>
          <w:color w:val="auto"/>
        </w:rPr>
      </w:pPr>
      <w:r>
        <w:rPr>
          <w:rFonts w:ascii="Arial" w:cs="Arial" w:eastAsia="Arial" w:hAnsi="Arial"/>
          <w:sz w:val="18"/>
          <w:szCs w:val="18"/>
          <w:color w:val="auto"/>
        </w:rPr>
        <w:t>The fair value of each purchase right under the ESPP was calculated as a sum of its components, which includes the discount, a six</w:t>
      </w:r>
      <w:r>
        <w:rPr>
          <w:rFonts w:ascii="MS PGothic" w:cs="MS PGothic" w:eastAsia="MS PGothic" w:hAnsi="MS PGothic"/>
          <w:sz w:val="18"/>
          <w:szCs w:val="18"/>
          <w:color w:val="auto"/>
        </w:rPr>
        <w:t>‑</w:t>
      </w:r>
      <w:r>
        <w:rPr>
          <w:rFonts w:ascii="Arial" w:cs="Arial" w:eastAsia="Arial" w:hAnsi="Arial"/>
          <w:sz w:val="18"/>
          <w:szCs w:val="18"/>
          <w:color w:val="auto"/>
        </w:rPr>
        <w:t>month call option, and a six</w:t>
      </w:r>
      <w:r>
        <w:rPr>
          <w:rFonts w:ascii="MS PGothic" w:cs="MS PGothic" w:eastAsia="MS PGothic" w:hAnsi="MS PGothic"/>
          <w:sz w:val="18"/>
          <w:szCs w:val="18"/>
          <w:color w:val="auto"/>
        </w:rPr>
        <w:t>‑</w:t>
      </w:r>
      <w:r>
        <w:rPr>
          <w:rFonts w:ascii="Arial" w:cs="Arial" w:eastAsia="Arial" w:hAnsi="Arial"/>
          <w:sz w:val="18"/>
          <w:szCs w:val="18"/>
          <w:color w:val="auto"/>
        </w:rPr>
        <w:t>month put option. The call and put options were valued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recognized ratably over the six</w:t>
      </w:r>
      <w:r>
        <w:rPr>
          <w:rFonts w:ascii="MS PGothic" w:cs="MS PGothic" w:eastAsia="MS PGothic" w:hAnsi="MS PGothic"/>
          <w:sz w:val="18"/>
          <w:szCs w:val="18"/>
          <w:color w:val="auto"/>
        </w:rPr>
        <w:t>‑</w:t>
      </w:r>
      <w:r>
        <w:rPr>
          <w:rFonts w:ascii="Arial" w:cs="Arial" w:eastAsia="Arial" w:hAnsi="Arial"/>
          <w:sz w:val="18"/>
          <w:szCs w:val="18"/>
          <w:color w:val="auto"/>
        </w:rPr>
        <w:t>month offering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Subsequent to March 31, 2021</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In April 2021, the Company granted 493,808 time</w:t>
      </w:r>
      <w:r>
        <w:rPr>
          <w:rFonts w:ascii="MS PGothic" w:cs="MS PGothic" w:eastAsia="MS PGothic" w:hAnsi="MS PGothic"/>
          <w:sz w:val="16"/>
          <w:szCs w:val="16"/>
          <w:color w:val="auto"/>
        </w:rPr>
        <w:t>‑</w:t>
      </w:r>
      <w:r>
        <w:rPr>
          <w:rFonts w:ascii="Arial" w:cs="Arial" w:eastAsia="Arial" w:hAnsi="Arial"/>
          <w:sz w:val="16"/>
          <w:szCs w:val="16"/>
          <w:color w:val="auto"/>
        </w:rPr>
        <w:t>based and 99,808 performance</w:t>
      </w:r>
      <w:r>
        <w:rPr>
          <w:rFonts w:ascii="MS PGothic" w:cs="MS PGothic" w:eastAsia="MS PGothic" w:hAnsi="MS PGothic"/>
          <w:sz w:val="16"/>
          <w:szCs w:val="16"/>
          <w:color w:val="auto"/>
        </w:rPr>
        <w:t>‑</w:t>
      </w:r>
      <w:r>
        <w:rPr>
          <w:rFonts w:ascii="Arial" w:cs="Arial" w:eastAsia="Arial" w:hAnsi="Arial"/>
          <w:sz w:val="16"/>
          <w:szCs w:val="16"/>
          <w:color w:val="auto"/>
        </w:rPr>
        <w:t>based RSUs. Time</w:t>
      </w:r>
      <w:r>
        <w:rPr>
          <w:rFonts w:ascii="MS PGothic" w:cs="MS PGothic" w:eastAsia="MS PGothic" w:hAnsi="MS PGothic"/>
          <w:sz w:val="16"/>
          <w:szCs w:val="16"/>
          <w:color w:val="auto"/>
        </w:rPr>
        <w:t>‑</w:t>
      </w:r>
      <w:r>
        <w:rPr>
          <w:rFonts w:ascii="Arial" w:cs="Arial" w:eastAsia="Arial" w:hAnsi="Arial"/>
          <w:sz w:val="16"/>
          <w:szCs w:val="16"/>
          <w:color w:val="auto"/>
        </w:rPr>
        <w:t>based vesting is generally ratably on each of the first four anniversaries of the grant date.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is determined by the achievement of certain business profitability and growth targets, which include growth in annual recurring revenues, as well as actual bookings for perpetual licenses and non</w:t>
      </w:r>
      <w:r>
        <w:rPr>
          <w:rFonts w:ascii="MS PGothic" w:cs="MS PGothic" w:eastAsia="MS PGothic" w:hAnsi="MS PGothic"/>
          <w:sz w:val="16"/>
          <w:szCs w:val="16"/>
          <w:color w:val="auto"/>
        </w:rPr>
        <w:t>‑</w:t>
      </w:r>
      <w:r>
        <w:rPr>
          <w:rFonts w:ascii="Arial" w:cs="Arial" w:eastAsia="Arial" w:hAnsi="Arial"/>
          <w:sz w:val="16"/>
          <w:szCs w:val="16"/>
          <w:color w:val="auto"/>
        </w:rPr>
        <w:t>recurring services, and certain non</w:t>
      </w:r>
      <w:r>
        <w:rPr>
          <w:rFonts w:ascii="MS PGothic" w:cs="MS PGothic" w:eastAsia="MS PGothic" w:hAnsi="MS PGothic"/>
          <w:sz w:val="16"/>
          <w:szCs w:val="16"/>
          <w:color w:val="auto"/>
        </w:rPr>
        <w:t>‑</w:t>
      </w:r>
      <w:r>
        <w:rPr>
          <w:rFonts w:ascii="Arial" w:cs="Arial" w:eastAsia="Arial" w:hAnsi="Arial"/>
          <w:sz w:val="16"/>
          <w:szCs w:val="16"/>
          <w:color w:val="auto"/>
        </w:rPr>
        <w:t>financial performance targets. Performance targets are set for annual performance periods ended on December 31, 2021. The unrecognized compensation expense related to these RSUs is approximately $30,000, which is expected to be recognized over a weighted average period of approximately 3.5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 xml:space="preserve">The Company calculates its interim income tax provision in accordance with ASC Topics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740, </w:t>
      </w:r>
      <w:r>
        <w:rPr>
          <w:rFonts w:ascii="Arial" w:cs="Arial" w:eastAsia="Arial" w:hAnsi="Arial"/>
          <w:sz w:val="16"/>
          <w:szCs w:val="16"/>
          <w:i w:val="1"/>
          <w:iCs w:val="1"/>
          <w:color w:val="auto"/>
        </w:rPr>
        <w:t>Income Taxes</w:t>
      </w:r>
      <w:r>
        <w:rPr>
          <w:rFonts w:ascii="Arial" w:cs="Arial" w:eastAsia="Arial" w:hAnsi="Arial"/>
          <w:sz w:val="16"/>
          <w:szCs w:val="16"/>
          <w:color w:val="auto"/>
        </w:rPr>
        <w:t>. At the end of each interim period, the Company makes an estimate of the annual U.S. domestic and foreign jurisdictions’ expected effective tax rates and applies these rates to its respective year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date taxable income or loss. The computation of the estimated effective tax rates at each interim period requires certain estimates and assumptions including, but not limited to, the expected operating income for the fiscal year, projections of the proportion of income (or loss) earned and taxed in the U.S. and foreign tax jurisdictions, along with permanent differences, and the likelihood of deferred tax asset utilization. The Company’s estimates and assumptions may change as new events occur, additional information is obtained, or as the tax environment changes. Should facts and circumstances change during a period causing a material change to the estimated effective income tax rate, a cumulative adjustment will be recorded.</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income tax provisions for the three months ended March 31, 2021 and 2020 were based on the estimated annual effective income tax rates adjusted for discrete items occurring during the periods presented. For the three months ended March 31, 2021 and 2020, the Company recognized an aggregate consolidated income tax expense of $10,358 and $7,176, respectively, for U.S. domestic and foreign income taxes. For the three months ended March 31, 2021 and 2020, the Company recorded a discrete tax benefit of $7,485 and $1,142, respectively,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 effective income tax rate of 15.3% for the three months ended March 31, 2021 was lower than the effective income tax rate of 19.3% for the three months ended March 31, 2020 primarily due to the tax benefit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partially offset by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On March 31, 2020, the Company entered into an interest rate swap with a notional amount of $200,000 and a ten</w:t>
      </w:r>
      <w:r>
        <w:rPr>
          <w:rFonts w:ascii="MS PGothic" w:cs="MS PGothic" w:eastAsia="MS PGothic" w:hAnsi="MS PGothic"/>
          <w:sz w:val="17"/>
          <w:szCs w:val="17"/>
          <w:color w:val="auto"/>
        </w:rPr>
        <w:t>‑</w:t>
      </w:r>
      <w:r>
        <w:rPr>
          <w:rFonts w:ascii="Arial" w:cs="Arial" w:eastAsia="Arial" w:hAnsi="Arial"/>
          <w:sz w:val="17"/>
          <w:szCs w:val="17"/>
          <w:color w:val="auto"/>
        </w:rPr>
        <w:t xml:space="preserve">year term to reduce the interest rate risk associated with the Company’s Credit Facility.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and payments related to the swap are recognized 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in the consolidated statements of operations. For the three months ended March 31, 2021, the Company recorded a gain of $13,661 in </w:t>
      </w:r>
      <w:r>
        <w:rPr>
          <w:rFonts w:ascii="Arial" w:cs="Arial" w:eastAsia="Arial" w:hAnsi="Arial"/>
          <w:sz w:val="17"/>
          <w:szCs w:val="17"/>
          <w:i w:val="1"/>
          <w:iCs w:val="1"/>
          <w:color w:val="auto"/>
        </w:rPr>
        <w:t>Other income (expense),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 </w:t>
      </w:r>
      <w:r>
        <w:rPr>
          <w:rFonts w:ascii="Arial" w:cs="Arial" w:eastAsia="Arial" w:hAnsi="Arial"/>
          <w:sz w:val="17"/>
          <w:szCs w:val="17"/>
          <w:color w:val="auto"/>
        </w:rPr>
        <w:t>and total payments recognized in</w:t>
      </w:r>
      <w:r>
        <w:rPr>
          <w:rFonts w:ascii="Arial" w:cs="Arial" w:eastAsia="Arial" w:hAnsi="Arial"/>
          <w:sz w:val="17"/>
          <w:szCs w:val="17"/>
          <w:i w:val="1"/>
          <w:iCs w:val="1"/>
          <w:color w:val="auto"/>
        </w:rPr>
        <w:t xml:space="preserve"> Interest expense, net </w:t>
      </w:r>
      <w:r>
        <w:rPr>
          <w:rFonts w:ascii="Arial" w:cs="Arial" w:eastAsia="Arial" w:hAnsi="Arial"/>
          <w:sz w:val="17"/>
          <w:szCs w:val="17"/>
          <w:color w:val="auto"/>
        </w:rPr>
        <w:t>related to the swap were $301.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 xml:space="preserve">The Company applies the provisions of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fair value measurements of financial assets and financial liabilities and for fair value measurements of non</w:t>
      </w:r>
      <w:r>
        <w:rPr>
          <w:rFonts w:ascii="MS PGothic" w:cs="MS PGothic" w:eastAsia="MS PGothic" w:hAnsi="MS PGothic"/>
          <w:sz w:val="17"/>
          <w:szCs w:val="17"/>
          <w:color w:val="auto"/>
        </w:rPr>
        <w:t>‑</w:t>
      </w:r>
      <w:r>
        <w:rPr>
          <w:rFonts w:ascii="Arial" w:cs="Arial" w:eastAsia="Arial" w:hAnsi="Arial"/>
          <w:sz w:val="17"/>
          <w:szCs w:val="17"/>
          <w:color w:val="auto"/>
        </w:rPr>
        <w:t>financial items that are recognized or disclosed at fair value in the consolidated financial statements.</w:t>
      </w:r>
    </w:p>
    <w:p>
      <w:pPr>
        <w:spacing w:after="0" w:line="202"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The carrying values of the Company’s financial instruments excluding long</w:t>
      </w:r>
      <w:r>
        <w:rPr>
          <w:rFonts w:ascii="MS PGothic" w:cs="MS PGothic" w:eastAsia="MS PGothic" w:hAnsi="MS PGothic"/>
          <w:sz w:val="17"/>
          <w:szCs w:val="17"/>
          <w:color w:val="auto"/>
        </w:rPr>
        <w:t>‑</w:t>
      </w:r>
      <w:r>
        <w:rPr>
          <w:rFonts w:ascii="Arial" w:cs="Arial" w:eastAsia="Arial" w:hAnsi="Arial"/>
          <w:sz w:val="17"/>
          <w:szCs w:val="17"/>
          <w:color w:val="auto"/>
        </w:rPr>
        <w:t>term debt approximate their fair value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those instruments. Additionally, as of December 31, 2020, 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The estimated fair value of the 2026 Notes was $714,557 as of March 31, 2021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the financial assets and financial liabilities carried at fair value measured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Pr>
          <w:p>
            <w:pPr>
              <w:spacing w:after="0"/>
              <w:rPr>
                <w:sz w:val="18"/>
                <w:szCs w:val="18"/>
                <w:color w:val="auto"/>
              </w:rPr>
            </w:pPr>
          </w:p>
        </w:tc>
        <w:tc>
          <w:tcPr>
            <w:tcW w:w="132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34,329</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34,329</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48,340</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4,785</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4,785</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7,893</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84"/>
        </w:trPr>
        <w:tc>
          <w:tcPr>
            <w:tcW w:w="52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24"/>
                <w:szCs w:val="24"/>
                <w:color w:val="auto"/>
              </w:rPr>
            </w:pPr>
          </w:p>
        </w:tc>
        <w:tc>
          <w:tcPr>
            <w:tcW w:w="132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34,696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34,696</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34,696</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35,043</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4,299</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9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jc w:val="both"/>
        <w:ind w:left="340" w:hanging="332"/>
        <w:spacing w:after="0" w:line="279" w:lineRule="auto"/>
        <w:tabs>
          <w:tab w:leader="none" w:pos="334"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except for current liabilities of $3,093 and $2,884 as of March 31, 2021 and December 31, 2020, respectively, which are included in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117" w:lineRule="exact"/>
        <w:rPr>
          <w:rFonts w:ascii="Arial" w:cs="Arial" w:eastAsia="Arial" w:hAnsi="Arial"/>
          <w:sz w:val="17"/>
          <w:szCs w:val="17"/>
          <w:color w:val="auto"/>
        </w:rPr>
      </w:pPr>
    </w:p>
    <w:p>
      <w:pPr>
        <w:ind w:left="340" w:hanging="332"/>
        <w:spacing w:after="0" w:line="277"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except for current liabilities of $176 and $169 as of March 31, 2021 and December 31, 2020, respectively, which are 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is a reconciliation of the changes in fair value of the Company’s financial liabilities which have been classified as Level 3 in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1860" w:type="dxa"/>
            <w:vAlign w:val="bottom"/>
          </w:tcPr>
          <w:p>
            <w:pPr>
              <w:jc w:val="right"/>
              <w:ind w:right="552"/>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March 31, 2021</w:t>
            </w:r>
          </w:p>
        </w:tc>
        <w:tc>
          <w:tcPr>
            <w:tcW w:w="240" w:type="dxa"/>
            <w:vAlign w:val="bottom"/>
          </w:tcPr>
          <w:p>
            <w:pPr>
              <w:spacing w:after="0"/>
              <w:rPr>
                <w:sz w:val="19"/>
                <w:szCs w:val="19"/>
                <w:color w:val="auto"/>
              </w:rPr>
            </w:pPr>
          </w:p>
        </w:tc>
        <w:tc>
          <w:tcPr>
            <w:tcW w:w="186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December 31, 2020</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(3,425)</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23"/>
                <w:szCs w:val="23"/>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w:t>
            </w:r>
          </w:p>
        </w:tc>
      </w:tr>
      <w:tr>
        <w:trPr>
          <w:trHeight w:val="21"/>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 xml:space="preserve">Purchase Commitment </w:t>
      </w:r>
      <w:r>
        <w:rPr>
          <w:rFonts w:ascii="Arial" w:cs="Arial" w:eastAsia="Arial" w:hAnsi="Arial"/>
          <w:sz w:val="16"/>
          <w:szCs w:val="16"/>
          <w:color w:val="auto"/>
        </w:rPr>
        <w:t>— In the normal course of business, the Company enters into various purchase commitments for goods and services.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2021, the non</w:t>
      </w:r>
      <w:r>
        <w:rPr>
          <w:rFonts w:ascii="MS PGothic" w:cs="MS PGothic" w:eastAsia="MS PGothic" w:hAnsi="MS PGothic"/>
          <w:sz w:val="16"/>
          <w:szCs w:val="16"/>
          <w:color w:val="auto"/>
        </w:rPr>
        <w:t>‑</w:t>
      </w:r>
      <w:r>
        <w:rPr>
          <w:rFonts w:ascii="Arial" w:cs="Arial" w:eastAsia="Arial" w:hAnsi="Arial"/>
          <w:sz w:val="16"/>
          <w:szCs w:val="16"/>
          <w:color w:val="auto"/>
        </w:rPr>
        <w:t>cancelable future cash purchase commitment for services related to the provisioning of the Company’s hosted software solutions was $75,233 through May 2023. The Company expects to fully consume its contractual commitment in the ordinary course of operations.</w:t>
      </w:r>
    </w:p>
    <w:p>
      <w:pPr>
        <w:spacing w:after="0" w:line="204"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 The Company leases certain facilities, automobiles, and equipment under operating leases having initial or remaining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cancelable terms in excess of one year (see Note 8).</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Revenues by geographic area are presented as part of the discussion in Note 3. The following table presents the Company’s long</w:t>
      </w:r>
      <w:r>
        <w:rPr>
          <w:rFonts w:ascii="MS PGothic" w:cs="MS PGothic" w:eastAsia="MS PGothic" w:hAnsi="MS PGothic"/>
          <w:sz w:val="18"/>
          <w:szCs w:val="18"/>
          <w:color w:val="auto"/>
        </w:rPr>
        <w:t>‑</w:t>
      </w:r>
      <w:r>
        <w:rPr>
          <w:rFonts w:ascii="Arial" w:cs="Arial" w:eastAsia="Arial" w:hAnsi="Arial"/>
          <w:sz w:val="18"/>
          <w:szCs w:val="18"/>
          <w:color w:val="auto"/>
        </w:rPr>
        <w:t>lived assets, net of depreciation and amortization by geographic region (see Notes 5, 6, and 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6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70"/>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59,451</w:t>
            </w:r>
          </w:p>
        </w:tc>
        <w:tc>
          <w:tcPr>
            <w:tcW w:w="2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50,306</w:t>
            </w:r>
          </w:p>
        </w:tc>
      </w:tr>
      <w:tr>
        <w:trPr>
          <w:trHeight w:val="270"/>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50,056</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56,322</w:t>
            </w:r>
          </w:p>
        </w:tc>
      </w:tr>
      <w:tr>
        <w:trPr>
          <w:trHeight w:val="270"/>
        </w:trPr>
        <w:tc>
          <w:tcPr>
            <w:tcW w:w="7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APAC</w:t>
            </w: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r>
      <w:tr>
        <w:trPr>
          <w:trHeight w:val="248"/>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000" w:type="dxa"/>
            <w:vAlign w:val="bottom"/>
            <w:tcBorders>
              <w:bottom w:val="single" w:sz="8" w:color="auto"/>
            </w:tcBorders>
          </w:tcPr>
          <w:p>
            <w:pPr>
              <w:spacing w:after="0"/>
              <w:rPr>
                <w:sz w:val="13"/>
                <w:szCs w:val="13"/>
                <w:color w:val="auto"/>
              </w:rPr>
            </w:pPr>
          </w:p>
        </w:tc>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r>
    </w:tbl>
    <w:p>
      <w:pPr>
        <w:spacing w:after="0" w:line="94"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Americas includes the U.S., Canada, and Latin America (including the Caribbean).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20: Interest Expense,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net is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center"/>
              <w:ind w:right="232"/>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6"/>
                <w:szCs w:val="16"/>
                <w:b w:val="1"/>
                <w:bCs w:val="1"/>
                <w:color w:val="auto"/>
                <w:w w:val="94"/>
              </w:rPr>
              <w:t>March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21: Other Income (Expense),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 is comprised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0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4"/>
          </w:tcPr>
          <w:p>
            <w:pPr>
              <w:jc w:val="center"/>
              <w:ind w:right="232"/>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6"/>
                <w:szCs w:val="16"/>
                <w:b w:val="1"/>
                <w:bCs w:val="1"/>
                <w:color w:val="auto"/>
                <w:w w:val="94"/>
              </w:rPr>
              <w:t>March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81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Foreign exchange gain (loss)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00" w:type="dxa"/>
            <w:vAlign w:val="bottom"/>
            <w:tcBorders>
              <w:bottom w:val="single" w:sz="8" w:color="auto"/>
            </w:tcBorders>
          </w:tcPr>
          <w:p>
            <w:pPr>
              <w:spacing w:after="0"/>
              <w:rPr>
                <w:sz w:val="13"/>
                <w:szCs w:val="13"/>
                <w:color w:val="auto"/>
              </w:rPr>
            </w:pPr>
          </w:p>
        </w:tc>
        <w:tc>
          <w:tcPr>
            <w:tcW w:w="5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59"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exchange gain (loss) is primarily attributable to foreign currency translation derived primarily from U.S. Dollar denominated cash and cash equivalents, account receivables, and intercompany balances held by foreign subsidiaries. Intercompany finance transactions denominated in U.S. Dollars resulted in unrealized foreign exchange gains (losses) of $480 and $(6,777) for the three months ended March 31, 2021 and 2020, respectively.</w:t>
      </w:r>
    </w:p>
    <w:p>
      <w:pPr>
        <w:spacing w:after="0" w:line="132"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income, net includes a gain from the change in fair value of the Company’s interest rate swap of $13,661 for the three months ended March 31, 2021. For the three months ended March 31, 2020, other income (expense), net is the gain from the change in fair value of acquisition contingent consideration (see Note 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Realignment Costs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During the third quarter of 2020, the Company initiated a strategic realignment program in order to better serve the Company’s users and to better align resources with the evolving needs of the business (the “2020 Program”). The Company incurred realignment costs of $10,046 for the year ended December 31, 2020 related to the aforementioned program, which represents termination benefits for colleagues whose positions were eliminated. The 2020 Program activities have been broadly implemented across the Company’s various businesses with substantially all actions expected to be completed mid</w:t>
      </w:r>
      <w:r>
        <w:rPr>
          <w:rFonts w:ascii="MS PGothic" w:cs="MS PGothic" w:eastAsia="MS PGothic" w:hAnsi="MS PGothic"/>
          <w:sz w:val="18"/>
          <w:szCs w:val="18"/>
          <w:color w:val="auto"/>
        </w:rPr>
        <w:t>‑</w:t>
      </w:r>
      <w:r>
        <w:rPr>
          <w:rFonts w:ascii="Arial" w:cs="Arial" w:eastAsia="Arial" w:hAnsi="Arial"/>
          <w:sz w:val="18"/>
          <w:szCs w:val="18"/>
          <w:color w:val="auto"/>
        </w:rPr>
        <w:t>2021.</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Accruals and other current liabilities </w:t>
      </w:r>
      <w:r>
        <w:rPr>
          <w:rFonts w:ascii="Arial" w:cs="Arial" w:eastAsia="Arial" w:hAnsi="Arial"/>
          <w:sz w:val="18"/>
          <w:szCs w:val="18"/>
          <w:color w:val="auto"/>
        </w:rPr>
        <w:t>in the consolidated balance sheets included amounts related to the realignment activities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r>
      <w:tr>
        <w:trPr>
          <w:trHeight w:val="270"/>
        </w:trPr>
        <w:tc>
          <w:tcPr>
            <w:tcW w:w="9680" w:type="dxa"/>
            <w:vAlign w:val="bottom"/>
            <w:gridSpan w:val="2"/>
          </w:tcPr>
          <w:p>
            <w:pPr>
              <w:ind w:left="180"/>
              <w:spacing w:after="0"/>
              <w:rPr>
                <w:sz w:val="20"/>
                <w:szCs w:val="20"/>
                <w:color w:val="auto"/>
              </w:rPr>
            </w:pPr>
            <w:r>
              <w:rPr>
                <w:rFonts w:ascii="Arial" w:cs="Arial" w:eastAsia="Arial" w:hAnsi="Arial"/>
                <w:sz w:val="18"/>
                <w:szCs w:val="18"/>
                <w:color w:val="auto"/>
              </w:rPr>
              <w:t>Payments</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(3,729)</w:t>
            </w:r>
          </w:p>
        </w:tc>
      </w:tr>
      <w:tr>
        <w:trPr>
          <w:trHeight w:val="270"/>
        </w:trPr>
        <w:tc>
          <w:tcPr>
            <w:tcW w:w="9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5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Balance, March 31, 2021</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r>
      <w:tr>
        <w:trPr>
          <w:trHeight w:val="21"/>
        </w:trPr>
        <w:tc>
          <w:tcPr>
            <w:tcW w:w="30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6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Adjustments includes foreign currency translation.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23: Earnings Per Share</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Earnings per share (“EPS”) </w:t>
      </w:r>
      <w:r>
        <w:rPr>
          <w:rFonts w:ascii="Arial" w:cs="Arial" w:eastAsia="Arial" w:hAnsi="Arial"/>
          <w:sz w:val="18"/>
          <w:szCs w:val="18"/>
          <w:color w:val="212529"/>
        </w:rPr>
        <w:t>of Class A and Class B Common Stock</w:t>
      </w:r>
      <w:r>
        <w:rPr>
          <w:rFonts w:ascii="Arial" w:cs="Arial" w:eastAsia="Arial" w:hAnsi="Arial"/>
          <w:sz w:val="18"/>
          <w:szCs w:val="18"/>
          <w:color w:val="auto"/>
        </w:rPr>
        <w:t xml:space="preserve"> amounts are computed </w:t>
      </w:r>
      <w:r>
        <w:rPr>
          <w:rFonts w:ascii="Arial" w:cs="Arial" w:eastAsia="Arial" w:hAnsi="Arial"/>
          <w:sz w:val="18"/>
          <w:szCs w:val="18"/>
          <w:color w:val="212529"/>
        </w:rPr>
        <w:t>using the two</w:t>
      </w:r>
      <w:r>
        <w:rPr>
          <w:rFonts w:ascii="MS PGothic" w:cs="MS PGothic" w:eastAsia="MS PGothic" w:hAnsi="MS PGothic"/>
          <w:sz w:val="18"/>
          <w:szCs w:val="18"/>
          <w:color w:val="212529"/>
        </w:rPr>
        <w:t>‑</w:t>
      </w:r>
      <w:r>
        <w:rPr>
          <w:rFonts w:ascii="Arial" w:cs="Arial" w:eastAsia="Arial" w:hAnsi="Arial"/>
          <w:sz w:val="18"/>
          <w:szCs w:val="18"/>
          <w:color w:val="212529"/>
        </w:rPr>
        <w:t>class method required for participating</w:t>
      </w:r>
      <w:r>
        <w:rPr>
          <w:rFonts w:ascii="Arial" w:cs="Arial" w:eastAsia="Arial" w:hAnsi="Arial"/>
          <w:sz w:val="18"/>
          <w:szCs w:val="18"/>
          <w:color w:val="auto"/>
        </w:rPr>
        <w:t xml:space="preserve"> </w:t>
      </w:r>
      <w:r>
        <w:rPr>
          <w:rFonts w:ascii="Arial" w:cs="Arial" w:eastAsia="Arial" w:hAnsi="Arial"/>
          <w:sz w:val="18"/>
          <w:szCs w:val="18"/>
          <w:color w:val="212529"/>
        </w:rPr>
        <w:t xml:space="preserve">securities and using the </w:t>
      </w:r>
      <w:r>
        <w:rPr>
          <w:rFonts w:ascii="Arial" w:cs="Arial" w:eastAsia="Arial" w:hAnsi="Arial"/>
          <w:sz w:val="18"/>
          <w:szCs w:val="18"/>
          <w:color w:val="000000"/>
        </w:rPr>
        <w:t>if</w:t>
      </w:r>
      <w:r>
        <w:rPr>
          <w:rFonts w:ascii="MS PGothic" w:cs="MS PGothic" w:eastAsia="MS PGothic" w:hAnsi="MS PGothic"/>
          <w:sz w:val="18"/>
          <w:szCs w:val="18"/>
          <w:color w:val="000000"/>
        </w:rPr>
        <w:t>‑</w:t>
      </w:r>
      <w:r>
        <w:rPr>
          <w:rFonts w:ascii="Arial" w:cs="Arial" w:eastAsia="Arial" w:hAnsi="Arial"/>
          <w:sz w:val="18"/>
          <w:szCs w:val="18"/>
          <w:color w:val="000000"/>
        </w:rPr>
        <w:t>converted method for the 2026 Notes</w:t>
      </w:r>
      <w:r>
        <w:rPr>
          <w:rFonts w:ascii="Arial" w:cs="Arial" w:eastAsia="Arial" w:hAnsi="Arial"/>
          <w:sz w:val="18"/>
          <w:szCs w:val="18"/>
          <w:color w:val="212529"/>
        </w:rPr>
        <w:t xml:space="preserve"> i</w:t>
      </w:r>
      <w:r>
        <w:rPr>
          <w:rFonts w:ascii="Arial" w:cs="Arial" w:eastAsia="Arial" w:hAnsi="Arial"/>
          <w:sz w:val="18"/>
          <w:szCs w:val="18"/>
          <w:color w:val="000000"/>
        </w:rPr>
        <w:t>n accordance with ASU 2020</w:t>
      </w:r>
      <w:r>
        <w:rPr>
          <w:rFonts w:ascii="MS PGothic" w:cs="MS PGothic" w:eastAsia="MS PGothic" w:hAnsi="MS PGothic"/>
          <w:sz w:val="18"/>
          <w:szCs w:val="18"/>
          <w:color w:val="000000"/>
        </w:rPr>
        <w:t>‑</w:t>
      </w:r>
      <w:r>
        <w:rPr>
          <w:rFonts w:ascii="Arial" w:cs="Arial" w:eastAsia="Arial" w:hAnsi="Arial"/>
          <w:sz w:val="18"/>
          <w:szCs w:val="18"/>
          <w:color w:val="000000"/>
        </w:rPr>
        <w:t>06</w:t>
      </w:r>
      <w:r>
        <w:rPr>
          <w:rFonts w:ascii="Arial" w:cs="Arial" w:eastAsia="Arial" w:hAnsi="Arial"/>
          <w:sz w:val="18"/>
          <w:szCs w:val="18"/>
          <w:color w:val="212529"/>
        </w:rPr>
        <w:t>.</w:t>
      </w:r>
    </w:p>
    <w:p>
      <w:pPr>
        <w:spacing w:after="0" w:line="2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212529"/>
        </w:rPr>
        <w:t xml:space="preserve">The Company issues certain restricted stock awards determined to be participating securities because holders of such shares have non-forfeitable dividend rights in the event of the Company’s declaration of a dividend for common shares. As of </w:t>
      </w:r>
      <w:r>
        <w:rPr>
          <w:rFonts w:ascii="Arial" w:cs="Arial" w:eastAsia="Arial" w:hAnsi="Arial"/>
          <w:sz w:val="18"/>
          <w:szCs w:val="18"/>
          <w:color w:val="000000"/>
        </w:rPr>
        <w:t>March 31, 2021 and 2020</w:t>
      </w:r>
      <w:r>
        <w:rPr>
          <w:rFonts w:ascii="Arial" w:cs="Arial" w:eastAsia="Arial" w:hAnsi="Arial"/>
          <w:sz w:val="18"/>
          <w:szCs w:val="18"/>
          <w:color w:val="212529"/>
        </w:rPr>
        <w:t>, there were no participating securities outstanding.</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12529"/>
        </w:rPr>
        <w:t>Undistributed earnings allocated to participating securities are subtracted from net income in determining basic net income attributable to common stockholders. Basic EPS is computed by dividing basic net income attributable to common stockholders by the weighted average number of shares</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inclusive of undistributed shares held in the DCP as phantom shares</w:t>
      </w:r>
      <w:r>
        <w:rPr>
          <w:rFonts w:ascii="Arial" w:cs="Arial" w:eastAsia="Arial" w:hAnsi="Arial"/>
          <w:sz w:val="18"/>
          <w:szCs w:val="18"/>
          <w:color w:val="212529"/>
        </w:rPr>
        <w:t>.</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12529"/>
        </w:rPr>
        <w:t xml:space="preserve">For the Company’s diluted EPS numerator, interest expense, net of tax, attributable to the conversion of the 2026 Notes is added back to basic net income attributable to common stockholders. For the Company’s diluted EPS denominator, the basic weighted average number of shares is adjusted by the effect of dilutive securities, including awards under the Company’s equity compensation plans and ESPP, and by the dilutive </w:t>
      </w:r>
      <w:r>
        <w:rPr>
          <w:rFonts w:ascii="Arial" w:cs="Arial" w:eastAsia="Arial" w:hAnsi="Arial"/>
          <w:sz w:val="18"/>
          <w:szCs w:val="18"/>
          <w:color w:val="000000"/>
        </w:rPr>
        <w:t>effect of the assumed</w:t>
      </w:r>
      <w:r>
        <w:rPr>
          <w:rFonts w:ascii="Arial" w:cs="Arial" w:eastAsia="Arial" w:hAnsi="Arial"/>
          <w:sz w:val="18"/>
          <w:szCs w:val="18"/>
          <w:color w:val="212529"/>
        </w:rPr>
        <w:t xml:space="preserve"> </w:t>
      </w:r>
      <w:r>
        <w:rPr>
          <w:rFonts w:ascii="Arial" w:cs="Arial" w:eastAsia="Arial" w:hAnsi="Arial"/>
          <w:sz w:val="18"/>
          <w:szCs w:val="18"/>
          <w:color w:val="000000"/>
        </w:rPr>
        <w:t xml:space="preserve">conversion of the 2026 Notes. </w:t>
      </w:r>
      <w:r>
        <w:rPr>
          <w:rFonts w:ascii="Arial" w:cs="Arial" w:eastAsia="Arial" w:hAnsi="Arial"/>
          <w:sz w:val="18"/>
          <w:szCs w:val="18"/>
          <w:color w:val="212529"/>
        </w:rPr>
        <w:t>Diluted EPS attributable to common stockholders is computed by dividing diluted net income attributable to common</w:t>
      </w:r>
      <w:r>
        <w:rPr>
          <w:rFonts w:ascii="Arial" w:cs="Arial" w:eastAsia="Arial" w:hAnsi="Arial"/>
          <w:sz w:val="18"/>
          <w:szCs w:val="18"/>
          <w:color w:val="000000"/>
        </w:rPr>
        <w:t xml:space="preserve"> </w:t>
      </w:r>
      <w:r>
        <w:rPr>
          <w:rFonts w:ascii="Arial" w:cs="Arial" w:eastAsia="Arial" w:hAnsi="Arial"/>
          <w:sz w:val="18"/>
          <w:szCs w:val="18"/>
          <w:color w:val="212529"/>
        </w:rPr>
        <w:t>stockholders by the weighted average number of fully diluted common shares.</w:t>
      </w:r>
    </w:p>
    <w:p>
      <w:pPr>
        <w:spacing w:after="0" w:line="18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earnings per share would not differ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basic and diluted EPS are as follows</w:t>
      </w:r>
      <w:r>
        <w:rPr>
          <w:rFonts w:ascii="Arial" w:cs="Arial" w:eastAsia="Arial" w:hAnsi="Arial"/>
          <w:sz w:val="18"/>
          <w:szCs w:val="18"/>
          <w:color w:val="212529"/>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81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57,006</w:t>
            </w:r>
          </w:p>
        </w:tc>
        <w:tc>
          <w:tcPr>
            <w:tcW w:w="18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29,669</w:t>
            </w:r>
          </w:p>
        </w:tc>
      </w:tr>
      <w:tr>
        <w:trPr>
          <w:trHeight w:val="27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participating securities</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 basic</w:t>
            </w: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57,006</w:t>
            </w:r>
          </w:p>
        </w:tc>
        <w:tc>
          <w:tcPr>
            <w:tcW w:w="1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29,669</w:t>
            </w:r>
          </w:p>
        </w:tc>
      </w:tr>
      <w:tr>
        <w:trPr>
          <w:trHeight w:val="27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 of tax, attributable to assumed conversion of 2026 Notes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 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57,136</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302,583,452</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285,486,972</w:t>
            </w:r>
          </w:p>
        </w:tc>
      </w:tr>
      <w:tr>
        <w:trPr>
          <w:trHeight w:val="270"/>
        </w:trPr>
        <w:tc>
          <w:tcPr>
            <w:tcW w:w="8180" w:type="dxa"/>
            <w:vAlign w:val="bottom"/>
          </w:tcPr>
          <w:p>
            <w:pPr>
              <w:ind w:left="180"/>
              <w:spacing w:after="0"/>
              <w:rPr>
                <w:sz w:val="20"/>
                <w:szCs w:val="20"/>
                <w:color w:val="auto"/>
              </w:rPr>
            </w:pPr>
            <w:r>
              <w:rPr>
                <w:rFonts w:ascii="Arial" w:cs="Arial" w:eastAsia="Arial" w:hAnsi="Arial"/>
                <w:sz w:val="18"/>
                <w:szCs w:val="18"/>
                <w:color w:val="auto"/>
              </w:rPr>
              <w:t>Dilutive effect of securities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11,388,113</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6,891,655</w:t>
            </w:r>
          </w:p>
        </w:tc>
      </w:tr>
      <w:tr>
        <w:trPr>
          <w:trHeight w:val="27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ESPP</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114,364</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of assumed conversion of 2026 Notes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7,650,720</w:t>
            </w:r>
          </w:p>
        </w:tc>
        <w:tc>
          <w:tcPr>
            <w:tcW w:w="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321,736,649</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292,378,627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ind w:firstLine="324"/>
        <w:spacing w:after="0" w:line="223" w:lineRule="exact"/>
        <w:rPr>
          <w:sz w:val="20"/>
          <w:szCs w:val="20"/>
          <w:color w:val="auto"/>
        </w:rPr>
      </w:pPr>
      <w:r>
        <w:rPr>
          <w:rFonts w:ascii="Arial" w:cs="Arial" w:eastAsia="Arial" w:hAnsi="Arial"/>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44"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6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Total anti-dilutive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6,714</w:t>
            </w:r>
          </w:p>
        </w:tc>
        <w:tc>
          <w:tcPr>
            <w:tcW w:w="16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1"/>
        </w:trPr>
        <w:tc>
          <w:tcPr>
            <w:tcW w:w="7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with our audited consolidated financial statements and notes thereto included in Part II, Item 8 of our 2020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on file with the U.S. Securities and Exchange Commission (“SEC”). In addition to historical information, this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II, Item 1A. Risk Factors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w:t>
      </w:r>
    </w:p>
    <w:p>
      <w:pPr>
        <w:spacing w:after="0" w:line="20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are a leading global provider of software for infrastructure engineering, enabling the work of civil, structural, geotechnical, and plant engineering practitioners, their project delivery enterprises, and owner</w:t>
      </w:r>
      <w:r>
        <w:rPr>
          <w:rFonts w:ascii="MS PGothic" w:cs="MS PGothic" w:eastAsia="MS PGothic" w:hAnsi="MS PGothic"/>
          <w:sz w:val="18"/>
          <w:szCs w:val="18"/>
          <w:color w:val="auto"/>
        </w:rPr>
        <w:t>‑</w:t>
      </w:r>
      <w:r>
        <w:rPr>
          <w:rFonts w:ascii="Arial" w:cs="Arial" w:eastAsia="Arial" w:hAnsi="Arial"/>
          <w:sz w:val="18"/>
          <w:szCs w:val="18"/>
          <w:color w:val="auto"/>
        </w:rPr>
        <w:t>operators of infrastructure assets. We were founded in 1984 by the Bentley brothers and on September 25, 2020, we completed our IPO.</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Arial" w:cs="Arial" w:eastAsia="Arial" w:hAnsi="Arial"/>
          <w:sz w:val="18"/>
          <w:szCs w:val="18"/>
          <w:color w:val="auto"/>
        </w:rPr>
        <w:t>premises servers, cloud</w:t>
      </w:r>
      <w:r>
        <w:rPr>
          <w:rFonts w:ascii="MS PGothic" w:cs="MS PGothic" w:eastAsia="MS PGothic" w:hAnsi="MS PGothic"/>
          <w:sz w:val="18"/>
          <w:szCs w:val="18"/>
          <w:color w:val="auto"/>
        </w:rPr>
        <w:t>‑</w:t>
      </w:r>
      <w:r>
        <w:rPr>
          <w:rFonts w:ascii="Arial" w:cs="Arial" w:eastAsia="Arial" w:hAnsi="Arial"/>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Arial" w:cs="Arial" w:eastAsia="Arial" w:hAnsi="Arial"/>
          <w:sz w:val="18"/>
          <w:szCs w:val="18"/>
          <w:color w:val="auto"/>
        </w:rPr>
        <w:t>premise, cloud, and hybrid environments. Our users engineer, construct, and operate projects and assets across the following infrastructure sectors:</w:t>
      </w:r>
    </w:p>
    <w:p>
      <w:pPr>
        <w:spacing w:after="0" w:line="205" w:lineRule="exact"/>
        <w:rPr>
          <w:sz w:val="20"/>
          <w:szCs w:val="20"/>
          <w:color w:val="auto"/>
        </w:rPr>
      </w:pPr>
    </w:p>
    <w:p>
      <w:pPr>
        <w:jc w:val="both"/>
        <w:ind w:left="820" w:hanging="245"/>
        <w:spacing w:after="0" w:line="259"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public works </w:t>
      </w:r>
      <w:r>
        <w:rPr>
          <w:rFonts w:ascii="Arial" w:cs="Arial" w:eastAsia="Arial" w:hAnsi="Arial"/>
          <w:sz w:val="18"/>
          <w:szCs w:val="18"/>
          <w:color w:val="auto"/>
        </w:rPr>
        <w:t>(including roads, rail, airports, ports, and water and wastewater networks)/</w:t>
      </w:r>
      <w:r>
        <w:rPr>
          <w:rFonts w:ascii="Arial" w:cs="Arial" w:eastAsia="Arial" w:hAnsi="Arial"/>
          <w:sz w:val="18"/>
          <w:szCs w:val="18"/>
          <w:i w:val="1"/>
          <w:iCs w:val="1"/>
          <w:color w:val="auto"/>
        </w:rPr>
        <w:t xml:space="preserve">utilities </w:t>
      </w:r>
      <w:r>
        <w:rPr>
          <w:rFonts w:ascii="Arial" w:cs="Arial" w:eastAsia="Arial" w:hAnsi="Arial"/>
          <w:sz w:val="18"/>
          <w:szCs w:val="18"/>
          <w:color w:val="auto"/>
        </w:rPr>
        <w:t>(including electric, gas, water,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communications). We estimate that this sector represents 51% of the net infrastructure asset value of the global top 500 infrastructure owners based on the 2020 edition of the </w:t>
      </w:r>
      <w:r>
        <w:rPr>
          <w:rFonts w:ascii="Arial" w:cs="Arial" w:eastAsia="Arial" w:hAnsi="Arial"/>
          <w:sz w:val="18"/>
          <w:szCs w:val="18"/>
          <w:i w:val="1"/>
          <w:iCs w:val="1"/>
          <w:color w:val="auto"/>
        </w:rPr>
        <w:t>Bentley Infrastructure 500 Top Owners</w:t>
      </w:r>
      <w:r>
        <w:rPr>
          <w:rFonts w:ascii="Arial" w:cs="Arial" w:eastAsia="Arial" w:hAnsi="Arial"/>
          <w:sz w:val="18"/>
          <w:szCs w:val="18"/>
          <w:color w:val="auto"/>
        </w:rPr>
        <w:t>, our annual compilation of the world’s largest infrastructure owners ranked by net depreciated value of their tangible fixed assets;</w:t>
      </w:r>
    </w:p>
    <w:p>
      <w:pPr>
        <w:spacing w:after="0" w:line="186" w:lineRule="exact"/>
        <w:rPr>
          <w:rFonts w:ascii="Arial" w:cs="Arial" w:eastAsia="Arial" w:hAnsi="Arial"/>
          <w:sz w:val="18"/>
          <w:szCs w:val="18"/>
          <w:color w:val="auto"/>
        </w:rPr>
      </w:pPr>
    </w:p>
    <w:p>
      <w:pPr>
        <w:jc w:val="both"/>
        <w:ind w:left="820" w:hanging="245"/>
        <w:spacing w:after="0" w:line="342" w:lineRule="auto"/>
        <w:tabs>
          <w:tab w:leader="none" w:pos="81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(including discrete and process manufacturing, power generation, and water treatment plants)/</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(including oil and gas,</w:t>
      </w:r>
      <w:r>
        <w:rPr>
          <w:rFonts w:ascii="Arial" w:cs="Arial" w:eastAsia="Arial" w:hAnsi="Arial"/>
          <w:sz w:val="16"/>
          <w:szCs w:val="16"/>
          <w:i w:val="1"/>
          <w:iCs w:val="1"/>
          <w:color w:val="auto"/>
        </w:rPr>
        <w:t xml:space="preserve"> </w:t>
      </w:r>
      <w:r>
        <w:rPr>
          <w:rFonts w:ascii="Arial" w:cs="Arial" w:eastAsia="Arial" w:hAnsi="Arial"/>
          <w:sz w:val="16"/>
          <w:szCs w:val="16"/>
          <w:color w:val="auto"/>
        </w:rPr>
        <w:t>mining, and offshore). We estimate that this sector represents 37% of the global top 500 infrastructure owners’ net infrastructure asset value; and</w:t>
      </w:r>
    </w:p>
    <w:p>
      <w:pPr>
        <w:spacing w:after="0" w:line="123" w:lineRule="exact"/>
        <w:rPr>
          <w:rFonts w:ascii="Arial" w:cs="Arial" w:eastAsia="Arial" w:hAnsi="Arial"/>
          <w:sz w:val="16"/>
          <w:szCs w:val="16"/>
          <w:color w:val="auto"/>
        </w:rPr>
      </w:pPr>
    </w:p>
    <w:p>
      <w:pPr>
        <w:ind w:left="820" w:hanging="245"/>
        <w:spacing w:after="0" w:line="27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hospitals, and campuses). We estimate that this sector represents 12% of the global top 500</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owners’ net infrastructure asset value.</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w:t>
      </w:r>
      <w:r>
        <w:rPr>
          <w:rFonts w:ascii="MS PGothic" w:cs="MS PGothic" w:eastAsia="MS PGothic" w:hAnsi="MS PGothic"/>
          <w:sz w:val="18"/>
          <w:szCs w:val="18"/>
          <w:color w:val="auto"/>
        </w:rPr>
        <w:t>‑</w:t>
      </w:r>
      <w:r>
        <w:rPr>
          <w:rFonts w:ascii="Arial" w:cs="Arial" w:eastAsia="Arial" w:hAnsi="Arial"/>
          <w:sz w:val="18"/>
          <w:szCs w:val="18"/>
          <w:color w:val="auto"/>
        </w:rPr>
        <w:t>provisioned solutions for professional practitioners and workgroups.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2020 revenues.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Our sources of revenue growth, in order of magnitude, come from the recurrence of existing subscription revenues, additional revenue and growth from existing accounts using the same products, additional revenue and growth from existing accounts using new products, and growth from new accounts. For the year ended December 31, 2020, subscriptions represented 85% of our revenues, and together with certain professional services revenues that are recurring in nature and represented 2% of our revenues, bring the proportion of our recurring revenues to 87% of total revenues. The remaining 13% of our revenues were generated from the sale of perpetual licenses and the delivery of non</w:t>
      </w:r>
      <w:r>
        <w:rPr>
          <w:rFonts w:ascii="MS PGothic" w:cs="MS PGothic" w:eastAsia="MS PGothic" w:hAnsi="MS PGothic"/>
          <w:sz w:val="16"/>
          <w:szCs w:val="16"/>
          <w:color w:val="auto"/>
        </w:rPr>
        <w:t>‑</w:t>
      </w:r>
      <w:r>
        <w:rPr>
          <w:rFonts w:ascii="Arial" w:cs="Arial" w:eastAsia="Arial" w:hAnsi="Arial"/>
          <w:sz w:val="16"/>
          <w:szCs w:val="16"/>
          <w:color w:val="auto"/>
        </w:rPr>
        <w:t>recurring professional services. We have a highly</w:t>
      </w:r>
      <w:r>
        <w:rPr>
          <w:rFonts w:ascii="MS PGothic" w:cs="MS PGothic" w:eastAsia="MS PGothic" w:hAnsi="MS PGothic"/>
          <w:sz w:val="16"/>
          <w:szCs w:val="16"/>
          <w:color w:val="auto"/>
        </w:rPr>
        <w:t>‑</w:t>
      </w:r>
      <w:r>
        <w:rPr>
          <w:rFonts w:ascii="Arial" w:cs="Arial" w:eastAsia="Arial" w:hAnsi="Arial"/>
          <w:sz w:val="16"/>
          <w:szCs w:val="16"/>
          <w:color w:val="auto"/>
        </w:rPr>
        <w:t>diversified account base, with our largest account representing no more than 2.5% of total revenues in 2020. Our 2020 revenues were also diversified by account type, size, and geography. Additionally, we believe that we have a loyal account base, with 80% of our 2020 revenues from organizations that have been our accounts for over ten years. Between 2000 and 2020, our revenues had an approximately 8% compound annual growth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Offerings: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Arial" w:cs="Arial" w:eastAsia="Arial" w:hAnsi="Arial"/>
          <w:sz w:val="18"/>
          <w:szCs w:val="18"/>
          <w:color w:val="auto"/>
        </w:rPr>
        <w:t>term subscriptions versus longer term annual subscriptions, and fee</w:t>
      </w:r>
      <w:r>
        <w:rPr>
          <w:rFonts w:ascii="MS PGothic" w:cs="MS PGothic" w:eastAsia="MS PGothic" w:hAnsi="MS PGothic"/>
          <w:sz w:val="18"/>
          <w:szCs w:val="18"/>
          <w:color w:val="auto"/>
        </w:rPr>
        <w:t>‑</w:t>
      </w:r>
      <w:r>
        <w:rPr>
          <w:rFonts w:ascii="Arial" w:cs="Arial" w:eastAsia="Arial" w:hAnsi="Arial"/>
          <w:sz w:val="18"/>
          <w:szCs w:val="18"/>
          <w:color w:val="auto"/>
        </w:rPr>
        <w:t>certain arrangements versus variable or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below table,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137795</wp:posOffset>
            </wp:positionV>
            <wp:extent cx="5349240" cy="22885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Our SELECT subscription is a prepaid annual recurring subscription that accompanies a new or previously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perpetual license. We believe that the SELECT benefits summarized below support our favorable rates of account retention and growth:</w:t>
      </w:r>
    </w:p>
    <w:p>
      <w:pPr>
        <w:spacing w:after="0" w:line="146" w:lineRule="exact"/>
        <w:rPr>
          <w:sz w:val="20"/>
          <w:szCs w:val="20"/>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 upgrades;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Comprehensive technical support;</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 pooling providing accounts with efficiency advantages;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ind w:left="820" w:hanging="245"/>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Portfolio balancing providing accounts the opportunity to exchange unused or under used licenses with other of our license offerings;</w:t>
      </w:r>
    </w:p>
    <w:p>
      <w:pPr>
        <w:spacing w:after="0" w:line="236" w:lineRule="exact"/>
        <w:rPr>
          <w:rFonts w:ascii="Arial" w:cs="Arial" w:eastAsia="Arial" w:hAnsi="Arial"/>
          <w:sz w:val="17"/>
          <w:szCs w:val="17"/>
          <w:color w:val="auto"/>
        </w:rPr>
      </w:pPr>
    </w:p>
    <w:p>
      <w:pPr>
        <w:ind w:left="820" w:hanging="245"/>
        <w:spacing w:after="0" w:line="207" w:lineRule="exact"/>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Learning benefits,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and mobility advantages; and</w:t>
      </w:r>
    </w:p>
    <w:p>
      <w:pPr>
        <w:spacing w:after="0" w:line="225"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to our entire application portfolio with usage of licenses not previously purchased monetized quarterly in arrears based on consumption. See the section titled “</w:t>
      </w:r>
      <w:r>
        <w:rPr>
          <w:rFonts w:ascii="Arial" w:cs="Arial" w:eastAsia="Arial" w:hAnsi="Arial"/>
          <w:sz w:val="18"/>
          <w:szCs w:val="18"/>
          <w:b w:val="1"/>
          <w:bCs w:val="1"/>
          <w:i w:val="1"/>
          <w:iCs w:val="1"/>
          <w:color w:val="auto"/>
        </w:rPr>
        <w:t>—</w:t>
      </w:r>
      <w:r>
        <w:rPr>
          <w:rFonts w:ascii="Arial" w:cs="Arial" w:eastAsia="Arial" w:hAnsi="Arial"/>
          <w:sz w:val="18"/>
          <w:szCs w:val="18"/>
          <w:color w:val="auto"/>
        </w:rPr>
        <w:t>Term License Subscriptions” below.</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Enterprise Subscriptions. </w:t>
      </w:r>
      <w:r>
        <w:rPr>
          <w:rFonts w:ascii="Arial" w:cs="Arial" w:eastAsia="Arial" w:hAnsi="Arial"/>
          <w:sz w:val="18"/>
          <w:szCs w:val="18"/>
          <w:color w:val="auto"/>
        </w:rPr>
        <w:t>Our Enterprise subscription offerings provide our largest accounts with complete and unlimited global access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portfolio of solutions.</w:t>
      </w:r>
    </w:p>
    <w:p>
      <w:pPr>
        <w:spacing w:after="0" w:line="170" w:lineRule="exact"/>
        <w:rPr>
          <w:sz w:val="20"/>
          <w:szCs w:val="20"/>
          <w:color w:val="auto"/>
        </w:rPr>
      </w:pPr>
    </w:p>
    <w:p>
      <w:pPr>
        <w:jc w:val="both"/>
        <w:ind w:left="820" w:hanging="245"/>
        <w:spacing w:after="0" w:line="220" w:lineRule="exact"/>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Enterprise License Subscriptions (“ELS”). </w:t>
      </w:r>
      <w:r>
        <w:rPr>
          <w:rFonts w:ascii="Arial" w:cs="Arial" w:eastAsia="Arial" w:hAnsi="Arial"/>
          <w:sz w:val="18"/>
          <w:szCs w:val="18"/>
          <w:color w:val="auto"/>
        </w:rPr>
        <w:t>Our ELS offering provides access to our comprehensive portfolio of solutions for a fixed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annual renewals are based on the account’s usage of software in the preceding year, effectively resulting in an annual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 The majority of our ELS subscribers were historically SELECT subscribers that have grown into a position to take full advantage of our ELS offering.</w:t>
      </w:r>
    </w:p>
    <w:p>
      <w:pPr>
        <w:spacing w:after="0" w:line="203" w:lineRule="exact"/>
        <w:rPr>
          <w:rFonts w:ascii="Arial" w:cs="Arial" w:eastAsia="Arial" w:hAnsi="Arial"/>
          <w:sz w:val="18"/>
          <w:szCs w:val="18"/>
          <w:color w:val="auto"/>
        </w:rPr>
      </w:pPr>
    </w:p>
    <w:p>
      <w:pPr>
        <w:jc w:val="both"/>
        <w:ind w:left="820" w:hanging="245"/>
        <w:spacing w:after="0" w:line="271"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Enterprise 365 (“E365”) Subscriptions. </w:t>
      </w:r>
      <w:r>
        <w:rPr>
          <w:rFonts w:ascii="Arial" w:cs="Arial" w:eastAsia="Arial" w:hAnsi="Arial"/>
          <w:sz w:val="17"/>
          <w:szCs w:val="17"/>
          <w:color w:val="auto"/>
        </w:rPr>
        <w:t>Under our E365 subscription, participating accounts have unrestricted access to our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portfolio, similar to ELS, however they are charged based upon daily usage. The daily usage fee also includes a term license component, SELECT maintenance and support, hosting, and Success Plan services, which are designed to achieve business outcomes through more efficient and effective use of our software. The E365 subscription offering was introduced in 2018. We are prioritizing efforts to transition ELS subscribers to E365 subscriptions, primarily to simplify pricing, more closely align consumption to monetization, and to establish Success Plan services as recurring to ensure better business outcomes for our users. To the extent we succeed in transitioning subscribers to E365, we recognize a greater proportion of our revenues on a quarterly basis rather than substantially upfront. See the section titled “</w:t>
      </w:r>
      <w:r>
        <w:rPr>
          <w:rFonts w:ascii="Arial" w:cs="Arial" w:eastAsia="Arial" w:hAnsi="Arial"/>
          <w:sz w:val="17"/>
          <w:szCs w:val="17"/>
          <w:b w:val="1"/>
          <w:bCs w:val="1"/>
          <w:i w:val="1"/>
          <w:iCs w:val="1"/>
          <w:color w:val="auto"/>
        </w:rPr>
        <w:t>—</w:t>
      </w:r>
      <w:r>
        <w:rPr>
          <w:rFonts w:ascii="Arial" w:cs="Arial" w:eastAsia="Arial" w:hAnsi="Arial"/>
          <w:sz w:val="17"/>
          <w:szCs w:val="17"/>
          <w:color w:val="auto"/>
        </w:rPr>
        <w:t>Key Factors Impacting Comparability and Performance.”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License Subscriptions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Annual Term Licenses (“ATL”) Subscription. </w:t>
      </w:r>
      <w:r>
        <w:rPr>
          <w:rFonts w:ascii="Arial" w:cs="Arial" w:eastAsia="Arial" w:hAnsi="Arial"/>
          <w:sz w:val="18"/>
          <w:szCs w:val="18"/>
          <w:color w:val="auto"/>
        </w:rPr>
        <w:t>Annual term licenses are generally prepaid annually for named user access to specific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 our newly introduced Practitioner Licenses. ATL are also used to monetize site or enterprise wide access for certain of our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solutions within given usage bands.</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Quarterly Term License (“QTL”) Subscription. </w:t>
      </w:r>
      <w:r>
        <w:rPr>
          <w:rFonts w:ascii="Arial" w:cs="Arial" w:eastAsia="Arial" w:hAnsi="Arial"/>
          <w:sz w:val="18"/>
          <w:szCs w:val="18"/>
          <w:color w:val="auto"/>
        </w:rPr>
        <w:t>Through quarterly term licenses, accounts pay quarterly in arrears for licenses they have used</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Arial" w:cs="Arial" w:eastAsia="Arial" w:hAnsi="Arial"/>
          <w:sz w:val="18"/>
          <w:szCs w:val="18"/>
          <w:color w:val="auto"/>
        </w:rPr>
        <w:t>sized accounts to match usage to ongoing project requirements.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Monthly Term License (“MTL”) Subscription. </w:t>
      </w:r>
      <w:r>
        <w:rPr>
          <w:rFonts w:ascii="Arial" w:cs="Arial" w:eastAsia="Arial" w:hAnsi="Arial"/>
          <w:sz w:val="18"/>
          <w:szCs w:val="18"/>
          <w:color w:val="auto"/>
        </w:rPr>
        <w:t>Monthly term licenses are identical to QTL subscriptions, except for the term of the license,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in which they are monetized. MTL subscriptions require a Cloud Services Subscription, which is discussed below.</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Visas and Passports. </w:t>
      </w:r>
      <w:r>
        <w:rPr>
          <w:rFonts w:ascii="Arial" w:cs="Arial" w:eastAsia="Arial" w:hAnsi="Arial"/>
          <w:sz w:val="18"/>
          <w:szCs w:val="18"/>
          <w:color w:val="auto"/>
        </w:rPr>
        <w:t>Visas and Passports are quarterly or annual term licenses enabling users to access specific project or enterprise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entitles our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While certain legacy arrangements are supported, our standard offering requires Visas and Passports to be fulfilled and contracted via a CSS, which is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jc w:val="both"/>
        <w:ind w:firstLine="324"/>
        <w:spacing w:after="0" w:line="279" w:lineRule="auto"/>
        <w:rPr>
          <w:sz w:val="20"/>
          <w:szCs w:val="20"/>
          <w:color w:val="auto"/>
        </w:rPr>
      </w:pPr>
      <w:r>
        <w:rPr>
          <w:rFonts w:ascii="Arial" w:cs="Arial" w:eastAsia="Arial" w:hAnsi="Arial"/>
          <w:sz w:val="17"/>
          <w:szCs w:val="17"/>
          <w:i w:val="1"/>
          <w:iCs w:val="1"/>
          <w:color w:val="auto"/>
        </w:rPr>
        <w:t>Cloud Services Subscription (“CSS”)</w:t>
      </w:r>
      <w:r>
        <w:rPr>
          <w:rFonts w:ascii="Arial" w:cs="Arial" w:eastAsia="Arial" w:hAnsi="Arial"/>
          <w:sz w:val="17"/>
          <w:szCs w:val="17"/>
          <w:color w:val="auto"/>
        </w:rPr>
        <w:t>. CSS is designed to streamline the procurement, administration, and payment process for us and our accounts. A</w:t>
      </w:r>
      <w:r>
        <w:rPr>
          <w:rFonts w:ascii="Arial" w:cs="Arial" w:eastAsia="Arial" w:hAnsi="Arial"/>
          <w:sz w:val="17"/>
          <w:szCs w:val="17"/>
          <w:i w:val="1"/>
          <w:iCs w:val="1"/>
          <w:color w:val="auto"/>
        </w:rPr>
        <w:t xml:space="preserve"> </w:t>
      </w:r>
      <w:r>
        <w:rPr>
          <w:rFonts w:ascii="Arial" w:cs="Arial" w:eastAsia="Arial" w:hAnsi="Arial"/>
          <w:sz w:val="17"/>
          <w:szCs w:val="17"/>
          <w:color w:val="auto"/>
        </w:rPr>
        <w:t>CSS requires an upfront annual estimation of MTL, Visa and Passport consumption, and any Success Plan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We offer professional services, including training, implementation, configuration, customization, and strategic consulting services for all types of projects as requested by our accounts. We perform projects on both a time and materials and a fixed fee basis. We also offer our services using contractual structures based on (i) delivery of the services in the form of subscription</w:t>
      </w:r>
      <w:r>
        <w:rPr>
          <w:rFonts w:ascii="MS PGothic" w:cs="MS PGothic" w:eastAsia="MS PGothic" w:hAnsi="MS PGothic"/>
          <w:sz w:val="17"/>
          <w:szCs w:val="17"/>
          <w:color w:val="auto"/>
        </w:rPr>
        <w:t>‑</w:t>
      </w:r>
      <w:r>
        <w:rPr>
          <w:rFonts w:ascii="Arial" w:cs="Arial" w:eastAsia="Arial" w:hAnsi="Arial"/>
          <w:sz w:val="17"/>
          <w:szCs w:val="17"/>
          <w:color w:val="auto"/>
        </w:rPr>
        <w:t>like, packaged offerings that are annually recurring in nature; and (ii) delivery of our growing portfolio of Success Plans in standard offerings that offer a level of subscription service over and above the standard technical support offered to all accounts as part of their SELECT or Enterprise agreement. Over time, we expect professional services revenues using subscription and subscription</w:t>
      </w:r>
      <w:r>
        <w:rPr>
          <w:rFonts w:ascii="MS PGothic" w:cs="MS PGothic" w:eastAsia="MS PGothic" w:hAnsi="MS PGothic"/>
          <w:sz w:val="17"/>
          <w:szCs w:val="17"/>
          <w:color w:val="auto"/>
        </w:rPr>
        <w:t>‑</w:t>
      </w:r>
      <w:r>
        <w:rPr>
          <w:rFonts w:ascii="Arial" w:cs="Arial" w:eastAsia="Arial" w:hAnsi="Arial"/>
          <w:sz w:val="17"/>
          <w:szCs w:val="17"/>
          <w:color w:val="auto"/>
        </w:rPr>
        <w:t>like contractual structures to make up a greater proportion of our professional services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regularly review the following key metrics to evaluate our business, measure our performance, identify trends in our business, prepare financial projections, and make strategic decisions.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gridSpan w:val="3"/>
          </w:tcPr>
          <w:p>
            <w:pPr>
              <w:jc w:val="center"/>
              <w:ind w:left="674"/>
              <w:spacing w:after="0"/>
              <w:rPr>
                <w:sz w:val="20"/>
                <w:szCs w:val="20"/>
                <w:color w:val="auto"/>
              </w:rPr>
            </w:pPr>
            <w:r>
              <w:rPr>
                <w:rFonts w:ascii="Arial" w:cs="Arial" w:eastAsia="Arial" w:hAnsi="Arial"/>
                <w:sz w:val="16"/>
                <w:szCs w:val="16"/>
                <w:b w:val="1"/>
                <w:bCs w:val="1"/>
                <w:color w:val="auto"/>
                <w:w w:val="91"/>
              </w:rPr>
              <w:t>Twelve Months Ended</w:t>
            </w:r>
          </w:p>
        </w:tc>
        <w:tc>
          <w:tcPr>
            <w:tcW w:w="11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6"/>
                <w:szCs w:val="16"/>
                <w:b w:val="1"/>
                <w:bCs w:val="1"/>
                <w:color w:val="auto"/>
                <w:w w:val="94"/>
              </w:rPr>
              <w:t>March 31,</w:t>
            </w:r>
          </w:p>
        </w:tc>
        <w:tc>
          <w:tcPr>
            <w:tcW w:w="11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w w:val="95"/>
              </w:rPr>
              <w:t>2020</w:t>
            </w:r>
          </w:p>
        </w:tc>
      </w:tr>
      <w:tr>
        <w:trPr>
          <w:trHeight w:val="253"/>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Last twelve-months recurring 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716,902</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86"/>
              </w:rPr>
              <w:t>647,596</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Constant Currency:</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Annualized recurring revenues (“ARR”) growth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10 %</w:t>
            </w:r>
          </w:p>
        </w:tc>
      </w:tr>
      <w:tr>
        <w:trPr>
          <w:trHeight w:val="270"/>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Account retention rate</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98 %</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 xml:space="preserve">98 % </w:t>
            </w:r>
            <w:r>
              <w:rPr>
                <w:rFonts w:ascii="Arial" w:cs="Arial" w:eastAsia="Arial" w:hAnsi="Arial"/>
                <w:sz w:val="23"/>
                <w:szCs w:val="23"/>
                <w:color w:val="auto"/>
                <w:vertAlign w:val="superscript"/>
              </w:rPr>
              <w:t>(1)</w:t>
            </w:r>
          </w:p>
        </w:tc>
      </w:tr>
      <w:tr>
        <w:trPr>
          <w:trHeight w:val="270"/>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Recurring revenues dollar-based net retention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 xml:space="preserve">109 % </w:t>
            </w:r>
            <w:r>
              <w:rPr>
                <w:rFonts w:ascii="Arial" w:cs="Arial" w:eastAsia="Arial" w:hAnsi="Arial"/>
                <w:sz w:val="23"/>
                <w:szCs w:val="23"/>
                <w:color w:val="auto"/>
                <w:vertAlign w:val="superscript"/>
              </w:rPr>
              <w:t>(1)</w:t>
            </w:r>
          </w:p>
        </w:tc>
      </w:tr>
      <w:tr>
        <w:trPr>
          <w:trHeight w:val="175"/>
        </w:trPr>
        <w:tc>
          <w:tcPr>
            <w:tcW w:w="300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94" w:lineRule="exact"/>
        <w:rPr>
          <w:sz w:val="20"/>
          <w:szCs w:val="20"/>
          <w:color w:val="auto"/>
        </w:rPr>
      </w:pPr>
    </w:p>
    <w:p>
      <w:pPr>
        <w:jc w:val="both"/>
        <w:ind w:left="340" w:hanging="332"/>
        <w:spacing w:after="0" w:line="218" w:lineRule="exact"/>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January 1, 2019, we adopted ASU No. 2014</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related amendments (“Topic 606”), which superseded the guidance provided by Accounting Standards Codification (“ASC”) 985</w:t>
      </w:r>
      <w:r>
        <w:rPr>
          <w:rFonts w:ascii="MS PGothic" w:cs="MS PGothic" w:eastAsia="MS PGothic" w:hAnsi="MS PGothic"/>
          <w:sz w:val="18"/>
          <w:szCs w:val="18"/>
          <w:color w:val="auto"/>
        </w:rPr>
        <w:t>‑</w:t>
      </w:r>
      <w:r>
        <w:rPr>
          <w:rFonts w:ascii="Arial" w:cs="Arial" w:eastAsia="Arial" w:hAnsi="Arial"/>
          <w:sz w:val="18"/>
          <w:szCs w:val="18"/>
          <w:color w:val="auto"/>
        </w:rPr>
        <w:t xml:space="preserve">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and Topic 605</w:t>
      </w:r>
      <w:r>
        <w:rPr>
          <w:rFonts w:ascii="MS PGothic" w:cs="MS PGothic" w:eastAsia="MS PGothic" w:hAnsi="MS PGothic"/>
          <w:sz w:val="18"/>
          <w:szCs w:val="18"/>
          <w:color w:val="auto"/>
        </w:rPr>
        <w:t>‑</w:t>
      </w:r>
      <w:r>
        <w:rPr>
          <w:rFonts w:ascii="Arial" w:cs="Arial" w:eastAsia="Arial" w:hAnsi="Arial"/>
          <w:sz w:val="18"/>
          <w:szCs w:val="18"/>
          <w:color w:val="auto"/>
        </w:rPr>
        <w:t xml:space="preserve">25, </w:t>
      </w:r>
      <w:r>
        <w:rPr>
          <w:rFonts w:ascii="Arial" w:cs="Arial" w:eastAsia="Arial" w:hAnsi="Arial"/>
          <w:sz w:val="18"/>
          <w:szCs w:val="18"/>
          <w:i w:val="1"/>
          <w:iCs w:val="1"/>
          <w:color w:val="auto"/>
        </w:rPr>
        <w:t>Revenue Recognition, Multiple-Element Arrangements</w:t>
      </w:r>
      <w:r>
        <w:rPr>
          <w:rFonts w:ascii="Arial" w:cs="Arial" w:eastAsia="Arial" w:hAnsi="Arial"/>
          <w:sz w:val="18"/>
          <w:szCs w:val="18"/>
          <w:color w:val="auto"/>
        </w:rPr>
        <w:t>. We refer to ASC 985</w:t>
      </w:r>
      <w:r>
        <w:rPr>
          <w:rFonts w:ascii="MS PGothic" w:cs="MS PGothic" w:eastAsia="MS PGothic" w:hAnsi="MS PGothic"/>
          <w:sz w:val="18"/>
          <w:szCs w:val="18"/>
          <w:color w:val="auto"/>
        </w:rPr>
        <w:t>‑</w:t>
      </w:r>
      <w:r>
        <w:rPr>
          <w:rFonts w:ascii="Arial" w:cs="Arial" w:eastAsia="Arial" w:hAnsi="Arial"/>
          <w:sz w:val="18"/>
          <w:szCs w:val="18"/>
          <w:color w:val="auto"/>
        </w:rPr>
        <w:t>605 and Topic 605</w:t>
      </w:r>
      <w:r>
        <w:rPr>
          <w:rFonts w:ascii="MS PGothic" w:cs="MS PGothic" w:eastAsia="MS PGothic" w:hAnsi="MS PGothic"/>
          <w:sz w:val="18"/>
          <w:szCs w:val="18"/>
          <w:color w:val="auto"/>
        </w:rPr>
        <w:t>‑</w:t>
      </w:r>
      <w:r>
        <w:rPr>
          <w:rFonts w:ascii="Arial" w:cs="Arial" w:eastAsia="Arial" w:hAnsi="Arial"/>
          <w:sz w:val="18"/>
          <w:szCs w:val="18"/>
          <w:color w:val="auto"/>
        </w:rPr>
        <w:t>25 collectively as “Topic 605.” Prior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the account retention rate and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were calculated using revenues recognized pursuant to Topic 605 for all periods in order to enhance comparability during our transition to Topic 606 as we did not have all information that was necessary to calculate account retention rate pursuant to Topic 606 for earlier periods. For further information on the impact upon adoption of Topic 606 as of January 1, 2019, see Note 3 to our audited consolidated financial statements included in Part II, Item 8 of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For further information on the comparability of recurring revenues recognized under Topic 606 versus Topic 605, see the section titled “—Key Factors Impacting Comparability and Performance” included in Part II, Item 7 of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Last twelve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months recurring revenues. </w:t>
      </w:r>
      <w:r>
        <w:rPr>
          <w:rFonts w:ascii="Arial" w:cs="Arial" w:eastAsia="Arial" w:hAnsi="Arial"/>
          <w:sz w:val="16"/>
          <w:szCs w:val="16"/>
          <w:color w:val="auto"/>
        </w:rPr>
        <w:t>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is calculated as recurring revenues recognized over the preceding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twelve</w:t>
      </w:r>
      <w:r>
        <w:rPr>
          <w:rFonts w:ascii="MS PGothic" w:cs="MS PGothic" w:eastAsia="MS PGothic" w:hAnsi="MS PGothic"/>
          <w:sz w:val="16"/>
          <w:szCs w:val="16"/>
          <w:color w:val="auto"/>
        </w:rPr>
        <w:t>‑</w:t>
      </w:r>
      <w:r>
        <w:rPr>
          <w:rFonts w:ascii="Arial" w:cs="Arial" w:eastAsia="Arial" w:hAnsi="Arial"/>
          <w:sz w:val="16"/>
          <w:szCs w:val="16"/>
          <w:color w:val="auto"/>
        </w:rPr>
        <w:t>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believe that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is an important indicator of our performance during the immediately preceding twelve</w:t>
      </w:r>
      <w:r>
        <w:rPr>
          <w:rFonts w:ascii="MS PGothic" w:cs="MS PGothic" w:eastAsia="MS PGothic" w:hAnsi="MS PGothic"/>
          <w:sz w:val="18"/>
          <w:szCs w:val="18"/>
          <w:color w:val="auto"/>
        </w:rPr>
        <w:t>‑</w:t>
      </w:r>
      <w:r>
        <w:rPr>
          <w:rFonts w:ascii="Arial" w:cs="Arial" w:eastAsia="Arial" w:hAnsi="Arial"/>
          <w:sz w:val="18"/>
          <w:szCs w:val="18"/>
          <w:color w:val="auto"/>
        </w:rPr>
        <w:t>month time period. We believe that we will continue to experience favorable growth in recurring revenues due to our strong account retention and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rates, as well as the addition of new accounts with recurring revenues. The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for the periods ended March 31, 2021 compared to the last twelve</w:t>
      </w:r>
      <w:r>
        <w:rPr>
          <w:rFonts w:ascii="MS PGothic" w:cs="MS PGothic" w:eastAsia="MS PGothic" w:hAnsi="MS PGothic"/>
          <w:sz w:val="18"/>
          <w:szCs w:val="18"/>
          <w:color w:val="auto"/>
        </w:rPr>
        <w:t>‑</w:t>
      </w:r>
      <w:r>
        <w:rPr>
          <w:rFonts w:ascii="Arial" w:cs="Arial" w:eastAsia="Arial" w:hAnsi="Arial"/>
          <w:sz w:val="18"/>
          <w:szCs w:val="18"/>
          <w:color w:val="auto"/>
        </w:rPr>
        <w:t>months of the preceding twelve</w:t>
      </w:r>
      <w:r>
        <w:rPr>
          <w:rFonts w:ascii="MS PGothic" w:cs="MS PGothic" w:eastAsia="MS PGothic" w:hAnsi="MS PGothic"/>
          <w:sz w:val="18"/>
          <w:szCs w:val="18"/>
          <w:color w:val="auto"/>
        </w:rPr>
        <w:t>‑</w:t>
      </w:r>
      <w:r>
        <w:rPr>
          <w:rFonts w:ascii="Arial" w:cs="Arial" w:eastAsia="Arial" w:hAnsi="Arial"/>
          <w:sz w:val="18"/>
          <w:szCs w:val="18"/>
          <w:color w:val="auto"/>
        </w:rPr>
        <w:t>month period increased by $69,306. The increase was primarily due to growth in ARR, which is primarily the result of consistent performance in our account retention rate and in our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as well as additional recurring revenues resulting from new accounts and acquisitions. For the twelve months ended March 31, 2021, 86% of our revenues were recurring revenues.</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b w:val="1"/>
          <w:bCs w:val="1"/>
          <w:i w:val="1"/>
          <w:iCs w:val="1"/>
          <w:color w:val="auto"/>
        </w:rPr>
        <w:t>Constant currency metrics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accounting principles generally accepted in the United States of America (“U.S. GAAP”).</w:t>
      </w:r>
    </w:p>
    <w:p>
      <w:pPr>
        <w:spacing w:after="0" w:line="205"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i w:val="1"/>
          <w:iCs w:val="1"/>
          <w:color w:val="auto"/>
        </w:rPr>
        <w:t xml:space="preserve">ARR growth rate. </w:t>
      </w:r>
      <w:r>
        <w:rPr>
          <w:rFonts w:ascii="Arial" w:cs="Arial" w:eastAsia="Arial" w:hAnsi="Arial"/>
          <w:sz w:val="17"/>
          <w:szCs w:val="17"/>
          <w:color w:val="auto"/>
        </w:rPr>
        <w:t>Our ARR growth rate is the growth rate of our ARR, measured on a constant currency basis. Our ARR is defined as the sum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annualized value of our portfolio of contracts that produce recurring revenue as of the last day of the reporting period, and the annualized value of the last three months of recognized revenues for our contractually recurring consumption</w:t>
      </w:r>
      <w:r>
        <w:rPr>
          <w:rFonts w:ascii="MS PGothic" w:cs="MS PGothic" w:eastAsia="MS PGothic" w:hAnsi="MS PGothic"/>
          <w:sz w:val="17"/>
          <w:szCs w:val="17"/>
          <w:color w:val="auto"/>
        </w:rPr>
        <w:t>‑</w:t>
      </w:r>
      <w:r>
        <w:rPr>
          <w:rFonts w:ascii="Arial" w:cs="Arial" w:eastAsia="Arial" w:hAnsi="Arial"/>
          <w:sz w:val="17"/>
          <w:szCs w:val="17"/>
          <w:color w:val="auto"/>
        </w:rPr>
        <w:t>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38% and 25% as of March 31, 2021 and 2020, respectively. Within our consumption</w:t>
      </w:r>
      <w:r>
        <w:rPr>
          <w:rFonts w:ascii="MS PGothic" w:cs="MS PGothic" w:eastAsia="MS PGothic" w:hAnsi="MS PGothic"/>
          <w:sz w:val="17"/>
          <w:szCs w:val="17"/>
          <w:color w:val="auto"/>
        </w:rPr>
        <w:t>‑</w:t>
      </w:r>
      <w:r>
        <w:rPr>
          <w:rFonts w:ascii="Arial" w:cs="Arial" w:eastAsia="Arial" w:hAnsi="Arial"/>
          <w:sz w:val="17"/>
          <w:szCs w:val="17"/>
          <w:color w:val="auto"/>
        </w:rPr>
        <w:t>measured ARR, the continuous uptake of our E365 subscription offering has introduced daily consumption</w:t>
      </w:r>
      <w:r>
        <w:rPr>
          <w:rFonts w:ascii="MS PGothic" w:cs="MS PGothic" w:eastAsia="MS PGothic" w:hAnsi="MS PGothic"/>
          <w:sz w:val="17"/>
          <w:szCs w:val="17"/>
          <w:color w:val="auto"/>
        </w:rPr>
        <w:t>‑</w:t>
      </w:r>
      <w:r>
        <w:rPr>
          <w:rFonts w:ascii="Arial" w:cs="Arial" w:eastAsia="Arial" w:hAnsi="Arial"/>
          <w:sz w:val="17"/>
          <w:szCs w:val="17"/>
          <w:color w:val="auto"/>
        </w:rPr>
        <w:t>measured ARR, representing 27% of total ARR as of March 31, 2021. 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a leading indicator of revenue growth. Our ARR as of March 31, 2021 was $760,212, calculated using the spot foreign exchange rates as of March 31, 2021.</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ARR growth rate was favorably impacted from acquisitions by 1% and 2% for the twelve months ended March 31, 2021 and 2020, respectively.</w:t>
      </w:r>
    </w:p>
    <w:p>
      <w:pPr>
        <w:spacing w:after="0" w:line="24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Account retention rate. </w:t>
      </w:r>
      <w:r>
        <w:rPr>
          <w:rFonts w:ascii="Arial" w:cs="Arial" w:eastAsia="Arial" w:hAnsi="Arial"/>
          <w:sz w:val="18"/>
          <w:szCs w:val="18"/>
          <w:color w:val="auto"/>
        </w:rPr>
        <w:t>Our account retention rate for any given twelve-month period is calculated using the average currency exchange rates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period, as follows: the prior period recurring revenues from all accounts with recurring revenues in the current and prior period, divided by total recurring revenues from all accounts during the prior period. Our account retention rate is an important indicator that provides insight into the long</w:t>
      </w:r>
      <w:r>
        <w:rPr>
          <w:rFonts w:ascii="MS PGothic" w:cs="MS PGothic" w:eastAsia="MS PGothic" w:hAnsi="MS PGothic"/>
          <w:sz w:val="18"/>
          <w:szCs w:val="18"/>
          <w:color w:val="auto"/>
        </w:rPr>
        <w:t>‑</w:t>
      </w:r>
      <w:r>
        <w:rPr>
          <w:rFonts w:ascii="Arial" w:cs="Arial" w:eastAsia="Arial" w:hAnsi="Arial"/>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Arial" w:cs="Arial" w:eastAsia="Arial" w:hAnsi="Arial"/>
          <w:sz w:val="18"/>
          <w:szCs w:val="18"/>
          <w:color w:val="auto"/>
        </w:rPr>
        <w:t>term relationships with our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jc w:val="both"/>
        <w:ind w:firstLine="324"/>
        <w:spacing w:after="0" w:line="218" w:lineRule="exact"/>
        <w:rPr>
          <w:sz w:val="20"/>
          <w:szCs w:val="20"/>
          <w:color w:val="auto"/>
        </w:rPr>
      </w:pPr>
      <w:r>
        <w:rPr>
          <w:rFonts w:ascii="Arial" w:cs="Arial" w:eastAsia="Arial" w:hAnsi="Arial"/>
          <w:sz w:val="16"/>
          <w:szCs w:val="16"/>
          <w:i w:val="1"/>
          <w:iCs w:val="1"/>
          <w:color w:val="auto"/>
        </w:rPr>
        <w:t>Recurring revenues dollar</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based net retention rate. </w:t>
      </w:r>
      <w:r>
        <w:rPr>
          <w:rFonts w:ascii="Arial" w:cs="Arial" w:eastAsia="Arial" w:hAnsi="Arial"/>
          <w:sz w:val="16"/>
          <w:szCs w:val="16"/>
          <w:color w:val="auto"/>
        </w:rPr>
        <w:t>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calculated using the average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We believe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a key indicator of our success in growing our revenues within our existing accounts. Given that recurring revenues represented 86% of our total revenues for the twelve months ended March 31, 2021, this metric helps explain our revenue performance as primarily growth into existing accounts. We believe that our consistent and high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illustrates our ability to consistently retain accounts and grow them.</w:t>
      </w:r>
    </w:p>
    <w:p>
      <w:pPr>
        <w:spacing w:after="0" w:line="204"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Arial" w:cs="Arial" w:eastAsia="Arial" w:hAnsi="Arial"/>
          <w:sz w:val="18"/>
          <w:szCs w:val="18"/>
          <w:color w:val="auto"/>
        </w:rPr>
        <w:t>titled metrics.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to evaluate our ongoing operations and for internal planning and forecasting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57,931</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64,004</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43,156</w:t>
            </w:r>
          </w:p>
        </w:tc>
      </w:tr>
    </w:tbl>
    <w:p>
      <w:pPr>
        <w:spacing w:after="0" w:line="25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We define Adjusted EBITDA as net income adjusted for interest expense, net, provision (benefit) for income taxes,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acquisition expenses, realignment expenses,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and expense, net, and (income) loss from investment accounted for using the equity method, net of tax.</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Adjusted Net Income</w:t>
      </w:r>
      <w:r>
        <w:rPr>
          <w:rFonts w:ascii="Arial" w:cs="Arial" w:eastAsia="Arial" w:hAnsi="Arial"/>
          <w:sz w:val="18"/>
          <w:szCs w:val="18"/>
          <w:color w:val="auto"/>
        </w:rPr>
        <w:t>. We define Adjusted Net Income as net income adjusted for the following: amortization of purchased intangibles and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acquisition expenses, realignment expenses,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and expense, net, the tax effect of the above adjustments to net income, non</w:t>
      </w:r>
      <w:r>
        <w:rPr>
          <w:rFonts w:ascii="MS PGothic" w:cs="MS PGothic" w:eastAsia="MS PGothic" w:hAnsi="MS PGothic"/>
          <w:sz w:val="18"/>
          <w:szCs w:val="18"/>
          <w:color w:val="auto"/>
        </w:rPr>
        <w:t>‑</w:t>
      </w:r>
      <w:r>
        <w:rPr>
          <w:rFonts w:ascii="Arial" w:cs="Arial" w:eastAsia="Arial" w:hAnsi="Arial"/>
          <w:sz w:val="18"/>
          <w:szCs w:val="18"/>
          <w:color w:val="auto"/>
        </w:rPr>
        <w:t>recurring income tax expense and benefit, and (income) loss from investment accounted for using the equity method, net of tax. The tax effect of adjustments to net income is based on the estimated marginal effective tax rates in the jurisdictions impacted by such adjustments.</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w:t>
      </w:r>
    </w:p>
    <w:p>
      <w:pPr>
        <w:spacing w:after="0" w:line="2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Reconciliation of net income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(benefit) for income taxes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(5)</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Loss from investment accounted for using the equity method, net of tax</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income to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Non-GAAP adjustments, prior to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20320</wp:posOffset>
            </wp:positionV>
            <wp:extent cx="18434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26" w:lineRule="exact"/>
        <w:rPr>
          <w:sz w:val="20"/>
          <w:szCs w:val="20"/>
          <w:color w:val="auto"/>
        </w:rPr>
      </w:pPr>
    </w:p>
    <w:p>
      <w:pPr>
        <w:ind w:left="480"/>
        <w:spacing w:after="0"/>
        <w:tabs>
          <w:tab w:leader="none" w:pos="20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45" w:lineRule="exact"/>
        <w:rPr>
          <w:sz w:val="20"/>
          <w:szCs w:val="20"/>
          <w:color w:val="auto"/>
        </w:rPr>
      </w:pPr>
    </w:p>
    <w:p>
      <w:pPr>
        <w:spacing w:after="0"/>
        <w:tabs>
          <w:tab w:leader="none" w:pos="720" w:val="left"/>
          <w:tab w:leader="none" w:pos="156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57,006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29,669</w:t>
      </w:r>
    </w:p>
    <w:p>
      <w:pPr>
        <w:spacing w:after="0" w:line="63"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color w:val="auto"/>
        </w:rPr>
        <w:t>2,319</w:t>
      </w:r>
      <w:r>
        <w:rPr>
          <w:sz w:val="20"/>
          <w:szCs w:val="20"/>
          <w:color w:val="auto"/>
        </w:rPr>
        <w:tab/>
      </w:r>
      <w:r>
        <w:rPr>
          <w:rFonts w:ascii="Arial" w:cs="Arial" w:eastAsia="Arial" w:hAnsi="Arial"/>
          <w:sz w:val="18"/>
          <w:szCs w:val="18"/>
          <w:color w:val="auto"/>
        </w:rPr>
        <w:t>1,388</w:t>
      </w:r>
    </w:p>
    <w:p>
      <w:pPr>
        <w:spacing w:after="0" w:line="63" w:lineRule="exact"/>
        <w:rPr>
          <w:sz w:val="20"/>
          <w:szCs w:val="20"/>
          <w:color w:val="auto"/>
        </w:rPr>
      </w:pPr>
    </w:p>
    <w:p>
      <w:pPr>
        <w:ind w:left="740"/>
        <w:spacing w:after="0"/>
        <w:tabs>
          <w:tab w:leader="none" w:pos="2380" w:val="left"/>
        </w:tabs>
        <w:rPr>
          <w:sz w:val="20"/>
          <w:szCs w:val="20"/>
          <w:color w:val="auto"/>
        </w:rPr>
      </w:pPr>
      <w:r>
        <w:rPr>
          <w:rFonts w:ascii="Arial" w:cs="Arial" w:eastAsia="Arial" w:hAnsi="Arial"/>
          <w:sz w:val="18"/>
          <w:szCs w:val="18"/>
          <w:color w:val="auto"/>
        </w:rPr>
        <w:t>10,358</w:t>
      </w:r>
      <w:r>
        <w:rPr>
          <w:sz w:val="20"/>
          <w:szCs w:val="20"/>
          <w:color w:val="auto"/>
        </w:rPr>
        <w:tab/>
      </w:r>
      <w:r>
        <w:rPr>
          <w:rFonts w:ascii="Arial" w:cs="Arial" w:eastAsia="Arial" w:hAnsi="Arial"/>
          <w:sz w:val="18"/>
          <w:szCs w:val="18"/>
          <w:color w:val="auto"/>
        </w:rPr>
        <w:t>7,176</w:t>
      </w:r>
    </w:p>
    <w:p>
      <w:pPr>
        <w:spacing w:after="0" w:line="63"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color w:val="auto"/>
        </w:rPr>
        <w:t>8,993</w:t>
      </w:r>
      <w:r>
        <w:rPr>
          <w:sz w:val="20"/>
          <w:szCs w:val="20"/>
          <w:color w:val="auto"/>
        </w:rPr>
        <w:tab/>
      </w:r>
      <w:r>
        <w:rPr>
          <w:rFonts w:ascii="Arial" w:cs="Arial" w:eastAsia="Arial" w:hAnsi="Arial"/>
          <w:sz w:val="18"/>
          <w:szCs w:val="18"/>
          <w:color w:val="auto"/>
        </w:rPr>
        <w:t>8,050</w:t>
      </w:r>
    </w:p>
    <w:p>
      <w:pPr>
        <w:spacing w:after="0" w:line="63"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color w:val="auto"/>
        </w:rPr>
        <w:t>8,913</w:t>
      </w:r>
      <w:r>
        <w:rPr>
          <w:sz w:val="20"/>
          <w:szCs w:val="20"/>
          <w:color w:val="auto"/>
        </w:rPr>
        <w:tab/>
      </w:r>
      <w:r>
        <w:rPr>
          <w:rFonts w:ascii="Arial" w:cs="Arial" w:eastAsia="Arial" w:hAnsi="Arial"/>
          <w:sz w:val="18"/>
          <w:szCs w:val="18"/>
          <w:color w:val="auto"/>
        </w:rPr>
        <w:t>1,653</w:t>
      </w:r>
    </w:p>
    <w:p>
      <w:pPr>
        <w:spacing w:after="0" w:line="63"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color w:val="auto"/>
        </w:rPr>
        <w:t>9,256</w:t>
      </w:r>
      <w:r>
        <w:rPr>
          <w:sz w:val="20"/>
          <w:szCs w:val="20"/>
          <w:color w:val="auto"/>
        </w:rPr>
        <w:tab/>
      </w:r>
      <w:r>
        <w:rPr>
          <w:rFonts w:ascii="Arial" w:cs="Arial" w:eastAsia="Arial" w:hAnsi="Arial"/>
          <w:sz w:val="18"/>
          <w:szCs w:val="18"/>
          <w:color w:val="auto"/>
        </w:rPr>
        <w:t>2,275</w:t>
      </w:r>
    </w:p>
    <w:p>
      <w:pPr>
        <w:spacing w:after="0" w:line="63" w:lineRule="exact"/>
        <w:rPr>
          <w:sz w:val="20"/>
          <w:szCs w:val="20"/>
          <w:color w:val="auto"/>
        </w:rPr>
      </w:pPr>
    </w:p>
    <w:p>
      <w:pPr>
        <w:jc w:val="both"/>
        <w:ind w:left="1040"/>
        <w:spacing w:after="0"/>
        <w:tabs>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w:t>
      </w:r>
    </w:p>
    <w:p>
      <w:pPr>
        <w:spacing w:after="0" w:line="63"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(14,482)</w:t>
      </w:r>
      <w:r>
        <w:rPr>
          <w:sz w:val="20"/>
          <w:szCs w:val="20"/>
          <w:color w:val="auto"/>
        </w:rPr>
        <w:tab/>
      </w:r>
      <w:r>
        <w:rPr>
          <w:rFonts w:ascii="Arial" w:cs="Arial" w:eastAsia="Arial" w:hAnsi="Arial"/>
          <w:sz w:val="18"/>
          <w:szCs w:val="18"/>
          <w:color w:val="auto"/>
        </w:rPr>
        <w:t>7,390</w:t>
      </w:r>
    </w:p>
    <w:p>
      <w:pPr>
        <w:spacing w:after="0" w:line="63" w:lineRule="exact"/>
        <w:rPr>
          <w:sz w:val="20"/>
          <w:szCs w:val="20"/>
          <w:color w:val="auto"/>
        </w:rPr>
      </w:pPr>
    </w:p>
    <w:p>
      <w:pPr>
        <w:ind w:left="960"/>
        <w:spacing w:after="0"/>
        <w:tabs>
          <w:tab w:leader="none" w:pos="252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8"/>
          <w:szCs w:val="18"/>
          <w:color w:val="auto"/>
        </w:rPr>
        <w:t>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8434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16" w:lineRule="exact"/>
        <w:rPr>
          <w:sz w:val="20"/>
          <w:szCs w:val="20"/>
          <w:color w:val="auto"/>
        </w:rPr>
      </w:pPr>
    </w:p>
    <w:p>
      <w:pPr>
        <w:spacing w:after="0"/>
        <w:tabs>
          <w:tab w:leader="none" w:pos="720" w:val="left"/>
          <w:tab w:leader="none" w:pos="156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82,809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57,931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843405"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434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20320</wp:posOffset>
            </wp:positionV>
            <wp:extent cx="18434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26" w:lineRule="exact"/>
        <w:rPr>
          <w:sz w:val="20"/>
          <w:szCs w:val="20"/>
          <w:color w:val="auto"/>
        </w:rPr>
      </w:pPr>
    </w:p>
    <w:p>
      <w:pPr>
        <w:ind w:left="480"/>
        <w:spacing w:after="0"/>
        <w:tabs>
          <w:tab w:leader="none" w:pos="20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45" w:lineRule="exact"/>
        <w:rPr>
          <w:sz w:val="20"/>
          <w:szCs w:val="20"/>
          <w:color w:val="auto"/>
        </w:rPr>
      </w:pPr>
    </w:p>
    <w:p>
      <w:pPr>
        <w:spacing w:after="0"/>
        <w:tabs>
          <w:tab w:leader="none" w:pos="720" w:val="left"/>
          <w:tab w:leader="none" w:pos="156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57,006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29,669</w:t>
      </w:r>
    </w:p>
    <w:p>
      <w:pPr>
        <w:spacing w:after="0" w:line="300" w:lineRule="exact"/>
        <w:rPr>
          <w:sz w:val="20"/>
          <w:szCs w:val="20"/>
          <w:color w:val="auto"/>
        </w:rPr>
      </w:pPr>
    </w:p>
    <w:p>
      <w:pPr>
        <w:sectPr>
          <w:pgSz w:w="11900" w:h="16838" w:orient="portrait"/>
          <w:cols w:equalWidth="0" w:num="2">
            <w:col w:w="7640" w:space="720"/>
            <w:col w:w="2880"/>
          </w:cols>
          <w:pgMar w:left="320" w:top="1421" w:right="339" w:bottom="1440" w:gutter="0" w:footer="0" w:header="0"/>
        </w:sectPr>
      </w:pPr>
    </w:p>
    <w:p>
      <w:pPr>
        <w:ind w:left="360"/>
        <w:spacing w:after="0"/>
        <w:rPr>
          <w:sz w:val="20"/>
          <w:szCs w:val="20"/>
          <w:color w:val="auto"/>
        </w:rPr>
      </w:pPr>
      <w:r>
        <w:rPr>
          <w:rFonts w:ascii="Arial" w:cs="Arial" w:eastAsia="Arial" w:hAnsi="Arial"/>
          <w:sz w:val="16"/>
          <w:szCs w:val="16"/>
          <w:color w:val="auto"/>
        </w:rPr>
        <w:t xml:space="preserve">Amortization of purchased intangibles and developed technologies </w:t>
      </w:r>
      <w:r>
        <w:rPr>
          <w:rFonts w:ascii="Arial" w:cs="Arial" w:eastAsia="Arial" w:hAnsi="Arial"/>
          <w:sz w:val="20"/>
          <w:szCs w:val="20"/>
          <w:color w:val="auto"/>
          <w:vertAlign w:val="superscript"/>
        </w:rPr>
        <w:t>(2)</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(4)</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(6)</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non-GAAP adjustments, prior to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effect of non-GAAP adjustments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from investment accounted for using the equity method,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19030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color w:val="auto"/>
        </w:rPr>
        <w:t>4,683</w:t>
      </w:r>
      <w:r>
        <w:rPr>
          <w:sz w:val="20"/>
          <w:szCs w:val="20"/>
          <w:color w:val="auto"/>
        </w:rPr>
        <w:tab/>
      </w:r>
      <w:r>
        <w:rPr>
          <w:rFonts w:ascii="Arial" w:cs="Arial" w:eastAsia="Arial" w:hAnsi="Arial"/>
          <w:sz w:val="18"/>
          <w:szCs w:val="18"/>
          <w:color w:val="auto"/>
        </w:rPr>
        <w:t>4,539</w:t>
      </w:r>
    </w:p>
    <w:p>
      <w:pPr>
        <w:spacing w:after="0" w:line="63"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color w:val="auto"/>
        </w:rPr>
        <w:t>8,913</w:t>
      </w:r>
      <w:r>
        <w:rPr>
          <w:sz w:val="20"/>
          <w:szCs w:val="20"/>
          <w:color w:val="auto"/>
        </w:rPr>
        <w:tab/>
      </w:r>
      <w:r>
        <w:rPr>
          <w:rFonts w:ascii="Arial" w:cs="Arial" w:eastAsia="Arial" w:hAnsi="Arial"/>
          <w:sz w:val="18"/>
          <w:szCs w:val="18"/>
          <w:color w:val="auto"/>
        </w:rPr>
        <w:t>1,653</w:t>
      </w:r>
    </w:p>
    <w:p>
      <w:pPr>
        <w:spacing w:after="0" w:line="63"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color w:val="auto"/>
        </w:rPr>
        <w:t>9,256</w:t>
      </w:r>
      <w:r>
        <w:rPr>
          <w:sz w:val="20"/>
          <w:szCs w:val="20"/>
          <w:color w:val="auto"/>
        </w:rPr>
        <w:tab/>
      </w:r>
      <w:r>
        <w:rPr>
          <w:rFonts w:ascii="Arial" w:cs="Arial" w:eastAsia="Arial" w:hAnsi="Arial"/>
          <w:sz w:val="18"/>
          <w:szCs w:val="18"/>
          <w:color w:val="auto"/>
        </w:rPr>
        <w:t>2,275</w:t>
      </w:r>
    </w:p>
    <w:p>
      <w:pPr>
        <w:spacing w:after="0" w:line="63" w:lineRule="exact"/>
        <w:rPr>
          <w:sz w:val="20"/>
          <w:szCs w:val="20"/>
          <w:color w:val="auto"/>
        </w:rPr>
      </w:pPr>
    </w:p>
    <w:p>
      <w:pPr>
        <w:jc w:val="both"/>
        <w:ind w:left="1040"/>
        <w:spacing w:after="0"/>
        <w:tabs>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w:t>
      </w:r>
    </w:p>
    <w:p>
      <w:pPr>
        <w:spacing w:after="0" w:line="63"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(14,482)</w:t>
      </w:r>
      <w:r>
        <w:rPr>
          <w:sz w:val="20"/>
          <w:szCs w:val="20"/>
          <w:color w:val="auto"/>
        </w:rPr>
        <w:tab/>
      </w:r>
      <w:r>
        <w:rPr>
          <w:rFonts w:ascii="Arial" w:cs="Arial" w:eastAsia="Arial" w:hAnsi="Arial"/>
          <w:sz w:val="18"/>
          <w:szCs w:val="18"/>
          <w:color w:val="auto"/>
        </w:rPr>
        <w:t>7,390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843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43" w:lineRule="exact"/>
        <w:rPr>
          <w:sz w:val="20"/>
          <w:szCs w:val="20"/>
          <w:color w:val="auto"/>
        </w:rPr>
      </w:pPr>
    </w:p>
    <w:p>
      <w:pPr>
        <w:ind w:left="820"/>
        <w:spacing w:after="0"/>
        <w:tabs>
          <w:tab w:leader="none" w:pos="2300" w:val="left"/>
        </w:tabs>
        <w:rPr>
          <w:sz w:val="20"/>
          <w:szCs w:val="20"/>
          <w:color w:val="auto"/>
        </w:rPr>
      </w:pPr>
      <w:r>
        <w:rPr>
          <w:rFonts w:ascii="Arial" w:cs="Arial" w:eastAsia="Arial" w:hAnsi="Arial"/>
          <w:sz w:val="17"/>
          <w:szCs w:val="17"/>
          <w:color w:val="auto"/>
        </w:rPr>
        <w:t>8,370</w:t>
      </w:r>
      <w:r>
        <w:rPr>
          <w:sz w:val="20"/>
          <w:szCs w:val="20"/>
          <w:color w:val="auto"/>
        </w:rPr>
        <w:tab/>
      </w:r>
      <w:r>
        <w:rPr>
          <w:rFonts w:ascii="Arial" w:cs="Arial" w:eastAsia="Arial" w:hAnsi="Arial"/>
          <w:sz w:val="17"/>
          <w:szCs w:val="17"/>
          <w:color w:val="auto"/>
        </w:rPr>
        <w:t>15,849</w:t>
      </w:r>
    </w:p>
    <w:p>
      <w:pPr>
        <w:spacing w:after="0" w:line="75" w:lineRule="exact"/>
        <w:rPr>
          <w:sz w:val="20"/>
          <w:szCs w:val="20"/>
          <w:color w:val="auto"/>
        </w:rPr>
      </w:pPr>
    </w:p>
    <w:p>
      <w:pPr>
        <w:ind w:left="740"/>
        <w:spacing w:after="0"/>
        <w:tabs>
          <w:tab w:leader="none" w:pos="2300" w:val="left"/>
        </w:tabs>
        <w:rPr>
          <w:sz w:val="20"/>
          <w:szCs w:val="20"/>
          <w:color w:val="auto"/>
        </w:rPr>
      </w:pPr>
      <w:r>
        <w:rPr>
          <w:rFonts w:ascii="Arial" w:cs="Arial" w:eastAsia="Arial" w:hAnsi="Arial"/>
          <w:sz w:val="17"/>
          <w:szCs w:val="17"/>
          <w:color w:val="auto"/>
        </w:rPr>
        <w:t>(1,818)</w:t>
      </w:r>
      <w:r>
        <w:rPr>
          <w:sz w:val="20"/>
          <w:szCs w:val="20"/>
          <w:color w:val="auto"/>
        </w:rPr>
        <w:tab/>
      </w:r>
      <w:r>
        <w:rPr>
          <w:rFonts w:ascii="Arial" w:cs="Arial" w:eastAsia="Arial" w:hAnsi="Arial"/>
          <w:sz w:val="17"/>
          <w:szCs w:val="17"/>
          <w:color w:val="auto"/>
        </w:rPr>
        <w:t>(2,700)</w:t>
      </w:r>
    </w:p>
    <w:p>
      <w:pPr>
        <w:spacing w:after="0" w:line="75" w:lineRule="exact"/>
        <w:rPr>
          <w:sz w:val="20"/>
          <w:szCs w:val="20"/>
          <w:color w:val="auto"/>
        </w:rPr>
      </w:pPr>
    </w:p>
    <w:p>
      <w:pPr>
        <w:ind w:left="960"/>
        <w:spacing w:after="0"/>
        <w:tabs>
          <w:tab w:leader="none" w:pos="252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8"/>
          <w:szCs w:val="18"/>
          <w:color w:val="auto"/>
        </w:rPr>
        <w:t>338</w:t>
      </w:r>
    </w:p>
    <w:p>
      <w:pPr>
        <w:spacing w:after="0" w:line="36" w:lineRule="exact"/>
        <w:rPr>
          <w:sz w:val="20"/>
          <w:szCs w:val="20"/>
          <w:color w:val="auto"/>
        </w:rPr>
      </w:pPr>
    </w:p>
    <w:p>
      <w:pPr>
        <w:spacing w:after="0"/>
        <w:tabs>
          <w:tab w:leader="none" w:pos="720" w:val="left"/>
          <w:tab w:leader="none" w:pos="156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64,004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43,156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40640</wp:posOffset>
            </wp:positionV>
            <wp:extent cx="18434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640" w:space="720"/>
            <w:col w:w="2880"/>
          </w:cols>
          <w:pgMar w:left="320" w:top="1421" w:right="339" w:bottom="1440" w:gutter="0" w:footer="0" w:header="0"/>
          <w:type w:val="continuous"/>
        </w:sect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explanation of certain of our adjustments in arriving at Adjusted EBITDA and Adjusted Net Income are as follows:</w:t>
      </w:r>
    </w:p>
    <w:p>
      <w:pPr>
        <w:spacing w:after="0" w:line="225" w:lineRule="exact"/>
        <w:rPr>
          <w:sz w:val="20"/>
          <w:szCs w:val="20"/>
          <w:color w:val="auto"/>
        </w:rPr>
      </w:pPr>
    </w:p>
    <w:p>
      <w:pPr>
        <w:ind w:left="34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includes amortization of $1,687 and $964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respectively, related to certain projects under our Accelerated Commercial Development Program (“ACDP”).</w:t>
      </w:r>
    </w:p>
    <w:p>
      <w:pPr>
        <w:spacing w:after="0" w:line="170" w:lineRule="exact"/>
        <w:rPr>
          <w:rFonts w:ascii="Arial" w:cs="Arial" w:eastAsia="Arial" w:hAnsi="Arial"/>
          <w:sz w:val="18"/>
          <w:szCs w:val="18"/>
          <w:color w:val="auto"/>
        </w:rPr>
      </w:pPr>
    </w:p>
    <w:p>
      <w:pPr>
        <w:jc w:val="both"/>
        <w:ind w:left="340" w:hanging="332"/>
        <w:spacing w:after="0" w:line="219" w:lineRule="exact"/>
        <w:tabs>
          <w:tab w:leader="none" w:pos="334"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Amortization of purchased intangibles and developed technologies</w:t>
      </w:r>
      <w:r>
        <w:rPr>
          <w:rFonts w:ascii="Arial" w:cs="Arial" w:eastAsia="Arial" w:hAnsi="Arial"/>
          <w:sz w:val="17"/>
          <w:szCs w:val="17"/>
          <w:color w:val="auto"/>
        </w:rPr>
        <w:t>. Amortization of purchased intangibles varies in amount and frequency and is</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significantly impacted by the timing and size of our acquisitions. Amortization of acquisition related developed technologies under our ACDP was $94 and $90 for the three months ended March 31, 2021 and 2020, respectively. Management finds it useful to exclude these non</w:t>
      </w:r>
      <w:r>
        <w:rPr>
          <w:rFonts w:ascii="MS PGothic" w:cs="MS PGothic" w:eastAsia="MS PGothic" w:hAnsi="MS PGothic"/>
          <w:sz w:val="17"/>
          <w:szCs w:val="17"/>
          <w:color w:val="auto"/>
        </w:rPr>
        <w:t>‑</w:t>
      </w:r>
      <w:r>
        <w:rPr>
          <w:rFonts w:ascii="Arial" w:cs="Arial" w:eastAsia="Arial" w:hAnsi="Arial"/>
          <w:sz w:val="17"/>
          <w:szCs w:val="17"/>
          <w:color w:val="auto"/>
        </w:rPr>
        <w:t>cash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44" w:name="page45"/>
    <w:bookmarkEnd w:id="44"/>
    <w:p>
      <w:pPr>
        <w:jc w:val="both"/>
        <w:ind w:left="332" w:hanging="332"/>
        <w:spacing w:after="0" w:line="219" w:lineRule="exact"/>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r>
        <w:rPr>
          <w:rFonts w:ascii="Arial" w:cs="Arial" w:eastAsia="Arial" w:hAnsi="Arial"/>
          <w:sz w:val="18"/>
          <w:szCs w:val="18"/>
          <w:color w:val="auto"/>
        </w:rPr>
        <w:t>. We exclude certain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from our non</w:t>
      </w:r>
      <w:r>
        <w:rPr>
          <w:rFonts w:ascii="MS PGothic" w:cs="MS PGothic" w:eastAsia="MS PGothic" w:hAnsi="MS PGothic"/>
          <w:sz w:val="18"/>
          <w:szCs w:val="18"/>
          <w:color w:val="auto"/>
        </w:rPr>
        <w:t>‑</w:t>
      </w:r>
      <w:r>
        <w:rPr>
          <w:rFonts w:ascii="Arial" w:cs="Arial" w:eastAsia="Arial" w:hAnsi="Arial"/>
          <w:sz w:val="18"/>
          <w:szCs w:val="18"/>
          <w:color w:val="auto"/>
        </w:rPr>
        <w:t>GAAP measures primarily because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believe excluding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allows investors to make meaningful comparisons between our recurring core business results of operations and those of other companies.</w:t>
      </w:r>
    </w:p>
    <w:p>
      <w:pPr>
        <w:spacing w:after="0" w:line="202" w:lineRule="exact"/>
        <w:rPr>
          <w:rFonts w:ascii="Arial" w:cs="Arial" w:eastAsia="Arial" w:hAnsi="Arial"/>
          <w:sz w:val="18"/>
          <w:szCs w:val="18"/>
          <w:color w:val="auto"/>
        </w:rPr>
      </w:pPr>
    </w:p>
    <w:p>
      <w:pPr>
        <w:jc w:val="both"/>
        <w:ind w:left="332" w:hanging="332"/>
        <w:spacing w:after="0" w:line="290" w:lineRule="auto"/>
        <w:tabs>
          <w:tab w:leader="none" w:pos="32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Acquisition expenses</w:t>
      </w:r>
      <w:r>
        <w:rPr>
          <w:rFonts w:ascii="Arial" w:cs="Arial" w:eastAsia="Arial" w:hAnsi="Arial"/>
          <w:sz w:val="16"/>
          <w:szCs w:val="16"/>
          <w:color w:val="auto"/>
        </w:rPr>
        <w:t>. We incur expenses for professional services rendered in connection with business combinations, which are included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presentation of general and administrative expense. Also included in our acquisition expenses are retention incentives paid to executives of the acquired companies, as well as adjustments related to deferred revenue from acquired companies. We exclude these acquisition expenses when we evaluate our continuing operational performance as we would not have otherwise incurred these expenses in the periods presented as part of our continuing operations. Acquired deferred revenue is recorded on the opening balance sheet at an amount that typically is lower than historical carrying value. The adjustment to acquired deferred revenue has no impact on our business or cash flow, but it does reduce reported U.S. GAAP revenue in the periods following an acquisition. For the three months ended March 31, 2021, $6,716 of our acquisition expenses related to entering into a definitive agreement to acquire Seequent Holdings Limited (“Seequent”). See the section titled “—Subsequent Events After March 31, 2021.”</w:t>
      </w:r>
    </w:p>
    <w:p>
      <w:pPr>
        <w:spacing w:after="0" w:line="165" w:lineRule="exact"/>
        <w:rPr>
          <w:rFonts w:ascii="Arial" w:cs="Arial" w:eastAsia="Arial" w:hAnsi="Arial"/>
          <w:sz w:val="16"/>
          <w:szCs w:val="16"/>
          <w:color w:val="auto"/>
        </w:rPr>
      </w:pPr>
    </w:p>
    <w:p>
      <w:pPr>
        <w:jc w:val="both"/>
        <w:ind w:left="332" w:hanging="332"/>
        <w:spacing w:after="0" w:line="275" w:lineRule="auto"/>
        <w:tabs>
          <w:tab w:leader="none" w:pos="32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Realignment expenses</w:t>
      </w:r>
      <w:r>
        <w:rPr>
          <w:rFonts w:ascii="Arial" w:cs="Arial" w:eastAsia="Arial" w:hAnsi="Arial"/>
          <w:sz w:val="17"/>
          <w:szCs w:val="17"/>
          <w:color w:val="auto"/>
        </w:rPr>
        <w:t>. These expenses are associated with realigning our business strategies to better serve our accounts and to better align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evolving needs of the business. In connection with these actions, we recognize costs related to termination benefits for colleagues whose positions were eliminated. We exclude these charges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w:t>
      </w:r>
    </w:p>
    <w:p>
      <w:pPr>
        <w:spacing w:after="0" w:line="176" w:lineRule="exact"/>
        <w:rPr>
          <w:rFonts w:ascii="Arial" w:cs="Arial" w:eastAsia="Arial" w:hAnsi="Arial"/>
          <w:sz w:val="17"/>
          <w:szCs w:val="17"/>
          <w:color w:val="auto"/>
        </w:rPr>
      </w:pPr>
    </w:p>
    <w:p>
      <w:pPr>
        <w:jc w:val="both"/>
        <w:ind w:left="332" w:hanging="332"/>
        <w:spacing w:after="0" w:line="269" w:lineRule="auto"/>
        <w:tabs>
          <w:tab w:leader="none" w:pos="32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Primarily consists of foreign exchange (gains) losses of $(792) and $8,781 for the three months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2020, respectively. The foreign exchange (gains) losses derive primarily from U.S. Dollar denominated cash and cash equivalents, accounts receivable, and intercompany balances held by foreign subsidiaries. The gains and losses from such translations are included in </w:t>
      </w:r>
      <w:r>
        <w:rPr>
          <w:rFonts w:ascii="Arial" w:cs="Arial" w:eastAsia="Arial" w:hAnsi="Arial"/>
          <w:sz w:val="17"/>
          <w:szCs w:val="17"/>
          <w:i w:val="1"/>
          <w:iCs w:val="1"/>
          <w:color w:val="auto"/>
        </w:rPr>
        <w:t>Other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(expense), net </w:t>
      </w:r>
      <w:r>
        <w:rPr>
          <w:rFonts w:ascii="Arial" w:cs="Arial" w:eastAsia="Arial" w:hAnsi="Arial"/>
          <w:sz w:val="17"/>
          <w:szCs w:val="17"/>
          <w:color w:val="auto"/>
        </w:rPr>
        <w:t>in the consolidated statements of operations. Intercompany finance transactions denominated in U.S. Dollars resulted in unrealized</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exchange (gains) losses of $(480) and $6,777 for the three months ended March 31, 2021 and 2020, respectively. These U.S. Dollar denominated balances are being translated into their functional currencies at the rates in effect at the balance sheet date and are fully eliminated in consolidation. Other (income) expense, net also includes a gain from the change in fair value of our interest rate swap of $13,661 for the three months ended March 31, 2021. For the three months ended March 31, 2020, other (income) expense, net also includes a gain from the change in fair value of acquisition contingent consideration of $1,390. We exclude these charges because they are not reflective of ongoing business and results of operations. We believe it is useful for investors to understand the effects of these items on our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2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Key Factors Impacting Comparability and Performance: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Highlights for the three months ended March 31, 2021</w:t>
      </w:r>
      <w:r>
        <w:rPr>
          <w:rFonts w:ascii="Arial" w:cs="Arial" w:eastAsia="Arial" w:hAnsi="Arial"/>
          <w:sz w:val="18"/>
          <w:szCs w:val="18"/>
          <w:color w:val="auto"/>
        </w:rPr>
        <w:t>. In addition to our performance previously discussed in “—Key Business Metrics” and “—Non-GAAP Financial Measures,” and as discussed further below in “—Results of Operations” and “—Liquidity and Capital Resources,” our consolidated financial statements for the three months ended March 31, 2021 were impacted by the following:</w:t>
      </w:r>
    </w:p>
    <w:p>
      <w:pPr>
        <w:spacing w:after="0" w:line="184" w:lineRule="exact"/>
        <w:rPr>
          <w:sz w:val="20"/>
          <w:szCs w:val="20"/>
          <w:color w:val="auto"/>
        </w:rPr>
      </w:pPr>
    </w:p>
    <w:p>
      <w:pPr>
        <w:jc w:val="both"/>
        <w:ind w:left="660" w:hanging="247"/>
        <w:spacing w:after="0" w:line="219" w:lineRule="exact"/>
        <w:tabs>
          <w:tab w:leader="none" w:pos="655"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color w:val="auto"/>
        </w:rPr>
        <w:t>On January 25, 2021, we entered into the Second Amendment to the Amended and Restated Credit Agreement dated December 19, 2017, which increased the senior secured revolving loan facility from $500,000 to $850,000 and extended the maturity date from December 18, 2022 to November 15, 2025 (the “Credit Facility”). We performed an extinguishment versus modification assessment on a lender</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lender basis resulting in the write</w:t>
      </w:r>
      <w:r>
        <w:rPr>
          <w:rFonts w:ascii="MS PGothic" w:cs="MS PGothic" w:eastAsia="MS PGothic" w:hAnsi="MS PGothic"/>
          <w:sz w:val="17"/>
          <w:szCs w:val="17"/>
          <w:color w:val="auto"/>
        </w:rPr>
        <w:t>‑</w:t>
      </w:r>
      <w:r>
        <w:rPr>
          <w:rFonts w:ascii="Arial" w:cs="Arial" w:eastAsia="Arial" w:hAnsi="Arial"/>
          <w:sz w:val="17"/>
          <w:szCs w:val="17"/>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4" w:lineRule="exact"/>
        <w:rPr>
          <w:rFonts w:ascii="Arial" w:cs="Arial" w:eastAsia="Arial" w:hAnsi="Arial"/>
          <w:sz w:val="17"/>
          <w:szCs w:val="17"/>
          <w:b w:val="1"/>
          <w:bCs w:val="1"/>
          <w:i w:val="1"/>
          <w:iCs w:val="1"/>
          <w:color w:val="auto"/>
        </w:rPr>
      </w:pPr>
    </w:p>
    <w:p>
      <w:pPr>
        <w:jc w:val="both"/>
        <w:ind w:left="660" w:hanging="247"/>
        <w:spacing w:after="0" w:line="301" w:lineRule="auto"/>
        <w:tabs>
          <w:tab w:leader="none" w:pos="655"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color w:val="auto"/>
        </w:rPr>
        <w:t>On January 26, 2021, we completed a private offering of $690,000 of 0.125% convertible senior notes due 2026 (the “2026 Notes”). We incurred $18,055 of expenses in connection with the 2026 Notes offering consisting of the payment of initial purchasers’ discounts and commissions, professional fees, and other expenses (“transaction costs”). Transaction costs were recorded as a direct deduction from the related debt liability in the consolidated balance sheet and are amortized to interest expense using the effective interest method over the term of the 2026 Notes;</w:t>
      </w:r>
    </w:p>
    <w:p>
      <w:pPr>
        <w:spacing w:after="0" w:line="157" w:lineRule="exact"/>
        <w:rPr>
          <w:rFonts w:ascii="Arial" w:cs="Arial" w:eastAsia="Arial" w:hAnsi="Arial"/>
          <w:sz w:val="16"/>
          <w:szCs w:val="16"/>
          <w:b w:val="1"/>
          <w:bCs w:val="1"/>
          <w:i w:val="1"/>
          <w:iCs w:val="1"/>
          <w:color w:val="auto"/>
        </w:rPr>
      </w:pPr>
    </w:p>
    <w:p>
      <w:pPr>
        <w:jc w:val="both"/>
        <w:ind w:left="660" w:hanging="247"/>
        <w:spacing w:after="0" w:line="293" w:lineRule="auto"/>
        <w:tabs>
          <w:tab w:leader="none" w:pos="655"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In connection with the pricing of the 2026 Notes, we entered into capped call options with certain of the initial purchasers or their respective affiliates and certain other financial institutions.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We paid premiums of $25,530 in connection with the capped call options. The capped call options are indexed to our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4" w:lineRule="exact"/>
        <w:rPr>
          <w:rFonts w:ascii="Arial" w:cs="Arial" w:eastAsia="Arial" w:hAnsi="Arial"/>
          <w:sz w:val="16"/>
          <w:szCs w:val="16"/>
          <w:b w:val="1"/>
          <w:bCs w:val="1"/>
          <w:i w:val="1"/>
          <w:iCs w:val="1"/>
          <w:color w:val="auto"/>
        </w:rPr>
      </w:pPr>
    </w:p>
    <w:p>
      <w:pPr>
        <w:jc w:val="both"/>
        <w:ind w:left="660" w:hanging="247"/>
        <w:spacing w:after="0" w:line="254" w:lineRule="auto"/>
        <w:tabs>
          <w:tab w:leader="none" w:pos="6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color w:val="auto"/>
        </w:rPr>
        <w:t>On March 11, 2021, we entered into a definitive agreement to acquire Seequent, a leader in software for geological and geophysical modeling, geotechnical stability, and cloud services for geodata management and collaboration, for approximately $900,000 in cash, net of cash acquired and subject to customary adjustments, including for working capital, plus 3,141,361 shares of our Class B Common Stock. The transaction is subject to customary closing conditions, including regulatory approvals, and is expected to close during the second quarter of 2021. We expect to use readily available cash, including a portion of the net proceeds from the 2026 Notes, and borrowings under our Credit Facility to fund the cash component of the transaction. For the three months ended March 31, 2021, we incurred $6,716 of expenses related to entering into the definitive agreement to acquire Seequent;</w:t>
      </w:r>
    </w:p>
    <w:p>
      <w:pPr>
        <w:spacing w:after="0" w:line="194" w:lineRule="exact"/>
        <w:rPr>
          <w:rFonts w:ascii="Arial" w:cs="Arial" w:eastAsia="Arial" w:hAnsi="Arial"/>
          <w:sz w:val="18"/>
          <w:szCs w:val="18"/>
          <w:b w:val="1"/>
          <w:bCs w:val="1"/>
          <w:i w:val="1"/>
          <w:iCs w:val="1"/>
          <w:color w:val="auto"/>
        </w:rPr>
      </w:pPr>
    </w:p>
    <w:p>
      <w:pPr>
        <w:jc w:val="both"/>
        <w:ind w:left="660" w:hanging="247"/>
        <w:spacing w:after="0" w:line="220" w:lineRule="exact"/>
        <w:tabs>
          <w:tab w:leader="none" w:pos="655"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color w:val="auto"/>
        </w:rPr>
        <w:t>Effective as of the beginning of the fourth quarter of 2020, participants in the Bentley Systems, Incorporated Bonus Pool Plan, as amended and restated, effective as of September 22, 2020 (the “Bonus Plan”) may elect to receive any portion, or all, of such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in the form of shares of fully vested Class B Common Stock instead of cash payments and subject to a combined quarterly limit of $7,500. For the three months ended March 31, 2021, we recorded $6,124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related to this plan;</w:t>
      </w:r>
    </w:p>
    <w:p>
      <w:pPr>
        <w:spacing w:after="0" w:line="203" w:lineRule="exact"/>
        <w:rPr>
          <w:rFonts w:ascii="Arial" w:cs="Arial" w:eastAsia="Arial" w:hAnsi="Arial"/>
          <w:sz w:val="16"/>
          <w:szCs w:val="16"/>
          <w:b w:val="1"/>
          <w:bCs w:val="1"/>
          <w:i w:val="1"/>
          <w:iCs w:val="1"/>
          <w:color w:val="auto"/>
        </w:rPr>
      </w:pPr>
    </w:p>
    <w:p>
      <w:pPr>
        <w:jc w:val="both"/>
        <w:ind w:left="660" w:hanging="247"/>
        <w:spacing w:after="0" w:line="220" w:lineRule="exact"/>
        <w:tabs>
          <w:tab w:leader="none" w:pos="655"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color w:val="auto"/>
        </w:rPr>
        <w:t>Effective September 22, 2020, our Board and stockholders adopted and approved the Bentley Systems, Incorporated Global Employee Stock Purchase Plan (the “ESPP”). The ESPP will be implemented by means of consecutive offering periods, with the first offering period commencing on the first trading day on or after January 1, 2021 and ending on the last trading day on or before June 30, 2021. For the three months ended March 31, 2021, we recorded $449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this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jc w:val="both"/>
        <w:ind w:left="660" w:hanging="247"/>
        <w:spacing w:after="0" w:line="217" w:lineRule="exact"/>
        <w:tabs>
          <w:tab w:leader="none" w:pos="655"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color w:val="auto"/>
        </w:rPr>
        <w:t>The COVID</w:t>
      </w:r>
      <w:r>
        <w:rPr>
          <w:rFonts w:ascii="MS PGothic" w:cs="MS PGothic" w:eastAsia="MS PGothic" w:hAnsi="MS PGothic"/>
          <w:sz w:val="17"/>
          <w:szCs w:val="17"/>
          <w:color w:val="auto"/>
        </w:rPr>
        <w:t>‑</w:t>
      </w:r>
      <w:r>
        <w:rPr>
          <w:rFonts w:ascii="Arial" w:cs="Arial" w:eastAsia="Arial" w:hAnsi="Arial"/>
          <w:sz w:val="17"/>
          <w:szCs w:val="17"/>
          <w:color w:val="auto"/>
        </w:rPr>
        <w:t>19 pandemic has had a modest impact on the usage of our solutions by our users. Throughout 2020 and for the three months ended March 31, 2021, usage rates as compared to comparable periods in the prior year have fluctuated between modest decreases to modest increases. Usage declines have had a minimal impact on our recurring revenues, which are comprised primarily of longer term contracts where short</w:t>
      </w:r>
      <w:r>
        <w:rPr>
          <w:rFonts w:ascii="MS PGothic" w:cs="MS PGothic" w:eastAsia="MS PGothic" w:hAnsi="MS PGothic"/>
          <w:sz w:val="17"/>
          <w:szCs w:val="17"/>
          <w:color w:val="auto"/>
        </w:rPr>
        <w:t>‑</w:t>
      </w:r>
      <w:r>
        <w:rPr>
          <w:rFonts w:ascii="Arial" w:cs="Arial" w:eastAsia="Arial" w:hAnsi="Arial"/>
          <w:sz w:val="17"/>
          <w:szCs w:val="17"/>
          <w:color w:val="auto"/>
        </w:rPr>
        <w:t>term usage rate declines do not adversely impact revenues. However, to the extent declines in usage have also occurred within our recurring revenue contracts with shorter term resets, as is the case with our E365 contracts, the usage declines have modestly impacted revenues. Our revenues from perpetual licenses and professional services have also been impacted as certain accounts have shifted spend to subscription solutions or delayed new projects. Overall, while our rate of growth has been impacted, our revenues have continued to grow given the mission critical nature of our solutions. As a precaution in the COVID-19 environment, we actively managed our spending. Actions included efforts to minimize employee travel, and to reduce and recharacterize promotional spending with a shift to virtual events. Although compensation levels and incentive plan payouts have returned to normal for 2021, during 2020 our actions also included curtailment in variable compensation plans to align to COVID-19 pandemic related uncertainties. These actions have resulted in substantial cost savings during the pandemic, which are unlikely to be fully sustainable prospectively.</w:t>
      </w:r>
    </w:p>
    <w:p>
      <w:pPr>
        <w:spacing w:after="0" w:line="2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Impact of foreign currency</w:t>
      </w:r>
      <w:r>
        <w:rPr>
          <w:rFonts w:ascii="Arial" w:cs="Arial" w:eastAsia="Arial" w:hAnsi="Arial"/>
          <w:sz w:val="17"/>
          <w:szCs w:val="17"/>
          <w:color w:val="auto"/>
        </w:rPr>
        <w:t>. A portion of our revenues and operating expenses were derived from outside the United States and as such, were</w:t>
      </w:r>
      <w:r>
        <w:rPr>
          <w:rFonts w:ascii="Arial" w:cs="Arial" w:eastAsia="Arial" w:hAnsi="Arial"/>
          <w:sz w:val="17"/>
          <w:szCs w:val="17"/>
          <w:i w:val="1"/>
          <w:iCs w:val="1"/>
          <w:color w:val="auto"/>
        </w:rPr>
        <w:t xml:space="preserve"> </w:t>
      </w:r>
      <w:r>
        <w:rPr>
          <w:rFonts w:ascii="Arial" w:cs="Arial" w:eastAsia="Arial" w:hAnsi="Arial"/>
          <w:sz w:val="17"/>
          <w:szCs w:val="17"/>
          <w:color w:val="auto"/>
        </w:rPr>
        <w:t>denominated in various foreign currencies, including most significantly: Euros, British Pounds, Australian Dollars, Canadian Dollars, and Chinese Yuan Renminbi. Our financial results are therefore affected by changes in foreign currency rates. In 2020, 43% of our revenues were denominated in various foreign currencies. Correspondingly, in 2020, 47% of our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identify the effects of foreign currency on our operations and present constant currency growth rates and fluctuations because we believe exchange rates are an important factor in understanding period to 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Historically, we have enhanced our business with acquisitions of businesses, software solutions, and technologies. Going forward, we</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selectively acquire adjacent software solutions that can be sold broadly across our account base, as well as to acquire new technologies that we can leverage across our existing software solution portfolio. We completed three and one acquisitions for the three months ended March 31, 2021 and 2020, respectively.</w:t>
      </w:r>
    </w:p>
    <w:p>
      <w:pPr>
        <w:spacing w:after="0" w:line="187"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i w:val="1"/>
          <w:iCs w:val="1"/>
          <w:color w:val="auto"/>
        </w:rPr>
        <w:t>Impact of COVID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19</w:t>
      </w:r>
      <w:r>
        <w:rPr>
          <w:rFonts w:ascii="Arial" w:cs="Arial" w:eastAsia="Arial" w:hAnsi="Arial"/>
          <w:sz w:val="17"/>
          <w:szCs w:val="17"/>
          <w:color w:val="auto"/>
        </w:rPr>
        <w:t>. In March 2020, the World Health Organization declared a global pandemic related to the rapidly growing outbreak of the disease</w:t>
      </w:r>
      <w:r>
        <w:rPr>
          <w:rFonts w:ascii="Arial" w:cs="Arial" w:eastAsia="Arial" w:hAnsi="Arial"/>
          <w:sz w:val="17"/>
          <w:szCs w:val="17"/>
          <w:i w:val="1"/>
          <w:iCs w:val="1"/>
          <w:color w:val="auto"/>
        </w:rPr>
        <w:t xml:space="preserve"> </w:t>
      </w:r>
      <w:r>
        <w:rPr>
          <w:rFonts w:ascii="Arial" w:cs="Arial" w:eastAsia="Arial" w:hAnsi="Arial"/>
          <w:sz w:val="17"/>
          <w:szCs w:val="17"/>
          <w:color w:val="auto"/>
        </w:rPr>
        <w:t>COVID</w:t>
      </w:r>
      <w:r>
        <w:rPr>
          <w:rFonts w:ascii="MS PGothic" w:cs="MS PGothic" w:eastAsia="MS PGothic" w:hAnsi="MS PGothic"/>
          <w:sz w:val="17"/>
          <w:szCs w:val="17"/>
          <w:color w:val="auto"/>
        </w:rPr>
        <w:t>‑</w:t>
      </w:r>
      <w:r>
        <w:rPr>
          <w:rFonts w:ascii="Arial" w:cs="Arial" w:eastAsia="Arial" w:hAnsi="Arial"/>
          <w:sz w:val="17"/>
          <w:szCs w:val="17"/>
          <w:color w:val="auto"/>
        </w:rPr>
        <w:t>19, caused by a novel strain of coronavirus, SARS</w:t>
      </w:r>
      <w:r>
        <w:rPr>
          <w:rFonts w:ascii="MS PGothic" w:cs="MS PGothic" w:eastAsia="MS PGothic" w:hAnsi="MS PGothic"/>
          <w:sz w:val="17"/>
          <w:szCs w:val="17"/>
          <w:color w:val="auto"/>
        </w:rPr>
        <w:t>‑</w:t>
      </w:r>
      <w:r>
        <w:rPr>
          <w:rFonts w:ascii="Arial" w:cs="Arial" w:eastAsia="Arial" w:hAnsi="Arial"/>
          <w:sz w:val="17"/>
          <w:szCs w:val="17"/>
          <w:color w:val="auto"/>
        </w:rPr>
        <w:t>CoV</w:t>
      </w:r>
      <w:r>
        <w:rPr>
          <w:rFonts w:ascii="MS PGothic" w:cs="MS PGothic" w:eastAsia="MS PGothic" w:hAnsi="MS PGothic"/>
          <w:sz w:val="17"/>
          <w:szCs w:val="17"/>
          <w:color w:val="auto"/>
        </w:rPr>
        <w:t>‑</w:t>
      </w:r>
      <w:r>
        <w:rPr>
          <w:rFonts w:ascii="Arial" w:cs="Arial" w:eastAsia="Arial" w:hAnsi="Arial"/>
          <w:sz w:val="17"/>
          <w:szCs w:val="17"/>
          <w:color w:val="auto"/>
        </w:rPr>
        <w:t>2. The COVID</w:t>
      </w:r>
      <w:r>
        <w:rPr>
          <w:rFonts w:ascii="MS PGothic" w:cs="MS PGothic" w:eastAsia="MS PGothic" w:hAnsi="MS PGothic"/>
          <w:sz w:val="17"/>
          <w:szCs w:val="17"/>
          <w:color w:val="auto"/>
        </w:rPr>
        <w:t>‑</w:t>
      </w:r>
      <w:r>
        <w:rPr>
          <w:rFonts w:ascii="Arial" w:cs="Arial" w:eastAsia="Arial" w:hAnsi="Arial"/>
          <w:sz w:val="17"/>
          <w:szCs w:val="17"/>
          <w:color w:val="auto"/>
        </w:rPr>
        <w:t>19 outbreak and certain preventative or protective actions that governments, businesses, and individuals have taken in respect of COVID</w:t>
      </w:r>
      <w:r>
        <w:rPr>
          <w:rFonts w:ascii="MS PGothic" w:cs="MS PGothic" w:eastAsia="MS PGothic" w:hAnsi="MS PGothic"/>
          <w:sz w:val="17"/>
          <w:szCs w:val="17"/>
          <w:color w:val="auto"/>
        </w:rPr>
        <w:t>‑</w:t>
      </w:r>
      <w:r>
        <w:rPr>
          <w:rFonts w:ascii="Arial" w:cs="Arial" w:eastAsia="Arial" w:hAnsi="Arial"/>
          <w:sz w:val="17"/>
          <w:szCs w:val="17"/>
          <w:color w:val="auto"/>
        </w:rPr>
        <w:t>19 have resulted in global business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jc w:val="both"/>
        <w:ind w:firstLine="324"/>
        <w:spacing w:after="0" w:line="217" w:lineRule="exact"/>
        <w:rPr>
          <w:sz w:val="20"/>
          <w:szCs w:val="20"/>
          <w:color w:val="auto"/>
        </w:rPr>
      </w:pPr>
      <w:r>
        <w:rPr>
          <w:rFonts w:ascii="Arial" w:cs="Arial" w:eastAsia="Arial" w:hAnsi="Arial"/>
          <w:sz w:val="17"/>
          <w:szCs w:val="17"/>
          <w:color w:val="auto"/>
        </w:rPr>
        <w:t>In response to the COVID</w:t>
      </w:r>
      <w:r>
        <w:rPr>
          <w:rFonts w:ascii="MS PGothic" w:cs="MS PGothic" w:eastAsia="MS PGothic" w:hAnsi="MS PGothic"/>
          <w:sz w:val="17"/>
          <w:szCs w:val="17"/>
          <w:color w:val="auto"/>
        </w:rPr>
        <w:t>‑</w:t>
      </w:r>
      <w:r>
        <w:rPr>
          <w:rFonts w:ascii="Arial" w:cs="Arial" w:eastAsia="Arial" w:hAnsi="Arial"/>
          <w:sz w:val="17"/>
          <w:szCs w:val="17"/>
          <w:color w:val="auto"/>
        </w:rPr>
        <w:t>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believe we did not have any significant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w:t>
      </w:r>
      <w:r>
        <w:rPr>
          <w:rFonts w:ascii="MS PGothic" w:cs="MS PGothic" w:eastAsia="MS PGothic" w:hAnsi="MS PGothic"/>
          <w:sz w:val="17"/>
          <w:szCs w:val="17"/>
          <w:color w:val="auto"/>
        </w:rPr>
        <w:t>‑</w:t>
      </w:r>
      <w:r>
        <w:rPr>
          <w:rFonts w:ascii="Arial" w:cs="Arial" w:eastAsia="Arial" w:hAnsi="Arial"/>
          <w:sz w:val="17"/>
          <w:szCs w:val="17"/>
          <w:color w:val="auto"/>
        </w:rPr>
        <w:t>demand learning and support to our colleagues throughout the transition period. During 2020, we periodically surveyed our colleagues and a majority of our colleagues reported confidence in the decisions that Bentley leadership is making regarding employee well</w:t>
      </w:r>
      <w:r>
        <w:rPr>
          <w:rFonts w:ascii="MS PGothic" w:cs="MS PGothic" w:eastAsia="MS PGothic" w:hAnsi="MS PGothic"/>
          <w:sz w:val="17"/>
          <w:szCs w:val="17"/>
          <w:color w:val="auto"/>
        </w:rPr>
        <w:t>‑</w:t>
      </w:r>
      <w:r>
        <w:rPr>
          <w:rFonts w:ascii="Arial" w:cs="Arial" w:eastAsia="Arial" w:hAnsi="Arial"/>
          <w:sz w:val="17"/>
          <w:szCs w:val="17"/>
          <w:color w:val="auto"/>
        </w:rPr>
        <w:t>being and safety during this pandemic, and a majority of our colleagues believe that Bentley’s response to and communication regarding COVID</w:t>
      </w:r>
      <w:r>
        <w:rPr>
          <w:rFonts w:ascii="MS PGothic" w:cs="MS PGothic" w:eastAsia="MS PGothic" w:hAnsi="MS PGothic"/>
          <w:sz w:val="17"/>
          <w:szCs w:val="17"/>
          <w:color w:val="auto"/>
        </w:rPr>
        <w:t>‑</w:t>
      </w:r>
      <w:r>
        <w:rPr>
          <w:rFonts w:ascii="Arial" w:cs="Arial" w:eastAsia="Arial" w:hAnsi="Arial"/>
          <w:sz w:val="17"/>
          <w:szCs w:val="17"/>
          <w:color w:val="auto"/>
        </w:rPr>
        <w:t>19 has been timely and helpful.</w:t>
      </w:r>
    </w:p>
    <w:p>
      <w:pPr>
        <w:spacing w:after="0" w:line="2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impact of the pandemic on our financial performance has been modest; our revenues have continued to grow given the mission critical nature of our solutions. When compared to levels from the same periods in 2019, our accounts’ usage of our applications was down slightly for the months of March and April 2020, showed improvement to be nearly equivalent to past usage during May and June 2020, modestly declined slightly for the months of July through November 2020, and improved to reflect slight usage growth during December 2020 relative to the same period in the prior year. The patterns of modest usage decline initially were observed to follow the geographic spread of the pandemic, but then evolved to follow capital projects within sectors. The modest fluctuations in usage had limited impact on our recurring revenues, which are comprised primarily of longer term contracts. To the extent declines in usage have also occurred within our recurring revenue contracts with shorter term resets, as is the case with our E365 contracts, the usage declines have modestly impacted revenues, notably in those accounts also exposed to capital projects in the industrial and resources sectors, and to a lesser extent, commercial and facilities sectors. The growth of our revenues from perpetual licenses and professional services has been impacted as selected accounts have shifted spend to subscription solutions or delayed new projects. In compared the three months ended March 31, 2021 to the same period in 2020, our accounts’ usage of our applications was approximately flat, but trending upward.</w:t>
      </w:r>
    </w:p>
    <w:p>
      <w:pPr>
        <w:spacing w:after="0" w:line="182"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During 2020, we were quick to find ways to support our accounts and users, including the launch of a “Bentley Has Your Back” campaign to help our accounts take full advantage of their Bentley software. This campaign included producing over 50 self</w:t>
      </w:r>
      <w:r>
        <w:rPr>
          <w:rFonts w:ascii="MS PGothic" w:cs="MS PGothic" w:eastAsia="MS PGothic" w:hAnsi="MS PGothic"/>
          <w:sz w:val="17"/>
          <w:szCs w:val="17"/>
          <w:color w:val="auto"/>
        </w:rPr>
        <w:t>‑</w:t>
      </w:r>
      <w:r>
        <w:rPr>
          <w:rFonts w:ascii="Arial" w:cs="Arial" w:eastAsia="Arial" w:hAnsi="Arial"/>
          <w:sz w:val="17"/>
          <w:szCs w:val="17"/>
          <w:color w:val="auto"/>
        </w:rPr>
        <w:t xml:space="preserve">help documents, 20 webinars, and several messages guiding users on various topics including how Bentley’s solutions should be configured when working with limited bandwidth, how to use a SmartTV as a monitor, and how to leverage specific offerings such as </w:t>
      </w:r>
      <w:r>
        <w:rPr>
          <w:rFonts w:ascii="Arial" w:cs="Arial" w:eastAsia="Arial" w:hAnsi="Arial"/>
          <w:sz w:val="17"/>
          <w:szCs w:val="17"/>
          <w:i w:val="1"/>
          <w:iCs w:val="1"/>
          <w:color w:val="auto"/>
        </w:rPr>
        <w:t>ProjectWise</w:t>
      </w:r>
      <w:r>
        <w:rPr>
          <w:rFonts w:ascii="Arial" w:cs="Arial" w:eastAsia="Arial" w:hAnsi="Arial"/>
          <w:sz w:val="17"/>
          <w:szCs w:val="17"/>
          <w:color w:val="auto"/>
        </w:rPr>
        <w:t xml:space="preserve"> to facilitate collaboration in their own businesses in remote working environments. This guidance and assistance was well received by accounts and we believe helped maximize usage during the pandemic.</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also taken measures to reduce selected operating expenses, including various costs associated with travel and facilities.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2020. As of March 31, 2021, we had $569,536 of cash and cash equivalents, and $849,850 was available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revenues from subscriptions, perpetual licenses, and professional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SELECT subscriptions</w:t>
      </w:r>
      <w:r>
        <w:rPr>
          <w:rFonts w:ascii="Arial" w:cs="Arial" w:eastAsia="Arial" w:hAnsi="Arial"/>
          <w:sz w:val="18"/>
          <w:szCs w:val="18"/>
          <w:color w:val="auto"/>
        </w:rPr>
        <w:t>: We provide annual recurring subscriptions that accounts can elect to add to a new or previously purchased perpetual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mobility advantages, and access to other available benefits. SELECT subscriptions revenues are recognized as distinct performance obligations are satisfied.</w:t>
      </w:r>
    </w:p>
    <w:p>
      <w:pPr>
        <w:spacing w:after="0" w:line="20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Enterprise subscriptions</w:t>
      </w:r>
      <w:r>
        <w:rPr>
          <w:rFonts w:ascii="Arial" w:cs="Arial" w:eastAsia="Arial" w:hAnsi="Arial"/>
          <w:sz w:val="16"/>
          <w:szCs w:val="16"/>
          <w:color w:val="auto"/>
        </w:rPr>
        <w:t>: We provide Enterprise subscription offerings that provides our largest accounts with complete and unlimited global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comprehensive portfolio of solutions. ELS provides access for a prepaid annual fee. Our E365 subscription, which was introduced during the fourth quarter of 2018, provides unrestricted access to our comprehensive software portfolio, similar to ELS, however is charged based upon daily usage. E365 subscriptions can contain quarterly usage floors or collars as accounts transition to the usage model or for accounts within the public sector. The daily usage fee also includes a term license component, SELECT maintenance and support, hosting, and Success Plan services, which are designed to achieve business outcomes through more efficient and effective use of our software. The ELS and E365 offerings both contain a distinct term license component. ELS revenue is recognized as the distinct performance obligations are satisfied. E365 revenue is recognized based upon usage incurred by the account.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Term license subscriptions: </w:t>
      </w:r>
      <w:r>
        <w:rPr>
          <w:rFonts w:ascii="Arial" w:cs="Arial" w:eastAsia="Arial" w:hAnsi="Arial"/>
          <w:sz w:val="18"/>
          <w:szCs w:val="18"/>
          <w:color w:val="auto"/>
        </w:rPr>
        <w:t>We provide annual, quarterly, and monthly term licenses for our software products. ATL subscriptions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annually for named user access to specific products. QTL subscriptions allow accounts to pay quarterly in arrears for licenses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Visas and Passports are quarterly or annual term licenses enabling accounts to access specific project or enterprise information and entitles our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Our standard offerings are usage based with monetization through our CSS program. Annual, quarterly, and monthly term licenses revenues are recognized as the distinct performance obligations for each are satisfied. Billings in advance are recorded as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 QTL, MTL, Visas and Passports subscriptions are recognized based upon usage incurred by the account.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w:t>
      </w:r>
    </w:p>
    <w:p>
      <w:pPr>
        <w:jc w:val="both"/>
        <w:ind w:firstLine="8"/>
        <w:spacing w:after="0" w:line="216" w:lineRule="exact"/>
        <w:tabs>
          <w:tab w:leader="none" w:pos="2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delivery of services in the form of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and (ii) delivery of our growing portfolio of Success Plans. Success Plans are standard offerings that offer a level of subscription service above the standard technical support offered to all accounts as part of their SELECT or Enterprise agreement. Revenues are recognized as services are performed.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Headcount-related costs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year ended December 31, 2020,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and travel</w:t>
      </w:r>
      <w:r>
        <w:rPr>
          <w:rFonts w:ascii="MS PGothic" w:cs="MS PGothic" w:eastAsia="MS PGothic" w:hAnsi="MS PGothic"/>
          <w:sz w:val="18"/>
          <w:szCs w:val="18"/>
          <w:color w:val="auto"/>
        </w:rPr>
        <w:t>‑</w:t>
      </w:r>
      <w:r>
        <w:rPr>
          <w:rFonts w:ascii="Arial" w:cs="Arial" w:eastAsia="Arial" w:hAnsi="Arial"/>
          <w:sz w:val="18"/>
          <w:szCs w:val="18"/>
          <w:color w:val="auto"/>
        </w:rPr>
        <w:t>related costs. Our headcount</w:t>
      </w:r>
      <w:r>
        <w:rPr>
          <w:rFonts w:ascii="MS PGothic" w:cs="MS PGothic" w:eastAsia="MS PGothic" w:hAnsi="MS PGothic"/>
          <w:sz w:val="18"/>
          <w:szCs w:val="18"/>
          <w:color w:val="auto"/>
        </w:rPr>
        <w:t>‑</w:t>
      </w:r>
      <w:r>
        <w:rPr>
          <w:rFonts w:ascii="Arial" w:cs="Arial" w:eastAsia="Arial" w:hAnsi="Arial"/>
          <w:sz w:val="18"/>
          <w:szCs w:val="18"/>
          <w:color w:val="auto"/>
        </w:rPr>
        <w:t>related costs are variable in nature. We actively manage these costs to align to our trending run rate of revenue performance, with the objective of enhancing visibility and predictability of resulting operating profit margins.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subscriptions, licenses, and services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i w:val="1"/>
          <w:iCs w:val="1"/>
          <w:color w:val="auto"/>
        </w:rPr>
        <w:t xml:space="preserve">Cost of subscriptions and licenses. </w:t>
      </w:r>
      <w:r>
        <w:rPr>
          <w:rFonts w:ascii="Arial" w:cs="Arial" w:eastAsia="Arial" w:hAnsi="Arial"/>
          <w:sz w:val="17"/>
          <w:szCs w:val="17"/>
          <w:color w:val="auto"/>
        </w:rPr>
        <w:t>Cost of subscriptions and licenses includes salaries and other related costs, including the depreciation of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7"/>
          <w:szCs w:val="17"/>
          <w:color w:val="auto"/>
        </w:rPr>
        <w:t>‑</w:t>
      </w:r>
      <w:r>
        <w:rPr>
          <w:rFonts w:ascii="Arial" w:cs="Arial" w:eastAsia="Arial" w:hAnsi="Arial"/>
          <w:sz w:val="17"/>
          <w:szCs w:val="17"/>
          <w:color w:val="auto"/>
        </w:rPr>
        <w:t>related costs incurred for servicing our accounts using cloud deployed hosted solutions and our license administration platform.</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Cost of services</w:t>
      </w:r>
      <w:r>
        <w:rPr>
          <w:rFonts w:ascii="Arial" w:cs="Arial" w:eastAsia="Arial" w:hAnsi="Arial"/>
          <w:sz w:val="18"/>
          <w:szCs w:val="18"/>
          <w:color w:val="auto"/>
        </w:rPr>
        <w:t>. Cost of services includes salaries for internal and third</w:t>
      </w:r>
      <w:r>
        <w:rPr>
          <w:rFonts w:ascii="MS PGothic" w:cs="MS PGothic" w:eastAsia="MS PGothic" w:hAnsi="MS PGothic"/>
          <w:sz w:val="18"/>
          <w:szCs w:val="18"/>
          <w:color w:val="auto"/>
        </w:rPr>
        <w:t>‑</w:t>
      </w:r>
      <w:r>
        <w:rPr>
          <w:rFonts w:ascii="Arial" w:cs="Arial" w:eastAsia="Arial" w:hAnsi="Arial"/>
          <w:sz w:val="18"/>
          <w:szCs w:val="18"/>
          <w:color w:val="auto"/>
        </w:rPr>
        <w:t>party personnel and related overhead costs, including depreciation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for providing training, implementation, configuration, and customization services to accounts, amortization of capitalized software costs, and related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which are generally expensed as incurred, primarily consist of personnel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our research and development staff, including salaries, benefits, bonuses,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and costs of certain third</w:t>
      </w:r>
      <w:r>
        <w:rPr>
          <w:rFonts w:ascii="MS PGothic" w:cs="MS PGothic" w:eastAsia="MS PGothic" w:hAnsi="MS PGothic"/>
          <w:sz w:val="18"/>
          <w:szCs w:val="18"/>
          <w:color w:val="auto"/>
        </w:rPr>
        <w:t>‑</w:t>
      </w:r>
      <w:r>
        <w:rPr>
          <w:rFonts w:ascii="Arial" w:cs="Arial" w:eastAsia="Arial" w:hAnsi="Arial"/>
          <w:sz w:val="18"/>
          <w:szCs w:val="18"/>
          <w:color w:val="auto"/>
        </w:rPr>
        <w:t>party contractors, as well as allocated overhead costs. We expense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jc w:val="both"/>
        <w:ind w:firstLine="324"/>
        <w:spacing w:after="0" w:line="218" w:lineRule="exact"/>
        <w:rPr>
          <w:sz w:val="20"/>
          <w:szCs w:val="20"/>
          <w:color w:val="auto"/>
        </w:rPr>
      </w:pPr>
      <w:r>
        <w:rPr>
          <w:rFonts w:ascii="Arial" w:cs="Arial" w:eastAsia="Arial" w:hAnsi="Arial"/>
          <w:sz w:val="18"/>
          <w:szCs w:val="18"/>
          <w:color w:val="auto"/>
        </w:rPr>
        <w:t>We capitalize certain development costs related to certain projects under our ACDP (our structured approach to an in</w:t>
      </w:r>
      <w:r>
        <w:rPr>
          <w:rFonts w:ascii="MS PGothic" w:cs="MS PGothic" w:eastAsia="MS PGothic" w:hAnsi="MS PGothic"/>
          <w:sz w:val="18"/>
          <w:szCs w:val="18"/>
          <w:color w:val="auto"/>
        </w:rPr>
        <w:t>‑</w:t>
      </w:r>
      <w:r>
        <w:rPr>
          <w:rFonts w:ascii="Arial" w:cs="Arial" w:eastAsia="Arial" w:hAnsi="Arial"/>
          <w:sz w:val="18"/>
          <w:szCs w:val="18"/>
          <w:color w:val="auto"/>
        </w:rPr>
        <w:t>house business incubator function)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w:t>
      </w:r>
      <w:r>
        <w:rPr>
          <w:rFonts w:ascii="MS PGothic" w:cs="MS PGothic" w:eastAsia="MS PGothic" w:hAnsi="MS PGothic"/>
          <w:sz w:val="18"/>
          <w:szCs w:val="18"/>
          <w:color w:val="auto"/>
        </w:rPr>
        <w:t>‑</w:t>
      </w:r>
      <w:r>
        <w:rPr>
          <w:rFonts w:ascii="Arial" w:cs="Arial" w:eastAsia="Arial" w:hAnsi="Arial"/>
          <w:sz w:val="18"/>
          <w:szCs w:val="18"/>
          <w:color w:val="auto"/>
        </w:rPr>
        <w:t xml:space="preserve">risk development issues. Once the software is ready for its intended use, amortization is recorded over the software’s estimated useful life (generally three years). Total costs capitalized under the ACDP were $1,043 and $2,484 for the three months ended March 31, 2021 and 2020, respectively. Additionally, total ACDP related amortization recorded in </w:t>
      </w:r>
      <w:r>
        <w:rPr>
          <w:rFonts w:ascii="Arial" w:cs="Arial" w:eastAsia="Arial" w:hAnsi="Arial"/>
          <w:sz w:val="18"/>
          <w:szCs w:val="18"/>
          <w:i w:val="1"/>
          <w:iCs w:val="1"/>
          <w:color w:val="auto"/>
        </w:rPr>
        <w:t>Costs of subscriptions and licenses</w:t>
      </w:r>
      <w:r>
        <w:rPr>
          <w:rFonts w:ascii="Arial" w:cs="Arial" w:eastAsia="Arial" w:hAnsi="Arial"/>
          <w:sz w:val="18"/>
          <w:szCs w:val="18"/>
          <w:color w:val="auto"/>
        </w:rPr>
        <w:t xml:space="preserve"> was $1,687 and $964 for the three months ended March 31, 2021 and 2020, respectively.</w:t>
      </w:r>
    </w:p>
    <w:p>
      <w:pPr>
        <w:spacing w:after="0" w:line="207"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include salaries, benefits,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our selling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colleagues, the expense of travel, entertainment, and training for such personnel, online marketing, product marketing and other brand</w:t>
      </w:r>
      <w:r>
        <w:rPr>
          <w:rFonts w:ascii="MS PGothic" w:cs="MS PGothic" w:eastAsia="MS PGothic" w:hAnsi="MS PGothic"/>
          <w:sz w:val="17"/>
          <w:szCs w:val="17"/>
          <w:color w:val="auto"/>
        </w:rPr>
        <w:t>‑</w:t>
      </w:r>
      <w:r>
        <w:rPr>
          <w:rFonts w:ascii="Arial" w:cs="Arial" w:eastAsia="Arial" w:hAnsi="Arial"/>
          <w:sz w:val="17"/>
          <w:szCs w:val="17"/>
          <w:color w:val="auto"/>
        </w:rPr>
        <w:t>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We capitalize certain incremental costs of obtaining a contract and recognize these expenses over the period of benefit associated with these costs, resulting in a deferral of certain contract costs each period. The contract costs are amortized based on the economic life of the goods and services to which the contract costs relate.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210"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salaries, bonuses, benefits,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human resources, and legal colleagues, the expense of travel, entertainment, and training for such personnel, professional fees for legal and accounting services, and costs of computer equipment and facilities used in general and administrative activities. Following the completion of the IPO,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 a percentage of our revenues over time, although the percentage may fluctuate from period to period depending on fluctuations in our revenue and the timing and extent of our general and administrative expenses.</w:t>
      </w:r>
    </w:p>
    <w:p>
      <w:pPr>
        <w:spacing w:after="0" w:line="207"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i w:val="1"/>
          <w:iCs w:val="1"/>
          <w:color w:val="auto"/>
        </w:rPr>
        <w:t xml:space="preserve">Amortization of purchased intangibles. </w:t>
      </w:r>
      <w:r>
        <w:rPr>
          <w:rFonts w:ascii="Arial" w:cs="Arial" w:eastAsia="Arial" w:hAnsi="Arial"/>
          <w:sz w:val="17"/>
          <w:szCs w:val="17"/>
          <w:color w:val="auto"/>
        </w:rPr>
        <w:t>Amortization of purchased intangibles includes the amortization of acquired non</w:t>
      </w:r>
      <w:r>
        <w:rPr>
          <w:rFonts w:ascii="MS PGothic" w:cs="MS PGothic" w:eastAsia="MS PGothic" w:hAnsi="MS PGothic"/>
          <w:sz w:val="17"/>
          <w:szCs w:val="17"/>
          <w:color w:val="auto"/>
        </w:rPr>
        <w:t>‑</w:t>
      </w:r>
      <w:r>
        <w:rPr>
          <w:rFonts w:ascii="Arial" w:cs="Arial" w:eastAsia="Arial" w:hAnsi="Arial"/>
          <w:sz w:val="17"/>
          <w:szCs w:val="17"/>
          <w:color w:val="auto"/>
        </w:rPr>
        <w:t>product related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primarily customer relationships, trademarks, and non</w:t>
      </w:r>
      <w:r>
        <w:rPr>
          <w:rFonts w:ascii="MS PGothic" w:cs="MS PGothic" w:eastAsia="MS PGothic" w:hAnsi="MS PGothic"/>
          <w:sz w:val="17"/>
          <w:szCs w:val="17"/>
          <w:color w:val="auto"/>
        </w:rPr>
        <w:t>‑</w:t>
      </w:r>
      <w:r>
        <w:rPr>
          <w:rFonts w:ascii="Arial" w:cs="Arial" w:eastAsia="Arial" w:hAnsi="Arial"/>
          <w:sz w:val="17"/>
          <w:szCs w:val="17"/>
          <w:color w:val="auto"/>
        </w:rPr>
        <w:t>compete agreements recorded in connection with completed acquisitions.</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primarily represents interest associated with the Credit Facility, amortization of deferred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income from our investments in money market funds.</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primarily consists of foreign currency translation results derived primarily from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cash and cash equivalents, accounts receivable, and intercompany balances held by foreign subsidiaries with non</w:t>
      </w:r>
      <w:r>
        <w:rPr>
          <w:rFonts w:ascii="MS PGothic" w:cs="MS PGothic" w:eastAsia="MS PGothic" w:hAnsi="MS PGothic"/>
          <w:sz w:val="18"/>
          <w:szCs w:val="18"/>
          <w:color w:val="auto"/>
        </w:rPr>
        <w:t>‑</w:t>
      </w:r>
      <w:r>
        <w:rPr>
          <w:rFonts w:ascii="Arial" w:cs="Arial" w:eastAsia="Arial" w:hAnsi="Arial"/>
          <w:sz w:val="18"/>
          <w:szCs w:val="18"/>
          <w:color w:val="auto"/>
        </w:rPr>
        <w:t>U.S. Dollar functional currencies.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(Provision) benefit for income taxes includes the aggregate consolidated income tax expense for U.S.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income taxes.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Loss from investment accounted for using the equity method, net of tax. </w:t>
      </w:r>
      <w:r>
        <w:rPr>
          <w:rFonts w:ascii="Arial" w:cs="Arial" w:eastAsia="Arial" w:hAnsi="Arial"/>
          <w:sz w:val="18"/>
          <w:szCs w:val="18"/>
          <w:color w:val="auto"/>
        </w:rPr>
        <w:t>Loss from investment accounted for using the equity method includes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share of loss in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w:t>
      </w:r>
    </w:p>
    <w:p>
      <w:pPr>
        <w:spacing w:after="0" w:line="266"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jc w:val="both"/>
        <w:ind w:left="8480"/>
        <w:spacing w:after="0"/>
        <w:tabs>
          <w:tab w:leader="none" w:pos="102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ectPr>
          <w:pgSz w:w="11900" w:h="16838" w:orient="portrait"/>
          <w:cols w:equalWidth="0" w:num="1">
            <w:col w:w="11240"/>
          </w:cols>
          <w:pgMar w:left="320" w:top="1417"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Subscriptions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Perpetual licenses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Subscriptions and licenses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Services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revenues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Cost of subscriptions and licenses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services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188,125</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170,182</w:t>
            </w:r>
          </w:p>
        </w:tc>
      </w:tr>
      <w:tr>
        <w:trPr>
          <w:trHeight w:val="270"/>
        </w:trPr>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w:t>
            </w:r>
          </w:p>
        </w:tc>
        <w:tc>
          <w:tcPr>
            <w:tcW w:w="2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w:t>
            </w:r>
          </w:p>
        </w:tc>
      </w:tr>
      <w:tr>
        <w:trPr>
          <w:trHeight w:val="250"/>
        </w:trPr>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198,241</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180,996</w:t>
            </w:r>
          </w:p>
        </w:tc>
      </w:tr>
      <w:tr>
        <w:trPr>
          <w:trHeight w:val="270"/>
        </w:trPr>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c>
          <w:tcPr>
            <w:tcW w:w="2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r>
      <w:tr>
        <w:trPr>
          <w:trHeight w:val="250"/>
        </w:trPr>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c>
          <w:tcPr>
            <w:tcW w:w="2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194,690</w:t>
            </w:r>
          </w:p>
        </w:tc>
      </w:tr>
      <w:tr>
        <w:trPr>
          <w:trHeight w:val="479"/>
        </w:trPr>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28,945</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21,327</w:t>
            </w:r>
          </w:p>
        </w:tc>
      </w:tr>
      <w:tr>
        <w:trPr>
          <w:trHeight w:val="270"/>
        </w:trPr>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20,344</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-1173480</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-830580</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-487680</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-1490980</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40" w:space="720"/>
            <w:col w:w="338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49,289</w:t>
            </w:r>
          </w:p>
        </w:tc>
        <w:tc>
          <w:tcPr>
            <w:tcW w:w="2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37,259</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172,716</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157,431</w:t>
            </w: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45,135</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32,440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36,095</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26,804</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117,069</w:t>
            </w:r>
          </w:p>
        </w:tc>
        <w:tc>
          <w:tcPr>
            <w:tcW w:w="2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111,470</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45,961</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50"/>
        </w:trPr>
        <w:tc>
          <w:tcPr>
            <w:tcW w:w="786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67,810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37,183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0" w:type="dxa"/>
            <w:vAlign w:val="bottom"/>
          </w:tcPr>
          <w:p>
            <w:pPr>
              <w:spacing w:after="0"/>
              <w:rPr>
                <w:sz w:val="1"/>
                <w:szCs w:val="1"/>
                <w:color w:val="auto"/>
              </w:rPr>
            </w:pPr>
          </w:p>
        </w:tc>
      </w:tr>
      <w:tr>
        <w:trPr>
          <w:trHeight w:val="27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w:t>
            </w:r>
          </w:p>
        </w:tc>
        <w:tc>
          <w:tcPr>
            <w:tcW w:w="0" w:type="dxa"/>
            <w:vAlign w:val="bottom"/>
          </w:tcPr>
          <w:p>
            <w:pPr>
              <w:spacing w:after="0"/>
              <w:rPr>
                <w:sz w:val="1"/>
                <w:szCs w:val="1"/>
                <w:color w:val="auto"/>
              </w:rPr>
            </w:pPr>
          </w:p>
        </w:tc>
      </w:tr>
      <w:tr>
        <w:trPr>
          <w:trHeight w:val="270"/>
        </w:trPr>
        <w:tc>
          <w:tcPr>
            <w:tcW w:w="7860" w:type="dxa"/>
            <w:vAlign w:val="bottom"/>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4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 per share,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302,583,452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285,486,972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321,736,649</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292,378,627</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2" w:name="page53"/>
    <w:bookmarkEnd w:id="52"/>
    <w:p>
      <w:pPr>
        <w:jc w:val="both"/>
        <w:ind w:firstLine="324"/>
        <w:spacing w:after="0" w:line="220"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188,125</w:t>
            </w:r>
          </w:p>
        </w:tc>
        <w:tc>
          <w:tcPr>
            <w:tcW w:w="16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170,182</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17,943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50"/>
        </w:trPr>
        <w:tc>
          <w:tcPr>
            <w:tcW w:w="434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198,241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180,996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23,764</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1"/>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increased by $27,315, or 14.0%, to $222,005 for the three months ended March 31, 2021. This increase was primarily driven by improvements in our organic performance in subscription revenues, the impact from acquisitions in services revenues, and the overall positive foreign currency effects due to a weaker U.S. Dollar relative to our other functional currencies. On a constant currency basis, our revenues increased by 9.4% for the three months ended March 31, 2021 as compared to the three months ended March 31, 2020.</w:t>
      </w:r>
    </w:p>
    <w:p>
      <w:pPr>
        <w:spacing w:after="0" w:line="187" w:lineRule="exact"/>
        <w:rPr>
          <w:sz w:val="20"/>
          <w:szCs w:val="20"/>
          <w:color w:val="auto"/>
        </w:rPr>
      </w:pPr>
    </w:p>
    <w:p>
      <w:pPr>
        <w:jc w:val="both"/>
        <w:ind w:left="820" w:hanging="245"/>
        <w:spacing w:after="0" w:line="301" w:lineRule="auto"/>
        <w:tabs>
          <w:tab w:leader="none" w:pos="81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Subscriptions</w:t>
      </w:r>
      <w:r>
        <w:rPr>
          <w:rFonts w:ascii="Arial" w:cs="Arial" w:eastAsia="Arial" w:hAnsi="Arial"/>
          <w:sz w:val="16"/>
          <w:szCs w:val="16"/>
          <w:color w:val="auto"/>
        </w:rPr>
        <w:t>. For the three months ended March 31, 2021, subscriptions revenues increased by $17,943, or 10.5%, as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2020. This increase was driven primarily by improvements in our organic performance and the positive foreign currency effects due to a weaker U.S. Dollar relative to our other functional currencies. On a constant currency basis, our subscriptions revenues increased by 6.1% for the three months ended March 31, 2021 as compared to the three months ended March 31, 2020.</w:t>
      </w:r>
    </w:p>
    <w:p>
      <w:pPr>
        <w:spacing w:after="0" w:line="157" w:lineRule="exact"/>
        <w:rPr>
          <w:rFonts w:ascii="Arial" w:cs="Arial" w:eastAsia="Arial" w:hAnsi="Arial"/>
          <w:sz w:val="16"/>
          <w:szCs w:val="16"/>
          <w:color w:val="auto"/>
        </w:rPr>
      </w:pPr>
    </w:p>
    <w:p>
      <w:pPr>
        <w:jc w:val="both"/>
        <w:ind w:left="820"/>
        <w:spacing w:after="0" w:line="263" w:lineRule="auto"/>
        <w:rPr>
          <w:rFonts w:ascii="Arial" w:cs="Arial" w:eastAsia="Arial" w:hAnsi="Arial"/>
          <w:sz w:val="16"/>
          <w:szCs w:val="16"/>
          <w:color w:val="auto"/>
        </w:rPr>
      </w:pPr>
      <w:r>
        <w:rPr>
          <w:rFonts w:ascii="Arial" w:cs="Arial" w:eastAsia="Arial" w:hAnsi="Arial"/>
          <w:sz w:val="18"/>
          <w:szCs w:val="18"/>
          <w:color w:val="auto"/>
        </w:rPr>
        <w:t xml:space="preserve">Our growth in subscriptions is primarily due to expansion within our existing accounts and growth of 3% attributable to new accounts, most notability small and medium sized accounts. Our organic performance expansion for the three months ended March 31, 2021 was led by our </w:t>
      </w:r>
      <w:r>
        <w:rPr>
          <w:rFonts w:ascii="Arial" w:cs="Arial" w:eastAsia="Arial" w:hAnsi="Arial"/>
          <w:sz w:val="18"/>
          <w:szCs w:val="18"/>
          <w:i w:val="1"/>
          <w:iCs w:val="1"/>
          <w:color w:val="auto"/>
        </w:rPr>
        <w:t>ProjectWise</w:t>
      </w:r>
      <w:r>
        <w:rPr>
          <w:rFonts w:ascii="Arial" w:cs="Arial" w:eastAsia="Arial" w:hAnsi="Arial"/>
          <w:sz w:val="18"/>
          <w:szCs w:val="18"/>
          <w:color w:val="auto"/>
        </w:rPr>
        <w:t>, Asset and Network Performance, civil design, and geotechnical products.</w:t>
      </w:r>
    </w:p>
    <w:p>
      <w:pPr>
        <w:spacing w:after="0" w:line="183" w:lineRule="exact"/>
        <w:rPr>
          <w:rFonts w:ascii="Arial" w:cs="Arial" w:eastAsia="Arial" w:hAnsi="Arial"/>
          <w:sz w:val="16"/>
          <w:szCs w:val="16"/>
          <w:color w:val="auto"/>
        </w:rPr>
      </w:pPr>
    </w:p>
    <w:p>
      <w:pPr>
        <w:jc w:val="both"/>
        <w:ind w:left="820" w:hanging="245"/>
        <w:spacing w:after="0" w:line="257"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Perpetual licenses</w:t>
      </w:r>
      <w:r>
        <w:rPr>
          <w:rFonts w:ascii="Arial" w:cs="Arial" w:eastAsia="Arial" w:hAnsi="Arial"/>
          <w:sz w:val="18"/>
          <w:szCs w:val="18"/>
          <w:color w:val="auto"/>
        </w:rPr>
        <w:t>. For the three months ended March 31, 2021, perpetual licenses revenues decreased by $698, or 6.5%,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This decrease was driven by a reduction in our organic performance and partially offset by the impact of positive foreign currency effects due to a weaker U.S. Dollar relative to our other functional currencies. On a constant currency basis, our perpetual licenses revenues decreased by 11.3% for the three months ended March 31, 2021 as compared to the three months ended March 31, 2020.</w:t>
      </w:r>
    </w:p>
    <w:p>
      <w:pPr>
        <w:spacing w:after="0" w:line="187" w:lineRule="exact"/>
        <w:rPr>
          <w:rFonts w:ascii="Arial" w:cs="Arial" w:eastAsia="Arial" w:hAnsi="Arial"/>
          <w:sz w:val="18"/>
          <w:szCs w:val="18"/>
          <w:color w:val="auto"/>
        </w:rPr>
      </w:pPr>
    </w:p>
    <w:p>
      <w:pPr>
        <w:ind w:left="820" w:right="20"/>
        <w:spacing w:after="0" w:line="223" w:lineRule="exact"/>
        <w:rPr>
          <w:rFonts w:ascii="Arial" w:cs="Arial" w:eastAsia="Arial" w:hAnsi="Arial"/>
          <w:sz w:val="18"/>
          <w:szCs w:val="18"/>
          <w:color w:val="auto"/>
        </w:rPr>
      </w:pPr>
      <w:r>
        <w:rPr>
          <w:rFonts w:ascii="Arial" w:cs="Arial" w:eastAsia="Arial" w:hAnsi="Arial"/>
          <w:sz w:val="18"/>
          <w:szCs w:val="18"/>
          <w:color w:val="auto"/>
        </w:rPr>
        <w:t>We observed a decrease in perpetual licenses organic performance for the three months ended March 31, 2021 as certain accounts delayed purchase decisions due to COVID</w:t>
      </w:r>
      <w:r>
        <w:rPr>
          <w:rFonts w:ascii="MS PGothic" w:cs="MS PGothic" w:eastAsia="MS PGothic" w:hAnsi="MS PGothic"/>
          <w:sz w:val="18"/>
          <w:szCs w:val="18"/>
          <w:color w:val="auto"/>
        </w:rPr>
        <w:t>‑</w:t>
      </w:r>
      <w:r>
        <w:rPr>
          <w:rFonts w:ascii="Arial" w:cs="Arial" w:eastAsia="Arial" w:hAnsi="Arial"/>
          <w:sz w:val="18"/>
          <w:szCs w:val="18"/>
          <w:color w:val="auto"/>
        </w:rPr>
        <w:t>19 or shifted spend to subscription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jc w:val="both"/>
        <w:ind w:left="820" w:hanging="245"/>
        <w:spacing w:after="0" w:line="279" w:lineRule="auto"/>
        <w:tabs>
          <w:tab w:leader="none" w:pos="81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For the three months ended March 31, 2021, services revenues increased by $10,070, or 73.5%, as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2020. This increase was driven primarily by the impact from acquisitions of $9,868, as well as the positive foreign currency effects due to a weaker U.S. Dollar relative to our other functional currencies. On a constant currency basis, our services revenues increased by 66.3% for the three months ended March 31, 2021 as compared to the three months ended March 31, 2020.</w:t>
      </w:r>
    </w:p>
    <w:p>
      <w:pPr>
        <w:spacing w:after="0" w:line="171" w:lineRule="exact"/>
        <w:rPr>
          <w:rFonts w:ascii="Arial" w:cs="Arial" w:eastAsia="Arial" w:hAnsi="Arial"/>
          <w:sz w:val="17"/>
          <w:szCs w:val="17"/>
          <w:color w:val="auto"/>
        </w:rPr>
      </w:pPr>
    </w:p>
    <w:p>
      <w:pPr>
        <w:jc w:val="both"/>
        <w:ind w:left="820"/>
        <w:spacing w:after="0" w:line="220" w:lineRule="exact"/>
        <w:rPr>
          <w:rFonts w:ascii="Arial" w:cs="Arial" w:eastAsia="Arial" w:hAnsi="Arial"/>
          <w:sz w:val="17"/>
          <w:szCs w:val="17"/>
          <w:color w:val="auto"/>
        </w:rPr>
      </w:pPr>
      <w:r>
        <w:rPr>
          <w:rFonts w:ascii="Arial" w:cs="Arial" w:eastAsia="Arial" w:hAnsi="Arial"/>
          <w:sz w:val="18"/>
          <w:szCs w:val="18"/>
          <w:color w:val="auto"/>
        </w:rPr>
        <w:t>For the three months ended March 31, 2021, the acquisition impact is related to several digital integrator businesses acquired throughout 2020. Organic performance continued to be impacted by COVID</w:t>
      </w:r>
      <w:r>
        <w:rPr>
          <w:rFonts w:ascii="MS PGothic" w:cs="MS PGothic" w:eastAsia="MS PGothic" w:hAnsi="MS PGothic"/>
          <w:sz w:val="18"/>
          <w:szCs w:val="18"/>
          <w:color w:val="auto"/>
        </w:rPr>
        <w:t>‑</w:t>
      </w:r>
      <w:r>
        <w:rPr>
          <w:rFonts w:ascii="Arial" w:cs="Arial" w:eastAsia="Arial" w:hAnsi="Arial"/>
          <w:sz w:val="18"/>
          <w:szCs w:val="18"/>
          <w:color w:val="auto"/>
        </w:rPr>
        <w:t>19 related delays in new projects and the partial redeployment of our services colleagues to support Success Plan services of our E365 subscription offering.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Area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are allocated to individual countries based upon the location of the users. Revenues by geographic area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108,862</w:t>
            </w:r>
          </w:p>
        </w:tc>
        <w:tc>
          <w:tcPr>
            <w:tcW w:w="16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97,900</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73,848</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39,295</w:t>
            </w:r>
          </w:p>
        </w:tc>
        <w:tc>
          <w:tcPr>
            <w:tcW w:w="1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34,676</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13.3 %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5.8 %</w:t>
            </w: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222,005</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194,690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left="820" w:hanging="245"/>
        <w:spacing w:after="0" w:line="257"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Americas. </w:t>
      </w:r>
      <w:r>
        <w:rPr>
          <w:rFonts w:ascii="Arial" w:cs="Arial" w:eastAsia="Arial" w:hAnsi="Arial"/>
          <w:sz w:val="18"/>
          <w:szCs w:val="18"/>
          <w:color w:val="auto"/>
        </w:rPr>
        <w:t>For the three months ended March 31, 2021, revenues from the Americas increased by $10,962, or 11.2%,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This increase was driven primarily by improvements in our organic performance, the impact from acquisitions and the positive foreign currency effects due to a weaker U.S. Dollar relative to our other functional currencies. On a constant currency basis, our revenues from the Americas increased by 10.1% for the three months ended March 31, 2021 as compared to the three months ended March 31, 2020.</w:t>
      </w:r>
    </w:p>
    <w:p>
      <w:pPr>
        <w:spacing w:after="0" w:line="187" w:lineRule="exact"/>
        <w:rPr>
          <w:rFonts w:ascii="Arial" w:cs="Arial" w:eastAsia="Arial" w:hAnsi="Arial"/>
          <w:sz w:val="18"/>
          <w:szCs w:val="18"/>
          <w:color w:val="auto"/>
        </w:rPr>
      </w:pPr>
    </w:p>
    <w:p>
      <w:pPr>
        <w:ind w:left="820"/>
        <w:spacing w:after="0" w:line="308" w:lineRule="auto"/>
        <w:rPr>
          <w:rFonts w:ascii="Arial" w:cs="Arial" w:eastAsia="Arial" w:hAnsi="Arial"/>
          <w:sz w:val="18"/>
          <w:szCs w:val="18"/>
          <w:color w:val="auto"/>
        </w:rPr>
      </w:pPr>
      <w:r>
        <w:rPr>
          <w:rFonts w:ascii="Arial" w:cs="Arial" w:eastAsia="Arial" w:hAnsi="Arial"/>
          <w:sz w:val="17"/>
          <w:szCs w:val="17"/>
          <w:color w:val="auto"/>
        </w:rPr>
        <w:t>The constant currency growth in the Americas primarily reflects growth in recurring subscription revenues from our existing accounts in the United States, and growth in services revenues resulting from the acquisition of a digital integrator business in the United States in 2020.</w:t>
      </w:r>
    </w:p>
    <w:p>
      <w:pPr>
        <w:spacing w:after="0" w:line="146" w:lineRule="exact"/>
        <w:rPr>
          <w:rFonts w:ascii="Arial" w:cs="Arial" w:eastAsia="Arial" w:hAnsi="Arial"/>
          <w:sz w:val="18"/>
          <w:szCs w:val="18"/>
          <w:color w:val="auto"/>
        </w:rPr>
      </w:pPr>
    </w:p>
    <w:p>
      <w:pPr>
        <w:jc w:val="both"/>
        <w:ind w:left="820" w:hanging="245"/>
        <w:spacing w:after="0" w:line="259"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For the three months ended March 31, 2021, revenues from EMEA increased by $11,734, or 18.9%,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On a constant currency basis, our revenues from EMEA increased by 10.3% for the three months ended March 31, 2021 as compared to the three months ended March 31, 2020. The positive foreign currency effects were due to a weaker U.S. Dollar relative to our other functional currencies.</w:t>
      </w:r>
    </w:p>
    <w:p>
      <w:pPr>
        <w:spacing w:after="0" w:line="186" w:lineRule="exact"/>
        <w:rPr>
          <w:rFonts w:ascii="Arial" w:cs="Arial" w:eastAsia="Arial" w:hAnsi="Arial"/>
          <w:sz w:val="18"/>
          <w:szCs w:val="18"/>
          <w:color w:val="auto"/>
        </w:rPr>
      </w:pPr>
    </w:p>
    <w:p>
      <w:pPr>
        <w:jc w:val="both"/>
        <w:ind w:left="820"/>
        <w:spacing w:after="0" w:line="263" w:lineRule="auto"/>
        <w:rPr>
          <w:rFonts w:ascii="Arial" w:cs="Arial" w:eastAsia="Arial" w:hAnsi="Arial"/>
          <w:sz w:val="18"/>
          <w:szCs w:val="18"/>
          <w:color w:val="auto"/>
        </w:rPr>
      </w:pPr>
      <w:r>
        <w:rPr>
          <w:rFonts w:ascii="Arial" w:cs="Arial" w:eastAsia="Arial" w:hAnsi="Arial"/>
          <w:sz w:val="18"/>
          <w:szCs w:val="18"/>
          <w:color w:val="auto"/>
        </w:rPr>
        <w:t>The constant currency growth includes modest organic growth in subscription revenues led by Russia, with a notable partially offsetting reduction in the Middle East. Constant currency growth more prominently reflects growth in services revenues from the 2020 acquisitions of two digital integrator businesses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jc w:val="both"/>
        <w:ind w:left="820" w:hanging="245"/>
        <w:spacing w:after="0" w:line="279" w:lineRule="auto"/>
        <w:tabs>
          <w:tab w:leader="none" w:pos="815"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APAC. </w:t>
      </w:r>
      <w:r>
        <w:rPr>
          <w:rFonts w:ascii="Arial" w:cs="Arial" w:eastAsia="Arial" w:hAnsi="Arial"/>
          <w:sz w:val="17"/>
          <w:szCs w:val="17"/>
          <w:color w:val="auto"/>
        </w:rPr>
        <w:t>For the three months ended March 31, 2021, revenues from APAC increased by $4,619, or 13.3%, as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2020. This increase was driven by improvements in our organic performance and the positive foreign currency effects due to a weaker U.S. Dollar relative to our other functional currencies. On a constant currency basis, our revenues from APAC increased by 5.8% for the three months ended March 31, 2021 as compared to the three months ended March 31, 2020.</w:t>
      </w:r>
    </w:p>
    <w:p>
      <w:pPr>
        <w:spacing w:after="0" w:line="171" w:lineRule="exact"/>
        <w:rPr>
          <w:rFonts w:ascii="Arial" w:cs="Arial" w:eastAsia="Arial" w:hAnsi="Arial"/>
          <w:sz w:val="17"/>
          <w:szCs w:val="17"/>
          <w:i w:val="1"/>
          <w:iCs w:val="1"/>
          <w:color w:val="auto"/>
        </w:rPr>
      </w:pPr>
    </w:p>
    <w:p>
      <w:pPr>
        <w:ind w:left="82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For the three months ended March 31, 2021, the constant currency growth was primarily due to expansion of our recurring subscription revenues from accounts in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28,945</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27.7 %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21.4 %</w:t>
            </w: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49,289</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cost of revenues increased by $12,030, or 32.3%, to $49,289. This increase was driven by an increase in both cost of subscriptions and licenses and cost of services relative to the prior period. On a constant currency basis, total cost of revenues increased by 27.0% for the three months ended March 31, 2021 as compared to the three months ended March 31, 2020.</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three months ended March 31, 2021, cost of subscriptions and licenses increased 35.7%, or 31.2% in constant currency, as compared to the three months ended March 31, 2020. On a constant currency basis, this increase was primarily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$4,600.</w:t>
      </w:r>
    </w:p>
    <w:p>
      <w:pPr>
        <w:spacing w:after="0" w:line="204"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For the three months ended March 31, 2021, cost of services increased by 27.7%, or 21.4% in constant currency, as compared to the three months ended March 31, 2020. On a constant currency basis, the increase was primarily due to an increase in headcount</w:t>
      </w:r>
      <w:r>
        <w:rPr>
          <w:rFonts w:ascii="MS PGothic" w:cs="MS PGothic" w:eastAsia="MS PGothic" w:hAnsi="MS PGothic"/>
          <w:sz w:val="16"/>
          <w:szCs w:val="16"/>
          <w:color w:val="auto"/>
        </w:rPr>
        <w:t>‑</w:t>
      </w:r>
      <w:r>
        <w:rPr>
          <w:rFonts w:ascii="Arial" w:cs="Arial" w:eastAsia="Arial" w:hAnsi="Arial"/>
          <w:sz w:val="16"/>
          <w:szCs w:val="16"/>
          <w:color w:val="auto"/>
        </w:rPr>
        <w:t>related costs of approximately $3,100.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32,440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w:t>
            </w: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117,069</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For the three months ended March 31, 2021, research and development expenses increased 5.9%, or 2.4% in constant</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as compared to the three months ended March 31, 2020. On a constant currency basis, the increase was primarily due to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$3,300 and an increase in headcount-related costs, excluding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$2,600, partially offset by a decrease in Bonus Plan related cash compensation of approximately $4,400 due to the change in our Bonus Plan (see Note 11 to our unaudited consolidated financial statements included in Part I, Item 1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which allows participants within certain limitations to elect share delivery instead of cash compensation for their non-deferred incentive bonuses. In the comparative period, non-deferred incentive bonuses earned under the Bonus Plan were paid in cash.</w:t>
      </w:r>
    </w:p>
    <w:p>
      <w:pPr>
        <w:spacing w:after="0" w:line="206"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For the three months ended March 31, 2021, selling and marketing expenses decreased 10.1%, or 13.5% in constant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three months ended March 31, 2020. On a constant currency basis, this decrease was primarily due to a decrease in headcount-related costs of approximately $3,500 due to COVID</w:t>
      </w:r>
      <w:r>
        <w:rPr>
          <w:rFonts w:ascii="MS PGothic" w:cs="MS PGothic" w:eastAsia="MS PGothic" w:hAnsi="MS PGothic"/>
          <w:sz w:val="16"/>
          <w:szCs w:val="16"/>
          <w:color w:val="auto"/>
        </w:rPr>
        <w:t>‑</w:t>
      </w:r>
      <w:r>
        <w:rPr>
          <w:rFonts w:ascii="Arial" w:cs="Arial" w:eastAsia="Arial" w:hAnsi="Arial"/>
          <w:sz w:val="16"/>
          <w:szCs w:val="16"/>
          <w:color w:val="auto"/>
        </w:rPr>
        <w:t>19 related modification to employee travel and a reduction in variable compensation expenses.</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For the three months ended March 31, 2021, general and administrative expenses increased 24.6%, or 23.1% in constant</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as compared to the three months ended March 31, 2020. On a constant currency basis, the increase was primarily due to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$3,800 and an increase in acquisition and integration costs and other corporate initiatives of $5,500, primarily due to expenses related to entering into the definitive agreement to acquire Seequent, partially offset by a decrease in headcount-related costs, excluding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$500 and a decrease of approximately $2,300 in Bonus Plan related cash compensation due to the change in our Bonus Plan as described above.</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Amortization of purchased intangibles. </w:t>
      </w:r>
      <w:r>
        <w:rPr>
          <w:rFonts w:ascii="Arial" w:cs="Arial" w:eastAsia="Arial" w:hAnsi="Arial"/>
          <w:sz w:val="18"/>
          <w:szCs w:val="18"/>
          <w:color w:val="auto"/>
        </w:rPr>
        <w:t>For the three months ended March 31, 2021, amortization of purchased intangibles increased by 0.1%, but</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by 5.3% in constant currency, as compared to the three months ended March 31, 2020. On a constant currency basis, the decrease was primarily attributable to previously acquired purchased intangibles which continue to become fully amortized, partially offset by amortization from recently acquired purchased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center"/>
              <w:ind w:right="212"/>
              <w:spacing w:after="0"/>
              <w:rPr>
                <w:sz w:val="20"/>
                <w:szCs w:val="20"/>
                <w:color w:val="auto"/>
              </w:rPr>
            </w:pPr>
            <w:r>
              <w:rPr>
                <w:rFonts w:ascii="Arial" w:cs="Arial" w:eastAsia="Arial" w:hAnsi="Arial"/>
                <w:sz w:val="16"/>
                <w:szCs w:val="16"/>
                <w:b w:val="1"/>
                <w:bCs w:val="1"/>
                <w:color w:val="auto"/>
                <w:w w:val="92"/>
              </w:rPr>
              <w:t>Three Months Ended</w:t>
            </w: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48"/>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81"/>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4"/>
          </w:tcPr>
          <w:p>
            <w:pPr>
              <w:jc w:val="center"/>
              <w:ind w:right="212"/>
              <w:spacing w:after="0"/>
              <w:rPr>
                <w:sz w:val="20"/>
                <w:szCs w:val="20"/>
                <w:color w:val="auto"/>
              </w:rPr>
            </w:pPr>
            <w:r>
              <w:rPr>
                <w:rFonts w:ascii="Arial" w:cs="Arial" w:eastAsia="Arial" w:hAnsi="Arial"/>
                <w:sz w:val="16"/>
                <w:szCs w:val="16"/>
                <w:b w:val="1"/>
                <w:bCs w:val="1"/>
                <w:color w:val="auto"/>
                <w:w w:val="92"/>
              </w:rPr>
              <w:t>Three Months Ended</w:t>
            </w: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Amortization and write-off of deferred debt 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83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r>
      <w:tr>
        <w:trPr>
          <w:trHeight w:val="21"/>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For the three months ended March 31, 2021, interest expense, net increased from the three months ended March 31, 2020 primarily due to the increase in amortization and write</w:t>
      </w:r>
      <w:r>
        <w:rPr>
          <w:rFonts w:ascii="MS PGothic" w:cs="MS PGothic" w:eastAsia="MS PGothic" w:hAnsi="MS PGothic"/>
          <w:sz w:val="17"/>
          <w:szCs w:val="17"/>
          <w:color w:val="auto"/>
        </w:rPr>
        <w:t>‑</w:t>
      </w:r>
      <w:r>
        <w:rPr>
          <w:rFonts w:ascii="Arial" w:cs="Arial" w:eastAsia="Arial" w:hAnsi="Arial"/>
          <w:sz w:val="17"/>
          <w:szCs w:val="17"/>
          <w:color w:val="auto"/>
        </w:rPr>
        <w:t>off of deferred debt issuance costs in connection with the Second Amendment to the Credit Facility and, to a lesser extent, interest expense related to the interest rate swap, partially offset by a lower outstanding average balance under the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4"/>
              </w:rPr>
              <w:t>(8,781)</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color w:val="auto"/>
                <w:w w:val="88"/>
              </w:rPr>
              <w:t>1,391</w:t>
            </w:r>
          </w:p>
        </w:tc>
      </w:tr>
      <w:tr>
        <w:trPr>
          <w:trHeight w:val="248"/>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94"/>
              </w:rPr>
              <w:t>(7,390)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2021 and 2020, other income (expense), net consists of foreign exchange gain (loss) of $792 and $(8,781), respectively. The foreign exchange gain (loss) derives primarily from U.S. Dollar denominated cash and cash equivalents, accounts receivable, and intercompany balances held by foreign subsidiaries. For the three months ended March 31, 2021 and 2020, intercompany finance transactions denominated in U.S. Dollars resulted in unrealized foreign exchange gains (losses) of $480 and $(6,777), respectively.</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other income (expense), net includes a gain from the change in fair value of our interest rate swap of $13,661. For the three months ended March 31, 2020, other income (expense), net includes a gain from the change in fair value of acquisition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The income tax provisions for the three months ended March 31, 2021 and 2020 were based on the estimated annual effective income tax rates adjusted for discrete items occurring during the periods presented. For the three months ended March 31, 2021 and 2020, we recognized an aggregate consolidated income tax expense of $10,358 and $7,176, respectively, for U.S. domestic and foreign income taxes. For the three months ended March 31, 2021 and 2020, we recorded a discrete tax benefit of $7,485 and $1,142, respectively,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The effective income tax rate of 15.3% for the three months ended March 31, 2021 was lower than the effective income tax rate of 19.3% for the three months ended March 31, 2020 primarily due to the tax benefit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partially offset by the impact from officer compensation limitation provisions.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66" w:lineRule="exact"/>
        <w:rPr>
          <w:sz w:val="20"/>
          <w:szCs w:val="20"/>
          <w:color w:val="auto"/>
        </w:rPr>
      </w:pPr>
    </w:p>
    <w:p>
      <w:pPr>
        <w:jc w:val="center"/>
        <w:ind w:left="832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83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20320</wp:posOffset>
            </wp:positionV>
            <wp:extent cx="18434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26" w:lineRule="exact"/>
        <w:rPr>
          <w:sz w:val="20"/>
          <w:szCs w:val="20"/>
          <w:color w:val="auto"/>
        </w:rPr>
      </w:pPr>
    </w:p>
    <w:p>
      <w:pPr>
        <w:ind w:left="8840"/>
        <w:spacing w:after="0"/>
        <w:tabs>
          <w:tab w:leader="none" w:pos="1040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8340" w:val="left"/>
          <w:tab w:leader="none" w:pos="9080" w:val="left"/>
          <w:tab w:leader="none" w:pos="9920" w:val="left"/>
          <w:tab w:leader="none" w:pos="106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57,006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29,669</w:t>
      </w:r>
    </w:p>
    <w:p>
      <w:pPr>
        <w:spacing w:after="0" w:line="3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2021, net income increased by $27,337, or 92.1%, compared to the three months ended March 31, 2020. The changes are due to the factors stated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633"/>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5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82,809</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57,931</w:t>
            </w:r>
          </w:p>
        </w:tc>
      </w:tr>
      <w:tr>
        <w:trPr>
          <w:trHeight w:val="270"/>
        </w:trPr>
        <w:tc>
          <w:tcPr>
            <w:tcW w:w="83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64,004</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43,156</w:t>
            </w:r>
          </w:p>
        </w:tc>
      </w:tr>
    </w:tbl>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months ended March 31, 2021, Adjusted EBITDA increased by $24,878 compared to the three months ended March 31, 2020. For the three months ended March 31, 2021 and 2020, Adjusted EBITDA as a percentage of revenue was 37.3% and 29.8%, respectively.</w:t>
      </w:r>
    </w:p>
    <w:p>
      <w:pPr>
        <w:spacing w:after="0" w:line="1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months ended March 31, 2021, Adjusted Net Income increased by $20,848 compared to the three months ended March 31, 2020. For the three months ended March 31, 2021 and 2020, Adjusted Net Income as a percentage of revenue was 28.8% and 22.2%, respectively.</w:t>
      </w:r>
    </w:p>
    <w:p>
      <w:pPr>
        <w:spacing w:after="0" w:line="146"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For additional information, including the limitations of using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and reconciliations of the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the most directly comparable financial measures stated in accordance with U.S. GAAP, see the section titled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source of cash is generated from the delivery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fund growth initiatives, which include acquisitions of software assets and businesses.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cash and cash equivalent balances are concentrated in a few locations around the world, with substantial amounts held outside of the United States. As of March 31, 2021 and December 31, 2020, 25% and 94%, respectively, of our total cash and cash equivalents were located outside of the United States. Under the U.S. Tax Cuts and Jobs Act (the “JOBS Act”), we are subject to U.S. taxes for the deemed repatriation of certain cash balances held by foreign corporations. We intend to continue to permanently reinvest these funds outside of the United States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United States.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currency fluctuations, market acceptance of our products, competitive factors,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assure you that we could obtain additional financing on favorable terms or at all.</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 consider all highly liquid investments with an original maturity of three months or less at the date of purchase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Our cash and cash equivalents consisted of cash held in checking accounts and money market funds maintained at various financial institutions. The following table presents our foreign and domestic holdings of cash and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March 31,</w:t>
            </w:r>
          </w:p>
        </w:tc>
        <w:tc>
          <w:tcPr>
            <w:tcW w:w="114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Held domestically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426,853</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7,861</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by foreign subsidiaries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142,683</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114,145</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569,536</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122,006</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Bank Credit Facility. </w:t>
      </w:r>
      <w:r>
        <w:rPr>
          <w:rFonts w:ascii="Arial" w:cs="Arial" w:eastAsia="Arial" w:hAnsi="Arial"/>
          <w:sz w:val="18"/>
          <w:szCs w:val="18"/>
          <w:color w:val="auto"/>
        </w:rPr>
        <w:t>On January 25, 2021, we entered into the Second Amendment to the Amended and Restated Credit Agreement dated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19, 2017, which increased the senior secured revolving loan facility from $500,000 to $850,000 and extended the maturity date from December 18, 2022 to November 15, 2025. In connection with the Second Amendment, certain lenders exited the Credit Facility. We performed an extinguishment versus modification assessment on a lender</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lender basis resulting in the write</w:t>
      </w:r>
      <w:r>
        <w:rPr>
          <w:rFonts w:ascii="MS PGothic" w:cs="MS PGothic" w:eastAsia="MS PGothic" w:hAnsi="MS PGothic"/>
          <w:sz w:val="18"/>
          <w:szCs w:val="18"/>
          <w:color w:val="auto"/>
        </w:rPr>
        <w:t>‑</w:t>
      </w:r>
      <w:r>
        <w:rPr>
          <w:rFonts w:ascii="Arial" w:cs="Arial" w:eastAsia="Arial" w:hAnsi="Arial"/>
          <w:sz w:val="18"/>
          <w:szCs w:val="18"/>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incremental borrowings subject to availability, including a $85,000 multi</w:t>
      </w:r>
      <w:r>
        <w:rPr>
          <w:rFonts w:ascii="MS PGothic" w:cs="MS PGothic" w:eastAsia="MS PGothic" w:hAnsi="MS PGothic"/>
          <w:sz w:val="18"/>
          <w:szCs w:val="18"/>
          <w:color w:val="auto"/>
        </w:rPr>
        <w:t>‑</w:t>
      </w:r>
      <w:r>
        <w:rPr>
          <w:rFonts w:ascii="Arial" w:cs="Arial" w:eastAsia="Arial" w:hAnsi="Arial"/>
          <w:sz w:val="18"/>
          <w:szCs w:val="18"/>
          <w:color w:val="auto"/>
        </w:rPr>
        <w:t>currency swing</w:t>
      </w:r>
      <w:r>
        <w:rPr>
          <w:rFonts w:ascii="MS PGothic" w:cs="MS PGothic" w:eastAsia="MS PGothic" w:hAnsi="MS PGothic"/>
          <w:sz w:val="18"/>
          <w:szCs w:val="18"/>
          <w:color w:val="auto"/>
        </w:rPr>
        <w:t>‑</w:t>
      </w:r>
      <w:r>
        <w:rPr>
          <w:rFonts w:ascii="Arial" w:cs="Arial" w:eastAsia="Arial" w:hAnsi="Arial"/>
          <w:sz w:val="18"/>
          <w:szCs w:val="18"/>
          <w:color w:val="auto"/>
        </w:rPr>
        <w:t>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We had $150 of letters of credit and surety bonds outstanding as of March 31, 2021 and December 31, 2020. As of March 31, 2021 and December 31, 2020, we had $849,850 and $253,850 available under the Credit Facility.</w:t>
      </w:r>
    </w:p>
    <w:p>
      <w:pPr>
        <w:spacing w:after="0" w:line="13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Under the Credit Facility, we may make either Euro currency or non</w:t>
      </w:r>
      <w:r>
        <w:rPr>
          <w:rFonts w:ascii="MS PGothic" w:cs="MS PGothic" w:eastAsia="MS PGothic" w:hAnsi="MS PGothic"/>
          <w:sz w:val="17"/>
          <w:szCs w:val="17"/>
          <w:color w:val="auto"/>
        </w:rPr>
        <w:t>‑</w:t>
      </w:r>
      <w:r>
        <w:rPr>
          <w:rFonts w:ascii="Arial" w:cs="Arial" w:eastAsia="Arial" w:hAnsi="Arial"/>
          <w:sz w:val="17"/>
          <w:szCs w:val="17"/>
          <w:color w:val="auto"/>
        </w:rPr>
        <w:t>Euro currency interest rate elections. Interest on the Euro currency borrowings is at the one</w:t>
      </w:r>
      <w:r>
        <w:rPr>
          <w:rFonts w:ascii="MS PGothic" w:cs="MS PGothic" w:eastAsia="MS PGothic" w:hAnsi="MS PGothic"/>
          <w:sz w:val="17"/>
          <w:szCs w:val="17"/>
          <w:color w:val="auto"/>
        </w:rPr>
        <w:t>‑</w:t>
      </w:r>
      <w:r>
        <w:rPr>
          <w:rFonts w:ascii="Arial" w:cs="Arial" w:eastAsia="Arial" w:hAnsi="Arial"/>
          <w:sz w:val="17"/>
          <w:szCs w:val="17"/>
          <w:color w:val="auto"/>
        </w:rPr>
        <w:t>month LIBOR plus a spread ranging from 125 basis points (“bps”) to 225 bps as determined by our net leverage ratio. Under the non</w:t>
      </w:r>
      <w:r>
        <w:rPr>
          <w:rFonts w:ascii="MS PGothic" w:cs="MS PGothic" w:eastAsia="MS PGothic" w:hAnsi="MS PGothic"/>
          <w:sz w:val="17"/>
          <w:szCs w:val="17"/>
          <w:color w:val="auto"/>
        </w:rPr>
        <w:t>‑</w:t>
      </w:r>
      <w:r>
        <w:rPr>
          <w:rFonts w:ascii="Arial" w:cs="Arial" w:eastAsia="Arial" w:hAnsi="Arial"/>
          <w:sz w:val="17"/>
          <w:szCs w:val="17"/>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our leverage ratio. In addition, a commitment fee for the unused Credit Facility ranges from 20 bps to 30 bps as determined by our net leverage ratio.</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leverage ratios. As of March 31, 2021 and December 31, 2020, we were in compliance with all covenants in our Credit Facility debt agreements.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Interest rate risk associated with the Credit Facility is managed through an interest rate swap which we executed on March 31, 2020. The swap has an effective date of April 2, 2020 and a termination date of April 2, 2030. Under the terms of the swap, we fixed our LIBOR borrowing rate at 0.73% on a notional amount of $200,000. The interest rate swap is not designated as a hedging instrument for accounting purposes. We account for the swap as either an asset or a liability on the consolidated balance sheet and carry the derivative at fair value. Gains and losses from the change in fair value are recognized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As of March 31, 2021 and December 31, 2020, we recorded a swap related asset at fair value of $14,011 and $347, respectively,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in the consolidated balance sheets.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weighted average interest rate under the Credit Facility was 1.90% and 2.59% for the three months ended March 31, 2021 and 2020, respectively. Interest expense recognized for the Credit Facility was $729 and $1,540 for the three months ended March 31, 2021 and 2020, respectively. In addition, we recorded amortization of deferred debt issuance costs for the Credit Facility in interest expense of $575 and $138 for the three months ended March 31, 2021 and 2020, respectively.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we give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we must pay customary breakage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Convertible Notes. </w:t>
      </w:r>
      <w:r>
        <w:rPr>
          <w:rFonts w:ascii="Arial" w:cs="Arial" w:eastAsia="Arial" w:hAnsi="Arial"/>
          <w:sz w:val="16"/>
          <w:szCs w:val="16"/>
          <w:color w:val="auto"/>
        </w:rPr>
        <w:t>On January 26, 2021, we completed a private offering of $690,000 of 0.125% convertible senior notes due 2026. Interest will</w:t>
      </w:r>
      <w:r>
        <w:rPr>
          <w:rFonts w:ascii="Arial" w:cs="Arial" w:eastAsia="Arial" w:hAnsi="Arial"/>
          <w:sz w:val="16"/>
          <w:szCs w:val="16"/>
          <w:i w:val="1"/>
          <w:iCs w:val="1"/>
          <w:color w:val="auto"/>
        </w:rPr>
        <w:t xml:space="preserve"> </w:t>
      </w:r>
      <w:r>
        <w:rPr>
          <w:rFonts w:ascii="Arial" w:cs="Arial" w:eastAsia="Arial" w:hAnsi="Arial"/>
          <w:sz w:val="16"/>
          <w:szCs w:val="16"/>
          <w:color w:val="auto"/>
        </w:rPr>
        <w:t>accrue from January 26, 2021 and will be payable semi</w:t>
      </w:r>
      <w:r>
        <w:rPr>
          <w:rFonts w:ascii="MS PGothic" w:cs="MS PGothic" w:eastAsia="MS PGothic" w:hAnsi="MS PGothic"/>
          <w:sz w:val="16"/>
          <w:szCs w:val="16"/>
          <w:color w:val="auto"/>
        </w:rPr>
        <w:t>‑</w:t>
      </w:r>
      <w:r>
        <w:rPr>
          <w:rFonts w:ascii="Arial" w:cs="Arial" w:eastAsia="Arial" w:hAnsi="Arial"/>
          <w:sz w:val="16"/>
          <w:szCs w:val="16"/>
          <w:color w:val="auto"/>
        </w:rPr>
        <w:t>annually in arrears in cash on January 15 and July 15 of each year, with the first payment due on July 15, 2021. The 2026 Notes will mature on January 15, 2026, unless earlier converted, redeemed or repurchased. We incurred $18,055 of expenses in connection with the 2026 Notes offering consisting of the payment of transaction costs. We used $25,530 of the net proceeds from the sale of the 2026 Notes to pay the premiums of the capped call options described further below, and approximately $250,500 to repay outstanding indebtedness under the Credit Facility and to pay related fees and expenses. We intend to use the remainder of the net proceeds from the sale of the 2026 Notes for general corporate purposes and towards funding the acquisition of Seequent. See the section titled “—Subsequent Events After March 31, 2021” below.</w:t>
      </w: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Indenture; and (4) if we call the 2026 Notes for redemption. On or after October 15, 2025 until 5:00 p.m., New York City time, on the second scheduled trading day immediately before the maturity date, the 2026 Notes will be convertible at the option of the holder at any time.</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15.5925 shares of our Class B Common Stock per $1 principal amount of 2026 Notes, which represents an initial conversion price of approximately $64.13 per share, and is subject to adjustment as described in the Indenture. If a “make-whole fundamental change” (as defined in the Indenture) occurs, then we will, in certain circumstances, increase the conversion rate for a specified period of time.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have the option to redeem the 2026 Notes in whole or in part at any time on or after January 20, 2024 and on or before the 40th scheduled trading day immediately before the maturity date if the last reported sale price per share of our Class B common stock exceeds 130% of the conversion price on (1) 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2026 Notes to be redeemed, plus accrued and unpaid interest, if any, to, but excluding, the redemption date.</w:t>
      </w:r>
    </w:p>
    <w:p>
      <w:pPr>
        <w:spacing w:after="0" w:line="1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Upon a fundamental change (as defined in the Indenture), holders may, subject to certain exceptions, require us to purchase their 2026 Notes in whole or in part for cash at a price equal to the principal amount of the 2026 Notes to be purchased, plus accrued and unpaid interest, if any, to, but excluding, the fundamental change repurchase date (as defined in the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Indenture), we will, under certain circumstances, increase the applicable conversion rate for a holder that elects to convert its 2026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$44.23 per share or greater than $210.00 per share. We will not increase the conversion rate to an amount that exceeds 22.6090 shares per $1 principal amount of 2026 Notes, subject to adjustment. The Indenture also contains a customary merger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jc w:val="both"/>
        <w:ind w:firstLine="324"/>
        <w:spacing w:after="0" w:line="218" w:lineRule="exact"/>
        <w:rPr>
          <w:sz w:val="20"/>
          <w:szCs w:val="20"/>
          <w:color w:val="auto"/>
        </w:rPr>
      </w:pPr>
      <w:r>
        <w:rPr>
          <w:rFonts w:ascii="Arial" w:cs="Arial" w:eastAsia="Arial" w:hAnsi="Arial"/>
          <w:sz w:val="17"/>
          <w:szCs w:val="17"/>
          <w:color w:val="auto"/>
        </w:rPr>
        <w:t>Under the Indenture, the 2026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2026 Notes shall automatically become due and payable. If any other event of default occurs and is continuing, the Trustee by notice to us, or the holders of the 2026 Notes of at least 25% in principal amount of the outstanding 2026 Notes by notice to us and the Trustee, may declare the principal of, and accrued and unpaid interest on, all of the then outstanding 2026 Notes to be due and payable. Notwithstanding the foregoing, the Indenture provides that, to the extent we elect, the sole remedy for an event of default relating to certain failures by us to comply with reporting covenant in the Indenture consists exclusively of the right to receive additional interest on the 2026 Notes.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none of the conditions of the 2026 Notes to early convert have been met.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2026 Notes are our senior, unsecured obligations that rank senior in right of payment to our future indebtedness that is expressly subordinated to the 2026 Notes, rank equally in right of payment with our future senior unsecured indebtedness that is not so subordinated,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2026 Notes contain both affirmative and negative covenants. As of March 31, 2021, we were in compliance with all covenants in the 2026 Notes.</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Capped Call Options</w:t>
      </w:r>
      <w:r>
        <w:rPr>
          <w:rFonts w:ascii="Arial" w:cs="Arial" w:eastAsia="Arial" w:hAnsi="Arial"/>
          <w:sz w:val="16"/>
          <w:szCs w:val="16"/>
          <w:color w:val="auto"/>
        </w:rPr>
        <w:t>. In connection with the pricing of the 2026 Notes, we entered into capped call options with certain of the initial purchasers or</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respective affiliates and certain other financial institutions. We incurred $150 of expenses in connection with the capped call options.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The cap price of the capped call options is $72.9795 per share, which represents a premium of 65% above the last reported sale price per share of our Class B Common Stock on the Nasdaq Global Select Market on January 21, 2021 and is subject to customary adjustments under the terms of the capped call options.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activities for the three months ended March 31,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560"/>
              <w:spacing w:after="0"/>
              <w:rPr>
                <w:sz w:val="20"/>
                <w:szCs w:val="20"/>
                <w:color w:val="auto"/>
              </w:rPr>
            </w:pPr>
            <w:r>
              <w:rPr>
                <w:rFonts w:ascii="Arial" w:cs="Arial" w:eastAsia="Arial" w:hAnsi="Arial"/>
                <w:sz w:val="18"/>
                <w:szCs w:val="18"/>
                <w:color w:val="auto"/>
                <w:w w:val="98"/>
              </w:rPr>
              <w:t>132,798</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472"/>
              <w:spacing w:after="0"/>
              <w:rPr>
                <w:sz w:val="20"/>
                <w:szCs w:val="20"/>
                <w:color w:val="auto"/>
              </w:rPr>
            </w:pPr>
            <w:r>
              <w:rPr>
                <w:rFonts w:ascii="Arial" w:cs="Arial" w:eastAsia="Arial" w:hAnsi="Arial"/>
                <w:sz w:val="18"/>
                <w:szCs w:val="18"/>
                <w:color w:val="auto"/>
                <w:w w:val="87"/>
              </w:rPr>
              <w:t>72,612</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2"/>
              </w:rPr>
              <w:t>(60,630)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92"/>
              </w:rPr>
              <w:t>(45,243)</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3"/>
                <w:szCs w:val="23"/>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w w:val="98"/>
              </w:rPr>
              <w:t>372,137</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center"/>
              <w:ind w:left="452"/>
              <w:spacing w:after="0"/>
              <w:rPr>
                <w:sz w:val="20"/>
                <w:szCs w:val="20"/>
                <w:color w:val="auto"/>
              </w:rPr>
            </w:pPr>
            <w:r>
              <w:rPr>
                <w:rFonts w:ascii="Arial" w:cs="Arial" w:eastAsia="Arial" w:hAnsi="Arial"/>
                <w:sz w:val="18"/>
                <w:szCs w:val="18"/>
                <w:color w:val="auto"/>
                <w:w w:val="92"/>
              </w:rPr>
              <w:t>(85,888)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jc w:val="both"/>
        <w:ind w:firstLine="324"/>
        <w:spacing w:after="0" w:line="218" w:lineRule="exact"/>
        <w:rPr>
          <w:sz w:val="20"/>
          <w:szCs w:val="20"/>
          <w:color w:val="auto"/>
        </w:rPr>
      </w:pPr>
      <w:r>
        <w:rPr>
          <w:rFonts w:ascii="Arial" w:cs="Arial" w:eastAsia="Arial" w:hAnsi="Arial"/>
          <w:sz w:val="16"/>
          <w:szCs w:val="16"/>
          <w:color w:val="auto"/>
        </w:rPr>
        <w:t>Net cash provided by operating activities was $132,798 for the three months ended March 31, 2021. Compared to the same period in the prior year, net cash from operating activities was higher by $60,186 due to an increase in net income of $27,337 and an increase in net cash flows from the change in operating assets and liabilities of $42,715. The net increase in cash flows from changes in operating assets and liabilities was primarily due to an increase in accounts payable, accruals and other liabilities primarily related to the increase in CSS deposits. Partially offsetting these increases in net cash provided by operating activities was a net decrease in non</w:t>
      </w:r>
      <w:r>
        <w:rPr>
          <w:rFonts w:ascii="MS PGothic" w:cs="MS PGothic" w:eastAsia="MS PGothic" w:hAnsi="MS PGothic"/>
          <w:sz w:val="16"/>
          <w:szCs w:val="16"/>
          <w:color w:val="auto"/>
        </w:rPr>
        <w:t>‑</w:t>
      </w:r>
      <w:r>
        <w:rPr>
          <w:rFonts w:ascii="Arial" w:cs="Arial" w:eastAsia="Arial" w:hAnsi="Arial"/>
          <w:sz w:val="16"/>
          <w:szCs w:val="16"/>
          <w:color w:val="auto"/>
        </w:rPr>
        <w:t>cash adjustments of $9,866 primarily related to a gain from the change in fair value of our interest rate swap and an increase related to foreign currency remeasurement gains, partially offset by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w:t>
      </w:r>
    </w:p>
    <w:p>
      <w:pPr>
        <w:spacing w:after="0" w:line="206"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For the three months ended March 31, 2020, net cash provided by operating activities was $72,612 due to net income of $29,669 increased by $17,936 of non</w:t>
      </w:r>
      <w:r>
        <w:rPr>
          <w:rFonts w:ascii="MS PGothic" w:cs="MS PGothic" w:eastAsia="MS PGothic" w:hAnsi="MS PGothic"/>
          <w:sz w:val="18"/>
          <w:szCs w:val="18"/>
          <w:color w:val="auto"/>
        </w:rPr>
        <w:t>‑</w:t>
      </w:r>
      <w:r>
        <w:rPr>
          <w:rFonts w:ascii="Arial" w:cs="Arial" w:eastAsia="Arial" w:hAnsi="Arial"/>
          <w:sz w:val="18"/>
          <w:szCs w:val="18"/>
          <w:color w:val="auto"/>
        </w:rPr>
        <w:t>cash adjustments and $25,007 from changes in operating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was $60,630 for the three months ended March 31, 2021, primarily due to $2,655 related to purchases of property and equipment and investment in capitalized software and $57,975 in acquisition related payments, net of cash acquired.</w:t>
      </w:r>
    </w:p>
    <w:p>
      <w:pPr>
        <w:spacing w:after="0" w:line="1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months ended March 31, 2020, net cash used in investing activities was $45,243, primarily due to $4,500 related to purchases of property and equipment and investment in capitalized software and $39,329 in acquisition related payments, net of cash acquired.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was $372,137 for the three months ended March 31, 2021. Compared to the prior year comparative period, net cash provided by financing activities increased by $458,025, primarily due to the net proceeds from the 2026 Notes of $672,750, partially offset by a decrease in net borrowings of $171,282 under the Credit Facility, the purchase of capped call options of $25,530, payments of debt issuance costs of $3,777, and an increase in net payments for shares acquired of $14,845.</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2020, net cash used in financing activities was $85,888, primarily due to net payments under the Credit Facility of $74,718, payments of dividends of $7,802, and net payments for shares acquired of $3,918.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 After March 31, 2021</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April 2021, we completed two acquisitions and entered into a definitive agreement to acquire a third company totaling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$54,200 in cash, net of cash acquired and subject to customary adjustments, including for working capital. The third acquisition is expected to close during May 2021. The acquisitions are not expected to be material to our consolidated statements of operations and financial position.</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March 11, 2021, we entered into a definitive agreement to acquire Seequent, a leader in software for geological and geophysical modeling, geotechnical stability, and cloud services for geodata management and collaboration, for approximately $900,000 in cash, net of cash acquired and subject to customary adjustments, including for working capital, plus 3,141,361 shares of our Class B Common Stock. The transaction is subject to customary closing conditions, including regulatory approvals, and is expected to close during the second quarter of 2021. We expect to use readily available cash, including a portion of the net proceeds from the 2026 Notes, and borrowings under our Credit Facility to fund the cash component of the transaction. For the three months ended March 31, 2021, we incurred $6,716 of expenses related to entering into the definitive agreement to acquire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noted above, on January 26, 2021, we completed the 2026 Notes private offering. See Note 10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As a result of a net increase in long</w:t>
      </w:r>
      <w:r>
        <w:rPr>
          <w:rFonts w:ascii="MS PGothic" w:cs="MS PGothic" w:eastAsia="MS PGothic" w:hAnsi="MS PGothic"/>
          <w:sz w:val="18"/>
          <w:szCs w:val="18"/>
          <w:color w:val="auto"/>
        </w:rPr>
        <w:t>‑</w:t>
      </w:r>
      <w:r>
        <w:rPr>
          <w:rFonts w:ascii="Arial" w:cs="Arial" w:eastAsia="Arial" w:hAnsi="Arial"/>
          <w:sz w:val="18"/>
          <w:szCs w:val="18"/>
          <w:color w:val="auto"/>
        </w:rPr>
        <w:t>term debt, our obligation for interest on long</w:t>
      </w:r>
      <w:r>
        <w:rPr>
          <w:rFonts w:ascii="MS PGothic" w:cs="MS PGothic" w:eastAsia="MS PGothic" w:hAnsi="MS PGothic"/>
          <w:sz w:val="18"/>
          <w:szCs w:val="18"/>
          <w:color w:val="auto"/>
        </w:rPr>
        <w:t>‑</w:t>
      </w:r>
      <w:r>
        <w:rPr>
          <w:rFonts w:ascii="Arial" w:cs="Arial" w:eastAsia="Arial" w:hAnsi="Arial"/>
          <w:sz w:val="18"/>
          <w:szCs w:val="18"/>
          <w:color w:val="auto"/>
        </w:rPr>
        <w:t>term debt will also increase.</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As noted above, subsequent to March 31, 2021 and through the filing date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we committed approximately $954,200 in cash, net of cash acquired and subject to customary adjustments, including for working capital, plus 3,141,361 shares of our Class B Common Stock for four acquisitions. See Note 4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We expect to use readily available cash, including a portion of the net proceeds from the 2026 Notes, and borrowings under our Credit Facility to fund the cash component of these transactions.</w:t>
      </w:r>
    </w:p>
    <w:p>
      <w:pPr>
        <w:spacing w:after="0" w:line="205"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There have been no other material changes to our contractual obligations and other commitments as disclosed in Part II, Item 7 Management’s Discussion and Analysis of Financial Condition and Results of Operations in our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on file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Section 107 of the JOBS Act provides that an “emerging growth company” can use the extended transition period provided in Section 7(a)(2)(B) of the Securities Act, as amended by Section 102(b)(1) of the JOBS Act, for complying with new or revised accounting standards. This permits an “emerging growth company” to delay the adoption of new or revised accounting standards that have different effective dates for public and private companies until those standards would otherwise apply to private companies. We have elected to use the extended transition period provided in Section 7(a)(2)(B) for complying with new or revised accounting standards that have different effective dates for public and private companies until the earlier of the date we</w:t>
      </w:r>
    </w:p>
    <w:p>
      <w:pPr>
        <w:spacing w:after="0" w:line="2"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are no longer an “emerging growth company” or (ii) affirmatively and irrevocably opt out of the extended transition period provided in Section 7(a)(2)</w:t>
      </w:r>
    </w:p>
    <w:p>
      <w:pPr>
        <w:spacing w:after="0" w:line="32"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color w:val="auto"/>
        </w:rPr>
        <w:t>(B). As a result, our consolidated financial statements may not be comparable to those of companies that comply with public company effective dates. We expect that we will no longer qualify as an emerging growth company as of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significant changes in our market risk exposure as described in Part II, Item 7A. Quantitative and Qualitative Disclosures About Market Risk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other than the following:</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fair value of our 2026 Notes is subject to interest rate risk, market risk, and other factors due to the conversion feature. The</w:t>
      </w:r>
      <w:r>
        <w:rPr>
          <w:rFonts w:ascii="Arial" w:cs="Arial" w:eastAsia="Arial" w:hAnsi="Arial"/>
          <w:sz w:val="18"/>
          <w:szCs w:val="18"/>
          <w:i w:val="1"/>
          <w:iCs w:val="1"/>
          <w:color w:val="auto"/>
        </w:rPr>
        <w:t xml:space="preserve"> </w:t>
      </w:r>
      <w:r>
        <w:rPr>
          <w:rFonts w:ascii="Arial" w:cs="Arial" w:eastAsia="Arial" w:hAnsi="Arial"/>
          <w:sz w:val="18"/>
          <w:szCs w:val="18"/>
          <w:color w:val="auto"/>
        </w:rPr>
        <w:t>capped call that was entered into concurrently with the issuance of our 2026 Notes were completed to reduce the potential dilution from the conversion of the 2026 Notes. The fair value of the 2026 Notes will generally increase as interest rates fall and decrease as interest rates rise. In addition, the fair value of the 2026 Notes will generally increase as our Class B Common Stock price increases and will generally decrease as the common stock price declines. The interest and market value changes affect the fair value of the 2026 Notes, but do not impact our financial position, results of operations, or cash flows due to the fixed nature of the debt obligation.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Second Amendment to the Credit Facility did not change our </w:t>
      </w:r>
      <w:r>
        <w:rPr>
          <w:rFonts w:ascii="Arial" w:cs="Arial" w:eastAsia="Arial" w:hAnsi="Arial"/>
          <w:sz w:val="16"/>
          <w:szCs w:val="16"/>
          <w:i w:val="1"/>
          <w:iCs w:val="1"/>
          <w:color w:val="auto"/>
        </w:rPr>
        <w:t>Interest rate risk</w:t>
      </w:r>
      <w:r>
        <w:rPr>
          <w:rFonts w:ascii="Arial" w:cs="Arial" w:eastAsia="Arial" w:hAnsi="Arial"/>
          <w:sz w:val="16"/>
          <w:szCs w:val="16"/>
          <w:color w:val="auto"/>
        </w:rPr>
        <w:t xml:space="preserve"> disclosure related to the Credit Facility included in Part II, Item 7A.</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Quantitative and Qualitative Disclosures About Market Risk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March 31, 2021,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There was no change in our internal control over financial reporting identified in management's evaluation pursuant to Rules 13a or 15d of the Exchange Act that occurred during the quarter ended March 31, 2021 that has materially affected, or is reasonably likely to materially affect, our internal control over financial reporting. We have not experienced any material impact in our internal control over financial reporting despite our employees working remotely due to the COVID</w:t>
      </w:r>
      <w:r>
        <w:rPr>
          <w:rFonts w:ascii="MS PGothic" w:cs="MS PGothic" w:eastAsia="MS PGothic" w:hAnsi="MS PGothic"/>
          <w:sz w:val="18"/>
          <w:szCs w:val="18"/>
          <w:color w:val="auto"/>
        </w:rPr>
        <w:t>‑</w:t>
      </w:r>
      <w:r>
        <w:rPr>
          <w:rFonts w:ascii="Arial" w:cs="Arial" w:eastAsia="Arial" w:hAnsi="Arial"/>
          <w:sz w:val="18"/>
          <w:szCs w:val="18"/>
          <w:color w:val="auto"/>
        </w:rPr>
        <w:t>19 pandemic. We are continually monitoring and assessing the COVID</w:t>
      </w:r>
      <w:r>
        <w:rPr>
          <w:rFonts w:ascii="MS PGothic" w:cs="MS PGothic" w:eastAsia="MS PGothic" w:hAnsi="MS PGothic"/>
          <w:sz w:val="18"/>
          <w:szCs w:val="18"/>
          <w:color w:val="auto"/>
        </w:rPr>
        <w:t>‑</w:t>
      </w:r>
      <w:r>
        <w:rPr>
          <w:rFonts w:ascii="Arial" w:cs="Arial" w:eastAsia="Arial" w:hAnsi="Arial"/>
          <w:sz w:val="18"/>
          <w:szCs w:val="18"/>
          <w:color w:val="auto"/>
        </w:rPr>
        <w:t>19 pandemic on our internal controls including changes to their design and operating effectiveness.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See Note 18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other information set forth in this report, you should carefully consider the risk factors described in Part I. Item 1A. Risk Factors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which could materially affect our business, financial condition or future results. Additional risks and uncertainties not currently known to us or that we currently deem to be immaterial also may materially and adversely affect our business, financial condition and/or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January 1, 2021 to March 31, 2021, we issued 31,401 shares of our Class B Common Stock pursuant to the vesting of restricted stock awards and restricted stock units.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January 1, 2021 to March 31, 2021, we issued 339,503 shares of our Class B Common Stock in connection with distributions from our amended and restated Bentley Systems, Incorporated Nonqualified Deferred Compensation Plan.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offers, sales, and issuances of these securities were exempt from registration under the Securities Act in reliance upon Rule 701 promulgated under the Securities Act as transactions under compensatory benefit plans and contracts relating to compensation in compliance with Rule 701 or in reliance upon Section 4(a)(2) of the Securities Act as transactions by an issuer not involving any public offering. None of the foregoing transactions involved any underwriters, underwriting discounts or commissions, or any public offering. The issuances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6" w:name="page67"/>
    <w:bookmarkEnd w:id="66"/>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8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Exhibit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6940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10.1*</w:t>
      </w:r>
      <w:r>
        <w:rPr>
          <w:rFonts w:ascii="Arial" w:cs="Arial" w:eastAsia="Arial" w:hAnsi="Arial"/>
          <w:sz w:val="28"/>
          <w:szCs w:val="28"/>
          <w:color w:val="auto"/>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6300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69"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Side Letter Agreement, dated as of March 11, 2021, by and among Bentley Systems, Incorporated, Seequent Holdings Limited and the</w:t>
        </w:r>
      </w:hyperlink>
      <w:r>
        <w:rPr>
          <w:rFonts w:ascii="Arial" w:cs="Arial" w:eastAsia="Arial" w:hAnsi="Arial"/>
          <w:sz w:val="18"/>
          <w:szCs w:val="18"/>
          <w:u w:val="single" w:color="auto"/>
          <w:color w:val="0000FF"/>
        </w:rPr>
        <w:t xml:space="preserve"> </w:t>
      </w:r>
      <w:hyperlink w:anchor="page69">
        <w:r>
          <w:rPr>
            <w:rFonts w:ascii="Arial" w:cs="Arial" w:eastAsia="Arial" w:hAnsi="Arial"/>
            <w:sz w:val="18"/>
            <w:szCs w:val="18"/>
            <w:u w:val="single" w:color="auto"/>
            <w:color w:val="0000FF"/>
          </w:rPr>
          <w:t>Sellers named therein</w:t>
        </w:r>
      </w:hyperlink>
    </w:p>
    <w:p>
      <w:pPr>
        <w:spacing w:after="0" w:line="1" w:lineRule="exact"/>
        <w:rPr>
          <w:sz w:val="20"/>
          <w:szCs w:val="20"/>
          <w:color w:val="auto"/>
        </w:rPr>
      </w:pPr>
    </w:p>
    <w:p>
      <w:pPr>
        <w:sectPr>
          <w:pgSz w:w="11900" w:h="16838" w:orient="portrait"/>
          <w:cols w:equalWidth="0" w:num="2">
            <w:col w:w="1240" w:space="80"/>
            <w:col w:w="9900"/>
          </w:cols>
          <w:pgMar w:left="320" w:top="1440" w:right="359" w:bottom="1440" w:gutter="0" w:footer="0" w:header="0"/>
        </w:sectPr>
      </w:pPr>
    </w:p>
    <w:tbl>
      <w:tblPr>
        <w:tblLayout w:type="fixed"/>
        <w:tblInd w:w="80" w:type="dxa"/>
        <w:tblCellMar>
          <w:top w:w="0" w:type="dxa"/>
          <w:left w:w="0" w:type="dxa"/>
          <w:bottom w:w="0" w:type="dxa"/>
          <w:right w:w="0" w:type="dxa"/>
        </w:tblCellMar>
      </w:tblPr>
      <w:tr>
        <w:trPr>
          <w:trHeight w:val="189"/>
        </w:trPr>
        <w:tc>
          <w:tcPr>
            <w:tcW w:w="1240" w:type="dxa"/>
            <w:vAlign w:val="bottom"/>
          </w:tcPr>
          <w:p>
            <w:pPr>
              <w:ind w:left="100"/>
              <w:spacing w:after="0" w:line="189" w:lineRule="exact"/>
              <w:rPr>
                <w:sz w:val="20"/>
                <w:szCs w:val="20"/>
                <w:color w:val="auto"/>
              </w:rPr>
            </w:pPr>
            <w:r>
              <w:rPr>
                <w:rFonts w:ascii="Arial" w:cs="Arial" w:eastAsia="Arial" w:hAnsi="Arial"/>
                <w:sz w:val="18"/>
                <w:szCs w:val="18"/>
                <w:color w:val="auto"/>
              </w:rPr>
              <w:t>10.2*</w:t>
            </w:r>
          </w:p>
        </w:tc>
        <w:tc>
          <w:tcPr>
            <w:tcW w:w="9900" w:type="dxa"/>
            <w:vAlign w:val="bottom"/>
            <w:gridSpan w:val="6"/>
          </w:tcPr>
          <w:p>
            <w:pPr>
              <w:spacing w:after="0" w:line="189" w:lineRule="exact"/>
              <w:rPr>
                <w:rFonts w:ascii="Arial" w:cs="Arial" w:eastAsia="Arial" w:hAnsi="Arial"/>
                <w:sz w:val="18"/>
                <w:szCs w:val="18"/>
                <w:color w:val="0000FF"/>
                <w:w w:val="94"/>
              </w:rPr>
            </w:pPr>
            <w:hyperlink w:anchor="page83">
              <w:r>
                <w:rPr>
                  <w:rFonts w:ascii="Arial" w:cs="Arial" w:eastAsia="Arial" w:hAnsi="Arial"/>
                  <w:sz w:val="18"/>
                  <w:szCs w:val="18"/>
                  <w:color w:val="0000FF"/>
                  <w:w w:val="94"/>
                </w:rPr>
                <w:t>Amendment to Side Letter Agreement, dated as of March 11, 2021, by and between Bentley Systems, Incorporated and Accel-KKR</w:t>
              </w:r>
            </w:hyperlink>
          </w:p>
        </w:tc>
      </w:tr>
      <w:tr>
        <w:trPr>
          <w:trHeight w:val="156"/>
        </w:trPr>
        <w:tc>
          <w:tcPr>
            <w:tcW w:w="1240" w:type="dxa"/>
            <w:vAlign w:val="bottom"/>
          </w:tcPr>
          <w:p>
            <w:pPr>
              <w:spacing w:after="0"/>
              <w:rPr>
                <w:sz w:val="13"/>
                <w:szCs w:val="13"/>
                <w:color w:val="auto"/>
              </w:rPr>
            </w:pPr>
          </w:p>
        </w:tc>
        <w:tc>
          <w:tcPr>
            <w:tcW w:w="98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Capital Partners V, LP</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ind w:left="100"/>
              <w:spacing w:after="0"/>
              <w:rPr>
                <w:sz w:val="20"/>
                <w:szCs w:val="20"/>
                <w:color w:val="auto"/>
              </w:rPr>
            </w:pPr>
            <w:r>
              <w:rPr>
                <w:rFonts w:ascii="Arial" w:cs="Arial" w:eastAsia="Arial" w:hAnsi="Arial"/>
                <w:sz w:val="18"/>
                <w:szCs w:val="18"/>
                <w:color w:val="auto"/>
              </w:rPr>
              <w:t>31.1*</w:t>
            </w:r>
          </w:p>
        </w:tc>
        <w:tc>
          <w:tcPr>
            <w:tcW w:w="87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86">
              <w:r>
                <w:rPr>
                  <w:rFonts w:ascii="Arial" w:cs="Arial" w:eastAsia="Arial" w:hAnsi="Arial"/>
                  <w:sz w:val="18"/>
                  <w:szCs w:val="18"/>
                  <w:color w:val="0000FF"/>
                  <w:w w:val="90"/>
                </w:rPr>
                <w:t>Certification of CEO pursuant to Rule 13a-14(a) and Rule 15d-14(a) of the Securities Exchange Act of 1934, as amended</w:t>
              </w:r>
            </w:hyperlink>
          </w:p>
        </w:tc>
        <w:tc>
          <w:tcPr>
            <w:tcW w:w="1140" w:type="dxa"/>
            <w:vAlign w:val="bottom"/>
            <w:gridSpan w:val="2"/>
          </w:tcPr>
          <w:p>
            <w:pPr>
              <w:spacing w:after="0"/>
              <w:rPr>
                <w:sz w:val="18"/>
                <w:szCs w:val="18"/>
                <w:color w:val="auto"/>
              </w:rPr>
            </w:pPr>
          </w:p>
        </w:tc>
      </w:tr>
      <w:tr>
        <w:trPr>
          <w:trHeight w:val="209"/>
        </w:trPr>
        <w:tc>
          <w:tcPr>
            <w:tcW w:w="1240" w:type="dxa"/>
            <w:vAlign w:val="bottom"/>
          </w:tcPr>
          <w:p>
            <w:pPr>
              <w:ind w:left="100"/>
              <w:spacing w:after="0"/>
              <w:rPr>
                <w:sz w:val="20"/>
                <w:szCs w:val="20"/>
                <w:color w:val="auto"/>
              </w:rPr>
            </w:pPr>
            <w:r>
              <w:rPr>
                <w:rFonts w:ascii="Arial" w:cs="Arial" w:eastAsia="Arial" w:hAnsi="Arial"/>
                <w:sz w:val="18"/>
                <w:szCs w:val="18"/>
                <w:color w:val="auto"/>
              </w:rPr>
              <w:t>31.2*</w:t>
            </w:r>
          </w:p>
        </w:tc>
        <w:tc>
          <w:tcPr>
            <w:tcW w:w="87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Certification of CFO pursuant to Rule 13a-14(a) and Rule 15d-14(a) of the Securities Exchange Act of 1934, as amended</w:t>
              </w:r>
            </w:hyperlink>
          </w:p>
        </w:tc>
        <w:tc>
          <w:tcPr>
            <w:tcW w:w="1160" w:type="dxa"/>
            <w:vAlign w:val="bottom"/>
            <w:gridSpan w:val="3"/>
          </w:tcPr>
          <w:p>
            <w:pPr>
              <w:spacing w:after="0"/>
              <w:rPr>
                <w:sz w:val="18"/>
                <w:szCs w:val="18"/>
                <w:color w:val="auto"/>
              </w:rPr>
            </w:pPr>
          </w:p>
        </w:tc>
      </w:tr>
      <w:tr>
        <w:trPr>
          <w:trHeight w:val="250"/>
        </w:trPr>
        <w:tc>
          <w:tcPr>
            <w:tcW w:w="1240" w:type="dxa"/>
            <w:vAlign w:val="bottom"/>
          </w:tcPr>
          <w:p>
            <w:pPr>
              <w:ind w:left="100"/>
              <w:spacing w:after="0"/>
              <w:rPr>
                <w:sz w:val="20"/>
                <w:szCs w:val="20"/>
                <w:color w:val="auto"/>
              </w:rPr>
            </w:pPr>
            <w:r>
              <w:rPr>
                <w:rFonts w:ascii="Arial" w:cs="Arial" w:eastAsia="Arial" w:hAnsi="Arial"/>
                <w:sz w:val="18"/>
                <w:szCs w:val="18"/>
                <w:color w:val="auto"/>
              </w:rPr>
              <w:t>32.1*</w:t>
            </w:r>
          </w:p>
        </w:tc>
        <w:tc>
          <w:tcPr>
            <w:tcW w:w="990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88">
              <w:r>
                <w:rPr>
                  <w:rFonts w:ascii="Arial" w:cs="Arial" w:eastAsia="Arial" w:hAnsi="Arial"/>
                  <w:sz w:val="18"/>
                  <w:szCs w:val="18"/>
                  <w:color w:val="0000FF"/>
                  <w:w w:val="93"/>
                </w:rPr>
                <w:t>Certification of CEO and CFO Pursuant to 18 U.S.C. Section 1350, as Adopted Pursuant to Section 906 of the Sarbanes-Oxley Act of</w:t>
              </w:r>
            </w:hyperlink>
          </w:p>
        </w:tc>
      </w:tr>
      <w:tr>
        <w:trPr>
          <w:trHeight w:val="156"/>
        </w:trPr>
        <w:tc>
          <w:tcPr>
            <w:tcW w:w="124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88">
              <w:r>
                <w:rPr>
                  <w:rFonts w:ascii="Arial" w:cs="Arial" w:eastAsia="Arial" w:hAnsi="Arial"/>
                  <w:sz w:val="18"/>
                  <w:szCs w:val="18"/>
                  <w:color w:val="0000FF"/>
                  <w:w w:val="84"/>
                </w:rPr>
                <w:t>2002</w:t>
              </w:r>
            </w:hyperlink>
          </w:p>
        </w:tc>
        <w:tc>
          <w:tcPr>
            <w:tcW w:w="124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101.INS</w:t>
            </w:r>
          </w:p>
        </w:tc>
        <w:tc>
          <w:tcPr>
            <w:tcW w:w="9900" w:type="dxa"/>
            <w:vAlign w:val="bottom"/>
            <w:gridSpan w:val="6"/>
          </w:tcPr>
          <w:p>
            <w:pPr>
              <w:spacing w:after="0" w:line="196" w:lineRule="exact"/>
              <w:rPr>
                <w:sz w:val="20"/>
                <w:szCs w:val="20"/>
                <w:color w:val="auto"/>
              </w:rPr>
            </w:pPr>
            <w:r>
              <w:rPr>
                <w:rFonts w:ascii="Arial" w:cs="Arial" w:eastAsia="Arial" w:hAnsi="Arial"/>
                <w:sz w:val="18"/>
                <w:szCs w:val="18"/>
                <w:color w:val="auto"/>
                <w:w w:val="92"/>
              </w:rPr>
              <w:t>Inline XBRL Instance Document—the instance document does not appear in the Interactive Data File as its XBRL tags are embedded</w:t>
            </w:r>
          </w:p>
        </w:tc>
      </w:tr>
      <w:tr>
        <w:trPr>
          <w:trHeight w:val="229"/>
        </w:trPr>
        <w:tc>
          <w:tcPr>
            <w:tcW w:w="124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320" w:hanging="1236"/>
        <w:spacing w:after="0"/>
        <w:tabs>
          <w:tab w:leader="none" w:pos="13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197" w:lineRule="exact"/>
        <w:rPr>
          <w:rFonts w:ascii="Arial" w:cs="Arial" w:eastAsia="Arial" w:hAnsi="Arial"/>
          <w:sz w:val="18"/>
          <w:szCs w:val="18"/>
          <w:color w:val="auto"/>
        </w:rPr>
      </w:pPr>
    </w:p>
    <w:p>
      <w:pPr>
        <w:ind w:left="480" w:hanging="445"/>
        <w:spacing w:after="0" w:line="220"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or furnished herewith. The certification attached as Exhibit 32.1 that accompanies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irrespective of any general incorporation language contained in such filing.</w:t>
      </w:r>
    </w:p>
    <w:p>
      <w:pPr>
        <w:spacing w:after="0" w:line="258" w:lineRule="exact"/>
        <w:rPr>
          <w:sz w:val="20"/>
          <w:szCs w:val="20"/>
          <w:color w:val="auto"/>
        </w:rPr>
      </w:pPr>
    </w:p>
    <w:p>
      <w:pPr>
        <w:ind w:left="480" w:hanging="454"/>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7" w:name="page68"/>
    <w:bookmarkEnd w:id="67"/>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7060" w:type="dxa"/>
            <w:vAlign w:val="bottom"/>
            <w:gridSpan w:val="2"/>
          </w:tcPr>
          <w:p>
            <w:pPr>
              <w:ind w:left="2740"/>
              <w:spacing w:after="0"/>
              <w:rPr>
                <w:sz w:val="20"/>
                <w:szCs w:val="20"/>
                <w:color w:val="auto"/>
              </w:rPr>
            </w:pPr>
            <w:r>
              <w:rPr>
                <w:rFonts w:ascii="Arial" w:cs="Arial" w:eastAsia="Arial" w:hAnsi="Arial"/>
                <w:sz w:val="18"/>
                <w:szCs w:val="18"/>
                <w:color w:val="auto"/>
              </w:rPr>
              <w:t>Bentley Systems, Incorporated</w:t>
            </w:r>
          </w:p>
        </w:tc>
      </w:tr>
      <w:tr>
        <w:trPr>
          <w:trHeight w:val="405"/>
        </w:trPr>
        <w:tc>
          <w:tcPr>
            <w:tcW w:w="4160" w:type="dxa"/>
            <w:vAlign w:val="bottom"/>
          </w:tcPr>
          <w:p>
            <w:pPr>
              <w:spacing w:after="0"/>
              <w:rPr>
                <w:sz w:val="20"/>
                <w:szCs w:val="20"/>
                <w:color w:val="auto"/>
              </w:rPr>
            </w:pPr>
            <w:r>
              <w:rPr>
                <w:rFonts w:ascii="Arial" w:cs="Arial" w:eastAsia="Arial" w:hAnsi="Arial"/>
                <w:sz w:val="18"/>
                <w:szCs w:val="18"/>
                <w:color w:val="auto"/>
              </w:rPr>
              <w:t>Date: May 11, 2021</w:t>
            </w:r>
          </w:p>
        </w:tc>
        <w:tc>
          <w:tcPr>
            <w:tcW w:w="3600" w:type="dxa"/>
            <w:vAlign w:val="bottom"/>
          </w:tcPr>
          <w:p>
            <w:pPr>
              <w:ind w:left="274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4"/>
                <w:szCs w:val="14"/>
                <w:color w:val="auto"/>
                <w:w w:val="97"/>
              </w:rPr>
              <w:t>AVID</w:t>
            </w:r>
            <w:r>
              <w:rPr>
                <w:rFonts w:ascii="Arial" w:cs="Arial" w:eastAsia="Arial" w:hAnsi="Arial"/>
                <w:sz w:val="18"/>
                <w:szCs w:val="18"/>
                <w:color w:val="auto"/>
                <w:w w:val="97"/>
              </w:rPr>
              <w:t xml:space="preserve"> J. H</w:t>
            </w:r>
            <w:r>
              <w:rPr>
                <w:rFonts w:ascii="Arial" w:cs="Arial" w:eastAsia="Arial" w:hAnsi="Arial"/>
                <w:sz w:val="14"/>
                <w:szCs w:val="14"/>
                <w:color w:val="auto"/>
                <w:w w:val="97"/>
              </w:rPr>
              <w:t>OLLISTER</w:t>
            </w:r>
          </w:p>
        </w:tc>
      </w:tr>
      <w:tr>
        <w:trPr>
          <w:trHeight w:val="222"/>
        </w:trPr>
        <w:tc>
          <w:tcPr>
            <w:tcW w:w="41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David J. Hollister</w:t>
            </w:r>
          </w:p>
        </w:tc>
      </w:tr>
      <w:tr>
        <w:trPr>
          <w:trHeight w:val="230"/>
        </w:trPr>
        <w:tc>
          <w:tcPr>
            <w:tcW w:w="4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10.1</w:t>
      </w:r>
    </w:p>
    <w:p>
      <w:pPr>
        <w:spacing w:after="0" w:line="251" w:lineRule="exact"/>
        <w:rPr>
          <w:sz w:val="20"/>
          <w:szCs w:val="20"/>
          <w:color w:val="auto"/>
        </w:rPr>
      </w:pPr>
    </w:p>
    <w:p>
      <w:pPr>
        <w:ind w:right="40" w:firstLine="8"/>
        <w:spacing w:after="0" w:line="304" w:lineRule="auto"/>
        <w:tabs>
          <w:tab w:leader="none" w:pos="522"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A portion of this exhibit has been redacted pursuant to Item 601(b)(2) of Regulation S-K as (i) not material and (ii) likely to cause competitive harm if publicly disclosed. The Company hereby undertakes to furnish unredacted copies of this exhibit upon request by the Securities and Exchange Commission; provided, however, that the Company may request confidential treatment pursuant to Rule 24b-2 of the Exchange Act for such unredacted copies of this exhibit.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SIDE LETTER AGREEMENT</w:t>
      </w:r>
    </w:p>
    <w:p>
      <w:pPr>
        <w:spacing w:after="0" w:line="238" w:lineRule="exact"/>
        <w:rPr>
          <w:sz w:val="20"/>
          <w:szCs w:val="20"/>
          <w:color w:val="auto"/>
        </w:rPr>
      </w:pPr>
    </w:p>
    <w:p>
      <w:pPr>
        <w:ind w:right="40" w:firstLine="648"/>
        <w:spacing w:after="0" w:line="248" w:lineRule="auto"/>
        <w:rPr>
          <w:sz w:val="20"/>
          <w:szCs w:val="20"/>
          <w:color w:val="auto"/>
        </w:rPr>
      </w:pPr>
      <w:r>
        <w:rPr>
          <w:rFonts w:ascii="Arial" w:cs="Arial" w:eastAsia="Arial" w:hAnsi="Arial"/>
          <w:sz w:val="20"/>
          <w:szCs w:val="20"/>
          <w:color w:val="auto"/>
        </w:rPr>
        <w:t>This Side Letter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dated as of March 11, 2021, by and among the shareholders of Seequent Holdings Limited (the “</w:t>
      </w:r>
      <w:r>
        <w:rPr>
          <w:rFonts w:ascii="Arial" w:cs="Arial" w:eastAsia="Arial" w:hAnsi="Arial"/>
          <w:sz w:val="20"/>
          <w:szCs w:val="20"/>
          <w:b w:val="1"/>
          <w:bCs w:val="1"/>
          <w:color w:val="auto"/>
        </w:rPr>
        <w:t>Company</w:t>
      </w:r>
      <w:r>
        <w:rPr>
          <w:rFonts w:ascii="Arial" w:cs="Arial" w:eastAsia="Arial" w:hAnsi="Arial"/>
          <w:sz w:val="20"/>
          <w:szCs w:val="20"/>
          <w:color w:val="auto"/>
        </w:rPr>
        <w:t>”) that are listed on the signature pages hereto as Sellers (the “</w:t>
      </w:r>
      <w:r>
        <w:rPr>
          <w:rFonts w:ascii="Arial" w:cs="Arial" w:eastAsia="Arial" w:hAnsi="Arial"/>
          <w:sz w:val="20"/>
          <w:szCs w:val="20"/>
          <w:b w:val="1"/>
          <w:bCs w:val="1"/>
          <w:color w:val="auto"/>
        </w:rPr>
        <w:t>Signing Sellers</w:t>
      </w:r>
      <w:r>
        <w:rPr>
          <w:rFonts w:ascii="Arial" w:cs="Arial" w:eastAsia="Arial" w:hAnsi="Arial"/>
          <w:sz w:val="20"/>
          <w:szCs w:val="20"/>
          <w:color w:val="auto"/>
        </w:rPr>
        <w:t>”) and, following the execution of one or more Deeds of Accession to this Agreement, by any other shareholders of the Company (collectively with the Signing Sellers, the “</w:t>
      </w:r>
      <w:r>
        <w:rPr>
          <w:rFonts w:ascii="Arial" w:cs="Arial" w:eastAsia="Arial" w:hAnsi="Arial"/>
          <w:sz w:val="20"/>
          <w:szCs w:val="20"/>
          <w:b w:val="1"/>
          <w:bCs w:val="1"/>
          <w:color w:val="auto"/>
        </w:rPr>
        <w:t>Sellers</w:t>
      </w:r>
      <w:r>
        <w:rPr>
          <w:rFonts w:ascii="Arial" w:cs="Arial" w:eastAsia="Arial" w:hAnsi="Arial"/>
          <w:sz w:val="20"/>
          <w:szCs w:val="20"/>
          <w:color w:val="auto"/>
        </w:rPr>
        <w:t>”) and Bentley Systems, Incorporated (the “</w:t>
      </w:r>
      <w:r>
        <w:rPr>
          <w:rFonts w:ascii="Arial" w:cs="Arial" w:eastAsia="Arial" w:hAnsi="Arial"/>
          <w:sz w:val="20"/>
          <w:szCs w:val="20"/>
          <w:b w:val="1"/>
          <w:bCs w:val="1"/>
          <w:color w:val="auto"/>
        </w:rPr>
        <w:t>Buyer</w:t>
      </w:r>
      <w:r>
        <w:rPr>
          <w:rFonts w:ascii="Arial" w:cs="Arial" w:eastAsia="Arial" w:hAnsi="Arial"/>
          <w:sz w:val="20"/>
          <w:szCs w:val="20"/>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43" w:lineRule="exact"/>
        <w:rPr>
          <w:sz w:val="20"/>
          <w:szCs w:val="20"/>
          <w:color w:val="auto"/>
        </w:rPr>
      </w:pPr>
    </w:p>
    <w:p>
      <w:pPr>
        <w:ind w:right="240" w:firstLine="648"/>
        <w:spacing w:after="0" w:line="26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Signing Sellers and Buyer have entered into that certain Sale and Purchase Agreement For Shares dated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hereof (as it may be amended, modified or waived from time to time, the “</w:t>
      </w:r>
      <w:r>
        <w:rPr>
          <w:rFonts w:ascii="Arial" w:cs="Arial" w:eastAsia="Arial" w:hAnsi="Arial"/>
          <w:sz w:val="19"/>
          <w:szCs w:val="19"/>
          <w:b w:val="1"/>
          <w:bCs w:val="1"/>
          <w:color w:val="auto"/>
        </w:rPr>
        <w:t>Purchase Agreement</w:t>
      </w:r>
      <w:r>
        <w:rPr>
          <w:rFonts w:ascii="Arial" w:cs="Arial" w:eastAsia="Arial" w:hAnsi="Arial"/>
          <w:sz w:val="19"/>
          <w:szCs w:val="19"/>
          <w:color w:val="auto"/>
        </w:rPr>
        <w:t>”), pursuant to which the Buyer has agreed to purchase from the Sellers all of the issued share capital of the Company, following the exercise of all Company options and conversion of all plan shares into ordinary shares of the Company (the “</w:t>
      </w:r>
      <w:r>
        <w:rPr>
          <w:rFonts w:ascii="Arial" w:cs="Arial" w:eastAsia="Arial" w:hAnsi="Arial"/>
          <w:sz w:val="19"/>
          <w:szCs w:val="19"/>
          <w:b w:val="1"/>
          <w:bCs w:val="1"/>
          <w:color w:val="auto"/>
        </w:rPr>
        <w:t>Company Shares</w:t>
      </w:r>
      <w:r>
        <w:rPr>
          <w:rFonts w:ascii="Arial" w:cs="Arial" w:eastAsia="Arial" w:hAnsi="Arial"/>
          <w:sz w:val="19"/>
          <w:szCs w:val="19"/>
          <w:color w:val="auto"/>
        </w:rPr>
        <w:t>”);</w:t>
      </w:r>
    </w:p>
    <w:p>
      <w:pPr>
        <w:spacing w:after="0" w:line="196" w:lineRule="exact"/>
        <w:rPr>
          <w:sz w:val="20"/>
          <w:szCs w:val="20"/>
          <w:color w:val="auto"/>
        </w:rPr>
      </w:pPr>
    </w:p>
    <w:p>
      <w:pPr>
        <w:ind w:right="420"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pursuant to the terms and conditions of the Purchase Agreement, in consideration of the Buyer’s purchase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Shares from the Sellers, the Buyer may be obligated to issue shares of the Buyer’s Class B common stock, $0.01 par value per share, (“</w:t>
      </w:r>
      <w:r>
        <w:rPr>
          <w:rFonts w:ascii="Arial" w:cs="Arial" w:eastAsia="Arial" w:hAnsi="Arial"/>
          <w:sz w:val="20"/>
          <w:szCs w:val="20"/>
          <w:b w:val="1"/>
          <w:bCs w:val="1"/>
          <w:color w:val="auto"/>
        </w:rPr>
        <w:t>Buyer’s Shares</w:t>
      </w:r>
      <w:r>
        <w:rPr>
          <w:rFonts w:ascii="Arial" w:cs="Arial" w:eastAsia="Arial" w:hAnsi="Arial"/>
          <w:sz w:val="20"/>
          <w:szCs w:val="20"/>
          <w:color w:val="auto"/>
        </w:rPr>
        <w:t>”) to the Sellers;</w:t>
      </w:r>
    </w:p>
    <w:p>
      <w:pPr>
        <w:spacing w:after="0" w:line="204" w:lineRule="exact"/>
        <w:rPr>
          <w:sz w:val="20"/>
          <w:szCs w:val="20"/>
          <w:color w:val="auto"/>
        </w:rPr>
      </w:pPr>
    </w:p>
    <w:p>
      <w:pPr>
        <w:ind w:right="280"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Sellers and the Buyer desire to enter into this Agreement to set forth the terms of their mutual understanding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relating to certain rights and obligations of the parties relating to the Buyer’s Shares that may be issued to the Sellers pursuant to the terms and conditions of the Purchase Agreement; and</w:t>
      </w:r>
    </w:p>
    <w:p>
      <w:pPr>
        <w:spacing w:after="0" w:line="204" w:lineRule="exact"/>
        <w:rPr>
          <w:sz w:val="20"/>
          <w:szCs w:val="20"/>
          <w:color w:val="auto"/>
        </w:rPr>
      </w:pPr>
    </w:p>
    <w:p>
      <w:pPr>
        <w:ind w:right="420" w:firstLine="648"/>
        <w:spacing w:after="0" w:line="293"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foregoing, and the representations, warranties, covenants and conditions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below and in the Purchase Agreement, the parties hereto, intending to be legally bound, hereby agree as follows:</w:t>
      </w:r>
    </w:p>
    <w:p>
      <w:pPr>
        <w:spacing w:after="0" w:line="169" w:lineRule="exact"/>
        <w:rPr>
          <w:sz w:val="20"/>
          <w:szCs w:val="20"/>
          <w:color w:val="auto"/>
        </w:rPr>
      </w:pPr>
    </w:p>
    <w:p>
      <w:pPr>
        <w:ind w:left="980" w:right="120" w:hanging="324"/>
        <w:spacing w:after="0" w:line="267" w:lineRule="auto"/>
        <w:tabs>
          <w:tab w:leader="none" w:pos="1002"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Capitalized terms used but not otherwise defined in this Agreement shall have the meanings ascribed to such terms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Purchase Agreement.</w:t>
      </w:r>
    </w:p>
    <w:p>
      <w:pPr>
        <w:spacing w:after="0" w:line="190" w:lineRule="exact"/>
        <w:rPr>
          <w:sz w:val="20"/>
          <w:szCs w:val="20"/>
          <w:color w:val="auto"/>
        </w:rPr>
      </w:pPr>
    </w:p>
    <w:p>
      <w:pPr>
        <w:ind w:left="980" w:right="360"/>
        <w:spacing w:after="0" w:line="253" w:lineRule="auto"/>
        <w:rPr>
          <w:sz w:val="20"/>
          <w:szCs w:val="20"/>
          <w:color w:val="auto"/>
        </w:rPr>
      </w:pPr>
      <w:r>
        <w:rPr>
          <w:rFonts w:ascii="Arial" w:cs="Arial" w:eastAsia="Arial" w:hAnsi="Arial"/>
          <w:sz w:val="20"/>
          <w:szCs w:val="20"/>
          <w:b w:val="1"/>
          <w:bCs w:val="1"/>
          <w:color w:val="auto"/>
        </w:rPr>
        <w:t xml:space="preserve">Bad Leaver Forfeiture Shares </w:t>
      </w:r>
      <w:r>
        <w:rPr>
          <w:rFonts w:ascii="Arial" w:cs="Arial" w:eastAsia="Arial" w:hAnsi="Arial"/>
          <w:sz w:val="20"/>
          <w:szCs w:val="20"/>
          <w:color w:val="auto"/>
        </w:rPr>
        <w:t>means in respect of the Sellers specified below, the following Consideration Shares issued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Seller at Completion but less (and excluding) all Consideration Shares that are released from restrictions on transfer pursuant to clause 4:</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Consideration Shares </w:t>
      </w:r>
      <w:r>
        <w:rPr>
          <w:rFonts w:ascii="Arial" w:cs="Arial" w:eastAsia="Arial" w:hAnsi="Arial"/>
          <w:sz w:val="20"/>
          <w:szCs w:val="20"/>
          <w:color w:val="auto"/>
        </w:rPr>
        <w:t>means a number of Buyer's Shares equal to 3,141,361.</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Exchange Act </w:t>
      </w:r>
      <w:r>
        <w:rPr>
          <w:rFonts w:ascii="Arial" w:cs="Arial" w:eastAsia="Arial" w:hAnsi="Arial"/>
          <w:sz w:val="20"/>
          <w:szCs w:val="20"/>
          <w:color w:val="auto"/>
        </w:rPr>
        <w:t>means the Securities Exchange Act of 1934 (U.S.).</w:t>
      </w:r>
    </w:p>
    <w:p>
      <w:pPr>
        <w:sectPr>
          <w:pgSz w:w="11900" w:h="16838" w:orient="portrait"/>
          <w:cols w:equalWidth="0" w:num="1">
            <w:col w:w="11240"/>
          </w:cols>
          <w:pgMar w:left="320" w:top="1089" w:right="339" w:bottom="1440" w:gutter="0" w:footer="0" w:header="0"/>
        </w:sectPr>
      </w:pPr>
    </w:p>
    <w:bookmarkStart w:id="69" w:name="page70"/>
    <w:bookmarkEnd w:id="69"/>
    <w:p>
      <w:pPr>
        <w:ind w:left="390"/>
        <w:spacing w:after="0"/>
        <w:rPr>
          <w:sz w:val="20"/>
          <w:szCs w:val="20"/>
          <w:color w:val="auto"/>
        </w:rPr>
      </w:pPr>
      <w:r>
        <w:rPr>
          <w:rFonts w:ascii="Arial" w:cs="Arial" w:eastAsia="Arial" w:hAnsi="Arial"/>
          <w:sz w:val="20"/>
          <w:szCs w:val="20"/>
          <w:b w:val="1"/>
          <w:bCs w:val="1"/>
          <w:color w:val="auto"/>
        </w:rPr>
        <w:t xml:space="preserve">Lock-up Period </w:t>
      </w:r>
      <w:r>
        <w:rPr>
          <w:rFonts w:ascii="Arial" w:cs="Arial" w:eastAsia="Arial" w:hAnsi="Arial"/>
          <w:sz w:val="20"/>
          <w:szCs w:val="20"/>
          <w:color w:val="auto"/>
        </w:rPr>
        <w:t>means:</w:t>
      </w:r>
    </w:p>
    <w:p>
      <w:pPr>
        <w:spacing w:after="0" w:line="249" w:lineRule="exact"/>
        <w:rPr>
          <w:sz w:val="20"/>
          <w:szCs w:val="20"/>
          <w:color w:val="auto"/>
        </w:rPr>
      </w:pPr>
    </w:p>
    <w:p>
      <w:pPr>
        <w:ind w:left="410" w:hanging="410"/>
        <w:spacing w:after="0"/>
        <w:tabs>
          <w:tab w:leader="none" w:pos="41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respect of a Seller that is not a Management Seller:</w:t>
      </w:r>
    </w:p>
    <w:p>
      <w:pPr>
        <w:spacing w:after="0" w:line="236" w:lineRule="exact"/>
        <w:rPr>
          <w:rFonts w:ascii="Arial" w:cs="Arial" w:eastAsia="Arial" w:hAnsi="Arial"/>
          <w:sz w:val="20"/>
          <w:szCs w:val="20"/>
          <w:color w:val="auto"/>
        </w:rPr>
      </w:pPr>
    </w:p>
    <w:p>
      <w:pPr>
        <w:ind w:left="1850" w:right="680" w:hanging="797"/>
        <w:spacing w:after="0" w:line="267" w:lineRule="auto"/>
        <w:tabs>
          <w:tab w:leader="none" w:pos="1441"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period from the Completion Date to 1 October 2021 (“</w:t>
      </w:r>
      <w:r>
        <w:rPr>
          <w:rFonts w:ascii="Arial" w:cs="Arial" w:eastAsia="Arial" w:hAnsi="Arial"/>
          <w:sz w:val="20"/>
          <w:szCs w:val="20"/>
          <w:b w:val="1"/>
          <w:bCs w:val="1"/>
          <w:color w:val="auto"/>
        </w:rPr>
        <w:t>First Lock-up Date”</w:t>
      </w:r>
      <w:r>
        <w:rPr>
          <w:rFonts w:ascii="Arial" w:cs="Arial" w:eastAsia="Arial" w:hAnsi="Arial"/>
          <w:sz w:val="20"/>
          <w:szCs w:val="20"/>
          <w:color w:val="auto"/>
        </w:rPr>
        <w:t>) in respect of 100% of its Consideration Shares; and</w:t>
      </w:r>
    </w:p>
    <w:p>
      <w:pPr>
        <w:spacing w:after="0" w:line="190" w:lineRule="exact"/>
        <w:rPr>
          <w:rFonts w:ascii="Arial" w:cs="Arial" w:eastAsia="Arial" w:hAnsi="Arial"/>
          <w:sz w:val="20"/>
          <w:szCs w:val="20"/>
          <w:color w:val="auto"/>
        </w:rPr>
      </w:pPr>
    </w:p>
    <w:p>
      <w:pPr>
        <w:ind w:left="1850" w:right="400" w:hanging="797"/>
        <w:spacing w:after="0" w:line="267" w:lineRule="auto"/>
        <w:tabs>
          <w:tab w:leader="none" w:pos="1496"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period from the First Lock-up Date to 31 March 2022 (“</w:t>
      </w:r>
      <w:r>
        <w:rPr>
          <w:rFonts w:ascii="Arial" w:cs="Arial" w:eastAsia="Arial" w:hAnsi="Arial"/>
          <w:sz w:val="20"/>
          <w:szCs w:val="20"/>
          <w:b w:val="1"/>
          <w:bCs w:val="1"/>
          <w:color w:val="auto"/>
        </w:rPr>
        <w:t>Second Lock-up Date”</w:t>
      </w:r>
      <w:r>
        <w:rPr>
          <w:rFonts w:ascii="Arial" w:cs="Arial" w:eastAsia="Arial" w:hAnsi="Arial"/>
          <w:sz w:val="20"/>
          <w:szCs w:val="20"/>
          <w:color w:val="auto"/>
        </w:rPr>
        <w:t>) in respect of 50% of its Consideration Shares,</w:t>
      </w:r>
    </w:p>
    <w:p>
      <w:pPr>
        <w:spacing w:after="0" w:line="196" w:lineRule="exact"/>
        <w:rPr>
          <w:sz w:val="20"/>
          <w:szCs w:val="20"/>
          <w:color w:val="auto"/>
        </w:rPr>
      </w:pPr>
    </w:p>
    <w:p>
      <w:pPr>
        <w:ind w:left="1030" w:right="140"/>
        <w:spacing w:after="0" w:line="260" w:lineRule="auto"/>
        <w:rPr>
          <w:sz w:val="20"/>
          <w:szCs w:val="20"/>
          <w:color w:val="auto"/>
        </w:rPr>
      </w:pPr>
      <w:r>
        <w:rPr>
          <w:rFonts w:ascii="Arial" w:cs="Arial" w:eastAsia="Arial" w:hAnsi="Arial"/>
          <w:sz w:val="20"/>
          <w:szCs w:val="20"/>
          <w:color w:val="auto"/>
        </w:rPr>
        <w:t>and for the avoidance of doubt, the Lock-up Period for a Seller that is not a Management Seller expires on the Second Lock-up Date; and</w:t>
      </w:r>
    </w:p>
    <w:p>
      <w:pPr>
        <w:spacing w:after="0" w:line="204" w:lineRule="exact"/>
        <w:rPr>
          <w:sz w:val="20"/>
          <w:szCs w:val="20"/>
          <w:color w:val="auto"/>
        </w:rPr>
      </w:pPr>
    </w:p>
    <w:p>
      <w:pPr>
        <w:ind w:left="430" w:hanging="430"/>
        <w:spacing w:after="0"/>
        <w:tabs>
          <w:tab w:leader="none" w:pos="43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 respect of a Management Seller:</w:t>
      </w:r>
    </w:p>
    <w:p>
      <w:pPr>
        <w:spacing w:after="0" w:line="236" w:lineRule="exact"/>
        <w:rPr>
          <w:rFonts w:ascii="Arial" w:cs="Arial" w:eastAsia="Arial" w:hAnsi="Arial"/>
          <w:sz w:val="20"/>
          <w:szCs w:val="20"/>
          <w:color w:val="auto"/>
        </w:rPr>
      </w:pPr>
    </w:p>
    <w:p>
      <w:pPr>
        <w:ind w:left="1850" w:right="700" w:hanging="797"/>
        <w:spacing w:after="0" w:line="293" w:lineRule="auto"/>
        <w:tabs>
          <w:tab w:leader="none" w:pos="1441" w:val="left"/>
        </w:tabs>
        <w:numPr>
          <w:ilvl w:val="2"/>
          <w:numId w:val="34"/>
        </w:numPr>
        <w:rPr>
          <w:rFonts w:ascii="Arial" w:cs="Arial" w:eastAsia="Arial" w:hAnsi="Arial"/>
          <w:sz w:val="19"/>
          <w:szCs w:val="19"/>
          <w:color w:val="auto"/>
        </w:rPr>
      </w:pPr>
      <w:r>
        <w:rPr>
          <w:rFonts w:ascii="Arial" w:cs="Arial" w:eastAsia="Arial" w:hAnsi="Arial"/>
          <w:sz w:val="19"/>
          <w:szCs w:val="19"/>
          <w:color w:val="auto"/>
        </w:rPr>
        <w:t>the period from the Completion Date to the date that is six months following the Completion Date (“</w:t>
      </w:r>
      <w:r>
        <w:rPr>
          <w:rFonts w:ascii="Arial" w:cs="Arial" w:eastAsia="Arial" w:hAnsi="Arial"/>
          <w:sz w:val="19"/>
          <w:szCs w:val="19"/>
          <w:b w:val="1"/>
          <w:b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color w:val="auto"/>
        </w:rPr>
        <w:t>Management Lock-up Date”</w:t>
      </w:r>
      <w:r>
        <w:rPr>
          <w:rFonts w:ascii="Arial" w:cs="Arial" w:eastAsia="Arial" w:hAnsi="Arial"/>
          <w:sz w:val="19"/>
          <w:szCs w:val="19"/>
          <w:color w:val="auto"/>
        </w:rPr>
        <w:t>) in respect of 100% of its Consideration Shares;</w:t>
      </w:r>
    </w:p>
    <w:p>
      <w:pPr>
        <w:spacing w:after="0" w:line="174" w:lineRule="exact"/>
        <w:rPr>
          <w:rFonts w:ascii="Arial" w:cs="Arial" w:eastAsia="Arial" w:hAnsi="Arial"/>
          <w:sz w:val="19"/>
          <w:szCs w:val="19"/>
          <w:color w:val="auto"/>
        </w:rPr>
      </w:pPr>
    </w:p>
    <w:p>
      <w:pPr>
        <w:ind w:left="1850" w:right="20" w:hanging="878"/>
        <w:spacing w:after="0" w:line="316" w:lineRule="auto"/>
        <w:tabs>
          <w:tab w:leader="none" w:pos="1415"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period from the First Management Lock-up Date to the date that is six months following the First Management Lock-up Date (“</w:t>
      </w:r>
      <w:r>
        <w:rPr>
          <w:rFonts w:ascii="Arial" w:cs="Arial" w:eastAsia="Arial" w:hAnsi="Arial"/>
          <w:sz w:val="18"/>
          <w:szCs w:val="18"/>
          <w:b w:val="1"/>
          <w:bCs w:val="1"/>
          <w:color w:val="auto"/>
        </w:rPr>
        <w:t>Second Management Lock-up Date”</w:t>
      </w:r>
      <w:r>
        <w:rPr>
          <w:rFonts w:ascii="Arial" w:cs="Arial" w:eastAsia="Arial" w:hAnsi="Arial"/>
          <w:sz w:val="18"/>
          <w:szCs w:val="18"/>
          <w:color w:val="auto"/>
        </w:rPr>
        <w:t>) in respect of 75% of its Consideration Shares;</w:t>
      </w:r>
    </w:p>
    <w:p>
      <w:pPr>
        <w:spacing w:after="0" w:line="156" w:lineRule="exact"/>
        <w:rPr>
          <w:rFonts w:ascii="Arial" w:cs="Arial" w:eastAsia="Arial" w:hAnsi="Arial"/>
          <w:sz w:val="18"/>
          <w:szCs w:val="18"/>
          <w:color w:val="auto"/>
        </w:rPr>
      </w:pPr>
    </w:p>
    <w:p>
      <w:pPr>
        <w:ind w:left="1850" w:right="200" w:hanging="878"/>
        <w:spacing w:after="0" w:line="250" w:lineRule="auto"/>
        <w:tabs>
          <w:tab w:leader="none" w:pos="147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period from the Second Management Lock-up Date to the date that is six months following the Second Management Lock-up Date (“</w:t>
      </w:r>
      <w:r>
        <w:rPr>
          <w:rFonts w:ascii="Arial" w:cs="Arial" w:eastAsia="Arial" w:hAnsi="Arial"/>
          <w:sz w:val="20"/>
          <w:szCs w:val="20"/>
          <w:b w:val="1"/>
          <w:bCs w:val="1"/>
          <w:color w:val="auto"/>
        </w:rPr>
        <w:t>Third Management Lock-up Date”</w:t>
      </w:r>
      <w:r>
        <w:rPr>
          <w:rFonts w:ascii="Arial" w:cs="Arial" w:eastAsia="Arial" w:hAnsi="Arial"/>
          <w:sz w:val="20"/>
          <w:szCs w:val="20"/>
          <w:color w:val="auto"/>
        </w:rPr>
        <w:t>) in respect of 50% of its Consideration Shares; and</w:t>
      </w:r>
    </w:p>
    <w:p>
      <w:pPr>
        <w:spacing w:after="0" w:line="212" w:lineRule="exact"/>
        <w:rPr>
          <w:rFonts w:ascii="Arial" w:cs="Arial" w:eastAsia="Arial" w:hAnsi="Arial"/>
          <w:sz w:val="20"/>
          <w:szCs w:val="20"/>
          <w:color w:val="auto"/>
        </w:rPr>
      </w:pPr>
    </w:p>
    <w:p>
      <w:pPr>
        <w:ind w:left="1850" w:right="100" w:hanging="878"/>
        <w:spacing w:after="0" w:line="250" w:lineRule="auto"/>
        <w:tabs>
          <w:tab w:leader="none" w:pos="1459"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period from the Third Management Lock-up Date to the date that is six months following the Third Management Lock-up Date (“</w:t>
      </w:r>
      <w:r>
        <w:rPr>
          <w:rFonts w:ascii="Arial" w:cs="Arial" w:eastAsia="Arial" w:hAnsi="Arial"/>
          <w:sz w:val="20"/>
          <w:szCs w:val="20"/>
          <w:b w:val="1"/>
          <w:bCs w:val="1"/>
          <w:color w:val="auto"/>
        </w:rPr>
        <w:t>Fourth Management Lock-up Date”</w:t>
      </w:r>
      <w:r>
        <w:rPr>
          <w:rFonts w:ascii="Arial" w:cs="Arial" w:eastAsia="Arial" w:hAnsi="Arial"/>
          <w:sz w:val="20"/>
          <w:szCs w:val="20"/>
          <w:color w:val="auto"/>
        </w:rPr>
        <w:t>) in respect of 25% of its Consideration Shares,</w:t>
      </w:r>
    </w:p>
    <w:p>
      <w:pPr>
        <w:spacing w:after="0" w:line="213" w:lineRule="exact"/>
        <w:rPr>
          <w:sz w:val="20"/>
          <w:szCs w:val="20"/>
          <w:color w:val="auto"/>
        </w:rPr>
      </w:pPr>
    </w:p>
    <w:p>
      <w:pPr>
        <w:ind w:left="1030"/>
        <w:spacing w:after="0" w:line="275" w:lineRule="auto"/>
        <w:rPr>
          <w:sz w:val="20"/>
          <w:szCs w:val="20"/>
          <w:color w:val="auto"/>
        </w:rPr>
      </w:pPr>
      <w:r>
        <w:rPr>
          <w:rFonts w:ascii="Arial" w:cs="Arial" w:eastAsia="Arial" w:hAnsi="Arial"/>
          <w:sz w:val="18"/>
          <w:szCs w:val="18"/>
          <w:color w:val="auto"/>
        </w:rPr>
        <w:t>in identifying the specific Consideration Shares that will be subject to such Lock-Up Period set forth in clauses (i) through (iv) of item (b) above, the Management Seller’s Consideration Shares shall be calculated in pro rata portions of</w:t>
      </w:r>
    </w:p>
    <w:p>
      <w:pPr>
        <w:spacing w:after="0" w:line="1" w:lineRule="exact"/>
        <w:rPr>
          <w:sz w:val="20"/>
          <w:szCs w:val="20"/>
          <w:color w:val="auto"/>
        </w:rPr>
      </w:pPr>
    </w:p>
    <w:p>
      <w:pPr>
        <w:ind w:left="1030" w:right="220" w:firstLine="7"/>
        <w:spacing w:after="0" w:line="241" w:lineRule="auto"/>
        <w:tabs>
          <w:tab w:leader="none" w:pos="131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Consideration Shares that are not Bad Leaver Forfeiture Shares and (y) Consideration Shares that are Bad Leaver Forfeiture Shares (for the avoidance of doubt, in each case, without regard to any Bad Leaver Forfeiture Shares that cease to be Bad Leaver Forfeiture Shares after the date hereof).</w:t>
      </w:r>
    </w:p>
    <w:p>
      <w:pPr>
        <w:spacing w:after="0" w:line="223" w:lineRule="exact"/>
        <w:rPr>
          <w:sz w:val="20"/>
          <w:szCs w:val="20"/>
          <w:color w:val="auto"/>
        </w:rPr>
      </w:pPr>
    </w:p>
    <w:p>
      <w:pPr>
        <w:ind w:left="1030" w:right="160"/>
        <w:spacing w:after="0" w:line="260" w:lineRule="auto"/>
        <w:rPr>
          <w:sz w:val="20"/>
          <w:szCs w:val="20"/>
          <w:color w:val="auto"/>
        </w:rPr>
      </w:pPr>
      <w:r>
        <w:rPr>
          <w:rFonts w:ascii="Arial" w:cs="Arial" w:eastAsia="Arial" w:hAnsi="Arial"/>
          <w:sz w:val="20"/>
          <w:szCs w:val="20"/>
          <w:color w:val="auto"/>
        </w:rPr>
        <w:t>For the avoidance of doubt, the Lock-up Period for a Management Seller expires on the Fourth Management Lock-up Date.</w:t>
      </w:r>
    </w:p>
    <w:p>
      <w:pPr>
        <w:spacing w:after="0" w:line="198" w:lineRule="exact"/>
        <w:rPr>
          <w:sz w:val="20"/>
          <w:szCs w:val="20"/>
          <w:color w:val="auto"/>
        </w:rPr>
      </w:pPr>
    </w:p>
    <w:p>
      <w:pPr>
        <w:ind w:left="1030" w:right="300"/>
        <w:spacing w:after="0" w:line="267" w:lineRule="auto"/>
        <w:rPr>
          <w:sz w:val="20"/>
          <w:szCs w:val="20"/>
          <w:color w:val="auto"/>
        </w:rPr>
      </w:pPr>
      <w:r>
        <w:rPr>
          <w:rFonts w:ascii="Arial" w:cs="Arial" w:eastAsia="Arial" w:hAnsi="Arial"/>
          <w:sz w:val="20"/>
          <w:szCs w:val="20"/>
          <w:b w:val="1"/>
          <w:bCs w:val="1"/>
          <w:color w:val="auto"/>
        </w:rPr>
        <w:t xml:space="preserve">Management Sellers </w:t>
      </w:r>
      <w:r>
        <w:rPr>
          <w:rFonts w:ascii="Arial" w:cs="Arial" w:eastAsia="Arial" w:hAnsi="Arial"/>
          <w:sz w:val="20"/>
          <w:szCs w:val="20"/>
          <w:color w:val="auto"/>
        </w:rPr>
        <w:t>means Nick Fogarty, John Good, Graham Grant, Colin Hay, Philip Keith, James Lawton, Iain</w:t>
      </w:r>
      <w:r>
        <w:rPr>
          <w:rFonts w:ascii="Arial" w:cs="Arial" w:eastAsia="Arial" w:hAnsi="Arial"/>
          <w:sz w:val="20"/>
          <w:szCs w:val="20"/>
          <w:b w:val="1"/>
          <w:bCs w:val="1"/>
          <w:color w:val="auto"/>
        </w:rPr>
        <w:t xml:space="preserve"> </w:t>
      </w:r>
      <w:r>
        <w:rPr>
          <w:rFonts w:ascii="Arial" w:cs="Arial" w:eastAsia="Arial" w:hAnsi="Arial"/>
          <w:sz w:val="20"/>
          <w:szCs w:val="20"/>
          <w:color w:val="auto"/>
        </w:rPr>
        <w:t>McLean, Lisa Wall, Daniel Wallace and Emma Warwick.</w:t>
      </w:r>
    </w:p>
    <w:p>
      <w:pPr>
        <w:spacing w:after="0" w:line="190" w:lineRule="exact"/>
        <w:rPr>
          <w:sz w:val="20"/>
          <w:szCs w:val="20"/>
          <w:color w:val="auto"/>
        </w:rPr>
      </w:pPr>
    </w:p>
    <w:p>
      <w:pPr>
        <w:ind w:left="1030"/>
        <w:spacing w:after="0"/>
        <w:rPr>
          <w:sz w:val="20"/>
          <w:szCs w:val="20"/>
          <w:color w:val="auto"/>
        </w:rPr>
      </w:pPr>
      <w:r>
        <w:rPr>
          <w:rFonts w:ascii="Arial" w:cs="Arial" w:eastAsia="Arial" w:hAnsi="Arial"/>
          <w:sz w:val="20"/>
          <w:szCs w:val="20"/>
          <w:b w:val="1"/>
          <w:bCs w:val="1"/>
          <w:color w:val="auto"/>
        </w:rPr>
        <w:t xml:space="preserve">SEC </w:t>
      </w:r>
      <w:r>
        <w:rPr>
          <w:rFonts w:ascii="Arial" w:cs="Arial" w:eastAsia="Arial" w:hAnsi="Arial"/>
          <w:sz w:val="20"/>
          <w:szCs w:val="20"/>
          <w:color w:val="auto"/>
        </w:rPr>
        <w:t>means the U.S. Securities and Exchange Commission.</w:t>
      </w:r>
    </w:p>
    <w:p>
      <w:pPr>
        <w:spacing w:after="0" w:line="243" w:lineRule="exact"/>
        <w:rPr>
          <w:sz w:val="20"/>
          <w:szCs w:val="20"/>
          <w:color w:val="auto"/>
        </w:rPr>
      </w:pPr>
    </w:p>
    <w:p>
      <w:pPr>
        <w:ind w:left="1030"/>
        <w:spacing w:after="0"/>
        <w:rPr>
          <w:sz w:val="20"/>
          <w:szCs w:val="20"/>
          <w:color w:val="auto"/>
        </w:rPr>
      </w:pPr>
      <w:r>
        <w:rPr>
          <w:rFonts w:ascii="Arial" w:cs="Arial" w:eastAsia="Arial" w:hAnsi="Arial"/>
          <w:sz w:val="20"/>
          <w:szCs w:val="20"/>
          <w:b w:val="1"/>
          <w:bCs w:val="1"/>
          <w:color w:val="auto"/>
        </w:rPr>
        <w:t xml:space="preserve">Securities Act </w:t>
      </w:r>
      <w:r>
        <w:rPr>
          <w:rFonts w:ascii="Arial" w:cs="Arial" w:eastAsia="Arial" w:hAnsi="Arial"/>
          <w:sz w:val="20"/>
          <w:szCs w:val="20"/>
          <w:color w:val="auto"/>
        </w:rPr>
        <w:t>means the Securities Act of 1933 (U.S.),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10"/>
          </w:cols>
          <w:pgMar w:left="910" w:top="1089" w:right="479" w:bottom="1440" w:gutter="0" w:footer="0" w:header="0"/>
        </w:sectPr>
      </w:pPr>
    </w:p>
    <w:bookmarkStart w:id="70" w:name="page71"/>
    <w:bookmarkEnd w:id="70"/>
    <w:p>
      <w:pPr>
        <w:ind w:left="344" w:hanging="344"/>
        <w:spacing w:after="0"/>
        <w:tabs>
          <w:tab w:leader="none" w:pos="344"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Registration Statement and Facilitation of Resales</w:t>
      </w:r>
      <w:r>
        <w:rPr>
          <w:rFonts w:ascii="Arial" w:cs="Arial" w:eastAsia="Arial" w:hAnsi="Arial"/>
          <w:sz w:val="20"/>
          <w:szCs w:val="20"/>
          <w:color w:val="auto"/>
        </w:rPr>
        <w:t>.</w:t>
      </w:r>
    </w:p>
    <w:p>
      <w:pPr>
        <w:spacing w:after="0" w:line="248" w:lineRule="exact"/>
        <w:rPr>
          <w:rFonts w:ascii="Arial" w:cs="Arial" w:eastAsia="Arial" w:hAnsi="Arial"/>
          <w:sz w:val="20"/>
          <w:szCs w:val="20"/>
          <w:color w:val="auto"/>
        </w:rPr>
      </w:pPr>
    </w:p>
    <w:p>
      <w:pPr>
        <w:ind w:left="964" w:right="40" w:hanging="301"/>
        <w:spacing w:after="0" w:line="270" w:lineRule="auto"/>
        <w:tabs>
          <w:tab w:leader="none" w:pos="9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On or as soon as reasonably practicable following October 1, 2021, Buyer shall file a resale registration statement on Form S-3 (which shall be an automatic shelf registration if Buyer may file on such basis) registering the resale of any Consideration Shares held by Sellers on a delayed or continuous basis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As soon as reasonably practicable following such filing, Buyer shall use commercially reasonable efforts to cause the Registration Statement to become and remain effective until the Registration Termination Date (as defined below). The Registration Statement shall be in the form and contain the substance determined by Buyer; provided that the Buyer shall provide the Sellers with a draft of such Registration Statement and any amendment thereto not less than five business days prior to the filing thereof, shall consider in good faith any comments provided thereto by the Sellers, and shall include in such Registration Statement a “Plan of Distribution” section as provided by the Sellers. All expenses incidental to the Buyer’s performance of or compliance with its obligations pursuant to this clause 2.a or otherwise in connection with the Registration Statement (including all registration and filing fees and all fees and expenses payable to any third parties or any persons retained by the Buyer) shall be borne by the Buyer.</w:t>
      </w:r>
    </w:p>
    <w:p>
      <w:pPr>
        <w:spacing w:after="0" w:line="202" w:lineRule="exact"/>
        <w:rPr>
          <w:rFonts w:ascii="Arial" w:cs="Arial" w:eastAsia="Arial" w:hAnsi="Arial"/>
          <w:sz w:val="18"/>
          <w:szCs w:val="18"/>
          <w:color w:val="auto"/>
        </w:rPr>
      </w:pPr>
    </w:p>
    <w:p>
      <w:pPr>
        <w:ind w:left="964" w:hanging="301"/>
        <w:spacing w:after="0" w:line="256" w:lineRule="auto"/>
        <w:tabs>
          <w:tab w:leader="none" w:pos="999" w:val="left"/>
        </w:tabs>
        <w:numPr>
          <w:ilvl w:val="1"/>
          <w:numId w:val="36"/>
        </w:numPr>
        <w:rPr>
          <w:rFonts w:ascii="Arial" w:cs="Arial" w:eastAsia="Arial" w:hAnsi="Arial"/>
          <w:sz w:val="19"/>
          <w:szCs w:val="19"/>
          <w:color w:val="auto"/>
        </w:rPr>
      </w:pPr>
      <w:r>
        <w:rPr>
          <w:rFonts w:ascii="Arial" w:cs="Arial" w:eastAsia="Arial" w:hAnsi="Arial"/>
          <w:sz w:val="19"/>
          <w:szCs w:val="19"/>
          <w:color w:val="auto"/>
        </w:rPr>
        <w:t>With a view to making available to the Sellers the benefits of Rule 144 and any other rule or regulation of the SEC that may at any time permit a Seller to sell securities of the Buyer to the public without registration, the Buyer shall (a) make and keep public information available, as those terms are understood and defined in Rule 144; (b) use reasonable best efforts to file with the SEC in a timely manner all reports and other documents required of the Buyer under the Securities Act and the Exchange Act; (c) furnish to any Seller, promptly upon request, a written statement by the Buyer as to its compliance with the reporting requirements of Rule 144 and of the Securities Act and the Exchange Act; and (d) take any such further action as the Sellers may reasonably request (including removing restrictive legends applicable to the Consideration Shares) to the extent required from time to time to enable the Sellers to sell Consideration Shares pursuant to Rule 144.</w:t>
      </w:r>
    </w:p>
    <w:p>
      <w:pPr>
        <w:spacing w:after="0" w:line="211" w:lineRule="exact"/>
        <w:rPr>
          <w:rFonts w:ascii="Arial" w:cs="Arial" w:eastAsia="Arial" w:hAnsi="Arial"/>
          <w:sz w:val="19"/>
          <w:szCs w:val="19"/>
          <w:color w:val="auto"/>
        </w:rPr>
      </w:pPr>
    </w:p>
    <w:p>
      <w:pPr>
        <w:ind w:left="964" w:right="340" w:hanging="301"/>
        <w:spacing w:after="0" w:line="246" w:lineRule="auto"/>
        <w:tabs>
          <w:tab w:leader="none" w:pos="991" w:val="left"/>
        </w:tabs>
        <w:numPr>
          <w:ilvl w:val="1"/>
          <w:numId w:val="36"/>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Buyer shall have the right but not the obligation to defer the filing of (but not the preparation of) or seeking of effectiveness of, or suspend the use by the Sellers of (including requiring the Sellers to suspend any registered offerings or sales of any Consideration Shares pursuant to), the Registration Statement for a period of up to 60 days:</w:t>
      </w:r>
    </w:p>
    <w:p>
      <w:pPr>
        <w:spacing w:after="0" w:line="218" w:lineRule="exact"/>
        <w:rPr>
          <w:rFonts w:ascii="Arial" w:cs="Arial" w:eastAsia="Arial" w:hAnsi="Arial"/>
          <w:sz w:val="20"/>
          <w:szCs w:val="20"/>
          <w:color w:val="auto"/>
        </w:rPr>
      </w:pPr>
    </w:p>
    <w:p>
      <w:pPr>
        <w:ind w:left="1544" w:right="60" w:hanging="233"/>
        <w:spacing w:after="0" w:line="276" w:lineRule="auto"/>
        <w:tabs>
          <w:tab w:leader="none" w:pos="1619" w:val="left"/>
        </w:tabs>
        <w:numPr>
          <w:ilvl w:val="2"/>
          <w:numId w:val="36"/>
        </w:numPr>
        <w:rPr>
          <w:rFonts w:ascii="Arial" w:cs="Arial" w:eastAsia="Arial" w:hAnsi="Arial"/>
          <w:sz w:val="18"/>
          <w:szCs w:val="18"/>
          <w:color w:val="auto"/>
        </w:rPr>
      </w:pPr>
      <w:r>
        <w:rPr>
          <w:rFonts w:ascii="Arial" w:cs="Arial" w:eastAsia="Arial" w:hAnsi="Arial"/>
          <w:sz w:val="18"/>
          <w:szCs w:val="18"/>
          <w:color w:val="auto"/>
        </w:rPr>
        <w:t>if an event occurs as a result of which the Registration Statement and any related prospectus as then supplemented would, as reasonably determined by the Buyer based on consultation with its counsel,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any related prospectus to comply with the Securities Act or the Exchange Act or the respective rules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64"/>
          </w:cols>
          <w:pgMar w:left="976" w:top="1089" w:right="359" w:bottom="1440" w:gutter="0" w:footer="0" w:header="0"/>
        </w:sectPr>
      </w:pPr>
    </w:p>
    <w:bookmarkStart w:id="71" w:name="page72"/>
    <w:bookmarkEnd w:id="71"/>
    <w:p>
      <w:pPr>
        <w:ind w:left="1544" w:right="80" w:hanging="314"/>
        <w:spacing w:after="0" w:line="243" w:lineRule="auto"/>
        <w:tabs>
          <w:tab w:leader="none" w:pos="1593" w:val="left"/>
        </w:tabs>
        <w:numPr>
          <w:ilvl w:val="1"/>
          <w:numId w:val="37"/>
        </w:numPr>
        <w:rPr>
          <w:rFonts w:ascii="Arial" w:cs="Arial" w:eastAsia="Arial" w:hAnsi="Arial"/>
          <w:sz w:val="20"/>
          <w:szCs w:val="20"/>
          <w:color w:val="auto"/>
        </w:rPr>
      </w:pPr>
      <w:r>
        <w:rPr>
          <w:rFonts w:ascii="Arial" w:cs="Arial" w:eastAsia="Arial" w:hAnsi="Arial"/>
          <w:sz w:val="20"/>
          <w:szCs w:val="20"/>
          <w:color w:val="auto"/>
        </w:rPr>
        <w:t>if the Buyer reasonably determines that any such registration or offering (A) should not be undertaken because it would reasonably be expected to materially interfere with any material corporate development or plan of the Buyer or (B) after consultation with counsel would require the Buyer, under applicable securities Laws and other Laws, to make disclosure of material nonpublic information that would not otherwise be required to be disclosed at that time and the Buyer believes in good faith that such disclosures at that time would not be in the Buyer’s best interests; or</w:t>
      </w:r>
    </w:p>
    <w:p>
      <w:pPr>
        <w:spacing w:after="0" w:line="222" w:lineRule="exact"/>
        <w:rPr>
          <w:rFonts w:ascii="Arial" w:cs="Arial" w:eastAsia="Arial" w:hAnsi="Arial"/>
          <w:sz w:val="20"/>
          <w:szCs w:val="20"/>
          <w:color w:val="auto"/>
        </w:rPr>
      </w:pPr>
    </w:p>
    <w:p>
      <w:pPr>
        <w:ind w:left="1544" w:right="40" w:hanging="395"/>
        <w:spacing w:after="0" w:line="250" w:lineRule="auto"/>
        <w:tabs>
          <w:tab w:leader="none" w:pos="1567" w:val="left"/>
        </w:tabs>
        <w:numPr>
          <w:ilvl w:val="0"/>
          <w:numId w:val="38"/>
        </w:numPr>
        <w:rPr>
          <w:rFonts w:ascii="Arial" w:cs="Arial" w:eastAsia="Arial" w:hAnsi="Arial"/>
          <w:sz w:val="20"/>
          <w:szCs w:val="20"/>
          <w:color w:val="auto"/>
        </w:rPr>
      </w:pPr>
      <w:r>
        <w:rPr>
          <w:rFonts w:ascii="Arial" w:cs="Arial" w:eastAsia="Arial" w:hAnsi="Arial"/>
          <w:sz w:val="20"/>
          <w:szCs w:val="20"/>
          <w:color w:val="auto"/>
        </w:rPr>
        <w:t>upon issuance by the SEC of a stop order suspending the effectiveness of any Registration Statement with respect to Consideration Shares or the initiation of legal proceedings with respect to such Registration Statement under Section 8(d) or 8(e) of the Securities Act;</w:t>
      </w:r>
    </w:p>
    <w:p>
      <w:pPr>
        <w:spacing w:after="0" w:line="207" w:lineRule="exact"/>
        <w:rPr>
          <w:sz w:val="20"/>
          <w:szCs w:val="20"/>
          <w:color w:val="auto"/>
        </w:rPr>
      </w:pPr>
    </w:p>
    <w:p>
      <w:pPr>
        <w:ind w:left="484"/>
        <w:spacing w:after="0"/>
        <w:rPr>
          <w:sz w:val="20"/>
          <w:szCs w:val="20"/>
          <w:color w:val="auto"/>
        </w:rPr>
      </w:pPr>
      <w:r>
        <w:rPr>
          <w:rFonts w:ascii="Arial" w:cs="Arial" w:eastAsia="Arial" w:hAnsi="Arial"/>
          <w:sz w:val="20"/>
          <w:szCs w:val="20"/>
          <w:color w:val="auto"/>
        </w:rPr>
        <w:t>any such period contemplated by clauses (i) to (iii) of this clause 2.c, a “</w:t>
      </w:r>
      <w:r>
        <w:rPr>
          <w:rFonts w:ascii="Arial" w:cs="Arial" w:eastAsia="Arial" w:hAnsi="Arial"/>
          <w:sz w:val="20"/>
          <w:szCs w:val="20"/>
          <w:b w:val="1"/>
          <w:bCs w:val="1"/>
          <w:color w:val="auto"/>
        </w:rPr>
        <w:t>Suspension Period</w:t>
      </w:r>
      <w:r>
        <w:rPr>
          <w:rFonts w:ascii="Arial" w:cs="Arial" w:eastAsia="Arial" w:hAnsi="Arial"/>
          <w:sz w:val="20"/>
          <w:szCs w:val="20"/>
          <w:color w:val="auto"/>
        </w:rPr>
        <w:t>”.</w:t>
      </w:r>
    </w:p>
    <w:p>
      <w:pPr>
        <w:spacing w:after="0" w:line="249" w:lineRule="exact"/>
        <w:rPr>
          <w:sz w:val="20"/>
          <w:szCs w:val="20"/>
          <w:color w:val="auto"/>
        </w:rPr>
      </w:pPr>
    </w:p>
    <w:p>
      <w:pPr>
        <w:ind w:left="964" w:hanging="301"/>
        <w:spacing w:after="0" w:line="243" w:lineRule="auto"/>
        <w:tabs>
          <w:tab w:leader="none" w:pos="1002" w:val="left"/>
        </w:tabs>
        <w:numPr>
          <w:ilvl w:val="1"/>
          <w:numId w:val="39"/>
        </w:numPr>
        <w:rPr>
          <w:rFonts w:ascii="Arial" w:cs="Arial" w:eastAsia="Arial" w:hAnsi="Arial"/>
          <w:sz w:val="20"/>
          <w:szCs w:val="20"/>
          <w:color w:val="auto"/>
        </w:rPr>
      </w:pPr>
      <w:r>
        <w:rPr>
          <w:rFonts w:ascii="Arial" w:cs="Arial" w:eastAsia="Arial" w:hAnsi="Arial"/>
          <w:sz w:val="20"/>
          <w:szCs w:val="20"/>
          <w:color w:val="auto"/>
        </w:rPr>
        <w:t>In no event shall the Buyer declare a Suspension Period more than two times in any 12-month period or for more than an aggregate of 90 days in any 12-month period. The Buyer shall give immediate written notice to the Sellers of its declaration of a Suspension Period, state that such Suspension Period will continue only for so long as the event causing the Suspension Period is continuing, and certify that the requisite determinations have been made. The Buyer must also give prompt written notice to the Sellers of the expiration of the relevant Suspension Period. The Sellers shall keep the information contained in such notice confidential subject to the same terms set forth in clause 13.4 of the Purchase Agreement.</w:t>
      </w:r>
    </w:p>
    <w:p>
      <w:pPr>
        <w:spacing w:after="0" w:line="213" w:lineRule="exact"/>
        <w:rPr>
          <w:rFonts w:ascii="Arial" w:cs="Arial" w:eastAsia="Arial" w:hAnsi="Arial"/>
          <w:sz w:val="20"/>
          <w:szCs w:val="20"/>
          <w:color w:val="auto"/>
        </w:rPr>
      </w:pPr>
    </w:p>
    <w:p>
      <w:pPr>
        <w:ind w:left="964" w:right="140" w:hanging="301"/>
        <w:spacing w:after="0" w:line="248" w:lineRule="auto"/>
        <w:tabs>
          <w:tab w:leader="none" w:pos="991" w:val="left"/>
        </w:tabs>
        <w:numPr>
          <w:ilvl w:val="1"/>
          <w:numId w:val="39"/>
        </w:numPr>
        <w:rPr>
          <w:rFonts w:ascii="Arial" w:cs="Arial" w:eastAsia="Arial" w:hAnsi="Arial"/>
          <w:sz w:val="20"/>
          <w:szCs w:val="20"/>
          <w:color w:val="auto"/>
        </w:rPr>
      </w:pPr>
      <w:r>
        <w:rPr>
          <w:rFonts w:ascii="Arial" w:cs="Arial" w:eastAsia="Arial" w:hAnsi="Arial"/>
          <w:sz w:val="20"/>
          <w:szCs w:val="20"/>
          <w:b w:val="1"/>
          <w:bCs w:val="1"/>
          <w:color w:val="auto"/>
        </w:rPr>
        <w:t xml:space="preserve">Registration Termination Date </w:t>
      </w:r>
      <w:r>
        <w:rPr>
          <w:rFonts w:ascii="Arial" w:cs="Arial" w:eastAsia="Arial" w:hAnsi="Arial"/>
          <w:sz w:val="20"/>
          <w:szCs w:val="20"/>
          <w:color w:val="auto"/>
        </w:rPr>
        <w:t>shall mean the earliest of (i) the date on which Sellers no longer hold any</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Shares, (ii) the date on which the Consideration Shares may be sold or transferred without any restriction or limitation pursuant to Rule 144 or otherwise under the Securities Act, or (iii) the date on which the Consideration Shares shall have ceased to be outstanding.</w:t>
      </w:r>
    </w:p>
    <w:p>
      <w:pPr>
        <w:spacing w:after="0" w:line="210" w:lineRule="exact"/>
        <w:rPr>
          <w:rFonts w:ascii="Arial" w:cs="Arial" w:eastAsia="Arial" w:hAnsi="Arial"/>
          <w:sz w:val="20"/>
          <w:szCs w:val="20"/>
          <w:color w:val="auto"/>
        </w:rPr>
      </w:pPr>
    </w:p>
    <w:p>
      <w:pPr>
        <w:ind w:left="344" w:hanging="344"/>
        <w:spacing w:after="0"/>
        <w:tabs>
          <w:tab w:leader="none" w:pos="344"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Transfer Restrictions on Consideration Shares.</w:t>
      </w:r>
    </w:p>
    <w:p>
      <w:pPr>
        <w:spacing w:after="0" w:line="248" w:lineRule="exact"/>
        <w:rPr>
          <w:rFonts w:ascii="Arial" w:cs="Arial" w:eastAsia="Arial" w:hAnsi="Arial"/>
          <w:sz w:val="20"/>
          <w:szCs w:val="20"/>
          <w:b w:val="1"/>
          <w:bCs w:val="1"/>
          <w:color w:val="auto"/>
        </w:rPr>
      </w:pPr>
    </w:p>
    <w:p>
      <w:pPr>
        <w:ind w:left="324" w:right="2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During the Lock-up Period, without Buyer’s prior written consent, the Sellers shall not (and shall cause their controlled Affiliates not to), directly or indirectly, offer, sell (including any short sale), transfer, assign, gift, lend, hypothecate, pledge, encumber, grant a security interest in, establish an open “put equivalent position” within the meaning of Rule 16a-1(h) under the Exchange Act, grant any option, right or warrant for the sale of, purchase any option or contract to sell, sell any option or contract to purchase, or otherwise dispose of, or grant any rights with respect to, or consent (whether or not in writing) to any of the foregoing (</w:t>
      </w:r>
      <w:r>
        <w:rPr>
          <w:rFonts w:ascii="Arial" w:cs="Arial" w:eastAsia="Arial" w:hAnsi="Arial"/>
          <w:sz w:val="18"/>
          <w:szCs w:val="18"/>
          <w:b w:val="1"/>
          <w:bCs w:val="1"/>
          <w:color w:val="auto"/>
        </w:rPr>
        <w:t>“Transfer”</w:t>
      </w:r>
      <w:r>
        <w:rPr>
          <w:rFonts w:ascii="Arial" w:cs="Arial" w:eastAsia="Arial" w:hAnsi="Arial"/>
          <w:sz w:val="18"/>
          <w:szCs w:val="18"/>
          <w:color w:val="auto"/>
        </w:rPr>
        <w:t>), or cause to be Transferred, any Consideration Shares or any right, title or interest therein, enter into any contract, option or other arrangement or undertaking with respect to the Transfer of any Consideration Shares, or enter into any transaction which would have the same effect, or enter into any swap, hedge or other arrangement that transfers, in whole or in part, any of the economic consequences of ownership of the Consideration Shares or any voting rights decoupled from the underlying Consideration Shares, in each case, whether settled by delivery of such Consideration Shares, in cash or otherwise, take any other action that would materially restrict, limit or interfere with the performance of the Sellers’ obligations under this clause 3, or publicly disclose the intention to do any of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4"/>
          </w:cols>
          <w:pgMar w:left="976" w:top="1095" w:right="339" w:bottom="1440" w:gutter="0" w:footer="0" w:header="0"/>
        </w:sectPr>
      </w:pPr>
    </w:p>
    <w:bookmarkStart w:id="72" w:name="page73"/>
    <w:bookmarkEnd w:id="72"/>
    <w:p>
      <w:pPr>
        <w:spacing w:after="0" w:line="260" w:lineRule="auto"/>
        <w:rPr>
          <w:sz w:val="20"/>
          <w:szCs w:val="20"/>
          <w:color w:val="auto"/>
        </w:rPr>
      </w:pPr>
      <w:r>
        <w:rPr>
          <w:rFonts w:ascii="Arial" w:cs="Arial" w:eastAsia="Arial" w:hAnsi="Arial"/>
          <w:sz w:val="20"/>
          <w:szCs w:val="20"/>
          <w:color w:val="auto"/>
        </w:rPr>
        <w:t>foregoing; provided, however, that the Sellers may, without the Buyer's prior written consent, Transfer such Consideration Shares at any time:</w:t>
      </w:r>
    </w:p>
    <w:p>
      <w:pPr>
        <w:spacing w:after="0" w:line="204" w:lineRule="exact"/>
        <w:rPr>
          <w:sz w:val="20"/>
          <w:szCs w:val="20"/>
          <w:color w:val="auto"/>
        </w:rPr>
      </w:pPr>
    </w:p>
    <w:p>
      <w:pPr>
        <w:ind w:left="640" w:right="60" w:hanging="301"/>
        <w:spacing w:after="0" w:line="260" w:lineRule="auto"/>
        <w:tabs>
          <w:tab w:leader="none" w:pos="667"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 the extent that such Consideration Shares have been released from the transfer restrictions in this Agreement pursuant to clause 4;</w:t>
      </w:r>
    </w:p>
    <w:p>
      <w:pPr>
        <w:spacing w:after="0" w:line="203" w:lineRule="exact"/>
        <w:rPr>
          <w:rFonts w:ascii="Arial" w:cs="Arial" w:eastAsia="Arial" w:hAnsi="Arial"/>
          <w:sz w:val="20"/>
          <w:szCs w:val="20"/>
          <w:color w:val="auto"/>
        </w:rPr>
      </w:pPr>
    </w:p>
    <w:p>
      <w:pPr>
        <w:ind w:left="640" w:right="180" w:hanging="301"/>
        <w:spacing w:after="0" w:line="246" w:lineRule="auto"/>
        <w:tabs>
          <w:tab w:leader="none" w:pos="67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 participate in any self-tender offer, share repurchase program or other repurchases of outstanding shares of Buyer’s class B common stock (each, a “</w:t>
      </w:r>
      <w:r>
        <w:rPr>
          <w:rFonts w:ascii="Arial" w:cs="Arial" w:eastAsia="Arial" w:hAnsi="Arial"/>
          <w:sz w:val="20"/>
          <w:szCs w:val="20"/>
          <w:b w:val="1"/>
          <w:bCs w:val="1"/>
          <w:color w:val="auto"/>
        </w:rPr>
        <w:t>Repurchase Event”</w:t>
      </w:r>
      <w:r>
        <w:rPr>
          <w:rFonts w:ascii="Arial" w:cs="Arial" w:eastAsia="Arial" w:hAnsi="Arial"/>
          <w:sz w:val="20"/>
          <w:szCs w:val="20"/>
          <w:color w:val="auto"/>
        </w:rPr>
        <w:t>), and for the avoidance of doubt, the Sellers shall have the right (but not the obligation) to participate in any such Repurchase Event, as applicable, on the same terms and conditions as other stockholders of the Buyer;</w:t>
      </w:r>
    </w:p>
    <w:p>
      <w:pPr>
        <w:spacing w:after="0" w:line="218" w:lineRule="exact"/>
        <w:rPr>
          <w:rFonts w:ascii="Arial" w:cs="Arial" w:eastAsia="Arial" w:hAnsi="Arial"/>
          <w:sz w:val="20"/>
          <w:szCs w:val="20"/>
          <w:color w:val="auto"/>
        </w:rPr>
      </w:pPr>
    </w:p>
    <w:p>
      <w:pPr>
        <w:ind w:left="640" w:right="60" w:hanging="301"/>
        <w:spacing w:after="0" w:line="250" w:lineRule="auto"/>
        <w:tabs>
          <w:tab w:leader="none" w:pos="667"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 any controlled Affiliate of the Seller, if such controlled Affiliate agrees pursuant to a written instrument in form and substance reasonably acceptable to the Buyer to be bound by the transfer restrictions of the Sellers under this Agreement as in effect immediately prior to such Transfer;</w:t>
      </w:r>
    </w:p>
    <w:p>
      <w:pPr>
        <w:spacing w:after="0" w:line="212" w:lineRule="exact"/>
        <w:rPr>
          <w:rFonts w:ascii="Arial" w:cs="Arial" w:eastAsia="Arial" w:hAnsi="Arial"/>
          <w:sz w:val="20"/>
          <w:szCs w:val="20"/>
          <w:color w:val="auto"/>
        </w:rPr>
      </w:pPr>
    </w:p>
    <w:p>
      <w:pPr>
        <w:ind w:left="680" w:hanging="341"/>
        <w:spacing w:after="0"/>
        <w:tabs>
          <w:tab w:leader="none" w:pos="6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pursuant to an Approved Tender Offer or a Subsequent Offering (each as hereinafter defined); or</w:t>
      </w:r>
    </w:p>
    <w:p>
      <w:pPr>
        <w:spacing w:after="0" w:line="242" w:lineRule="exact"/>
        <w:rPr>
          <w:rFonts w:ascii="Arial" w:cs="Arial" w:eastAsia="Arial" w:hAnsi="Arial"/>
          <w:sz w:val="20"/>
          <w:szCs w:val="20"/>
          <w:color w:val="auto"/>
        </w:rPr>
      </w:pPr>
    </w:p>
    <w:p>
      <w:pPr>
        <w:ind w:left="680" w:hanging="341"/>
        <w:spacing w:after="0"/>
        <w:tabs>
          <w:tab w:leader="none" w:pos="6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following a change of control of the Buyer;</w:t>
      </w:r>
    </w:p>
    <w:p>
      <w:pPr>
        <w:spacing w:after="0" w:line="242" w:lineRule="exact"/>
        <w:rPr>
          <w:rFonts w:ascii="Arial" w:cs="Arial" w:eastAsia="Arial" w:hAnsi="Arial"/>
          <w:sz w:val="20"/>
          <w:szCs w:val="20"/>
          <w:color w:val="auto"/>
        </w:rPr>
      </w:pPr>
    </w:p>
    <w:p>
      <w:pPr>
        <w:ind w:left="660" w:hanging="321"/>
        <w:spacing w:after="0"/>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respect of the Management Sellers:</w:t>
      </w:r>
    </w:p>
    <w:p>
      <w:pPr>
        <w:spacing w:after="0" w:line="242" w:lineRule="exact"/>
        <w:rPr>
          <w:rFonts w:ascii="Arial" w:cs="Arial" w:eastAsia="Arial" w:hAnsi="Arial"/>
          <w:sz w:val="20"/>
          <w:szCs w:val="20"/>
          <w:color w:val="auto"/>
        </w:rPr>
      </w:pPr>
    </w:p>
    <w:p>
      <w:pPr>
        <w:ind w:left="1300" w:right="120" w:hanging="227"/>
        <w:spacing w:after="0" w:line="316" w:lineRule="auto"/>
        <w:rPr>
          <w:rFonts w:ascii="Arial" w:cs="Arial" w:eastAsia="Arial" w:hAnsi="Arial"/>
          <w:sz w:val="20"/>
          <w:szCs w:val="20"/>
          <w:color w:val="auto"/>
        </w:rPr>
      </w:pPr>
      <w:r>
        <w:rPr>
          <w:rFonts w:ascii="Arial" w:cs="Arial" w:eastAsia="Arial" w:hAnsi="Arial"/>
          <w:sz w:val="18"/>
          <w:szCs w:val="18"/>
          <w:color w:val="auto"/>
        </w:rPr>
        <w:t>i. as a bona fide gift or gifts, provided that the donee or donees thereof agree to be bound in writing by the restrictions set forth herein, and provided further that any such transfer shall not involve a disposition for value;</w:t>
      </w:r>
    </w:p>
    <w:p>
      <w:pPr>
        <w:spacing w:after="0" w:line="157" w:lineRule="exact"/>
        <w:rPr>
          <w:sz w:val="20"/>
          <w:szCs w:val="20"/>
          <w:color w:val="auto"/>
        </w:rPr>
      </w:pPr>
    </w:p>
    <w:p>
      <w:pPr>
        <w:ind w:left="1300" w:right="40" w:hanging="313"/>
        <w:spacing w:after="0" w:line="260" w:lineRule="auto"/>
        <w:tabs>
          <w:tab w:leader="none" w:pos="1349" w:val="left"/>
        </w:tabs>
        <w:numPr>
          <w:ilvl w:val="0"/>
          <w:numId w:val="42"/>
        </w:numPr>
        <w:rPr>
          <w:rFonts w:ascii="Arial" w:cs="Arial" w:eastAsia="Arial" w:hAnsi="Arial"/>
          <w:sz w:val="20"/>
          <w:szCs w:val="20"/>
          <w:color w:val="auto"/>
        </w:rPr>
      </w:pPr>
      <w:r>
        <w:rPr>
          <w:rFonts w:ascii="Arial" w:cs="Arial" w:eastAsia="Arial" w:hAnsi="Arial"/>
          <w:sz w:val="20"/>
          <w:szCs w:val="20"/>
          <w:color w:val="auto"/>
        </w:rPr>
        <w:t>by will or other testamentary document, or intestacy to the legal representative, heir, beneficiary or a member of the immediate family (as</w:t>
      </w:r>
    </w:p>
    <w:p>
      <w:pPr>
        <w:spacing w:after="0" w:line="204" w:lineRule="exact"/>
        <w:rPr>
          <w:sz w:val="20"/>
          <w:szCs w:val="20"/>
          <w:color w:val="auto"/>
        </w:rPr>
      </w:pPr>
    </w:p>
    <w:p>
      <w:pPr>
        <w:ind w:left="1300" w:right="520"/>
        <w:spacing w:after="0" w:line="260" w:lineRule="auto"/>
        <w:rPr>
          <w:sz w:val="20"/>
          <w:szCs w:val="20"/>
          <w:color w:val="auto"/>
        </w:rPr>
      </w:pPr>
      <w:r>
        <w:rPr>
          <w:rFonts w:ascii="Arial" w:cs="Arial" w:eastAsia="Arial" w:hAnsi="Arial"/>
          <w:sz w:val="20"/>
          <w:szCs w:val="20"/>
          <w:color w:val="auto"/>
        </w:rPr>
        <w:t>defined below) of the Management Seller, provided that the transferee agrees to be bound in writing by the transfer restrictions set forth herein;</w:t>
      </w:r>
    </w:p>
    <w:p>
      <w:pPr>
        <w:spacing w:after="0" w:line="204" w:lineRule="exact"/>
        <w:rPr>
          <w:sz w:val="20"/>
          <w:szCs w:val="20"/>
          <w:color w:val="auto"/>
        </w:rPr>
      </w:pPr>
    </w:p>
    <w:p>
      <w:pPr>
        <w:ind w:left="1300" w:right="40" w:hanging="313"/>
        <w:spacing w:after="0" w:line="244" w:lineRule="auto"/>
        <w:tabs>
          <w:tab w:leader="none" w:pos="1404"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to any immediate family member, other dependent or any investment fund or other entity controlled or managed by a Management Seller (for purposes hereof, </w:t>
      </w:r>
      <w:r>
        <w:rPr>
          <w:rFonts w:ascii="Arial" w:cs="Arial" w:eastAsia="Arial" w:hAnsi="Arial"/>
          <w:sz w:val="20"/>
          <w:szCs w:val="20"/>
          <w:b w:val="1"/>
          <w:bCs w:val="1"/>
          <w:color w:val="auto"/>
        </w:rPr>
        <w:t>immediate family</w:t>
      </w:r>
      <w:r>
        <w:rPr>
          <w:rFonts w:ascii="Arial" w:cs="Arial" w:eastAsia="Arial" w:hAnsi="Arial"/>
          <w:sz w:val="20"/>
          <w:szCs w:val="20"/>
          <w:color w:val="auto"/>
        </w:rPr>
        <w:t xml:space="preserve"> means any relationship by blood, marriage or adoption, not more remote than first cousin), provided that the transferee agrees to be bound in writing by the transfer restrictions set forth herein, and provided further that any such transfer shall not involve a disposition for value;</w:t>
      </w:r>
    </w:p>
    <w:p>
      <w:pPr>
        <w:spacing w:after="0" w:line="221" w:lineRule="exact"/>
        <w:rPr>
          <w:rFonts w:ascii="Arial" w:cs="Arial" w:eastAsia="Arial" w:hAnsi="Arial"/>
          <w:sz w:val="20"/>
          <w:szCs w:val="20"/>
          <w:color w:val="auto"/>
        </w:rPr>
      </w:pPr>
    </w:p>
    <w:p>
      <w:pPr>
        <w:ind w:left="1300" w:right="80" w:hanging="313"/>
        <w:spacing w:after="0" w:line="246" w:lineRule="auto"/>
        <w:tabs>
          <w:tab w:leader="none" w:pos="1381"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any trust, partnership, limited liability company or other entity for the sole direct or indirect benefit of the Management Seller or the immediate family of the Management Seller, provided that the transferee agrees to be bound in writing by the transfer restrictions set forth herein, and provided further that any such transfer shall not involve a disposition for value;</w:t>
      </w:r>
    </w:p>
    <w:p>
      <w:pPr>
        <w:spacing w:after="0" w:line="218" w:lineRule="exact"/>
        <w:rPr>
          <w:rFonts w:ascii="Arial" w:cs="Arial" w:eastAsia="Arial" w:hAnsi="Arial"/>
          <w:sz w:val="20"/>
          <w:szCs w:val="20"/>
          <w:color w:val="auto"/>
        </w:rPr>
      </w:pPr>
    </w:p>
    <w:p>
      <w:pPr>
        <w:jc w:val="both"/>
        <w:ind w:left="1300" w:right="80" w:hanging="232"/>
        <w:spacing w:after="0" w:line="250" w:lineRule="auto"/>
        <w:tabs>
          <w:tab w:leader="none" w:pos="1407" w:val="left"/>
        </w:tabs>
        <w:numPr>
          <w:ilvl w:val="1"/>
          <w:numId w:val="43"/>
        </w:numPr>
        <w:rPr>
          <w:rFonts w:ascii="Arial" w:cs="Arial" w:eastAsia="Arial" w:hAnsi="Arial"/>
          <w:sz w:val="20"/>
          <w:szCs w:val="20"/>
          <w:color w:val="auto"/>
        </w:rPr>
      </w:pPr>
      <w:r>
        <w:rPr>
          <w:rFonts w:ascii="Arial" w:cs="Arial" w:eastAsia="Arial" w:hAnsi="Arial"/>
          <w:sz w:val="20"/>
          <w:szCs w:val="20"/>
          <w:color w:val="auto"/>
        </w:rPr>
        <w:t>if the undersigned is a trust, to the grantor or beneficiary of such trust, provided that the transferee agrees to be bound in writing by the transfer restrictions set forth herein, and provided further that any such transfer shall not involve a disposition for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60"/>
          </w:cols>
          <w:pgMar w:left="1300" w:top="1095" w:right="339" w:bottom="1440" w:gutter="0" w:footer="0" w:header="0"/>
        </w:sectPr>
      </w:pPr>
    </w:p>
    <w:bookmarkStart w:id="73" w:name="page74"/>
    <w:bookmarkEnd w:id="73"/>
    <w:p>
      <w:pPr>
        <w:ind w:left="1620" w:right="140" w:hanging="313"/>
        <w:spacing w:after="0" w:line="291" w:lineRule="auto"/>
        <w:tabs>
          <w:tab w:leader="none" w:pos="171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a disposition or transfer would be permissible under clauses (i) through (v) above, provided that the transferee agrees to be bound in writing by the transfer restrictions set forth herein, and provided further that any such transfer shall not involve a disposition for value.</w:t>
      </w:r>
    </w:p>
    <w:p>
      <w:pPr>
        <w:spacing w:after="0" w:line="172" w:lineRule="exact"/>
        <w:rPr>
          <w:rFonts w:ascii="Arial" w:cs="Arial" w:eastAsia="Arial" w:hAnsi="Arial"/>
          <w:sz w:val="18"/>
          <w:szCs w:val="18"/>
          <w:color w:val="auto"/>
        </w:rPr>
      </w:pPr>
    </w:p>
    <w:p>
      <w:pPr>
        <w:ind w:left="960" w:hanging="301"/>
        <w:spacing w:after="0" w:line="322" w:lineRule="auto"/>
        <w:tabs>
          <w:tab w:leader="none" w:pos="99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For purposes of this Agreement, </w:t>
      </w:r>
      <w:r>
        <w:rPr>
          <w:rFonts w:ascii="Arial" w:cs="Arial" w:eastAsia="Arial" w:hAnsi="Arial"/>
          <w:sz w:val="16"/>
          <w:szCs w:val="16"/>
          <w:b w:val="1"/>
          <w:bCs w:val="1"/>
          <w:color w:val="auto"/>
        </w:rPr>
        <w:t>Approved Tender Offer</w:t>
      </w:r>
      <w:r>
        <w:rPr>
          <w:rFonts w:ascii="Arial" w:cs="Arial" w:eastAsia="Arial" w:hAnsi="Arial"/>
          <w:sz w:val="16"/>
          <w:szCs w:val="16"/>
          <w:color w:val="auto"/>
        </w:rPr>
        <w:t xml:space="preserve"> means a tender offer or business combination relating to outstanding shares of Buyer’s class B common stock that has been approved or recommended by the board of Buyer; and </w:t>
      </w:r>
      <w:r>
        <w:rPr>
          <w:rFonts w:ascii="Arial" w:cs="Arial" w:eastAsia="Arial" w:hAnsi="Arial"/>
          <w:sz w:val="16"/>
          <w:szCs w:val="16"/>
          <w:b w:val="1"/>
          <w:bCs w:val="1"/>
          <w:color w:val="auto"/>
        </w:rPr>
        <w:t xml:space="preserve">Subsequent Offering </w:t>
      </w:r>
      <w:r>
        <w:rPr>
          <w:rFonts w:ascii="Arial" w:cs="Arial" w:eastAsia="Arial" w:hAnsi="Arial"/>
          <w:sz w:val="16"/>
          <w:szCs w:val="16"/>
          <w:color w:val="auto"/>
        </w:rPr>
        <w:t>means any subsequent offering period of a completed tender offer for at least a majority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shares of Buyer’s class B common stock by any third party so long as a majority of the outstanding shares of Buyer’s class B common stock have been previously tendered to such third party and are not subject to withdrawal.</w:t>
      </w:r>
    </w:p>
    <w:p>
      <w:pPr>
        <w:spacing w:after="0" w:line="15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color w:val="auto"/>
        </w:rPr>
        <w:t>.</w:t>
      </w:r>
      <w:r>
        <w:rPr>
          <w:sz w:val="20"/>
          <w:szCs w:val="20"/>
          <w:color w:val="auto"/>
        </w:rPr>
        <w:tab/>
      </w:r>
      <w:r>
        <w:rPr>
          <w:rFonts w:ascii="Arial" w:cs="Arial" w:eastAsia="Arial" w:hAnsi="Arial"/>
          <w:sz w:val="16"/>
          <w:szCs w:val="16"/>
          <w:b w:val="1"/>
          <w:bCs w:val="1"/>
          <w:color w:val="auto"/>
        </w:rPr>
        <w:t>Release From Transfer Restrictions</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19"/>
          <w:szCs w:val="19"/>
          <w:color w:val="auto"/>
        </w:rPr>
        <w:t>The transfer restrictions contained in this Agreement will cease to apply to, the following Consideration Shares:</w:t>
      </w:r>
    </w:p>
    <w:p>
      <w:pPr>
        <w:spacing w:after="0" w:line="254" w:lineRule="exact"/>
        <w:rPr>
          <w:sz w:val="20"/>
          <w:szCs w:val="20"/>
          <w:color w:val="auto"/>
        </w:rPr>
      </w:pPr>
    </w:p>
    <w:p>
      <w:pPr>
        <w:ind w:left="1000" w:hanging="341"/>
        <w:spacing w:after="0"/>
        <w:tabs>
          <w:tab w:leader="none" w:pos="10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with regard to any Seller that is not a Management Seller:</w:t>
      </w:r>
    </w:p>
    <w:p>
      <w:pPr>
        <w:spacing w:after="0" w:line="242" w:lineRule="exact"/>
        <w:rPr>
          <w:rFonts w:ascii="Arial" w:cs="Arial" w:eastAsia="Arial" w:hAnsi="Arial"/>
          <w:sz w:val="20"/>
          <w:szCs w:val="20"/>
          <w:color w:val="auto"/>
        </w:rPr>
      </w:pPr>
    </w:p>
    <w:p>
      <w:pPr>
        <w:ind w:left="1620" w:right="140" w:hanging="232"/>
        <w:spacing w:after="0" w:line="260" w:lineRule="auto"/>
        <w:tabs>
          <w:tab w:leader="none" w:pos="1695" w:val="left"/>
        </w:tabs>
        <w:numPr>
          <w:ilvl w:val="2"/>
          <w:numId w:val="46"/>
        </w:numPr>
        <w:rPr>
          <w:rFonts w:ascii="Arial" w:cs="Arial" w:eastAsia="Arial" w:hAnsi="Arial"/>
          <w:sz w:val="20"/>
          <w:szCs w:val="20"/>
          <w:color w:val="auto"/>
        </w:rPr>
      </w:pPr>
      <w:r>
        <w:rPr>
          <w:rFonts w:ascii="Arial" w:cs="Arial" w:eastAsia="Arial" w:hAnsi="Arial"/>
          <w:sz w:val="20"/>
          <w:szCs w:val="20"/>
          <w:color w:val="auto"/>
        </w:rPr>
        <w:t>50% of the Consideration Shares issued to that Seller pursuant to the Purchase Agreement, on 1 October 2021; and</w:t>
      </w:r>
    </w:p>
    <w:p>
      <w:pPr>
        <w:spacing w:after="0" w:line="203" w:lineRule="exact"/>
        <w:rPr>
          <w:rFonts w:ascii="Arial" w:cs="Arial" w:eastAsia="Arial" w:hAnsi="Arial"/>
          <w:sz w:val="20"/>
          <w:szCs w:val="20"/>
          <w:color w:val="auto"/>
        </w:rPr>
      </w:pPr>
    </w:p>
    <w:p>
      <w:pPr>
        <w:ind w:left="1660" w:hanging="353"/>
        <w:spacing w:after="0"/>
        <w:tabs>
          <w:tab w:leader="none" w:pos="1660" w:val="left"/>
        </w:tabs>
        <w:numPr>
          <w:ilvl w:val="1"/>
          <w:numId w:val="46"/>
        </w:numPr>
        <w:rPr>
          <w:rFonts w:ascii="Arial" w:cs="Arial" w:eastAsia="Arial" w:hAnsi="Arial"/>
          <w:sz w:val="19"/>
          <w:szCs w:val="19"/>
          <w:color w:val="auto"/>
        </w:rPr>
      </w:pPr>
      <w:r>
        <w:rPr>
          <w:rFonts w:ascii="Arial" w:cs="Arial" w:eastAsia="Arial" w:hAnsi="Arial"/>
          <w:sz w:val="19"/>
          <w:szCs w:val="19"/>
          <w:color w:val="auto"/>
        </w:rPr>
        <w:t>all Consideration Shares issued to that Seller pursuant to the Purchase Agreement, on 1 April 2022; and</w:t>
      </w:r>
    </w:p>
    <w:p>
      <w:pPr>
        <w:spacing w:after="0" w:line="254" w:lineRule="exact"/>
        <w:rPr>
          <w:rFonts w:ascii="Arial" w:cs="Arial" w:eastAsia="Arial" w:hAnsi="Arial"/>
          <w:sz w:val="19"/>
          <w:szCs w:val="19"/>
          <w:color w:val="auto"/>
        </w:rPr>
      </w:pPr>
    </w:p>
    <w:p>
      <w:pPr>
        <w:ind w:left="1000" w:hanging="341"/>
        <w:spacing w:after="0"/>
        <w:tabs>
          <w:tab w:leader="none" w:pos="10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with regard to any Management Seller:</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1620" w:right="100" w:hanging="232"/>
        <w:spacing w:after="0" w:line="260" w:lineRule="auto"/>
        <w:tabs>
          <w:tab w:leader="none" w:pos="1695" w:val="left"/>
        </w:tabs>
        <w:numPr>
          <w:ilvl w:val="2"/>
          <w:numId w:val="46"/>
        </w:numPr>
        <w:rPr>
          <w:rFonts w:ascii="Arial" w:cs="Arial" w:eastAsia="Arial" w:hAnsi="Arial"/>
          <w:sz w:val="20"/>
          <w:szCs w:val="20"/>
          <w:color w:val="auto"/>
        </w:rPr>
      </w:pPr>
      <w:r>
        <w:rPr>
          <w:rFonts w:ascii="Arial" w:cs="Arial" w:eastAsia="Arial" w:hAnsi="Arial"/>
          <w:sz w:val="20"/>
          <w:szCs w:val="20"/>
          <w:color w:val="auto"/>
        </w:rPr>
        <w:t>25% of the Consideration Shares issued to that Management Seller pursuant to the Purchase Agreement, on the date falling 6 months after the Completion Date;</w:t>
      </w:r>
    </w:p>
    <w:p>
      <w:pPr>
        <w:spacing w:after="0" w:line="203" w:lineRule="exact"/>
        <w:rPr>
          <w:rFonts w:ascii="Arial" w:cs="Arial" w:eastAsia="Arial" w:hAnsi="Arial"/>
          <w:sz w:val="20"/>
          <w:szCs w:val="20"/>
          <w:color w:val="auto"/>
        </w:rPr>
      </w:pPr>
    </w:p>
    <w:p>
      <w:pPr>
        <w:ind w:left="1620" w:right="900" w:hanging="313"/>
        <w:spacing w:after="0" w:line="260" w:lineRule="auto"/>
        <w:tabs>
          <w:tab w:leader="none" w:pos="1669" w:val="left"/>
        </w:tabs>
        <w:numPr>
          <w:ilvl w:val="1"/>
          <w:numId w:val="47"/>
        </w:numPr>
        <w:rPr>
          <w:rFonts w:ascii="Arial" w:cs="Arial" w:eastAsia="Arial" w:hAnsi="Arial"/>
          <w:sz w:val="20"/>
          <w:szCs w:val="20"/>
          <w:color w:val="auto"/>
        </w:rPr>
      </w:pPr>
      <w:r>
        <w:rPr>
          <w:rFonts w:ascii="Arial" w:cs="Arial" w:eastAsia="Arial" w:hAnsi="Arial"/>
          <w:sz w:val="20"/>
          <w:szCs w:val="20"/>
          <w:color w:val="auto"/>
        </w:rPr>
        <w:t>a further 25% of the Consideration Shares issued to that Management Seller pursuant to the Purchase Agreement, on the date falling 12 months after the Completion Date;</w:t>
      </w:r>
    </w:p>
    <w:p>
      <w:pPr>
        <w:spacing w:after="0" w:line="203" w:lineRule="exact"/>
        <w:rPr>
          <w:rFonts w:ascii="Arial" w:cs="Arial" w:eastAsia="Arial" w:hAnsi="Arial"/>
          <w:sz w:val="20"/>
          <w:szCs w:val="20"/>
          <w:color w:val="auto"/>
        </w:rPr>
      </w:pPr>
    </w:p>
    <w:p>
      <w:pPr>
        <w:ind w:left="1620" w:right="860" w:hanging="313"/>
        <w:spacing w:after="0" w:line="260" w:lineRule="auto"/>
        <w:tabs>
          <w:tab w:leader="none" w:pos="1724" w:val="left"/>
        </w:tabs>
        <w:numPr>
          <w:ilvl w:val="1"/>
          <w:numId w:val="47"/>
        </w:numPr>
        <w:rPr>
          <w:rFonts w:ascii="Arial" w:cs="Arial" w:eastAsia="Arial" w:hAnsi="Arial"/>
          <w:sz w:val="20"/>
          <w:szCs w:val="20"/>
          <w:color w:val="auto"/>
        </w:rPr>
      </w:pPr>
      <w:r>
        <w:rPr>
          <w:rFonts w:ascii="Arial" w:cs="Arial" w:eastAsia="Arial" w:hAnsi="Arial"/>
          <w:sz w:val="20"/>
          <w:szCs w:val="20"/>
          <w:color w:val="auto"/>
        </w:rPr>
        <w:t>a further 25% of the Consideration Shares issued to that Management Seller pursuant to the Purchase Agreement, on the date falling 18 months after the Completion Date; and</w:t>
      </w:r>
    </w:p>
    <w:p>
      <w:pPr>
        <w:spacing w:after="0" w:line="203" w:lineRule="exact"/>
        <w:rPr>
          <w:rFonts w:ascii="Arial" w:cs="Arial" w:eastAsia="Arial" w:hAnsi="Arial"/>
          <w:sz w:val="20"/>
          <w:szCs w:val="20"/>
          <w:color w:val="auto"/>
        </w:rPr>
      </w:pPr>
    </w:p>
    <w:p>
      <w:pPr>
        <w:ind w:left="1620" w:right="380" w:hanging="313"/>
        <w:spacing w:after="0" w:line="260" w:lineRule="auto"/>
        <w:tabs>
          <w:tab w:leader="none" w:pos="1701" w:val="left"/>
        </w:tabs>
        <w:numPr>
          <w:ilvl w:val="1"/>
          <w:numId w:val="47"/>
        </w:numPr>
        <w:rPr>
          <w:rFonts w:ascii="Arial" w:cs="Arial" w:eastAsia="Arial" w:hAnsi="Arial"/>
          <w:sz w:val="20"/>
          <w:szCs w:val="20"/>
          <w:color w:val="auto"/>
        </w:rPr>
      </w:pPr>
      <w:r>
        <w:rPr>
          <w:rFonts w:ascii="Arial" w:cs="Arial" w:eastAsia="Arial" w:hAnsi="Arial"/>
          <w:sz w:val="20"/>
          <w:szCs w:val="20"/>
          <w:color w:val="auto"/>
        </w:rPr>
        <w:t>all Consideration Shares issued to that Management Seller pursuant to the Purchase Agreement, on the date falling 24 months after the Completion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0"/>
          </w:cols>
          <w:pgMar w:left="980" w:top="1095" w:right="339" w:bottom="1440" w:gutter="0" w:footer="0" w:header="0"/>
        </w:sectPr>
      </w:pPr>
    </w:p>
    <w:bookmarkStart w:id="74" w:name="page75"/>
    <w:bookmarkEnd w:id="74"/>
    <w:p>
      <w:pPr>
        <w:ind w:left="960" w:right="420"/>
        <w:spacing w:after="0" w:line="260" w:lineRule="auto"/>
        <w:rPr>
          <w:sz w:val="20"/>
          <w:szCs w:val="20"/>
          <w:color w:val="auto"/>
        </w:rPr>
      </w:pPr>
      <w:r>
        <w:rPr>
          <w:rFonts w:ascii="Arial" w:cs="Arial" w:eastAsia="Arial" w:hAnsi="Arial"/>
          <w:sz w:val="19"/>
          <w:szCs w:val="19"/>
          <w:color w:val="auto"/>
        </w:rPr>
        <w:t>provided that in identifying the specific Consideration Shares that will be subject to release set forth in clauses (a) through (b) above, the Management Seller’s Consideration Shares shall be calculated in pro rata portions of (x) Consideration Shares that are not Bad Leaver Forfeiture Shares and (y) Consideration Shares that are Bad Leaver Forfeiture Shares (for the avoidance of doubt, in each case, without regard to any Bad Leaver Forfeiture Shares that cease to be Bad Leaver Forfeiture Shares after the date hereof).</w:t>
      </w:r>
    </w:p>
    <w:p>
      <w:pPr>
        <w:spacing w:after="0" w:line="20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Forfeiture of Bad Leaver Forfeiture Shares</w:t>
      </w:r>
    </w:p>
    <w:p>
      <w:pPr>
        <w:spacing w:after="0" w:line="249" w:lineRule="exact"/>
        <w:rPr>
          <w:sz w:val="20"/>
          <w:szCs w:val="20"/>
          <w:color w:val="auto"/>
        </w:rPr>
      </w:pPr>
    </w:p>
    <w:p>
      <w:pPr>
        <w:ind w:left="960" w:right="360" w:hanging="301"/>
        <w:spacing w:after="0" w:line="385" w:lineRule="auto"/>
        <w:tabs>
          <w:tab w:leader="none" w:pos="98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 Management Seller is a Bad Leaver (as defined below), its Bad Leaver Forfeiture Shares may be forfeited at the discretion of the Buyer, by resolution of the board of the Buyer and notice in writing delivered to that Bad Leaver.</w:t>
      </w:r>
    </w:p>
    <w:p>
      <w:pPr>
        <w:spacing w:after="0" w:line="105" w:lineRule="exact"/>
        <w:rPr>
          <w:rFonts w:ascii="Arial" w:cs="Arial" w:eastAsia="Arial" w:hAnsi="Arial"/>
          <w:sz w:val="16"/>
          <w:szCs w:val="16"/>
          <w:color w:val="auto"/>
        </w:rPr>
      </w:pPr>
    </w:p>
    <w:p>
      <w:pPr>
        <w:ind w:left="960" w:hanging="301"/>
        <w:spacing w:after="0" w:line="253" w:lineRule="auto"/>
        <w:tabs>
          <w:tab w:leader="none" w:pos="998"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For the purposes of clause 5.a, a </w:t>
      </w:r>
      <w:r>
        <w:rPr>
          <w:rFonts w:ascii="Arial" w:cs="Arial" w:eastAsia="Arial" w:hAnsi="Arial"/>
          <w:sz w:val="20"/>
          <w:szCs w:val="20"/>
          <w:b w:val="1"/>
          <w:bCs w:val="1"/>
          <w:color w:val="auto"/>
        </w:rPr>
        <w:t>Bad Leaver</w:t>
      </w:r>
      <w:r>
        <w:rPr>
          <w:rFonts w:ascii="Arial" w:cs="Arial" w:eastAsia="Arial" w:hAnsi="Arial"/>
          <w:sz w:val="20"/>
          <w:szCs w:val="20"/>
          <w:color w:val="auto"/>
        </w:rPr>
        <w:t xml:space="preserve"> means a Management Seller that has ceased to be employed or engaged by a Group Company, the Buyer or any of the Buyer's Affiliates (“</w:t>
      </w:r>
      <w:r>
        <w:rPr>
          <w:rFonts w:ascii="Arial" w:cs="Arial" w:eastAsia="Arial" w:hAnsi="Arial"/>
          <w:sz w:val="20"/>
          <w:szCs w:val="20"/>
          <w:b w:val="1"/>
          <w:bCs w:val="1"/>
          <w:color w:val="auto"/>
        </w:rPr>
        <w:t>Employer”</w:t>
      </w:r>
      <w:r>
        <w:rPr>
          <w:rFonts w:ascii="Arial" w:cs="Arial" w:eastAsia="Arial" w:hAnsi="Arial"/>
          <w:sz w:val="20"/>
          <w:szCs w:val="20"/>
          <w:color w:val="auto"/>
        </w:rPr>
        <w:t>) during the Lock-up Period by reason of the Management Seller:</w:t>
      </w:r>
    </w:p>
    <w:p>
      <w:pPr>
        <w:spacing w:after="0" w:line="210" w:lineRule="exact"/>
        <w:rPr>
          <w:rFonts w:ascii="Arial" w:cs="Arial" w:eastAsia="Arial" w:hAnsi="Arial"/>
          <w:sz w:val="20"/>
          <w:szCs w:val="20"/>
          <w:color w:val="auto"/>
        </w:rPr>
      </w:pPr>
    </w:p>
    <w:p>
      <w:pPr>
        <w:ind w:left="1600" w:hanging="293"/>
        <w:spacing w:after="0"/>
        <w:tabs>
          <w:tab w:leader="none" w:pos="1600" w:val="left"/>
        </w:tabs>
        <w:numPr>
          <w:ilvl w:val="2"/>
          <w:numId w:val="48"/>
        </w:numPr>
        <w:rPr>
          <w:rFonts w:ascii="Arial" w:cs="Arial" w:eastAsia="Arial" w:hAnsi="Arial"/>
          <w:sz w:val="20"/>
          <w:szCs w:val="20"/>
          <w:color w:val="auto"/>
        </w:rPr>
      </w:pPr>
      <w:r>
        <w:rPr>
          <w:rFonts w:ascii="Arial" w:cs="Arial" w:eastAsia="Arial" w:hAnsi="Arial"/>
          <w:sz w:val="20"/>
          <w:szCs w:val="20"/>
          <w:color w:val="auto"/>
        </w:rPr>
        <w:t>being terminated by the Employer for cause (including for serious misconduct); or</w:t>
      </w:r>
    </w:p>
    <w:p>
      <w:pPr>
        <w:spacing w:after="0" w:line="242" w:lineRule="exact"/>
        <w:rPr>
          <w:rFonts w:ascii="Arial" w:cs="Arial" w:eastAsia="Arial" w:hAnsi="Arial"/>
          <w:sz w:val="20"/>
          <w:szCs w:val="20"/>
          <w:color w:val="auto"/>
        </w:rPr>
      </w:pPr>
    </w:p>
    <w:p>
      <w:pPr>
        <w:ind w:left="1580" w:hanging="354"/>
        <w:spacing w:after="0"/>
        <w:tabs>
          <w:tab w:leader="none" w:pos="15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giving notice to his or her Employer resigning from his or her employment or engagement,</w:t>
      </w:r>
    </w:p>
    <w:p>
      <w:pPr>
        <w:spacing w:after="0" w:line="243" w:lineRule="exact"/>
        <w:rPr>
          <w:sz w:val="20"/>
          <w:szCs w:val="20"/>
          <w:color w:val="auto"/>
        </w:rPr>
      </w:pPr>
    </w:p>
    <w:p>
      <w:pPr>
        <w:ind w:left="320" w:right="260"/>
        <w:spacing w:after="0" w:line="260" w:lineRule="auto"/>
        <w:rPr>
          <w:sz w:val="20"/>
          <w:szCs w:val="20"/>
          <w:color w:val="auto"/>
        </w:rPr>
      </w:pPr>
      <w:r>
        <w:rPr>
          <w:rFonts w:ascii="Arial" w:cs="Arial" w:eastAsia="Arial" w:hAnsi="Arial"/>
          <w:sz w:val="20"/>
          <w:szCs w:val="20"/>
          <w:color w:val="auto"/>
        </w:rPr>
        <w:t>and for the avoidance of doubt a Management Seller will not be a Bad Leaver in any other circumstances, including, in and of itself, if he or she:</w:t>
      </w:r>
    </w:p>
    <w:p>
      <w:pPr>
        <w:spacing w:after="0" w:line="204" w:lineRule="exact"/>
        <w:rPr>
          <w:sz w:val="20"/>
          <w:szCs w:val="20"/>
          <w:color w:val="auto"/>
        </w:rPr>
      </w:pPr>
    </w:p>
    <w:p>
      <w:pPr>
        <w:ind w:left="1560" w:hanging="415"/>
        <w:spacing w:after="0"/>
        <w:tabs>
          <w:tab w:leader="none" w:pos="1560" w:val="left"/>
        </w:tabs>
        <w:numPr>
          <w:ilvl w:val="1"/>
          <w:numId w:val="49"/>
        </w:numPr>
        <w:rPr>
          <w:rFonts w:ascii="Arial" w:cs="Arial" w:eastAsia="Arial" w:hAnsi="Arial"/>
          <w:sz w:val="20"/>
          <w:szCs w:val="20"/>
          <w:color w:val="auto"/>
        </w:rPr>
      </w:pPr>
      <w:r>
        <w:rPr>
          <w:rFonts w:ascii="Arial" w:cs="Arial" w:eastAsia="Arial" w:hAnsi="Arial"/>
          <w:sz w:val="20"/>
          <w:szCs w:val="20"/>
          <w:color w:val="auto"/>
        </w:rPr>
        <w:t>is employed, engaged or retained in another position or office by any other Employer;</w:t>
      </w:r>
    </w:p>
    <w:p>
      <w:pPr>
        <w:spacing w:after="0" w:line="242" w:lineRule="exact"/>
        <w:rPr>
          <w:rFonts w:ascii="Arial" w:cs="Arial" w:eastAsia="Arial" w:hAnsi="Arial"/>
          <w:sz w:val="20"/>
          <w:szCs w:val="20"/>
          <w:color w:val="auto"/>
        </w:rPr>
      </w:pPr>
    </w:p>
    <w:p>
      <w:pPr>
        <w:ind w:left="1540" w:hanging="395"/>
        <w:spacing w:after="0"/>
        <w:tabs>
          <w:tab w:leader="none" w:pos="1540" w:val="left"/>
        </w:tabs>
        <w:numPr>
          <w:ilvl w:val="1"/>
          <w:numId w:val="49"/>
        </w:numPr>
        <w:rPr>
          <w:rFonts w:ascii="Arial" w:cs="Arial" w:eastAsia="Arial" w:hAnsi="Arial"/>
          <w:sz w:val="20"/>
          <w:szCs w:val="20"/>
          <w:color w:val="auto"/>
        </w:rPr>
      </w:pPr>
      <w:r>
        <w:rPr>
          <w:rFonts w:ascii="Arial" w:cs="Arial" w:eastAsia="Arial" w:hAnsi="Arial"/>
          <w:sz w:val="20"/>
          <w:szCs w:val="20"/>
          <w:color w:val="auto"/>
        </w:rPr>
        <w:t>resigns as a director of a Group Company;</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1540" w:hanging="330"/>
        <w:spacing w:after="0"/>
        <w:tabs>
          <w:tab w:leader="none" w:pos="1540" w:val="left"/>
        </w:tabs>
        <w:numPr>
          <w:ilvl w:val="2"/>
          <w:numId w:val="49"/>
        </w:numPr>
        <w:rPr>
          <w:rFonts w:ascii="Arial" w:cs="Arial" w:eastAsia="Arial" w:hAnsi="Arial"/>
          <w:sz w:val="20"/>
          <w:szCs w:val="20"/>
          <w:color w:val="auto"/>
        </w:rPr>
      </w:pPr>
      <w:r>
        <w:rPr>
          <w:rFonts w:ascii="Arial" w:cs="Arial" w:eastAsia="Arial" w:hAnsi="Arial"/>
          <w:sz w:val="20"/>
          <w:szCs w:val="20"/>
          <w:color w:val="auto"/>
        </w:rPr>
        <w:t>dies, becomes permanently unable to work (through disability or ill health);</w:t>
      </w:r>
    </w:p>
    <w:p>
      <w:pPr>
        <w:spacing w:after="0" w:line="242" w:lineRule="exact"/>
        <w:rPr>
          <w:rFonts w:ascii="Arial" w:cs="Arial" w:eastAsia="Arial" w:hAnsi="Arial"/>
          <w:sz w:val="20"/>
          <w:szCs w:val="20"/>
          <w:color w:val="auto"/>
        </w:rPr>
      </w:pPr>
    </w:p>
    <w:p>
      <w:pPr>
        <w:ind w:left="1540" w:right="260" w:hanging="408"/>
        <w:spacing w:after="0" w:line="385" w:lineRule="auto"/>
        <w:tabs>
          <w:tab w:leader="none" w:pos="1540" w:val="left"/>
        </w:tabs>
        <w:numPr>
          <w:ilvl w:val="2"/>
          <w:numId w:val="49"/>
        </w:numPr>
        <w:rPr>
          <w:rFonts w:ascii="Arial" w:cs="Arial" w:eastAsia="Arial" w:hAnsi="Arial"/>
          <w:sz w:val="16"/>
          <w:szCs w:val="16"/>
          <w:color w:val="auto"/>
        </w:rPr>
      </w:pPr>
      <w:r>
        <w:rPr>
          <w:rFonts w:ascii="Arial" w:cs="Arial" w:eastAsia="Arial" w:hAnsi="Arial"/>
          <w:sz w:val="16"/>
          <w:szCs w:val="16"/>
          <w:color w:val="auto"/>
        </w:rPr>
        <w:t>is given notice of cessation or termination of all aspects of their employment without cause or in a manner that constitutes constructive or unjustified dismissal as determined in a final, non-appealable decision by a court;</w:t>
      </w:r>
    </w:p>
    <w:p>
      <w:pPr>
        <w:spacing w:after="0" w:line="111" w:lineRule="exact"/>
        <w:rPr>
          <w:rFonts w:ascii="Arial" w:cs="Arial" w:eastAsia="Arial" w:hAnsi="Arial"/>
          <w:sz w:val="16"/>
          <w:szCs w:val="16"/>
          <w:color w:val="auto"/>
        </w:rPr>
      </w:pPr>
    </w:p>
    <w:p>
      <w:pPr>
        <w:ind w:left="1520" w:hanging="456"/>
        <w:spacing w:after="0"/>
        <w:tabs>
          <w:tab w:leader="none" w:pos="15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is made redundant; or</w:t>
      </w:r>
    </w:p>
    <w:p>
      <w:pPr>
        <w:spacing w:after="0" w:line="242" w:lineRule="exact"/>
        <w:rPr>
          <w:rFonts w:ascii="Arial" w:cs="Arial" w:eastAsia="Arial" w:hAnsi="Arial"/>
          <w:sz w:val="20"/>
          <w:szCs w:val="20"/>
          <w:color w:val="auto"/>
        </w:rPr>
      </w:pPr>
    </w:p>
    <w:p>
      <w:pPr>
        <w:ind w:left="1540" w:hanging="505"/>
        <w:spacing w:after="0"/>
        <w:tabs>
          <w:tab w:leader="none" w:pos="1540" w:val="left"/>
        </w:tabs>
        <w:numPr>
          <w:ilvl w:val="2"/>
          <w:numId w:val="50"/>
        </w:numPr>
        <w:rPr>
          <w:rFonts w:ascii="Arial" w:cs="Arial" w:eastAsia="Arial" w:hAnsi="Arial"/>
          <w:sz w:val="20"/>
          <w:szCs w:val="20"/>
          <w:color w:val="auto"/>
        </w:rPr>
      </w:pPr>
      <w:r>
        <w:rPr>
          <w:rFonts w:ascii="Arial" w:cs="Arial" w:eastAsia="Arial" w:hAnsi="Arial"/>
          <w:sz w:val="20"/>
          <w:szCs w:val="20"/>
          <w:color w:val="auto"/>
        </w:rPr>
        <w:t>retires or reaches a retirement age in accordance with his or her terms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40"/>
          </w:cols>
          <w:pgMar w:left="980" w:top="1095" w:right="379" w:bottom="1440" w:gutter="0" w:footer="0" w:header="0"/>
        </w:sectPr>
      </w:pPr>
    </w:p>
    <w:bookmarkStart w:id="75" w:name="page76"/>
    <w:bookmarkEnd w:id="75"/>
    <w:p>
      <w:pPr>
        <w:ind w:left="324" w:right="20" w:hanging="324"/>
        <w:spacing w:after="0" w:line="293" w:lineRule="auto"/>
        <w:tabs>
          <w:tab w:leader="none" w:pos="346"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 Clauses 15 (Notices) and Clause 16 (Miscellaneous) of the Purchase Agreement are incorporated herein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reference as if set out fully herein and shall apply in all respects to this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ind w:left="324" w:hanging="324"/>
        <w:spacing w:after="0" w:line="315" w:lineRule="auto"/>
        <w:tabs>
          <w:tab w:leader="none" w:pos="346"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This Agreement will automatically terminate without any action of the parties and be of no force and effect if (a)</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Agreement is terminated prior to Completion in accordance with its terms, or (b) the Sellers have not provided within 20 business days of the date of the Purchase Agreement written evidence satisfactory to the Buyer in all respects that (i) the 75% Management Shareholders have validly approved and executed the Shareholders’ Agreement Amendment and have either executed the Purchase Agreement or executed a Deed of Accession to the Purchase Agreement or (ii) 100% of the Sellers have either executed the Purchase Agreement or executed a Deed of Accession to the Purchase Agreement. Termination of this Agreement does not affect accrued rights arising from any breach of this Agreement occurring before termination</w:t>
      </w:r>
    </w:p>
    <w:p>
      <w:pPr>
        <w:spacing w:after="0" w:line="165" w:lineRule="exact"/>
        <w:rPr>
          <w:sz w:val="20"/>
          <w:szCs w:val="20"/>
          <w:color w:val="auto"/>
        </w:rPr>
      </w:pPr>
    </w:p>
    <w:p>
      <w:pPr>
        <w:ind w:left="3224"/>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16"/>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464"/>
          </w:cols>
          <w:pgMar w:left="976" w:top="1089" w:right="459" w:bottom="1440" w:gutter="0" w:footer="0" w:header="0"/>
        </w:sectPr>
      </w:pPr>
    </w:p>
    <w:bookmarkStart w:id="76" w:name="page77"/>
    <w:bookmarkEnd w:id="76"/>
    <w:p>
      <w:pPr>
        <w:ind w:firstLine="648"/>
        <w:spacing w:after="0" w:line="293"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intending to be legally bound by the terms hereof, have caused this Agreement to be</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as of the date first above written by their officers or other representatives thereunto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SELLERS:</w:t>
      </w: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Accel-KKR Capital Partners V, LP </w:t>
      </w:r>
      <w:r>
        <w:rPr>
          <w:rFonts w:ascii="Arial" w:cs="Arial" w:eastAsia="Arial" w:hAnsi="Arial"/>
          <w:sz w:val="20"/>
          <w:szCs w:val="20"/>
          <w:color w:val="auto"/>
        </w:rPr>
        <w:t>by:</w:t>
      </w:r>
    </w:p>
    <w:p>
      <w:pPr>
        <w:spacing w:after="0" w:line="200" w:lineRule="exact"/>
        <w:rPr>
          <w:sz w:val="20"/>
          <w:szCs w:val="20"/>
          <w:color w:val="auto"/>
        </w:rPr>
      </w:pPr>
    </w:p>
    <w:p>
      <w:pPr>
        <w:spacing w:after="0" w:line="29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 Tom Barnds. . . . . . . . . . . . . . . . . . . . . . . . . .</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Tom Barnds. . . . . . . . . . . . . . . . . . . . . . . . . . . .</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Managing Partner. . . . . . . . . . . . . . . . . . . . . . . .</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Accel-KKR Capital Partners V Strategic Fund,</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LP </w:t>
      </w:r>
      <w:r>
        <w:rPr>
          <w:rFonts w:ascii="Arial" w:cs="Arial" w:eastAsia="Arial" w:hAnsi="Arial"/>
          <w:sz w:val="20"/>
          <w:szCs w:val="20"/>
          <w:color w:val="auto"/>
        </w:rPr>
        <w:t>by:</w:t>
      </w: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 Tom Barnds. . . . . . . . . . . . . . . . . . . . . . . . . .</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Tom Barnds. . . . . . . . . . . . . . . . . . . . . . . . . . . .</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Managing Partner. . . . . . . . . . . . . . . . . . . . . . . .</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140"/>
          </w:cols>
          <w:pgMar w:left="320" w:top="1332" w:right="439" w:bottom="1440" w:gutter="0" w:footer="0" w:header="0"/>
        </w:sectPr>
      </w:pPr>
    </w:p>
    <w:bookmarkStart w:id="77" w:name="page78"/>
    <w:bookmarkEnd w:id="77"/>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Accel-KKR Members Fund, LLC </w:t>
      </w: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Seequent Trustee Limited </w:t>
      </w: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Pencarrow V Investment Fund LP </w:t>
      </w:r>
      <w:r>
        <w:rPr>
          <w:rFonts w:ascii="Arial" w:cs="Arial" w:eastAsia="Arial" w:hAnsi="Arial"/>
          <w:sz w:val="20"/>
          <w:szCs w:val="20"/>
          <w:color w:val="auto"/>
        </w:rPr>
        <w:t>acting by 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general partner </w:t>
      </w:r>
      <w:r>
        <w:rPr>
          <w:rFonts w:ascii="Arial" w:cs="Arial" w:eastAsia="Arial" w:hAnsi="Arial"/>
          <w:sz w:val="20"/>
          <w:szCs w:val="20"/>
          <w:b w:val="1"/>
          <w:bCs w:val="1"/>
          <w:color w:val="auto"/>
        </w:rPr>
        <w:t>Pencarrow V Investment Fund</w:t>
      </w:r>
      <w:r>
        <w:rPr>
          <w:rFonts w:ascii="Arial" w:cs="Arial" w:eastAsia="Arial" w:hAnsi="Arial"/>
          <w:sz w:val="20"/>
          <w:szCs w:val="20"/>
          <w:color w:val="auto"/>
        </w:rPr>
        <w:t xml:space="preserve"> </w:t>
      </w:r>
      <w:r>
        <w:rPr>
          <w:rFonts w:ascii="Arial" w:cs="Arial" w:eastAsia="Arial" w:hAnsi="Arial"/>
          <w:sz w:val="20"/>
          <w:szCs w:val="20"/>
          <w:b w:val="1"/>
          <w:bCs w:val="1"/>
          <w:color w:val="auto"/>
        </w:rPr>
        <w:t>GP Limited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Tom Barnds. . . . . . . . . . . . . . . . . . . . . . . . . .</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Tom Barnds. . . . . . . . . . . . . . . . . . . . . . . . . . . .</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Managing Partner. . . . . . . . . . . . . . . . . . . . . . . .</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Shaun Warwick Maloney. . . . . . . . . . . . . . . .</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Shaun Warwick Maloney. . . . . . . . . . . . . . . . . .</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Director &amp; CEO. . . . . . . . . . . . . . . . . . . . . . . . .</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 Nigel Bingham. . . . . . . . . . . . . . . . . . . . . . . .</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Nigel Bingham. . . . . . . . . . . . . . . . . . . . . . . . . .</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Director. . . . . . . . . . . . . . . . . . . . . . . . . . . . . . . .</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ectPr>
          <w:pgSz w:w="11900" w:h="16838" w:orient="portrait"/>
          <w:cols w:equalWidth="0" w:num="2">
            <w:col w:w="3920" w:space="360"/>
            <w:col w:w="5679"/>
          </w:cols>
          <w:pgMar w:left="5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959"/>
          </w:cols>
          <w:pgMar w:left="500" w:top="1440" w:right="1440" w:bottom="1440" w:gutter="0" w:footer="0" w:header="0"/>
          <w:type w:val="continuous"/>
        </w:sectPr>
      </w:pPr>
    </w:p>
    <w:bookmarkStart w:id="78" w:name="page79"/>
    <w:bookmarkEnd w:id="78"/>
    <w:p>
      <w:pPr>
        <w:spacing w:after="0"/>
        <w:tabs>
          <w:tab w:leader="none" w:pos="346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Shaun Warwick Maloney</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Shaun Warwick Maloney. . . . . . . . . . . . . . . .</w:t>
      </w:r>
    </w:p>
    <w:p>
      <w:pPr>
        <w:spacing w:after="0" w:line="22" w:lineRule="exact"/>
        <w:rPr>
          <w:sz w:val="20"/>
          <w:szCs w:val="20"/>
          <w:color w:val="auto"/>
        </w:rPr>
      </w:pPr>
    </w:p>
    <w:p>
      <w:pPr>
        <w:jc w:val="right"/>
        <w:ind w:right="2639"/>
        <w:spacing w:after="0"/>
        <w:rPr>
          <w:sz w:val="20"/>
          <w:szCs w:val="20"/>
          <w:color w:val="auto"/>
        </w:rPr>
      </w:pPr>
      <w:r>
        <w:rPr>
          <w:rFonts w:ascii="Arial" w:cs="Arial" w:eastAsia="Arial" w:hAnsi="Arial"/>
          <w:sz w:val="20"/>
          <w:szCs w:val="20"/>
          <w:color w:val="auto"/>
        </w:rPr>
        <w:t>Signature of Shaun Warwick Maloney</w:t>
      </w:r>
    </w:p>
    <w:p>
      <w:pPr>
        <w:sectPr>
          <w:pgSz w:w="11900" w:h="16838" w:orient="portrait"/>
          <w:cols w:equalWidth="0" w:num="1">
            <w:col w:w="9959"/>
          </w:cols>
          <w:pgMar w:left="500" w:top="1332"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Signed by </w:t>
      </w:r>
      <w:r>
        <w:rPr>
          <w:rFonts w:ascii="Arial" w:cs="Arial" w:eastAsia="Arial" w:hAnsi="Arial"/>
          <w:sz w:val="19"/>
          <w:szCs w:val="19"/>
          <w:b w:val="1"/>
          <w:bCs w:val="1"/>
          <w:color w:val="auto"/>
        </w:rPr>
        <w:t>Graham Grant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Maki Holdings Limited </w:t>
      </w: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Paul Grunau</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TMD Holdings Ltd </w:t>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Graham Grant. . . . . . . . . . . . . . . . . . . . . . . . .</w:t>
      </w:r>
    </w:p>
    <w:p>
      <w:pPr>
        <w:spacing w:after="0" w:line="16"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Signature of Graham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Ian MacLeod. . . . . . . . . . . . . . . . . . . . . . . . .</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8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Ian MacLeod. . . . . . . . . . . . . . . . . . . . . . . . . . . .</w:t>
      </w:r>
    </w:p>
    <w:p>
      <w:pPr>
        <w:spacing w:after="0" w:line="100"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Director. . . . . . . . . . . . . . . . . . . . . . . . . . . . . . . .</w:t>
      </w:r>
    </w:p>
    <w:p>
      <w:pPr>
        <w:spacing w:after="0" w:line="100"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/s/ Paul Grunau. . . . . . . . . . . . . . . . . . . . . . . . . . .</w:t>
      </w:r>
    </w:p>
    <w:p>
      <w:pPr>
        <w:spacing w:after="0" w:line="16"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Signature of Paul Grunau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Tim Dobush. . . . . . . . . . . . . . . . . . . . . . . . . .</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8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Tim Dobush. . . . . . . . . . . . . . . . . . . . . . . . . . . .</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Director. . . . . . . . . . . . . . . . . . . . . . . . . . . . . . . .</w:t>
      </w:r>
    </w:p>
    <w:p>
      <w:pPr>
        <w:spacing w:after="0" w:line="100"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ectPr>
          <w:pgSz w:w="11900" w:h="16838" w:orient="portrait"/>
          <w:cols w:equalWidth="0" w:num="2">
            <w:col w:w="2280" w:space="360"/>
            <w:col w:w="7319"/>
          </w:cols>
          <w:pgMar w:left="500" w:top="13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959"/>
          </w:cols>
          <w:pgMar w:left="500" w:top="1332" w:right="1440" w:bottom="1440" w:gutter="0" w:footer="0" w:header="0"/>
          <w:type w:val="continuous"/>
        </w:sectPr>
      </w:pPr>
    </w:p>
    <w:bookmarkStart w:id="79" w:name="page80"/>
    <w:bookmarkEnd w:id="79"/>
    <w:p>
      <w:pPr>
        <w:spacing w:after="0"/>
        <w:tabs>
          <w:tab w:leader="none" w:pos="282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Curtis G. Kelln</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/s/ Curtis G. Kelln. . . . . . . . . . . . . . . . . . . . . . . . .</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Curtis G. Kelln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6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Christopher J. Kelln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Christopher J. Kelln. . . . . . . . . . . . . . . . . . . . .</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Christopher J. Kelln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94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Adam Pidlisecky</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Adam Pidlisecky. . . . . . . . . . . . . . . . . . . . . . .</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Adam Pidlisecky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44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Scott Alexander Houston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Scott Alexander Houston. . . . . . . . . . . . . . . . .</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Scott Alexander Houston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Lackawack ApS </w:t>
      </w:r>
      <w:r>
        <w:rPr>
          <w:rFonts w:ascii="Arial" w:cs="Arial" w:eastAsia="Arial" w:hAnsi="Arial"/>
          <w:sz w:val="20"/>
          <w:szCs w:val="20"/>
          <w:color w:val="auto"/>
        </w:rPr>
        <w:t>by:</w:t>
      </w:r>
    </w:p>
    <w:p>
      <w:pPr>
        <w:spacing w:after="0" w:line="200" w:lineRule="exact"/>
        <w:rPr>
          <w:sz w:val="20"/>
          <w:szCs w:val="20"/>
          <w:color w:val="auto"/>
        </w:rPr>
      </w:pPr>
    </w:p>
    <w:p>
      <w:pPr>
        <w:spacing w:after="0" w:line="29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Thomas Donald Krom. . . . . . . . . . . . . . . . . .</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8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Thomas Donald Krom. . . . . . . . . . . . . . . . . . . .</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CEO. . . . . . . . . . . . . . . . . . . . . . . . . . . . . . . .</w:t>
      </w:r>
    </w:p>
    <w:p>
      <w:pPr>
        <w:spacing w:after="0" w:line="65"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78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Daniel Wallace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Daniel Wallace.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Daniel Wallace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62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Nick Fogarty</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Nick Fogarty. . .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Nick Fogarty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8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Ana Cristina Chaves</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Ana Cristina Chaves.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Ana Cristina Chaves</w:t>
      </w:r>
    </w:p>
    <w:p>
      <w:pPr>
        <w:sectPr>
          <w:pgSz w:w="11900" w:h="16838" w:orient="portrait"/>
          <w:cols w:equalWidth="0" w:num="1">
            <w:col w:w="9959"/>
          </w:cols>
          <w:pgMar w:left="500" w:top="13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959"/>
          </w:cols>
          <w:pgMar w:left="500" w:top="1332" w:right="1440" w:bottom="1440" w:gutter="0" w:footer="0" w:header="0"/>
          <w:type w:val="continuous"/>
        </w:sectPr>
      </w:pPr>
    </w:p>
    <w:bookmarkStart w:id="80" w:name="page81"/>
    <w:bookmarkEnd w:id="80"/>
    <w:p>
      <w:pPr>
        <w:spacing w:after="0"/>
        <w:tabs>
          <w:tab w:leader="none" w:pos="300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Lorraine Godwin</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/s/ Lorraine Godwin.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Lorraine Godwin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26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Timothy John Mitchell</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/s/ Timothy John Mitchell. . . . . . . . . . . . . . . . . .</w:t>
      </w:r>
    </w:p>
    <w:p>
      <w:pPr>
        <w:spacing w:after="0" w:line="60" w:lineRule="exact"/>
        <w:rPr>
          <w:sz w:val="20"/>
          <w:szCs w:val="20"/>
          <w:color w:val="auto"/>
        </w:rPr>
      </w:pPr>
    </w:p>
    <w:p>
      <w:pPr>
        <w:jc w:val="right"/>
        <w:ind w:right="2839"/>
        <w:spacing w:after="0"/>
        <w:rPr>
          <w:sz w:val="20"/>
          <w:szCs w:val="20"/>
          <w:color w:val="auto"/>
        </w:rPr>
      </w:pPr>
      <w:r>
        <w:rPr>
          <w:rFonts w:ascii="Arial" w:cs="Arial" w:eastAsia="Arial" w:hAnsi="Arial"/>
          <w:sz w:val="20"/>
          <w:szCs w:val="20"/>
          <w:color w:val="auto"/>
        </w:rPr>
        <w:t>Signature of Timothy John Mitchell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70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Natalie Green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Natalie Green. . .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Natalie Green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64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John Good</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John Good. . . . .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John Good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74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Philip Keith</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/s/ Philip Keith. . . .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Philip Keith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74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James Lawton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James Lawton. .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James Lawton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68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Melanie Lynn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Melanie Lynn. . .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Melanie Lynn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52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Lisa Wall</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Lisa Wall. . . . . . . . . . . . . . . . . . . . . . . . . . . . .</w:t>
      </w:r>
    </w:p>
    <w:p>
      <w:pPr>
        <w:spacing w:after="0" w:line="6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Signature of Lisa Wall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90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Emma Warwick</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Emma Warwick.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Emma Warwick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Iain McLean</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/s/ Iain McLean. . . . . . . . . . . . . . . . . . . . . . . . . . .</w:t>
      </w:r>
    </w:p>
    <w:p>
      <w:pPr>
        <w:spacing w:after="0" w:line="6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Signature of Iain McLean</w:t>
      </w:r>
    </w:p>
    <w:p>
      <w:pPr>
        <w:sectPr>
          <w:pgSz w:w="11900" w:h="16838" w:orient="portrait"/>
          <w:cols w:equalWidth="0" w:num="1">
            <w:col w:w="9959"/>
          </w:cols>
          <w:pgMar w:left="500" w:top="13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959"/>
          </w:cols>
          <w:pgMar w:left="500" w:top="1332" w:right="1440" w:bottom="1440" w:gutter="0" w:footer="0" w:header="0"/>
          <w:type w:val="continuous"/>
        </w:sectPr>
      </w:pPr>
    </w:p>
    <w:bookmarkStart w:id="81" w:name="page82"/>
    <w:bookmarkEnd w:id="81"/>
    <w:p>
      <w:pPr>
        <w:spacing w:after="0" w:line="135" w:lineRule="exact"/>
        <w:rPr>
          <w:sz w:val="20"/>
          <w:szCs w:val="20"/>
          <w:color w:val="auto"/>
        </w:rPr>
      </w:pPr>
    </w:p>
    <w:p>
      <w:pPr>
        <w:ind w:left="180"/>
        <w:spacing w:after="0"/>
        <w:tabs>
          <w:tab w:leader="none" w:pos="2760" w:val="left"/>
        </w:tabs>
        <w:rPr>
          <w:sz w:val="20"/>
          <w:szCs w:val="20"/>
          <w:color w:val="auto"/>
        </w:rPr>
      </w:pPr>
      <w:r>
        <w:rPr>
          <w:rFonts w:ascii="Arial" w:cs="Arial" w:eastAsia="Arial" w:hAnsi="Arial"/>
          <w:sz w:val="20"/>
          <w:szCs w:val="20"/>
          <w:color w:val="auto"/>
        </w:rPr>
        <w:t xml:space="preserve">Signed by </w:t>
      </w:r>
      <w:r>
        <w:rPr>
          <w:rFonts w:ascii="Arial" w:cs="Arial" w:eastAsia="Arial" w:hAnsi="Arial"/>
          <w:sz w:val="20"/>
          <w:szCs w:val="20"/>
          <w:b w:val="1"/>
          <w:bCs w:val="1"/>
          <w:color w:val="auto"/>
        </w:rPr>
        <w:t>Colin Hay</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 Colin Hay. . . . . . . . . . . . . . . . . . . . . . . . . . . . .</w:t>
      </w:r>
    </w:p>
    <w:p>
      <w:pPr>
        <w:spacing w:after="0" w:line="6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Signature of Colin Hay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BUYER</w:t>
      </w:r>
      <w:r>
        <w:rPr>
          <w:rFonts w:ascii="Arial" w:cs="Arial" w:eastAsia="Arial" w:hAnsi="Arial"/>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Bentley Systems, Incorporated </w:t>
      </w:r>
      <w:r>
        <w:rPr>
          <w:rFonts w:ascii="Arial" w:cs="Arial" w:eastAsia="Arial" w:hAnsi="Arial"/>
          <w:sz w:val="20"/>
          <w:szCs w:val="20"/>
          <w:color w:val="auto"/>
        </w:rPr>
        <w:t>by:</w:t>
      </w:r>
    </w:p>
    <w:p>
      <w:pPr>
        <w:spacing w:after="0" w:line="200" w:lineRule="exact"/>
        <w:rPr>
          <w:sz w:val="20"/>
          <w:szCs w:val="20"/>
          <w:color w:val="auto"/>
        </w:rPr>
      </w:pPr>
    </w:p>
    <w:p>
      <w:pPr>
        <w:spacing w:after="0" w:line="2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David Shaman. . . . . . . . . . . . . . . . . . . . . . . .</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David Shaman. . . . . . . . . . . . . . . . . . . . . . . . . . .</w:t>
      </w:r>
    </w:p>
    <w:p>
      <w:pPr>
        <w:spacing w:after="0" w:line="10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Legal Officer. . . . . . . . . . . . . . . . . . . . . . .</w:t>
      </w:r>
    </w:p>
    <w:p>
      <w:pPr>
        <w:spacing w:after="0" w:line="7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139"/>
          </w:cols>
          <w:pgMar w:left="320" w:top="144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SIDE LETTER AGREEMENT</w:t>
      </w:r>
    </w:p>
    <w:p>
      <w:pPr>
        <w:spacing w:after="0" w:line="243" w:lineRule="exact"/>
        <w:rPr>
          <w:sz w:val="20"/>
          <w:szCs w:val="20"/>
          <w:color w:val="auto"/>
        </w:rPr>
      </w:pPr>
    </w:p>
    <w:p>
      <w:pPr>
        <w:ind w:right="200" w:firstLine="405"/>
        <w:spacing w:after="0" w:line="294" w:lineRule="auto"/>
        <w:rPr>
          <w:sz w:val="20"/>
          <w:szCs w:val="20"/>
          <w:color w:val="auto"/>
        </w:rPr>
      </w:pPr>
      <w:r>
        <w:rPr>
          <w:rFonts w:ascii="Arial" w:cs="Arial" w:eastAsia="Arial" w:hAnsi="Arial"/>
          <w:sz w:val="18"/>
          <w:szCs w:val="18"/>
          <w:color w:val="auto"/>
        </w:rPr>
        <w:t>This Amendment to Side Letter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March 11, 2021 by and between Accel-KKR Capital Partners V, LP (the “</w:t>
      </w:r>
      <w:r>
        <w:rPr>
          <w:rFonts w:ascii="Arial" w:cs="Arial" w:eastAsia="Arial" w:hAnsi="Arial"/>
          <w:sz w:val="18"/>
          <w:szCs w:val="18"/>
          <w:b w:val="1"/>
          <w:bCs w:val="1"/>
          <w:color w:val="auto"/>
        </w:rPr>
        <w:t>Sellers’ Representative</w:t>
      </w:r>
      <w:r>
        <w:rPr>
          <w:rFonts w:ascii="Arial" w:cs="Arial" w:eastAsia="Arial" w:hAnsi="Arial"/>
          <w:sz w:val="18"/>
          <w:szCs w:val="18"/>
          <w:color w:val="auto"/>
        </w:rPr>
        <w:t>”) and Bentley Systems, Incorporated (the “</w:t>
      </w:r>
      <w:r>
        <w:rPr>
          <w:rFonts w:ascii="Arial" w:cs="Arial" w:eastAsia="Arial" w:hAnsi="Arial"/>
          <w:sz w:val="18"/>
          <w:szCs w:val="18"/>
          <w:b w:val="1"/>
          <w:bCs w:val="1"/>
          <w:color w:val="auto"/>
        </w:rPr>
        <w:t>Buyer</w:t>
      </w:r>
      <w:r>
        <w:rPr>
          <w:rFonts w:ascii="Arial" w:cs="Arial" w:eastAsia="Arial" w:hAnsi="Arial"/>
          <w:sz w:val="18"/>
          <w:szCs w:val="18"/>
          <w:color w:val="auto"/>
        </w:rPr>
        <w:t>”). Capitalized terms used but not otherwise defined in this Amendment shall have the meanings ascribed to such terms in the Purchase Agreement (as defined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43" w:lineRule="exact"/>
        <w:rPr>
          <w:sz w:val="20"/>
          <w:szCs w:val="20"/>
          <w:color w:val="auto"/>
        </w:rPr>
      </w:pPr>
    </w:p>
    <w:p>
      <w:pPr>
        <w:jc w:val="both"/>
        <w:ind w:right="140" w:firstLine="405"/>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Sellers’ Representative and the Buyer, among others, have entered into that certain Sale and Purchase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dated as of the date hereof (as it may be amended, modified or waived from time to time,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45" w:lineRule="exact"/>
        <w:rPr>
          <w:sz w:val="20"/>
          <w:szCs w:val="20"/>
          <w:color w:val="auto"/>
        </w:rPr>
      </w:pPr>
    </w:p>
    <w:p>
      <w:pPr>
        <w:jc w:val="both"/>
        <w:ind w:right="140" w:firstLine="405"/>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the Purchase Agreement, the Sellers’ Representative and the Buyer, among others, entered into a Side</w:t>
      </w:r>
      <w:r>
        <w:rPr>
          <w:rFonts w:ascii="Arial" w:cs="Arial" w:eastAsia="Arial" w:hAnsi="Arial"/>
          <w:sz w:val="20"/>
          <w:szCs w:val="20"/>
          <w:b w:val="1"/>
          <w:bCs w:val="1"/>
          <w:color w:val="auto"/>
        </w:rPr>
        <w:t xml:space="preserve"> </w:t>
      </w:r>
      <w:r>
        <w:rPr>
          <w:rFonts w:ascii="Arial" w:cs="Arial" w:eastAsia="Arial" w:hAnsi="Arial"/>
          <w:sz w:val="20"/>
          <w:szCs w:val="20"/>
          <w:color w:val="auto"/>
        </w:rPr>
        <w:t>Letter Agreement (the “</w:t>
      </w:r>
      <w:r>
        <w:rPr>
          <w:rFonts w:ascii="Arial" w:cs="Arial" w:eastAsia="Arial" w:hAnsi="Arial"/>
          <w:sz w:val="20"/>
          <w:szCs w:val="20"/>
          <w:b w:val="1"/>
          <w:bCs w:val="1"/>
          <w:color w:val="auto"/>
        </w:rPr>
        <w:t>Letter Agreement</w:t>
      </w:r>
      <w:r>
        <w:rPr>
          <w:rFonts w:ascii="Arial" w:cs="Arial" w:eastAsia="Arial" w:hAnsi="Arial"/>
          <w:sz w:val="20"/>
          <w:szCs w:val="20"/>
          <w:color w:val="auto"/>
        </w:rPr>
        <w:t>”) setting forth certain rights and obligations of the parties thereto relating to shares of the Buyer that may be issued pursuant to the terms and conditions of the Purchase Agreement;</w:t>
      </w:r>
    </w:p>
    <w:p>
      <w:pPr>
        <w:spacing w:after="0" w:line="204" w:lineRule="exact"/>
        <w:rPr>
          <w:sz w:val="20"/>
          <w:szCs w:val="20"/>
          <w:color w:val="auto"/>
        </w:rPr>
      </w:pPr>
    </w:p>
    <w:p>
      <w:pPr>
        <w:ind w:right="20" w:firstLine="405"/>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clause 6 of the Letter Agreement provides that the Letter Agreement may be amended if such amendment is in writing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signed by the Sellers’ Representative and the Buyer; and</w:t>
      </w:r>
    </w:p>
    <w:p>
      <w:pPr>
        <w:spacing w:after="0" w:line="190" w:lineRule="exact"/>
        <w:rPr>
          <w:sz w:val="20"/>
          <w:szCs w:val="20"/>
          <w:color w:val="auto"/>
        </w:rPr>
      </w:pPr>
    </w:p>
    <w:p>
      <w:pPr>
        <w:ind w:right="180" w:firstLine="405"/>
        <w:spacing w:after="0" w:line="253"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and the representations, warranties, covenants and conditions set forth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Agreement and the Letter Agreement, the parties hereto, intending to be legally bound, hereby agree to amend the Letter Agreement as follows:</w:t>
      </w:r>
    </w:p>
    <w:p>
      <w:pPr>
        <w:spacing w:after="0" w:line="204" w:lineRule="exact"/>
        <w:rPr>
          <w:sz w:val="20"/>
          <w:szCs w:val="20"/>
          <w:color w:val="auto"/>
        </w:rPr>
      </w:pPr>
    </w:p>
    <w:p>
      <w:pPr>
        <w:ind w:left="740" w:right="120" w:hanging="327"/>
        <w:spacing w:after="0" w:line="267" w:lineRule="auto"/>
        <w:tabs>
          <w:tab w:leader="none" w:pos="762"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Amendment</w:t>
      </w:r>
      <w:r>
        <w:rPr>
          <w:rFonts w:ascii="Arial" w:cs="Arial" w:eastAsia="Arial" w:hAnsi="Arial"/>
          <w:sz w:val="20"/>
          <w:szCs w:val="20"/>
          <w:color w:val="auto"/>
        </w:rPr>
        <w:t>. The first sentence of clause 2(a) of the Letter Agreement is hereby amended and restated to read as follows,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language added in bolded underlined text:</w:t>
      </w:r>
    </w:p>
    <w:p>
      <w:pPr>
        <w:spacing w:after="0" w:line="190" w:lineRule="exact"/>
        <w:rPr>
          <w:rFonts w:ascii="Arial" w:cs="Arial" w:eastAsia="Arial" w:hAnsi="Arial"/>
          <w:sz w:val="20"/>
          <w:szCs w:val="20"/>
          <w:color w:val="auto"/>
        </w:rPr>
      </w:pPr>
    </w:p>
    <w:p>
      <w:pPr>
        <w:ind w:left="1380" w:right="120" w:hanging="319"/>
        <w:spacing w:after="0" w:line="248" w:lineRule="auto"/>
        <w:tabs>
          <w:tab w:leader="none" w:pos="1391"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On or as soon as reasonably practicable following October 1, 2021 </w:t>
      </w:r>
      <w:r>
        <w:rPr>
          <w:rFonts w:ascii="Arial" w:cs="Arial" w:eastAsia="Arial" w:hAnsi="Arial"/>
          <w:sz w:val="20"/>
          <w:szCs w:val="20"/>
          <w:b w:val="1"/>
          <w:bCs w:val="1"/>
          <w:u w:val="single" w:color="auto"/>
          <w:color w:val="auto"/>
        </w:rPr>
        <w:t>(but, for the avoidance of doubt, in no event prior to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the Completion Date)</w:t>
      </w:r>
      <w:r>
        <w:rPr>
          <w:rFonts w:ascii="Arial" w:cs="Arial" w:eastAsia="Arial" w:hAnsi="Arial"/>
          <w:sz w:val="20"/>
          <w:szCs w:val="20"/>
          <w:color w:val="auto"/>
        </w:rPr>
        <w:t>, Buyer shall file a resale registration statement on Form S-3 (which shall be an automatic shelf</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registration if Buyer may file on such basis) registering the resale of any Consideration Shares held by Sellers on a delayed or continuous basis (the “</w:t>
      </w:r>
      <w:r>
        <w:rPr>
          <w:rFonts w:ascii="Arial" w:cs="Arial" w:eastAsia="Arial" w:hAnsi="Arial"/>
          <w:sz w:val="20"/>
          <w:szCs w:val="20"/>
          <w:b w:val="1"/>
          <w:bCs w:val="1"/>
          <w:color w:val="auto"/>
        </w:rPr>
        <w:t>Registration Statement</w:t>
      </w:r>
      <w:r>
        <w:rPr>
          <w:rFonts w:ascii="Arial" w:cs="Arial" w:eastAsia="Arial" w:hAnsi="Arial"/>
          <w:sz w:val="20"/>
          <w:szCs w:val="20"/>
          <w:color w:val="auto"/>
        </w:rPr>
        <w:t>”).</w:t>
      </w:r>
    </w:p>
    <w:p>
      <w:pPr>
        <w:spacing w:after="0" w:line="210" w:lineRule="exact"/>
        <w:rPr>
          <w:rFonts w:ascii="Arial" w:cs="Arial" w:eastAsia="Arial" w:hAnsi="Arial"/>
          <w:sz w:val="20"/>
          <w:szCs w:val="20"/>
          <w:color w:val="auto"/>
        </w:rPr>
      </w:pPr>
    </w:p>
    <w:p>
      <w:pPr>
        <w:ind w:left="740" w:right="400" w:hanging="327"/>
        <w:spacing w:after="0" w:line="267" w:lineRule="auto"/>
        <w:tabs>
          <w:tab w:leader="none" w:pos="762"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No Further Amendment. </w:t>
      </w:r>
      <w:r>
        <w:rPr>
          <w:rFonts w:ascii="Arial" w:cs="Arial" w:eastAsia="Arial" w:hAnsi="Arial"/>
          <w:sz w:val="20"/>
          <w:szCs w:val="20"/>
          <w:color w:val="auto"/>
        </w:rPr>
        <w:t>Except as expressly amended herein, all of the terms and conditions of the Letter Agreement remain</w:t>
      </w:r>
      <w:r>
        <w:rPr>
          <w:rFonts w:ascii="Arial" w:cs="Arial" w:eastAsia="Arial" w:hAnsi="Arial"/>
          <w:sz w:val="20"/>
          <w:szCs w:val="20"/>
          <w:b w:val="1"/>
          <w:bCs w:val="1"/>
          <w:color w:val="auto"/>
        </w:rPr>
        <w:t xml:space="preserve"> </w:t>
      </w:r>
      <w:r>
        <w:rPr>
          <w:rFonts w:ascii="Arial" w:cs="Arial" w:eastAsia="Arial" w:hAnsi="Arial"/>
          <w:sz w:val="20"/>
          <w:szCs w:val="20"/>
          <w:color w:val="auto"/>
        </w:rPr>
        <w:t>unchanged and in full force and effect.</w:t>
      </w:r>
    </w:p>
    <w:p>
      <w:pPr>
        <w:spacing w:after="0" w:line="190" w:lineRule="exact"/>
        <w:rPr>
          <w:rFonts w:ascii="Arial" w:cs="Arial" w:eastAsia="Arial" w:hAnsi="Arial"/>
          <w:sz w:val="20"/>
          <w:szCs w:val="20"/>
          <w:color w:val="auto"/>
        </w:rPr>
      </w:pPr>
    </w:p>
    <w:p>
      <w:pPr>
        <w:ind w:left="740" w:right="460" w:hanging="327"/>
        <w:spacing w:after="0" w:line="293" w:lineRule="auto"/>
        <w:tabs>
          <w:tab w:leader="none" w:pos="762"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Clause 15 (Notices) and Clause 16 (Miscellaneous) of the Purchase Agreement are incorporated herein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 as if set out fully herein and shall apply in all respects to this Amendment, mutatis mutandis.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240"/>
          </w:cols>
          <w:pgMar w:left="320" w:top="769" w:right="339" w:bottom="1440" w:gutter="0" w:footer="0" w:header="0"/>
        </w:sectPr>
      </w:pPr>
    </w:p>
    <w:bookmarkStart w:id="83" w:name="page84"/>
    <w:bookmarkEnd w:id="83"/>
    <w:p>
      <w:pPr>
        <w:ind w:firstLine="405"/>
        <w:spacing w:after="0" w:line="293" w:lineRule="auto"/>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intending to be legally bound by the terms hereof, have caused this Amendment to be</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as of the date first above written by their officers or other representatives thereunto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BUYER:</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Bentley Systems, Incorporated </w:t>
      </w:r>
      <w:r>
        <w:rPr>
          <w:rFonts w:ascii="Arial" w:cs="Arial" w:eastAsia="Arial" w:hAnsi="Arial"/>
          <w:sz w:val="20"/>
          <w:szCs w:val="20"/>
          <w:color w:val="auto"/>
        </w:rPr>
        <w:t>by:</w:t>
      </w:r>
    </w:p>
    <w:p>
      <w:pPr>
        <w:spacing w:after="0" w:line="200" w:lineRule="exact"/>
        <w:rPr>
          <w:sz w:val="20"/>
          <w:szCs w:val="20"/>
          <w:color w:val="auto"/>
        </w:rPr>
      </w:pPr>
    </w:p>
    <w:p>
      <w:pPr>
        <w:spacing w:after="0" w:line="23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 David Shaman . . . . . . . . . . . . . . . . . . . . . . .</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3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David Shaman . . . . . . . . . . . . . . . . . . . . . . . . . .</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3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Chief Legal Officer. . . . . . . . . . . . . . . . . . . . . . .</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80"/>
          </w:cols>
          <w:pgMar w:left="320" w:top="1413" w:right="59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SELLERS’ REPRESENTATIVE: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Accel-KKR Capital Partners V, LP </w:t>
      </w:r>
      <w:r>
        <w:rPr>
          <w:rFonts w:ascii="Arial" w:cs="Arial" w:eastAsia="Arial" w:hAnsi="Arial"/>
          <w:sz w:val="20"/>
          <w:szCs w:val="20"/>
          <w:color w:val="auto"/>
        </w:rPr>
        <w:t>by:</w:t>
      </w:r>
    </w:p>
    <w:p>
      <w:pPr>
        <w:spacing w:after="0" w:line="200" w:lineRule="exact"/>
        <w:rPr>
          <w:sz w:val="20"/>
          <w:szCs w:val="20"/>
          <w:color w:val="auto"/>
        </w:rPr>
      </w:pPr>
    </w:p>
    <w:p>
      <w:pPr>
        <w:spacing w:after="0" w:line="238"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Thomas C. Barnds. . . . . . . . . . . . . . . . . . . . .</w:t>
      </w:r>
    </w:p>
    <w:p>
      <w:pPr>
        <w:spacing w:after="0" w:line="100"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Signature of authorised person</w:t>
      </w:r>
    </w:p>
    <w:p>
      <w:pPr>
        <w:spacing w:after="0" w:line="200" w:lineRule="exact"/>
        <w:rPr>
          <w:sz w:val="20"/>
          <w:szCs w:val="20"/>
          <w:color w:val="auto"/>
        </w:rPr>
      </w:pP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Thomas C. Barnds . . . . . . . . . . . . . . . . . . . . . . .</w:t>
      </w:r>
    </w:p>
    <w:p>
      <w:pPr>
        <w:spacing w:after="0" w:line="100"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 of authorised person (print)</w:t>
      </w:r>
    </w:p>
    <w:p>
      <w:pPr>
        <w:spacing w:after="0" w:line="200" w:lineRule="exact"/>
        <w:rPr>
          <w:sz w:val="20"/>
          <w:szCs w:val="20"/>
          <w:color w:val="auto"/>
        </w:rPr>
      </w:pP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Managing Partner. . . . . . . . . . . . . . . . . . . . . . . .</w:t>
      </w:r>
    </w:p>
    <w:p>
      <w:pPr>
        <w:spacing w:after="0" w:line="100"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Office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39"/>
          </w:cols>
          <w:pgMar w:left="320" w:top="1413"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25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Bentley Systems, Incorporated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Hollister, certify that:</w:t>
      </w:r>
    </w:p>
    <w:p>
      <w:pPr>
        <w:spacing w:after="0" w:line="25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Bentley Systems, Incorporated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J. H</w:t>
      </w:r>
      <w:r>
        <w:rPr>
          <w:rFonts w:ascii="Arial" w:cs="Arial" w:eastAsia="Arial" w:hAnsi="Arial"/>
          <w:sz w:val="14"/>
          <w:szCs w:val="14"/>
          <w:color w:val="auto"/>
        </w:rPr>
        <w:t>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26" w:lineRule="exact"/>
        <w:rPr>
          <w:sz w:val="20"/>
          <w:szCs w:val="20"/>
          <w:color w:val="auto"/>
        </w:rPr>
      </w:pPr>
      <w:r>
        <w:rPr>
          <w:rFonts w:ascii="Arial" w:cs="Arial" w:eastAsia="Arial" w:hAnsi="Arial"/>
          <w:sz w:val="17"/>
          <w:szCs w:val="17"/>
          <w:color w:val="auto"/>
        </w:rPr>
        <w:t>In connection with the Quarterly Report of Bentley Systems, Incorporated (the “Company”) on Form 10</w:t>
      </w:r>
      <w:r>
        <w:rPr>
          <w:rFonts w:ascii="MS PGothic" w:cs="MS PGothic" w:eastAsia="MS PGothic" w:hAnsi="MS PGothic"/>
          <w:sz w:val="18"/>
          <w:szCs w:val="18"/>
          <w:color w:val="auto"/>
        </w:rPr>
        <w:t>‑Q</w:t>
      </w:r>
      <w:r>
        <w:rPr>
          <w:rFonts w:ascii="Arial" w:cs="Arial" w:eastAsia="Arial" w:hAnsi="Arial"/>
          <w:sz w:val="17"/>
          <w:szCs w:val="17"/>
          <w:color w:val="auto"/>
        </w:rPr>
        <w:t xml:space="preserve"> for the period ended March 31, 2021,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229"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140" w:firstLine="332"/>
        <w:spacing w:after="0" w:line="559" w:lineRule="auto"/>
        <w:tabs>
          <w:tab w:leader="none" w:pos="6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11, 2021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J. H</w:t>
      </w:r>
      <w:r>
        <w:rPr>
          <w:rFonts w:ascii="Arial" w:cs="Arial" w:eastAsia="Arial" w:hAnsi="Arial"/>
          <w:sz w:val="14"/>
          <w:szCs w:val="14"/>
          <w:color w:val="auto"/>
        </w:rPr>
        <w:t>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emdash "/>
      <w:numFmt w:val="bullet"/>
      <w:start w:val="1"/>
    </w:lvl>
  </w:abstractNum>
  <w:abstractNum w:abstractNumId="3">
    <w:nsid w:val="3A95F874"/>
    <w:multiLevelType w:val="hybridMultilevel"/>
    <w:lvl w:ilvl="0">
      <w:lvlJc w:val="left"/>
      <w:lvlText w:val="(%1)"/>
      <w:numFmt w:val="decimal"/>
      <w:start w:val="50"/>
    </w:lvl>
  </w:abstractNum>
  <w:abstractNum w:abstractNumId="4">
    <w:nsid w:val="8138641"/>
    <w:multiLevelType w:val="hybridMultilevel"/>
    <w:lvl w:ilvl="0">
      <w:lvlJc w:val="left"/>
      <w:lvlText w:val="(%1)"/>
      <w:numFmt w:val="decimal"/>
      <w:start w:val="25"/>
    </w:lvl>
  </w:abstractNum>
  <w:abstractNum w:abstractNumId="5">
    <w:nsid w:val="1E7FF521"/>
    <w:multiLevelType w:val="hybridMultilevel"/>
    <w:lvl w:ilvl="0">
      <w:lvlJc w:val="left"/>
      <w:lvlText w:val="(%1)"/>
      <w:numFmt w:val="lowerRoman"/>
      <w:start w:val="2"/>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3"/>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Roman"/>
      <w:start w:val="1"/>
    </w:lvl>
  </w:abstractNum>
  <w:abstractNum w:abstractNumId="28">
    <w:nsid w:val="70A64E2A"/>
    <w:multiLevelType w:val="hybridMultilevel"/>
    <w:lvl w:ilvl="0">
      <w:lvlJc w:val="left"/>
      <w:lvlText w:val="*"/>
      <w:numFmt w:val="bullet"/>
      <w:start w:val="1"/>
    </w:lvl>
    <w:lvl w:ilvl="1">
      <w:lvlJc w:val="left"/>
      <w:lvlText w:val="%2"/>
      <w:numFmt w:val="decimal"/>
      <w:start w:val="104"/>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lowerLetter"/>
      <w:start w:val="1"/>
    </w:lvl>
    <w:lvl w:ilvl="1">
      <w:lvlJc w:val="left"/>
      <w:lvlText w:val="(%2)"/>
      <w:numFmt w:val="lowerRoman"/>
      <w:start w:val="1"/>
    </w:lvl>
  </w:abstractNum>
  <w:abstractNum w:abstractNumId="33">
    <w:nsid w:val="2CD89A3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4">
    <w:nsid w:val="57E4CCAF"/>
    <w:multiLevelType w:val="hybridMultilevel"/>
    <w:lvl w:ilvl="0">
      <w:lvlJc w:val="left"/>
      <w:lvlText w:val="(%1)"/>
      <w:numFmt w:val="lowerRoman"/>
      <w:start w:val="10"/>
    </w:lvl>
  </w:abstractNum>
  <w:abstractNum w:abstractNumId="35">
    <w:nsid w:val="7A6D8D3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6">
    <w:nsid w:val="4B588F54"/>
    <w:multiLevelType w:val="hybridMultilevel"/>
    <w:lvl w:ilvl="0">
      <w:lvlJc w:val="left"/>
      <w:lvlText w:val="%1"/>
      <w:numFmt w:val="lowerRoman"/>
      <w:start w:val="1"/>
    </w:lvl>
    <w:lvl w:ilvl="1">
      <w:lvlJc w:val="left"/>
      <w:lvlText w:val="%2."/>
      <w:numFmt w:val="lowerRoman"/>
      <w:start w:val="2"/>
    </w:lvl>
  </w:abstractNum>
  <w:abstractNum w:abstractNumId="37">
    <w:nsid w:val="542289EC"/>
    <w:multiLevelType w:val="hybridMultilevel"/>
    <w:lvl w:ilvl="0">
      <w:lvlJc w:val="left"/>
      <w:lvlText w:val="%1."/>
      <w:numFmt w:val="lowerRoman"/>
      <w:start w:val="3"/>
    </w:lvl>
    <w:lvl w:ilvl="1">
      <w:lvlJc w:val="left"/>
      <w:lvlText w:val="%2"/>
      <w:numFmt w:val="lowerRoman"/>
      <w:start w:val="1"/>
    </w:lvl>
  </w:abstractNum>
  <w:abstractNum w:abstractNumId="38">
    <w:nsid w:val="6DE91B18"/>
    <w:multiLevelType w:val="hybridMultilevel"/>
    <w:lvl w:ilvl="0">
      <w:lvlJc w:val="left"/>
      <w:lvlText w:val="%1"/>
      <w:numFmt w:val="decimal"/>
      <w:start w:val="1"/>
    </w:lvl>
    <w:lvl w:ilvl="1">
      <w:lvlJc w:val="left"/>
      <w:lvlText w:val="%2."/>
      <w:numFmt w:val="lowerLetter"/>
      <w:start w:val="4"/>
    </w:lvl>
  </w:abstractNum>
  <w:abstractNum w:abstractNumId="39">
    <w:nsid w:val="38437FDB"/>
    <w:multiLevelType w:val="hybridMultilevel"/>
    <w:lvl w:ilvl="0">
      <w:lvlJc w:val="left"/>
      <w:lvlText w:val="%1."/>
      <w:numFmt w:val="decimal"/>
      <w:start w:val="3"/>
    </w:lvl>
    <w:lvl w:ilvl="1">
      <w:lvlJc w:val="left"/>
      <w:lvlText w:val="%2"/>
      <w:numFmt w:val="lowerLetter"/>
      <w:start w:val="1"/>
    </w:lvl>
  </w:abstractNum>
  <w:abstractNum w:abstractNumId="40">
    <w:nsid w:val="7644A45C"/>
    <w:multiLevelType w:val="hybridMultilevel"/>
    <w:lvl w:ilvl="0">
      <w:lvlJc w:val="left"/>
      <w:lvlText w:val="%1."/>
      <w:numFmt w:val="lowerLetter"/>
      <w:start w:val="1"/>
    </w:lvl>
    <w:lvl w:ilvl="1">
      <w:lvlJc w:val="left"/>
      <w:lvlText w:val="%2"/>
      <w:numFmt w:val="lowerLetter"/>
      <w:start w:val="1"/>
    </w:lvl>
  </w:abstractNum>
  <w:abstractNum w:abstractNumId="41">
    <w:nsid w:val="32FFF902"/>
    <w:multiLevelType w:val="hybridMultilevel"/>
    <w:lvl w:ilvl="0">
      <w:lvlJc w:val="left"/>
      <w:lvlText w:val="%1."/>
      <w:numFmt w:val="lowerRoman"/>
      <w:start w:val="2"/>
    </w:lvl>
  </w:abstractNum>
  <w:abstractNum w:abstractNumId="42">
    <w:nsid w:val="684A481A"/>
    <w:multiLevelType w:val="hybridMultilevel"/>
    <w:lvl w:ilvl="0">
      <w:lvlJc w:val="left"/>
      <w:lvlText w:val="%1."/>
      <w:numFmt w:val="lowerRoman"/>
      <w:start w:val="3"/>
    </w:lvl>
    <w:lvl w:ilvl="1">
      <w:lvlJc w:val="left"/>
      <w:lvlText w:val="%2."/>
      <w:numFmt w:val="lowerRoman"/>
      <w:start w:val="5"/>
    </w:lvl>
  </w:abstractNum>
  <w:abstractNum w:abstractNumId="43">
    <w:nsid w:val="579478FE"/>
    <w:multiLevelType w:val="hybridMultilevel"/>
    <w:lvl w:ilvl="0">
      <w:lvlJc w:val="left"/>
      <w:lvlText w:val="%1"/>
      <w:numFmt w:val="lowerLetter"/>
      <w:start w:val="1"/>
    </w:lvl>
    <w:lvl w:ilvl="1">
      <w:lvlJc w:val="left"/>
      <w:lvlText w:val="%2."/>
      <w:numFmt w:val="lowerRoman"/>
      <w:start w:val="6"/>
    </w:lvl>
  </w:abstractNum>
  <w:abstractNum w:abstractNumId="44">
    <w:nsid w:val="749ABB43"/>
    <w:multiLevelType w:val="hybridMultilevel"/>
    <w:lvl w:ilvl="0">
      <w:lvlJc w:val="left"/>
      <w:lvlText w:val="%1."/>
      <w:numFmt w:val="lowerLetter"/>
      <w:start w:val="7"/>
    </w:lvl>
    <w:lvl w:ilvl="1">
      <w:lvlJc w:val="left"/>
      <w:lvlText w:val="%2"/>
      <w:numFmt w:val="lowerRoman"/>
      <w:start w:val="1"/>
    </w:lvl>
  </w:abstractNum>
  <w:abstractNum w:abstractNumId="45">
    <w:nsid w:val="3DC240F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6">
    <w:nsid w:val="1BA026FA"/>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47">
    <w:nsid w:val="79A1DEA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8">
    <w:nsid w:val="75C6C33A"/>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5"/>
    </w:lvl>
  </w:abstractNum>
  <w:abstractNum w:abstractNumId="49">
    <w:nsid w:val="12E685FB"/>
    <w:multiLevelType w:val="hybridMultilevel"/>
    <w:lvl w:ilvl="0">
      <w:lvlJc w:val="left"/>
      <w:lvlText w:val="%1."/>
      <w:numFmt w:val="lowerRoman"/>
      <w:start w:val="7"/>
    </w:lvl>
    <w:lvl w:ilvl="1">
      <w:lvlJc w:val="left"/>
      <w:lvlText w:val="%2"/>
      <w:numFmt w:val="lowerRoman"/>
      <w:start w:val="1"/>
    </w:lvl>
    <w:lvl w:ilvl="2">
      <w:lvlJc w:val="left"/>
      <w:lvlText w:val="%3."/>
      <w:numFmt w:val="lowerRoman"/>
      <w:start w:val="8"/>
    </w:lvl>
  </w:abstractNum>
  <w:abstractNum w:abstractNumId="50">
    <w:nsid w:val="70C6A529"/>
    <w:multiLevelType w:val="hybridMultilevel"/>
    <w:lvl w:ilvl="0">
      <w:lvlJc w:val="left"/>
      <w:lvlText w:val="%1."/>
      <w:numFmt w:val="decimal"/>
      <w:start w:val="6"/>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2021-05-11T16:14:54Z</dcterms:created>
  <dcterms:modified xsi:type="dcterms:W3CDTF">2021-05-11T16:14:54Z</dcterms:modified>
</cp:coreProperties>
</file>