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7"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7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440" w:right="339" w:bottom="1440" w:gutter="0" w:footer="0" w:header="0"/>
          <w:type w:val="continuous"/>
        </w:sectPr>
      </w:pP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001-39548</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BENTLEY SYSTEMS, INCORPORATED</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287"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95-3936623</w:t>
      </w:r>
    </w:p>
    <w:p>
      <w:pPr>
        <w:spacing w:after="0" w:line="66" w:lineRule="exact"/>
        <w:rPr>
          <w:sz w:val="24"/>
          <w:szCs w:val="24"/>
          <w:color w:val="auto"/>
        </w:rPr>
      </w:pPr>
    </w:p>
    <w:p>
      <w:pPr>
        <w:sectPr>
          <w:pgSz w:w="11900" w:h="16838" w:orient="portrait"/>
          <w:cols w:equalWidth="0" w:num="2">
            <w:col w:w="7600" w:space="720"/>
            <w:col w:w="2920"/>
          </w:cols>
          <w:pgMar w:left="320" w:top="1440"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3" w:lineRule="exact"/>
        <w:rPr>
          <w:sz w:val="24"/>
          <w:szCs w:val="24"/>
          <w:color w:val="auto"/>
        </w:rPr>
      </w:pPr>
    </w:p>
    <w:p>
      <w:pPr>
        <w:sectPr>
          <w:pgSz w:w="11900" w:h="16838" w:orient="portrait"/>
          <w:cols w:equalWidth="0" w:num="2">
            <w:col w:w="6940" w:space="720"/>
            <w:col w:w="3580"/>
          </w:cols>
          <w:pgMar w:left="320" w:top="1440"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6"/>
          <w:szCs w:val="16"/>
          <w:b w:val="1"/>
          <w:bCs w:val="1"/>
          <w:color w:val="auto"/>
        </w:rPr>
        <w:t>685 Stockton Drive</w:t>
      </w:r>
    </w:p>
    <w:p>
      <w:pPr>
        <w:spacing w:after="0" w:line="3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19341</w:t>
      </w:r>
    </w:p>
    <w:p>
      <w:pPr>
        <w:spacing w:after="0" w:line="28" w:lineRule="exact"/>
        <w:rPr>
          <w:sz w:val="24"/>
          <w:szCs w:val="24"/>
          <w:color w:val="auto"/>
        </w:rPr>
      </w:pPr>
    </w:p>
    <w:p>
      <w:pPr>
        <w:sectPr>
          <w:pgSz w:w="11900" w:h="16838" w:orient="portrait"/>
          <w:cols w:equalWidth="0" w:num="2">
            <w:col w:w="7780" w:space="720"/>
            <w:col w:w="2740"/>
          </w:cols>
          <w:pgMar w:left="320" w:top="1440"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40" w:lineRule="exact"/>
        <w:rPr>
          <w:sz w:val="24"/>
          <w:szCs w:val="24"/>
          <w:color w:val="auto"/>
        </w:rPr>
      </w:pPr>
    </w:p>
    <w:p>
      <w:pPr>
        <w:sectPr>
          <w:pgSz w:w="11900" w:h="16838" w:orient="portrait"/>
          <w:cols w:equalWidth="0" w:num="2">
            <w:col w:w="7660" w:space="720"/>
            <w:col w:w="286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6"/>
          <w:szCs w:val="16"/>
          <w:b w:val="1"/>
          <w:bCs w:val="1"/>
          <w:color w:val="auto"/>
        </w:rPr>
        <w:t>(610) 458-5000</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5" w:lineRule="exact"/>
        <w:rPr>
          <w:sz w:val="24"/>
          <w:szCs w:val="24"/>
          <w:color w:val="auto"/>
        </w:rPr>
      </w:pPr>
    </w:p>
    <w:tbl>
      <w:tblPr>
        <w:tblLayout w:type="fixed"/>
        <w:tblInd w:w="340" w:type="dxa"/>
        <w:tblCellMar>
          <w:top w:w="0" w:type="dxa"/>
          <w:left w:w="0" w:type="dxa"/>
          <w:bottom w:w="0" w:type="dxa"/>
          <w:right w:w="0" w:type="dxa"/>
        </w:tblCellMar>
      </w:tblPr>
      <w:tr>
        <w:trPr>
          <w:trHeight w:val="188"/>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445"/>
        </w:trPr>
        <w:tc>
          <w:tcPr>
            <w:tcW w:w="1160" w:type="dxa"/>
            <w:vAlign w:val="bottom"/>
          </w:tcPr>
          <w:p>
            <w:pPr>
              <w:spacing w:after="0"/>
              <w:rPr>
                <w:sz w:val="24"/>
                <w:szCs w:val="24"/>
                <w:color w:val="auto"/>
              </w:rPr>
            </w:pPr>
          </w:p>
        </w:tc>
        <w:tc>
          <w:tcPr>
            <w:tcW w:w="3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Title of each class</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116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186"/>
        </w:trPr>
        <w:tc>
          <w:tcPr>
            <w:tcW w:w="1160" w:type="dxa"/>
            <w:vAlign w:val="bottom"/>
          </w:tcPr>
          <w:p>
            <w:pPr>
              <w:spacing w:after="0"/>
              <w:rPr>
                <w:sz w:val="16"/>
                <w:szCs w:val="16"/>
                <w:color w:val="auto"/>
              </w:rPr>
            </w:pPr>
          </w:p>
        </w:tc>
        <w:tc>
          <w:tcPr>
            <w:tcW w:w="3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 B Common Stock, $0.01 Par Value</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BSY</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38" w:lineRule="exact"/>
        <w:rPr>
          <w:sz w:val="24"/>
          <w:szCs w:val="24"/>
          <w:color w:val="auto"/>
        </w:rPr>
      </w:pPr>
    </w:p>
    <w:p>
      <w:pPr>
        <w:ind w:right="2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8" w:lineRule="exact"/>
        <w:rPr>
          <w:sz w:val="24"/>
          <w:szCs w:val="24"/>
          <w:color w:val="auto"/>
        </w:rPr>
      </w:pPr>
    </w:p>
    <w:p>
      <w:pPr>
        <w:ind w:right="20" w:firstLine="324"/>
        <w:spacing w:after="0" w:line="208"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5" w:lineRule="exact"/>
        <w:rPr>
          <w:sz w:val="24"/>
          <w:szCs w:val="24"/>
          <w:color w:val="auto"/>
        </w:rPr>
      </w:pPr>
    </w:p>
    <w:p>
      <w:pPr>
        <w:ind w:right="20" w:firstLine="324"/>
        <w:spacing w:after="0" w:line="208"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1440" w:right="339" w:bottom="1440" w:gutter="0" w:footer="0" w:header="0"/>
          <w:type w:val="continuous"/>
        </w:sectPr>
      </w:pPr>
    </w:p>
    <w:p>
      <w:pPr>
        <w:spacing w:after="0" w:line="1" w:lineRule="exact"/>
        <w:rPr>
          <w:sz w:val="24"/>
          <w:szCs w:val="24"/>
          <w:color w:val="auto"/>
        </w:rPr>
      </w:pPr>
    </w:p>
    <w:p>
      <w:pPr>
        <w:ind w:left="11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7300" w:space="720"/>
            <w:col w:w="3220"/>
          </w:cols>
          <w:pgMar w:left="320" w:top="1440" w:right="339" w:bottom="1440" w:gutter="0" w:footer="0" w:header="0"/>
          <w:type w:val="continuous"/>
        </w:sectPr>
      </w:pPr>
    </w:p>
    <w:p>
      <w:pPr>
        <w:ind w:left="110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4"/>
          <w:szCs w:val="24"/>
          <w:color w:val="auto"/>
        </w:rPr>
      </w:pPr>
    </w:p>
    <w:p>
      <w:pPr>
        <w:sectPr>
          <w:pgSz w:w="11900" w:h="16838" w:orient="portrait"/>
          <w:cols w:equalWidth="0" w:num="2">
            <w:col w:w="7300" w:space="720"/>
            <w:col w:w="3220"/>
          </w:cols>
          <w:pgMar w:left="320" w:top="1440" w:right="339" w:bottom="1440" w:gutter="0" w:footer="0" w:header="0"/>
          <w:type w:val="continuous"/>
        </w:sectPr>
      </w:pPr>
    </w:p>
    <w:p>
      <w:pPr>
        <w:ind w:left="8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1440" w:gutter="0" w:footer="0" w:header="0"/>
          <w:type w:val="continuous"/>
        </w:sectPr>
      </w:pPr>
    </w:p>
    <w:p>
      <w:pPr>
        <w:spacing w:after="0" w:line="128" w:lineRule="exact"/>
        <w:rPr>
          <w:sz w:val="24"/>
          <w:szCs w:val="24"/>
          <w:color w:val="auto"/>
        </w:rPr>
      </w:pPr>
    </w:p>
    <w:p>
      <w:pPr>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October 29, 2026, the registrant had 11,515,127 shares of Class A and 290,923,096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gridSpan w:val="6"/>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BENTLEY SYSTEMS, INCORPORATED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4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05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0"/>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1. Unaudited Consolidated Financial Statements</w:t>
            </w:r>
          </w:p>
        </w:tc>
        <w:tc>
          <w:tcPr>
            <w:tcW w:w="6480" w:type="dxa"/>
            <w:vAlign w:val="bottom"/>
            <w:gridSpan w:val="5"/>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Operations</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Borders>
              <w:bottom w:val="single" w:sz="8" w:color="0000FF"/>
            </w:tcBorders>
            <w:gridSpan w:val="10"/>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gridSpan w:val="14"/>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Borders>
              <w:bottom w:val="single" w:sz="8" w:color="0000FF"/>
            </w:tcBorders>
            <w:gridSpan w:val="14"/>
            <w:vMerge w:val="continue"/>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Equity</w:t>
            </w: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tcBorders>
              <w:bottom w:val="single" w:sz="8" w:color="0000FF"/>
            </w:tcBorders>
            <w:gridSpan w:val="9"/>
            <w:vMerge w:val="continue"/>
          </w:tcPr>
          <w:p>
            <w:pPr>
              <w:spacing w:after="0"/>
              <w:rPr>
                <w:sz w:val="18"/>
                <w:szCs w:val="18"/>
                <w:color w:val="auto"/>
              </w:rPr>
            </w:pPr>
          </w:p>
        </w:tc>
        <w:tc>
          <w:tcPr>
            <w:tcW w:w="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gridSpan w:val="11"/>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2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Borders>
              <w:bottom w:val="single" w:sz="8" w:color="0000FF"/>
            </w:tcBorders>
            <w:gridSpan w:val="11"/>
            <w:vMerge w:val="continue"/>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12"/>
            <w:vMerge w:val="continue"/>
          </w:tcPr>
          <w:p>
            <w:pPr>
              <w:spacing w:after="0"/>
              <w:rPr>
                <w:sz w:val="18"/>
                <w:szCs w:val="18"/>
                <w:color w:val="auto"/>
              </w:rPr>
            </w:pPr>
          </w:p>
        </w:tc>
        <w:tc>
          <w:tcPr>
            <w:tcW w:w="1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8"/>
            <w:vMerge w:val="continue"/>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7"/>
            <w:vMerge w:val="continue"/>
          </w:tcPr>
          <w:p>
            <w:pPr>
              <w:spacing w:after="0"/>
              <w:rPr>
                <w:sz w:val="18"/>
                <w:szCs w:val="18"/>
                <w:color w:val="auto"/>
              </w:rPr>
            </w:pPr>
          </w:p>
        </w:tc>
        <w:tc>
          <w:tcPr>
            <w:tcW w:w="5420" w:type="dxa"/>
            <w:vAlign w:val="bottom"/>
            <w:gridSpan w:val="2"/>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2340" w:type="dxa"/>
            <w:vAlign w:val="bottom"/>
            <w:tcBorders>
              <w:bottom w:val="single" w:sz="8" w:color="0000FF"/>
            </w:tcBorders>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7"/>
          </w:tcPr>
          <w:p>
            <w:pPr>
              <w:spacing w:after="0"/>
              <w:rPr>
                <w:sz w:val="18"/>
                <w:szCs w:val="18"/>
                <w:color w:val="auto"/>
              </w:rPr>
            </w:pPr>
          </w:p>
        </w:tc>
        <w:tc>
          <w:tcPr>
            <w:tcW w:w="5440" w:type="dxa"/>
            <w:vAlign w:val="bottom"/>
            <w:gridSpan w:val="3"/>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25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920" w:type="dxa"/>
            <w:vAlign w:val="bottom"/>
            <w:gridSpan w:val="10"/>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580" w:type="dxa"/>
            <w:vAlign w:val="bottom"/>
            <w:tcBorders>
              <w:bottom w:val="single" w:sz="8" w:color="0000FF"/>
            </w:tcBorders>
            <w:gridSpan w:val="10"/>
            <w:vMerge w:val="continue"/>
          </w:tcPr>
          <w:p>
            <w:pPr>
              <w:spacing w:after="0"/>
              <w:rPr>
                <w:sz w:val="24"/>
                <w:szCs w:val="24"/>
                <w:color w:val="auto"/>
              </w:rPr>
            </w:pPr>
          </w:p>
        </w:tc>
        <w:tc>
          <w:tcPr>
            <w:tcW w:w="7920" w:type="dxa"/>
            <w:vAlign w:val="bottom"/>
            <w:gridSpan w:val="10"/>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000" w:type="dxa"/>
            <w:vAlign w:val="bottom"/>
            <w:gridSpan w:val="10"/>
          </w:tcPr>
          <w:p>
            <w:pPr>
              <w:spacing w:after="0"/>
              <w:rPr>
                <w:sz w:val="19"/>
                <w:szCs w:val="19"/>
                <w:color w:val="auto"/>
              </w:rPr>
            </w:pPr>
          </w:p>
        </w:tc>
        <w:tc>
          <w:tcPr>
            <w:tcW w:w="5440" w:type="dxa"/>
            <w:vAlign w:val="bottom"/>
            <w:gridSpan w:val="3"/>
          </w:tcPr>
          <w:p>
            <w:pPr>
              <w:spacing w:after="0"/>
              <w:rPr>
                <w:sz w:val="19"/>
                <w:szCs w:val="19"/>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11"/>
          </w:tcPr>
          <w:p>
            <w:pPr>
              <w:spacing w:after="0"/>
              <w:rPr>
                <w:sz w:val="18"/>
                <w:szCs w:val="18"/>
                <w:color w:val="auto"/>
              </w:rPr>
            </w:pPr>
          </w:p>
        </w:tc>
        <w:tc>
          <w:tcPr>
            <w:tcW w:w="5440" w:type="dxa"/>
            <w:vAlign w:val="bottom"/>
            <w:gridSpan w:val="3"/>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00" w:type="dxa"/>
            <w:vAlign w:val="bottom"/>
            <w:tcBorders>
              <w:bottom w:val="single" w:sz="8" w:color="0000FF"/>
            </w:tcBorders>
            <w:gridSpan w:val="16"/>
            <w:vMerge w:val="continue"/>
          </w:tcPr>
          <w:p>
            <w:pPr>
              <w:spacing w:after="0"/>
              <w:rPr>
                <w:sz w:val="18"/>
                <w:szCs w:val="18"/>
                <w:color w:val="auto"/>
              </w:rPr>
            </w:pPr>
          </w:p>
        </w:tc>
        <w:tc>
          <w:tcPr>
            <w:tcW w:w="5440" w:type="dxa"/>
            <w:vAlign w:val="bottom"/>
            <w:gridSpan w:val="3"/>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46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880" w:type="dxa"/>
            <w:vAlign w:val="bottom"/>
            <w:tcBorders>
              <w:bottom w:val="single" w:sz="8" w:color="0000FF"/>
            </w:tcBorders>
            <w:gridSpan w:val="5"/>
            <w:vMerge w:val="continue"/>
          </w:tcPr>
          <w:p>
            <w:pPr>
              <w:spacing w:after="0"/>
              <w:rPr>
                <w:sz w:val="18"/>
                <w:szCs w:val="18"/>
                <w:color w:val="auto"/>
              </w:rPr>
            </w:pPr>
          </w:p>
        </w:tc>
        <w:tc>
          <w:tcPr>
            <w:tcW w:w="8460" w:type="dxa"/>
            <w:vAlign w:val="bottom"/>
            <w:gridSpan w:val="14"/>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918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160" w:type="dxa"/>
            <w:vAlign w:val="bottom"/>
            <w:tcBorders>
              <w:bottom w:val="single" w:sz="8" w:color="0000FF"/>
            </w:tcBorders>
            <w:gridSpan w:val="3"/>
            <w:vMerge w:val="continue"/>
          </w:tcPr>
          <w:p>
            <w:pPr>
              <w:spacing w:after="0"/>
              <w:rPr>
                <w:sz w:val="18"/>
                <w:szCs w:val="18"/>
                <w:color w:val="auto"/>
              </w:rPr>
            </w:pPr>
          </w:p>
        </w:tc>
        <w:tc>
          <w:tcPr>
            <w:tcW w:w="9180" w:type="dxa"/>
            <w:vAlign w:val="bottom"/>
            <w:gridSpan w:val="16"/>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950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1" w:lineRule="exact"/>
        <w:rPr>
          <w:sz w:val="20"/>
          <w:szCs w:val="20"/>
          <w:color w:val="auto"/>
        </w:rPr>
      </w:pPr>
    </w:p>
    <w:p>
      <w:pPr>
        <w:jc w:val="both"/>
        <w:ind w:firstLine="324"/>
        <w:spacing w:after="0" w:line="23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is for the three and nine months ended September 30, 2026.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 addition, information that we file with the SEC in the future will automatically update and supersede information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91"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Unless indicated otherwise, throughout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we refer to Bentley Systems, Incorporated and its consolidated subsidiaries, as “Bentley Systems,” “Bentley,” the “Company,” “we,” “us,” and “our.”</w:t>
      </w:r>
    </w:p>
    <w:p>
      <w:pPr>
        <w:spacing w:after="0" w:line="118"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trademarks, service marks, brands, or product names owned by us, as well as those owned by others.</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includes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All statements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other than statements of historical facts, including statements regarding our future results of operations and financial condition, our business strategy, and plans and our objectives for future operations, are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words “believe,” “may,” “will,” “could,” “would,” “seeks,” “estimate,” “continue,” “anticipate,” “intend,” “expect,” and similar expressions, as well as statements regarding our focus for the future,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have based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business operations and objectives, and financial needs.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future events and trends discussed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well as our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as a whole, are subject to risks and uncertainties.</w:t>
      </w:r>
    </w:p>
    <w:p>
      <w:pPr>
        <w:spacing w:after="0" w:line="145"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discuss many of these risks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 greater detail in the section titled “Risk Factors” and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w:t>
      </w:r>
    </w:p>
    <w:p>
      <w:pPr>
        <w:spacing w:after="0" w:line="92"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after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BENTLEY SYSTEMS, INCORPORATED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150,874</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123,278</w:t>
            </w:r>
          </w:p>
        </w:tc>
        <w:tc>
          <w:tcPr>
            <w:tcW w:w="0" w:type="dxa"/>
            <w:vAlign w:val="bottom"/>
          </w:tcPr>
          <w:p>
            <w:pPr>
              <w:spacing w:after="0"/>
              <w:rPr>
                <w:sz w:val="1"/>
                <w:szCs w:val="1"/>
                <w:color w:val="auto"/>
              </w:rPr>
            </w:pP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350,299</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0" w:type="dxa"/>
            <w:vAlign w:val="bottom"/>
          </w:tcPr>
          <w:p>
            <w:pPr>
              <w:spacing w:after="0"/>
              <w:rPr>
                <w:sz w:val="1"/>
                <w:szCs w:val="1"/>
                <w:color w:val="auto"/>
              </w:rPr>
            </w:pP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income taxes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19,805</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53,260</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62,052</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539,033</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31,141</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193,018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2,441,893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2,482,154</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144,218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170,368</w:t>
            </w:r>
          </w:p>
        </w:tc>
        <w:tc>
          <w:tcPr>
            <w:tcW w:w="0" w:type="dxa"/>
            <w:vAlign w:val="bottom"/>
          </w:tcPr>
          <w:p>
            <w:pPr>
              <w:spacing w:after="0"/>
              <w:rPr>
                <w:sz w:val="1"/>
                <w:szCs w:val="1"/>
                <w:color w:val="auto"/>
              </w:rPr>
            </w:pPr>
          </w:p>
        </w:tc>
      </w:tr>
      <w:tr>
        <w:trPr>
          <w:trHeight w:val="21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80,152</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75,502</w:t>
            </w: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3,569,211</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3,555,167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20,606</w:t>
            </w:r>
          </w:p>
        </w:tc>
        <w:tc>
          <w:tcPr>
            <w:tcW w:w="26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26,952</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173,255</w:t>
            </w:r>
          </w:p>
        </w:tc>
        <w:tc>
          <w:tcPr>
            <w:tcW w:w="0" w:type="dxa"/>
            <w:vAlign w:val="bottom"/>
          </w:tcPr>
          <w:p>
            <w:pPr>
              <w:spacing w:after="0"/>
              <w:rPr>
                <w:sz w:val="1"/>
                <w:szCs w:val="1"/>
                <w:color w:val="auto"/>
              </w:rPr>
            </w:pP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Cloud Services Subscription deposits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480,907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463,312</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237,886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278,244</w:t>
            </w:r>
          </w:p>
        </w:tc>
        <w:tc>
          <w:tcPr>
            <w:tcW w:w="0" w:type="dxa"/>
            <w:vAlign w:val="bottom"/>
          </w:tcPr>
          <w:p>
            <w:pPr>
              <w:spacing w:after="0"/>
              <w:rPr>
                <w:sz w:val="1"/>
                <w:szCs w:val="1"/>
                <w:color w:val="auto"/>
              </w:rPr>
            </w:pP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13,669</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17,073</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959,822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960,210</w:t>
            </w:r>
          </w:p>
        </w:tc>
        <w:tc>
          <w:tcPr>
            <w:tcW w:w="0" w:type="dxa"/>
            <w:vAlign w:val="bottom"/>
          </w:tcPr>
          <w:p>
            <w:pPr>
              <w:spacing w:after="0"/>
              <w:rPr>
                <w:sz w:val="1"/>
                <w:szCs w:val="1"/>
                <w:color w:val="auto"/>
              </w:rPr>
            </w:pPr>
          </w:p>
        </w:tc>
      </w:tr>
      <w:tr>
        <w:trPr>
          <w:trHeight w:val="24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1,148,496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1,248,912</w:t>
            </w:r>
          </w:p>
        </w:tc>
        <w:tc>
          <w:tcPr>
            <w:tcW w:w="0" w:type="dxa"/>
            <w:vAlign w:val="bottom"/>
          </w:tcPr>
          <w:p>
            <w:pPr>
              <w:spacing w:after="0"/>
              <w:rPr>
                <w:sz w:val="1"/>
                <w:szCs w:val="1"/>
                <w:color w:val="auto"/>
              </w:rPr>
            </w:pP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111,985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106,831</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33,004</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22,150</w:t>
            </w:r>
          </w:p>
        </w:tc>
        <w:tc>
          <w:tcPr>
            <w:tcW w:w="0" w:type="dxa"/>
            <w:vAlign w:val="bottom"/>
          </w:tcPr>
          <w:p>
            <w:pPr>
              <w:spacing w:after="0"/>
              <w:rPr>
                <w:sz w:val="1"/>
                <w:szCs w:val="1"/>
                <w:color w:val="auto"/>
              </w:rPr>
            </w:pP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18,410</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2,286,096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2,365,675</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authorized 100,000,000 shares; none issued or outstanding as of</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30, 2026 and December 31, 2025</w:t>
            </w:r>
          </w:p>
        </w:tc>
        <w:tc>
          <w:tcPr>
            <w:tcW w:w="18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authorized 100,000,000 shares; issued and outstanding 11,515,127 and</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11,537,627 shares as of September 30, 2026 and December 31, 2025, respectively</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2"/>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common stock, $0.01 par value, authorized 1,800,000,000 shares; issued and outstanding 290,341,149</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and 290,817,470 shares as of September 30, 2026 and December 31, 2025, respectively</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r>
        <w:trPr>
          <w:trHeight w:val="24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1,376,352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1,301,205</w:t>
            </w:r>
          </w:p>
        </w:tc>
        <w:tc>
          <w:tcPr>
            <w:tcW w:w="0" w:type="dxa"/>
            <w:vAlign w:val="bottom"/>
          </w:tcPr>
          <w:p>
            <w:pPr>
              <w:spacing w:after="0"/>
              <w:rPr>
                <w:sz w:val="1"/>
                <w:szCs w:val="1"/>
                <w:color w:val="auto"/>
              </w:rPr>
            </w:pP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(74,558)</w:t>
            </w:r>
          </w:p>
        </w:tc>
        <w:tc>
          <w:tcPr>
            <w:tcW w:w="0" w:type="dxa"/>
            <w:vAlign w:val="bottom"/>
          </w:tcPr>
          <w:p>
            <w:pPr>
              <w:spacing w:after="0"/>
              <w:rPr>
                <w:sz w:val="1"/>
                <w:szCs w:val="1"/>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(8,128)</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(40,258)</w:t>
            </w:r>
          </w:p>
        </w:tc>
        <w:tc>
          <w:tcPr>
            <w:tcW w:w="0" w:type="dxa"/>
            <w:vAlign w:val="bottom"/>
          </w:tcPr>
          <w:p>
            <w:pPr>
              <w:spacing w:after="0"/>
              <w:rPr>
                <w:sz w:val="1"/>
                <w:szCs w:val="1"/>
                <w:color w:val="auto"/>
              </w:rPr>
            </w:pP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Bentley Systems stockholders’ equity</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1,283,067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1,189,413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1,283,115</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1,189,492</w:t>
            </w: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3,569,211</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3,555,167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40"/>
          </w:cols>
          <w:pgMar w:left="320" w:top="121" w:right="339"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2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760" w:type="dxa"/>
            <w:vAlign w:val="bottom"/>
            <w:gridSpan w:val="4"/>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386,819</w:t>
            </w:r>
          </w:p>
        </w:tc>
        <w:tc>
          <w:tcPr>
            <w:tcW w:w="2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344,293</w:t>
            </w:r>
          </w:p>
        </w:tc>
        <w:tc>
          <w:tcPr>
            <w:tcW w:w="2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1,157,938</w:t>
            </w:r>
          </w:p>
        </w:tc>
        <w:tc>
          <w:tcPr>
            <w:tcW w:w="26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1,020,063</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2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31,395</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0" w:type="dxa"/>
            <w:vAlign w:val="bottom"/>
          </w:tcPr>
          <w:p>
            <w:pPr>
              <w:spacing w:after="0"/>
              <w:rPr>
                <w:sz w:val="1"/>
                <w:szCs w:val="1"/>
                <w:color w:val="auto"/>
              </w:rPr>
            </w:pPr>
          </w:p>
        </w:tc>
      </w:tr>
      <w:tr>
        <w:trPr>
          <w:trHeight w:val="25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399,450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1,189,333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1,051,961</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w:t>
            </w:r>
          </w:p>
        </w:tc>
        <w:tc>
          <w:tcPr>
            <w:tcW w:w="2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58,236</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421,507</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375,549</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1,256,415</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1,110,197</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53,824</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159,129</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148,080</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18,371</w:t>
            </w:r>
          </w:p>
        </w:tc>
        <w:tc>
          <w:tcPr>
            <w:tcW w:w="2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60,588</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219,717</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206,630</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349,551</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1,036,698</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903,567</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(income):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81,469</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78,751</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246,565</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226,586</w:t>
            </w: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205,039</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53,818</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185,227</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150,903</w:t>
            </w: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226,928</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218,857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699,207</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619,456</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337,491</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284,111</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(65,264)</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net losses of investees, net of tax</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89,997</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263,861</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219,127</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Bentley Systems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89,933</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263,892</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Bentley Systems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310,474,561</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314,626,191</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311,671,484</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314,826,779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317,691,424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333,277,478</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319,549,126</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333,214,695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42"/>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89,997</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263,861</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219,127</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r>
      <w:tr>
        <w:trPr>
          <w:trHeight w:val="225"/>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(loss) on retirement plan, net of tax effect of $(11), $(8), $492,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1"/>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and $(24), respectively</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 income,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245,770</w:t>
            </w:r>
          </w:p>
        </w:tc>
      </w:tr>
      <w:tr>
        <w:trPr>
          <w:trHeight w:val="27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w:t>
            </w:r>
          </w:p>
        </w:tc>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Bentley Systems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250,275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245,856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Bentley</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32"/>
              <w:spacing w:after="0"/>
              <w:rPr>
                <w:sz w:val="20"/>
                <w:szCs w:val="20"/>
                <w:color w:val="auto"/>
              </w:rPr>
            </w:pPr>
            <w:r>
              <w:rPr>
                <w:rFonts w:ascii="Times New Roman" w:cs="Times New Roman" w:eastAsia="Times New Roman" w:hAnsi="Times New Roman"/>
                <w:sz w:val="11"/>
                <w:szCs w:val="11"/>
                <w:b w:val="1"/>
                <w:bCs w:val="1"/>
                <w:color w:val="auto"/>
                <w:w w:val="97"/>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Systems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52"/>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200" w:type="dxa"/>
            <w:vAlign w:val="bottom"/>
          </w:tcPr>
          <w:p>
            <w:pPr>
              <w:spacing w:after="0"/>
              <w:rPr>
                <w:sz w:val="14"/>
                <w:szCs w:val="14"/>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tcPr>
          <w:p>
            <w:pPr>
              <w:spacing w:after="0" w:line="20" w:lineRule="exact"/>
              <w:rPr>
                <w:sz w:val="1"/>
                <w:szCs w:val="1"/>
                <w:color w:val="auto"/>
              </w:rPr>
            </w:pPr>
          </w:p>
        </w:tc>
        <w:tc>
          <w:tcPr>
            <w:tcW w:w="7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301,777,599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1,348,863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1,202,026</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89,997</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(21,130)</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deferred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executive bonus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plan,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240,233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Class B common stock under</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approved program</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301,856,276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1,376,352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1,283,067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1,283,115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Bentley</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32"/>
              <w:spacing w:after="0"/>
              <w:rPr>
                <w:sz w:val="20"/>
                <w:szCs w:val="20"/>
                <w:color w:val="auto"/>
              </w:rPr>
            </w:pPr>
            <w:r>
              <w:rPr>
                <w:rFonts w:ascii="Times New Roman" w:cs="Times New Roman" w:eastAsia="Times New Roman" w:hAnsi="Times New Roman"/>
                <w:sz w:val="11"/>
                <w:szCs w:val="11"/>
                <w:b w:val="1"/>
                <w:bCs w:val="1"/>
                <w:color w:val="auto"/>
                <w:w w:val="97"/>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Systems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52"/>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200" w:type="dxa"/>
            <w:vAlign w:val="bottom"/>
          </w:tcPr>
          <w:p>
            <w:pPr>
              <w:spacing w:after="0"/>
              <w:rPr>
                <w:sz w:val="14"/>
                <w:szCs w:val="14"/>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tcPr>
          <w:p>
            <w:pPr>
              <w:spacing w:after="0" w:line="20" w:lineRule="exact"/>
              <w:rPr>
                <w:sz w:val="1"/>
                <w:szCs w:val="1"/>
                <w:color w:val="auto"/>
              </w:rPr>
            </w:pPr>
          </w:p>
        </w:tc>
        <w:tc>
          <w:tcPr>
            <w:tcW w:w="7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303,438,072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1,259,476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1,162,041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1,162,170</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57,289</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(8,348)</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deferred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executive bonus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plan,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150,555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16,095</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Class B common stock under</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approved program</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(15,006)</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303,457,906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1,283,584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1,195,350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Bentley</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32"/>
              <w:spacing w:after="0"/>
              <w:rPr>
                <w:sz w:val="20"/>
                <w:szCs w:val="20"/>
                <w:color w:val="auto"/>
              </w:rPr>
            </w:pPr>
            <w:r>
              <w:rPr>
                <w:rFonts w:ascii="Times New Roman" w:cs="Times New Roman" w:eastAsia="Times New Roman" w:hAnsi="Times New Roman"/>
                <w:sz w:val="11"/>
                <w:szCs w:val="11"/>
                <w:b w:val="1"/>
                <w:bCs w:val="1"/>
                <w:color w:val="auto"/>
                <w:w w:val="97"/>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Systems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52"/>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200" w:type="dxa"/>
            <w:vAlign w:val="bottom"/>
          </w:tcPr>
          <w:p>
            <w:pPr>
              <w:spacing w:after="0"/>
              <w:rPr>
                <w:sz w:val="14"/>
                <w:szCs w:val="14"/>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tcPr>
          <w:p>
            <w:pPr>
              <w:spacing w:after="0" w:line="20" w:lineRule="exact"/>
              <w:rPr>
                <w:sz w:val="1"/>
                <w:szCs w:val="1"/>
                <w:color w:val="auto"/>
              </w:rPr>
            </w:pPr>
          </w:p>
        </w:tc>
        <w:tc>
          <w:tcPr>
            <w:tcW w:w="7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302,355,097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1,301,205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1,189,413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1,189,492</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263,861</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deferred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2,153,308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(22,798)</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executive bonus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plan,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405,139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11,399</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for stock grants,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57,456</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Class B common stock under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approved program</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(4,064,293)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(135,081)</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2026</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301,856,276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1,376,352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1,283,067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1,283,115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Nine Months Ended September 30, 2025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Bentley</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32"/>
              <w:spacing w:after="0"/>
              <w:rPr>
                <w:sz w:val="20"/>
                <w:szCs w:val="20"/>
                <w:color w:val="auto"/>
              </w:rPr>
            </w:pPr>
            <w:r>
              <w:rPr>
                <w:rFonts w:ascii="Times New Roman" w:cs="Times New Roman" w:eastAsia="Times New Roman" w:hAnsi="Times New Roman"/>
                <w:sz w:val="11"/>
                <w:szCs w:val="11"/>
                <w:b w:val="1"/>
                <w:bCs w:val="1"/>
                <w:color w:val="auto"/>
                <w:w w:val="97"/>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Systems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0" w:type="dxa"/>
            <w:vAlign w:val="bottom"/>
            <w:gridSpan w:val="3"/>
          </w:tcPr>
          <w:p>
            <w:pPr>
              <w:jc w:val="center"/>
              <w:ind w:left="352"/>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200" w:type="dxa"/>
            <w:vAlign w:val="bottom"/>
          </w:tcPr>
          <w:p>
            <w:pPr>
              <w:spacing w:after="0"/>
              <w:rPr>
                <w:sz w:val="14"/>
                <w:szCs w:val="14"/>
                <w:color w:val="auto"/>
              </w:rPr>
            </w:pPr>
          </w:p>
        </w:tc>
        <w:tc>
          <w:tcPr>
            <w:tcW w:w="740" w:type="dxa"/>
            <w:vAlign w:val="bottom"/>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00" w:type="dxa"/>
            <w:vAlign w:val="bottom"/>
          </w:tcPr>
          <w:p>
            <w:pPr>
              <w:spacing w:after="0" w:line="20" w:lineRule="exact"/>
              <w:rPr>
                <w:sz w:val="1"/>
                <w:szCs w:val="1"/>
                <w:color w:val="auto"/>
              </w:rPr>
            </w:pPr>
          </w:p>
        </w:tc>
        <w:tc>
          <w:tcPr>
            <w:tcW w:w="7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301,977,330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1,217,986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1,040,987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1,041,120</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219,127</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26,633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26,643</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deferred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1,635,396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w:t>
            </w: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executive bonus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plan,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plan,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280,767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for stock grants,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48,575</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942,439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(12,599)</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Class B common stock under</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approved program</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(1,457,454)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(65,029)</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303,457,906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1,283,584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(77,445)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1,195,303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1,195,350</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21590</wp:posOffset>
            </wp:positionV>
            <wp:extent cx="1808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ectPr>
          <w:pgSz w:w="11900" w:h="16838" w:orient="portrait"/>
          <w:cols w:equalWidth="0" w:num="1">
            <w:col w:w="11240"/>
          </w:cols>
          <w:pgMar w:left="320" w:top="121"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amortization, and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Amortization of 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remeasurement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Cloud Services Subscription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revenues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taxes payable, net of prepaid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180" w:right="2000"/>
        <w:spacing w:after="0" w:line="313" w:lineRule="auto"/>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credit facility</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Repayments of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term loan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Repayments of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dividends</w:t>
      </w:r>
    </w:p>
    <w:p>
      <w:pPr>
        <w:spacing w:after="0" w:line="63" w:lineRule="exact"/>
        <w:rPr>
          <w:sz w:val="20"/>
          <w:szCs w:val="20"/>
          <w:color w:val="auto"/>
        </w:rPr>
      </w:pPr>
    </w:p>
    <w:p>
      <w:pPr>
        <w:ind w:left="180" w:right="2600"/>
        <w:spacing w:after="0" w:line="316" w:lineRule="auto"/>
        <w:rPr>
          <w:sz w:val="20"/>
          <w:szCs w:val="20"/>
          <w:color w:val="auto"/>
        </w:rPr>
      </w:pPr>
      <w:r>
        <w:rPr>
          <w:rFonts w:ascii="Times New Roman" w:cs="Times New Roman" w:eastAsia="Times New Roman" w:hAnsi="Times New Roman"/>
          <w:sz w:val="18"/>
          <w:szCs w:val="18"/>
          <w:color w:val="auto"/>
        </w:rPr>
        <w:t>Proceeds from stock purchases under employee stock purchase plan Payments for shares acquired including shares withheld for taxes Repurchases of Class B common stock under approved program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263,861</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219,127</w:t>
            </w:r>
          </w:p>
        </w:tc>
      </w:tr>
      <w:tr>
        <w:trPr>
          <w:trHeight w:val="499"/>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46,399</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50,125</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23,339</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55,037</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54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40,813</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(36,984)</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42,359</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(28,109)</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w:t>
            </w:r>
          </w:p>
        </w:tc>
      </w:tr>
      <w:tr>
        <w:trPr>
          <w:trHeight w:val="270"/>
        </w:trPr>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23"/>
        </w:trPr>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374,355</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396,876</w:t>
            </w:r>
          </w:p>
        </w:tc>
      </w:tr>
      <w:tr>
        <w:trPr>
          <w:trHeight w:val="48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r>
    </w:tbl>
    <w:p>
      <w:pPr>
        <w:spacing w:after="0" w:line="9" w:lineRule="exact"/>
        <w:rPr>
          <w:sz w:val="20"/>
          <w:szCs w:val="20"/>
          <w:color w:val="auto"/>
        </w:rPr>
      </w:pPr>
    </w:p>
    <w:p>
      <w:pPr>
        <w:ind w:left="2420" w:hanging="1549"/>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(938)</w:t>
      </w:r>
    </w:p>
    <w:p>
      <w:pPr>
        <w:spacing w:after="0" w:line="63"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(21,627)(13,774)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84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73" w:lineRule="exact"/>
        <w:rPr>
          <w:sz w:val="20"/>
          <w:szCs w:val="20"/>
          <w:color w:val="auto"/>
        </w:rPr>
      </w:pPr>
    </w:p>
    <w:p>
      <w:pPr>
        <w:ind w:left="500"/>
        <w:spacing w:after="0"/>
        <w:tabs>
          <w:tab w:leader="none" w:pos="2160" w:val="left"/>
        </w:tabs>
        <w:rPr>
          <w:sz w:val="20"/>
          <w:szCs w:val="20"/>
          <w:color w:val="auto"/>
        </w:rPr>
      </w:pPr>
      <w:r>
        <w:rPr>
          <w:rFonts w:ascii="Times New Roman" w:cs="Times New Roman" w:eastAsia="Times New Roman" w:hAnsi="Times New Roman"/>
          <w:sz w:val="18"/>
          <w:szCs w:val="18"/>
          <w:color w:val="auto"/>
        </w:rPr>
        <w:t>1,220,439</w:t>
      </w:r>
      <w:r>
        <w:rPr>
          <w:sz w:val="20"/>
          <w:szCs w:val="20"/>
          <w:color w:val="auto"/>
        </w:rPr>
        <w:tab/>
      </w:r>
      <w:r>
        <w:rPr>
          <w:rFonts w:ascii="Times New Roman" w:cs="Times New Roman" w:eastAsia="Times New Roman" w:hAnsi="Times New Roman"/>
          <w:sz w:val="18"/>
          <w:szCs w:val="18"/>
          <w:color w:val="auto"/>
        </w:rPr>
        <w:t>258,750</w:t>
      </w:r>
    </w:p>
    <w:p>
      <w:pPr>
        <w:spacing w:after="0" w:line="63" w:lineRule="exact"/>
        <w:rPr>
          <w:sz w:val="20"/>
          <w:szCs w:val="20"/>
          <w:color w:val="auto"/>
        </w:rPr>
      </w:pPr>
    </w:p>
    <w:p>
      <w:pPr>
        <w:ind w:left="420"/>
        <w:spacing w:after="0"/>
        <w:tabs>
          <w:tab w:leader="none" w:pos="2080" w:val="left"/>
        </w:tabs>
        <w:rPr>
          <w:sz w:val="20"/>
          <w:szCs w:val="20"/>
          <w:color w:val="auto"/>
        </w:rPr>
      </w:pPr>
      <w:r>
        <w:rPr>
          <w:rFonts w:ascii="Times New Roman" w:cs="Times New Roman" w:eastAsia="Times New Roman" w:hAnsi="Times New Roman"/>
          <w:sz w:val="18"/>
          <w:szCs w:val="18"/>
          <w:color w:val="auto"/>
        </w:rPr>
        <w:t>(1,180,186)</w:t>
      </w:r>
      <w:r>
        <w:rPr>
          <w:sz w:val="20"/>
          <w:szCs w:val="20"/>
          <w:color w:val="auto"/>
        </w:rPr>
        <w:tab/>
      </w:r>
      <w:r>
        <w:rPr>
          <w:rFonts w:ascii="Times New Roman" w:cs="Times New Roman" w:eastAsia="Times New Roman" w:hAnsi="Times New Roman"/>
          <w:sz w:val="18"/>
          <w:szCs w:val="18"/>
          <w:color w:val="auto"/>
        </w:rPr>
        <w:t>(394,065)</w:t>
      </w:r>
    </w:p>
    <w:p>
      <w:pPr>
        <w:spacing w:after="0" w:line="63" w:lineRule="exact"/>
        <w:rPr>
          <w:sz w:val="20"/>
          <w:szCs w:val="20"/>
          <w:color w:val="auto"/>
        </w:rPr>
      </w:pPr>
    </w:p>
    <w:p>
      <w:pPr>
        <w:ind w:left="640"/>
        <w:spacing w:after="0"/>
        <w:tabs>
          <w:tab w:leader="none" w:pos="2560" w:val="left"/>
        </w:tabs>
        <w:rPr>
          <w:sz w:val="20"/>
          <w:szCs w:val="20"/>
          <w:color w:val="auto"/>
        </w:rPr>
      </w:pPr>
      <w:r>
        <w:rPr>
          <w:rFonts w:ascii="Times New Roman" w:cs="Times New Roman" w:eastAsia="Times New Roman" w:hAnsi="Times New Roman"/>
          <w:sz w:val="18"/>
          <w:szCs w:val="18"/>
          <w:color w:val="auto"/>
        </w:rPr>
        <w:t>550,000</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60"/>
        <w:spacing w:after="0"/>
        <w:tabs>
          <w:tab w:leader="none" w:pos="2260" w:val="left"/>
        </w:tabs>
        <w:rPr>
          <w:sz w:val="20"/>
          <w:szCs w:val="20"/>
          <w:color w:val="auto"/>
        </w:rPr>
      </w:pPr>
      <w:r>
        <w:rPr>
          <w:rFonts w:ascii="Times New Roman" w:cs="Times New Roman" w:eastAsia="Times New Roman" w:hAnsi="Times New Roman"/>
          <w:sz w:val="18"/>
          <w:szCs w:val="18"/>
          <w:color w:val="auto"/>
        </w:rPr>
        <w:t>(677,830)</w:t>
      </w:r>
      <w:r>
        <w:rPr>
          <w:sz w:val="20"/>
          <w:szCs w:val="20"/>
          <w:color w:val="auto"/>
        </w:rPr>
        <w:tab/>
      </w:r>
      <w:r>
        <w:rPr>
          <w:rFonts w:ascii="Times New Roman" w:cs="Times New Roman" w:eastAsia="Times New Roman" w:hAnsi="Times New Roman"/>
          <w:sz w:val="18"/>
          <w:szCs w:val="18"/>
          <w:color w:val="auto"/>
        </w:rPr>
        <w:t>(9,797)</w:t>
      </w:r>
    </w:p>
    <w:p>
      <w:pPr>
        <w:spacing w:after="0" w:line="6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8"/>
          <w:szCs w:val="18"/>
          <w:color w:val="auto"/>
        </w:rPr>
        <w:t>(63,574)</w:t>
      </w:r>
      <w:r>
        <w:rPr>
          <w:sz w:val="20"/>
          <w:szCs w:val="20"/>
          <w:color w:val="auto"/>
        </w:rPr>
        <w:tab/>
      </w:r>
      <w:r>
        <w:rPr>
          <w:rFonts w:ascii="Times New Roman" w:cs="Times New Roman" w:eastAsia="Times New Roman" w:hAnsi="Times New Roman"/>
          <w:sz w:val="18"/>
          <w:szCs w:val="18"/>
          <w:color w:val="auto"/>
        </w:rPr>
        <w:t>(63,756)</w:t>
      </w:r>
    </w:p>
    <w:p>
      <w:pPr>
        <w:spacing w:after="0" w:line="63" w:lineRule="exact"/>
        <w:rPr>
          <w:sz w:val="20"/>
          <w:szCs w:val="20"/>
          <w:color w:val="auto"/>
        </w:rPr>
      </w:pPr>
    </w:p>
    <w:p>
      <w:pPr>
        <w:ind w:left="720"/>
        <w:spacing w:after="0"/>
        <w:tabs>
          <w:tab w:leader="none" w:pos="2260" w:val="left"/>
        </w:tabs>
        <w:rPr>
          <w:sz w:val="20"/>
          <w:szCs w:val="20"/>
          <w:color w:val="auto"/>
        </w:rPr>
      </w:pPr>
      <w:r>
        <w:rPr>
          <w:rFonts w:ascii="Times New Roman" w:cs="Times New Roman" w:eastAsia="Times New Roman" w:hAnsi="Times New Roman"/>
          <w:sz w:val="18"/>
          <w:szCs w:val="18"/>
          <w:color w:val="auto"/>
        </w:rPr>
        <w:t>11,759</w:t>
      </w:r>
      <w:r>
        <w:rPr>
          <w:sz w:val="20"/>
          <w:szCs w:val="20"/>
          <w:color w:val="auto"/>
        </w:rPr>
        <w:tab/>
      </w:r>
      <w:r>
        <w:rPr>
          <w:rFonts w:ascii="Times New Roman" w:cs="Times New Roman" w:eastAsia="Times New Roman" w:hAnsi="Times New Roman"/>
          <w:sz w:val="18"/>
          <w:szCs w:val="18"/>
          <w:color w:val="auto"/>
        </w:rPr>
        <w:t>11,534</w:t>
      </w:r>
    </w:p>
    <w:p>
      <w:pPr>
        <w:spacing w:after="0" w:line="63"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18"/>
          <w:szCs w:val="18"/>
          <w:color w:val="auto"/>
        </w:rPr>
        <w:t>(33,148)</w:t>
      </w:r>
      <w:r>
        <w:rPr>
          <w:sz w:val="20"/>
          <w:szCs w:val="20"/>
          <w:color w:val="auto"/>
        </w:rPr>
        <w:tab/>
      </w:r>
      <w:r>
        <w:rPr>
          <w:rFonts w:ascii="Times New Roman" w:cs="Times New Roman" w:eastAsia="Times New Roman" w:hAnsi="Times New Roman"/>
          <w:sz w:val="18"/>
          <w:szCs w:val="18"/>
          <w:color w:val="auto"/>
        </w:rPr>
        <w:t>(28,382)</w:t>
      </w:r>
    </w:p>
    <w:p>
      <w:pPr>
        <w:spacing w:after="0" w:line="63" w:lineRule="exact"/>
        <w:rPr>
          <w:sz w:val="20"/>
          <w:szCs w:val="20"/>
          <w:color w:val="auto"/>
        </w:rPr>
      </w:pPr>
    </w:p>
    <w:p>
      <w:pPr>
        <w:ind w:left="560"/>
        <w:spacing w:after="0"/>
        <w:tabs>
          <w:tab w:leader="none" w:pos="2180" w:val="left"/>
        </w:tabs>
        <w:rPr>
          <w:sz w:val="20"/>
          <w:szCs w:val="20"/>
          <w:color w:val="auto"/>
        </w:rPr>
      </w:pPr>
      <w:r>
        <w:rPr>
          <w:rFonts w:ascii="Times New Roman" w:cs="Times New Roman" w:eastAsia="Times New Roman" w:hAnsi="Times New Roman"/>
          <w:sz w:val="18"/>
          <w:szCs w:val="18"/>
          <w:color w:val="auto"/>
        </w:rPr>
        <w:t>(135,081)</w:t>
      </w:r>
      <w:r>
        <w:rPr>
          <w:sz w:val="20"/>
          <w:szCs w:val="20"/>
          <w:color w:val="auto"/>
        </w:rPr>
        <w:tab/>
      </w:r>
      <w:r>
        <w:rPr>
          <w:rFonts w:ascii="Times New Roman" w:cs="Times New Roman" w:eastAsia="Times New Roman" w:hAnsi="Times New Roman"/>
          <w:sz w:val="18"/>
          <w:szCs w:val="18"/>
          <w:color w:val="auto"/>
        </w:rPr>
        <w:t>(65,029)</w:t>
      </w:r>
    </w:p>
    <w:p>
      <w:pPr>
        <w:spacing w:after="0" w:line="63" w:lineRule="exact"/>
        <w:rPr>
          <w:sz w:val="20"/>
          <w:szCs w:val="20"/>
          <w:color w:val="auto"/>
        </w:rPr>
      </w:pPr>
    </w:p>
    <w:p>
      <w:pPr>
        <w:ind w:left="740"/>
        <w:spacing w:after="0"/>
        <w:tabs>
          <w:tab w:leader="none" w:pos="2400" w:val="left"/>
        </w:tabs>
        <w:rPr>
          <w:sz w:val="20"/>
          <w:szCs w:val="20"/>
          <w:color w:val="auto"/>
        </w:rPr>
      </w:pPr>
      <w:r>
        <w:rPr>
          <w:rFonts w:ascii="Times New Roman" w:cs="Times New Roman" w:eastAsia="Times New Roman" w:hAnsi="Times New Roman"/>
          <w:sz w:val="18"/>
          <w:szCs w:val="18"/>
          <w:color w:val="auto"/>
        </w:rPr>
        <w:t>(1,394)</w:t>
      </w:r>
      <w:r>
        <w:rPr>
          <w:sz w:val="20"/>
          <w:szCs w:val="20"/>
          <w:color w:val="auto"/>
        </w:rPr>
        <w:tab/>
      </w:r>
      <w:r>
        <w:rPr>
          <w:rFonts w:ascii="Times New Roman" w:cs="Times New Roman" w:eastAsia="Times New Roman" w:hAnsi="Times New Roman"/>
          <w:sz w:val="18"/>
          <w:szCs w:val="18"/>
          <w:color w:val="auto"/>
        </w:rPr>
        <w:t>(462)</w:t>
      </w:r>
    </w:p>
    <w:p>
      <w:pPr>
        <w:spacing w:after="0" w:line="47"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40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(309,015)</w:t>
            </w:r>
          </w:p>
        </w:tc>
        <w:tc>
          <w:tcPr>
            <w:tcW w:w="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(291,207)</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r>
      <w:tr>
        <w:trPr>
          <w:trHeight w:val="25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 including cash classified within Assets held for sale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101,402</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123,278</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64,009</w:t>
            </w:r>
          </w:p>
        </w:tc>
      </w:tr>
      <w:tr>
        <w:trPr>
          <w:trHeight w:val="25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 including cash classified within Assets held for sale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165,411</w:t>
            </w:r>
          </w:p>
        </w:tc>
      </w:tr>
      <w:tr>
        <w:trPr>
          <w:trHeight w:val="27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Reclassification of cash to Assets held for sale</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150,874</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165,411</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33"/>
        </w:trPr>
        <w:tc>
          <w:tcPr>
            <w:tcW w:w="8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7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Cash paid for income taxes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37,520</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36,383</w:t>
            </w:r>
          </w:p>
        </w:tc>
      </w:tr>
      <w:tr>
        <w:trPr>
          <w:trHeight w:val="27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7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25,429</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7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Share-settled executive bonus plan awards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95" w:lineRule="exact"/>
        <w:rPr>
          <w:sz w:val="20"/>
          <w:szCs w:val="20"/>
          <w:color w:val="auto"/>
        </w:rPr>
      </w:pPr>
    </w:p>
    <w:p>
      <w:pPr>
        <w:spacing w:after="0" w:line="184" w:lineRule="exact"/>
        <w:tabs>
          <w:tab w:leader="none" w:pos="320" w:val="left"/>
        </w:tabs>
        <w:rPr>
          <w:sz w:val="20"/>
          <w:szCs w:val="20"/>
          <w:color w:val="auto"/>
        </w:rPr>
      </w:pPr>
      <w:r>
        <w:rPr>
          <w:rFonts w:ascii="Times New Roman" w:cs="Times New Roman" w:eastAsia="Times New Roman" w:hAnsi="Times New Roman"/>
          <w:sz w:val="16"/>
          <w:szCs w:val="16"/>
          <w:color w:val="auto"/>
        </w:rPr>
        <w:t>(1)</w:t>
        <w:tab/>
        <w:t>Cash paid for income taxes includes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withholding taxes.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18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consolidated subsidiaries. The unaudited consolidated financial statements and accompanying notes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2025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2025 consolidated balance sheet included herein is derived from the Company’s audited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reclassifications of prior period amounts have been made to conform to the current period presentation.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8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Software Development Costs </w:t>
      </w:r>
      <w:r>
        <w:rPr>
          <w:rFonts w:ascii="Times New Roman" w:cs="Times New Roman" w:eastAsia="Times New Roman" w:hAnsi="Times New Roman"/>
          <w:sz w:val="18"/>
          <w:szCs w:val="18"/>
          <w:color w:val="auto"/>
        </w:rPr>
        <w:t>— Under its Accelerated Commercial Development Program (“ACDP”) (the Company’s structured approach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house business incubator function), the Company capitalizes certain development costs related to specified projects once technological feasibility is established. Total costs capitalized under the ACDP were $417 and $603 for the three months ended September 30, 2026 and 2025, respectively, and $1,490 and $1,409 for the nine months ended September 30, 2026 and 2025, respectively. Additionally, total ACDP related amortization was $478 and $3,829 for the three months ended September 30, 2026 and 2025, respectively, and $902 and $5,379 for the nine months ended September 30, 2026 and 2025, respectively, and is included in </w:t>
      </w: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color w:val="auto"/>
        </w:rPr>
        <w:t xml:space="preserve"> in the consolidated statements of operations. As of September 30, 2026 and December 31, 2025, $10,673 and $10,270 of ACDP capitalized costs were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 respectively.</w:t>
      </w:r>
    </w:p>
    <w:p>
      <w:pPr>
        <w:spacing w:after="0" w:line="168"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Internal-Use Software Implementation Costs </w:t>
      </w:r>
      <w:r>
        <w:rPr>
          <w:rFonts w:ascii="Times New Roman" w:cs="Times New Roman" w:eastAsia="Times New Roman" w:hAnsi="Times New Roman"/>
          <w:sz w:val="18"/>
          <w:szCs w:val="18"/>
          <w:color w:val="auto"/>
        </w:rPr>
        <w:t>— The Company has entered into cloud-based software hosting arrangements related to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information technology systems, including a new enterprise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administrative and business management platform, for which it incurs implementation costs.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Capitalized internal-use software implementation costs are included in the consolidated balance sheets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internal-use software implementation costs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61"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Standards Update (“ASU”) No.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Other—Internal-Use Software (Subtopic 350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40): Targeted Improvements to the Accounting for Internal-Use Software </w:t>
      </w:r>
      <w:r>
        <w:rPr>
          <w:rFonts w:ascii="Times New Roman" w:cs="Times New Roman" w:eastAsia="Times New Roman" w:hAnsi="Times New Roman"/>
          <w:sz w:val="18"/>
          <w:szCs w:val="18"/>
          <w:color w:val="auto"/>
        </w:rPr>
        <w:t>(“ASU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amends certain aspects of the accounting for and disclosure of software costs under Subtopic 350-40, referred to as internal-use software. ASU 2025-06 is effective for the Company for the annual reporting period beginning after December 15, 2027, and interim periods within that annual reporting period. Early adoption is permitted as of the beginning of an annual reporting period. The amendments in ASU 2025-06 may be adopted on a prospective basis to financial statements issued for reporting periods after the effective date, on a retrospective basis to all periods presented, or on a modified prospective transition basis for in-process projects through a cumulative-effect adjustment to the opening balance of retained earnings. The Company is currently evaluating the impact of the adoption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on its consolidated financial statements.</w:t>
      </w:r>
    </w:p>
    <w:p>
      <w:pPr>
        <w:spacing w:after="0" w:line="89"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In November 2024, the FASB issued ASU No.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03, </w:t>
      </w:r>
      <w:r>
        <w:rPr>
          <w:rFonts w:ascii="Times New Roman" w:cs="Times New Roman" w:eastAsia="Times New Roman" w:hAnsi="Times New Roman"/>
          <w:sz w:val="18"/>
          <w:szCs w:val="18"/>
          <w:i w:val="1"/>
          <w:iCs w:val="1"/>
          <w:color w:val="auto"/>
        </w:rPr>
        <w:t>Income Statements–Reporting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which requires enhanced disclosure of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however, other than additional disclosure, the Company does not expect a change to the consolidated financial statements.</w:t>
      </w:r>
    </w:p>
    <w:p>
      <w:pPr>
        <w:spacing w:after="0" w:line="117"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color w:val="auto"/>
        </w:rPr>
        <w:t>In March 2024, the SEC adopted the final rule under SEC Release No.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11275, </w:t>
      </w:r>
      <w:r>
        <w:rPr>
          <w:rFonts w:ascii="Times New Roman" w:cs="Times New Roman" w:eastAsia="Times New Roman" w:hAnsi="Times New Roman"/>
          <w:sz w:val="18"/>
          <w:szCs w:val="18"/>
          <w:i w:val="1"/>
          <w:iCs w:val="1"/>
          <w:color w:val="auto"/>
        </w:rPr>
        <w:t>The Enhancement and Standardization of Climate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The final rule requires registrants to disclose certain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information in registration statements and annual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rule disclosure requirements would have begun phasing in prospectively for the Company’s fiscal year beginning January 1, 2025. In April 2024, the SEC issued an order staying the final rule pending completion of a judicial review of certain petitions challenging their validity. In March 2025, the SEC voted to end its defense of the final rule. In September 2025, judicial review was suspended awaiting SEC clarity on its position. In May 2026, the SEC issued a formal proposal to rescind the final rule in its entirety. The Company will continue to monitor the formal administrative outcomes of the SEC’s rescission proposal and evaluate the potential impact of the final rule, if any, on its consolidated financial statements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148"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In July 2025, the FASB issued ASU No.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which provides public entities with an optional practical expedient related to the estimation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losses for current accounts receivables and current contract assets arising from transactions accounted for under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(Topic 606). The Company adopted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during the three months ended March 31, 2026 and elected the practical expedient,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permits the assumption that current conditions as of the balance sheet date do not change for the remaining life of the asset. The adoption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Enterprise subscriptions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183,244</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524,846</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459,680</w:t>
            </w: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67,512</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200,815</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196,690</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136,063</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119,504</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432,277</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363,693</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386,819</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344,293</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1,157,938</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1,020,063</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31,395</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31,898</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399,450</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355,206</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1,189,333</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1,051,961</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2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56,795</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2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26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58,236</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421,507</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375,549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1,256,415</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1,110,197</w:t>
            </w:r>
          </w:p>
        </w:tc>
      </w:tr>
      <w:tr>
        <w:trPr>
          <w:trHeight w:val="20"/>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35" w:lineRule="exact"/>
        <w:rPr>
          <w:sz w:val="20"/>
          <w:szCs w:val="20"/>
          <w:color w:val="auto"/>
        </w:rPr>
      </w:pPr>
    </w:p>
    <w:p>
      <w:pPr>
        <w:ind w:left="340" w:right="20" w:hanging="332"/>
        <w:spacing w:after="0" w:line="280"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 subscriptions are primarily revenues attributable to Enterprise 365 (“E365”) subscriptions of $182,252 and $156,759 for the three months ended September 30, 2026 and 2025, respectively, and $520,121 and $453,829 for the nine months ended September 30, 2026 and 2025, respectively.</w:t>
      </w:r>
    </w:p>
    <w:p>
      <w:pPr>
        <w:spacing w:after="0" w:line="13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three months ended September 30, 2026 and 2025, the Company recognized $217,360 and $191,109 of license related revenues, respectively, of which $204,729 and $180,196, respectively, were attributable to the term license component of the Company’s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 For the nine months ended September 30, 2026 and 2025, the Company recognized $663,160 and $576,488 of license related revenues, respectively, of which $631,765 and $544,590, respectively, were attributable to the term license component of the Company’s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 Revenues by geographic region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1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218,096</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196,345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663,097</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589,379</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320,306</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81,622</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71,317</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222,506</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200,512</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421,507</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375,549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1,256,415</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1,110,197</w:t>
            </w:r>
          </w:p>
        </w:tc>
      </w:tr>
      <w:tr>
        <w:trPr>
          <w:trHeight w:val="20"/>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35" w:lineRule="exact"/>
        <w:rPr>
          <w:sz w:val="20"/>
          <w:szCs w:val="20"/>
          <w:color w:val="auto"/>
        </w:rPr>
      </w:pPr>
    </w:p>
    <w:p>
      <w:pPr>
        <w:ind w:left="340" w:right="20" w:hanging="332"/>
        <w:spacing w:after="0" w:line="280"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Americas includes the U.S., Canada, and Latin America (including the Caribbean). Revenue attributable to the U.S. totaled $173,873 and $154,148 for the three months ended September 30, 2026 and 2025, respectively, and $513,802 and $462,535 for the nine months ended September 30, 2026 and 2025,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derived 8% and 6% of its total revenues through channel partners for the three months ended September 30, 2026 and 2025, respectively, and 6% of its total revenues through channel partners for the nine months ended September 30, 2026 and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Unbilled Accounts Receivable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Unbilled accounts receivable represent amounts that are unbilled due to agreed-upon contractual terms in which billing occurs subsequent to revenue recognition, and are included in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in the consolidated balance sheets. As of September 30, 2026 and December 31, 2025, unbilled accounts receivable were $198,609 and $182,315,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in the consolidated balance sheets. Contract assets were not material as of September 30, 2026 or December 31, 2025.</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services. The primary changes in deferred revenues are due to the Company’s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2026, $236,469 of revenues that were included in the December 31, 2025 deferred revenues balance were recognized and $7,338 of deferred revenues were reclassified to </w:t>
      </w:r>
      <w:r>
        <w:rPr>
          <w:rFonts w:ascii="Times New Roman" w:cs="Times New Roman" w:eastAsia="Times New Roman" w:hAnsi="Times New Roman"/>
          <w:sz w:val="18"/>
          <w:szCs w:val="18"/>
          <w:i w:val="1"/>
          <w:iCs w:val="1"/>
          <w:color w:val="auto"/>
        </w:rPr>
        <w:t>Liabilities held for sale</w:t>
      </w:r>
      <w:r>
        <w:rPr>
          <w:rFonts w:ascii="Times New Roman" w:cs="Times New Roman" w:eastAsia="Times New Roman" w:hAnsi="Times New Roman"/>
          <w:sz w:val="18"/>
          <w:szCs w:val="18"/>
          <w:color w:val="auto"/>
        </w:rPr>
        <w:t xml:space="preserve"> in the consolidated balance sheets. There were additional deferrals of $208,859 for the nine months ended September 30, 2026, which were primarily related to new billings. For the nine months ended September 30, 2025, $223,141 of revenues that were included in the December 31, 2024 deferred revenues balance were recognized. There were additional deferrals of $197,856 for the nine months ended September 30, 2025, which were primarily related to new billings.</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the Company deferred $19,603 and $19,822, respectively,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September 30, 2026, amounts allocated to these remaining performance obligations are $257,121, of which the Company expects to recognize approximately 93%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Divestitures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complete any acquisitions during the nine months ended September 30, 2026 or 2025.</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operating results for any acquired business are included in the Company’s consolidated financial statements from the closing date of each respective acquisition and were not material, individually or in the aggregate, to the Company’s consolidated statements of operations. The following summarizes the fair values of the assets acquired and liabilities assumed, as well as the weighted average useful lives assigned to acquired intangible assets at the respective date of each acquisition: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Acquisitions Completed During</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at closing</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0" w:type="dxa"/>
            <w:vAlign w:val="bottom"/>
          </w:tcPr>
          <w:p>
            <w:pPr>
              <w:spacing w:after="0"/>
              <w:rPr>
                <w:sz w:val="1"/>
                <w:szCs w:val="1"/>
                <w:color w:val="auto"/>
              </w:rPr>
            </w:pPr>
          </w:p>
        </w:tc>
      </w:tr>
      <w:tr>
        <w:trPr>
          <w:trHeight w:val="27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28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23"/>
                <w:szCs w:val="23"/>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23"/>
                <w:szCs w:val="23"/>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7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28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(weighted average useful life of 5 years)</w:t>
            </w:r>
          </w:p>
        </w:tc>
        <w:tc>
          <w:tcPr>
            <w:tcW w:w="280" w:type="dxa"/>
            <w:vAlign w:val="bottom"/>
            <w:shd w:val="clear" w:color="auto" w:fill="CCEEFF"/>
          </w:tcPr>
          <w:p>
            <w:pPr>
              <w:spacing w:after="0"/>
              <w:rPr>
                <w:sz w:val="23"/>
                <w:szCs w:val="23"/>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5 years)</w:t>
            </w: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280" w:type="dxa"/>
            <w:vAlign w:val="bottom"/>
            <w:tcBorders>
              <w:bottom w:val="single" w:sz="8" w:color="auto"/>
            </w:tcBorders>
            <w:shd w:val="clear" w:color="auto" w:fill="CCEEFF"/>
          </w:tcPr>
          <w:p>
            <w:pPr>
              <w:spacing w:after="0"/>
              <w:rPr>
                <w:sz w:val="21"/>
                <w:szCs w:val="21"/>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0" w:type="dxa"/>
            <w:vAlign w:val="bottom"/>
          </w:tcPr>
          <w:p>
            <w:pPr>
              <w:spacing w:after="0"/>
              <w:rPr>
                <w:sz w:val="1"/>
                <w:szCs w:val="1"/>
                <w:color w:val="auto"/>
              </w:rPr>
            </w:pPr>
          </w:p>
        </w:tc>
      </w:tr>
      <w:tr>
        <w:trPr>
          <w:trHeight w:val="25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8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shd w:val="clear" w:color="auto" w:fill="CCEEFF"/>
          </w:tcPr>
          <w:p>
            <w:pPr>
              <w:spacing w:after="0"/>
              <w:rPr>
                <w:sz w:val="23"/>
                <w:szCs w:val="23"/>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28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32,243</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in the process of finalizing the purchase accounting for an acquisition completed during the year ended December 31, 2025. The initial accounting for this business combination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 The primary areas of preliminary purchase price allocation that are not yet finalized relate to tax assets and liabilities, and residual goodwill.</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29, 2026, the Company completed the acquisition of Eliis, a seismic interpretation software company. The acquisition is expected to complement the Company’s </w:t>
      </w:r>
      <w:r>
        <w:rPr>
          <w:rFonts w:ascii="Times New Roman" w:cs="Times New Roman" w:eastAsia="Times New Roman" w:hAnsi="Times New Roman"/>
          <w:sz w:val="18"/>
          <w:szCs w:val="18"/>
          <w:i w:val="1"/>
          <w:iCs w:val="1"/>
          <w:color w:val="auto"/>
        </w:rPr>
        <w:t>Seequent</w:t>
      </w:r>
      <w:r>
        <w:rPr>
          <w:rFonts w:ascii="Times New Roman" w:cs="Times New Roman" w:eastAsia="Times New Roman" w:hAnsi="Times New Roman"/>
          <w:sz w:val="18"/>
          <w:szCs w:val="18"/>
          <w:color w:val="auto"/>
        </w:rPr>
        <w:t xml:space="preserve"> subsurface portfolio. The consideration consisted of approximately €133,000 in cash, net of cash acquired and subject to customary adjustments, including for working capital, plus 437,545 shares of the Company’s Class B common stock. The Company is currently evaluating the accounting for the acquisition and its impact on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6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On October 13, 2026, the Company completed the divestiture of Cohesive—a business that provides IBM Maximo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implementation and consulting services and operated separately from the Company’s infrastructure engineering software offerings—by contributing it to Naviam, a leading IBM Maximo partner. In exchange, the Company received an equity interest in Naviam and warrants to acquire additional equity interests therein. The agreement also included customary price adjustments for Cohesive’s working capital, indebtedness, and cash on hand. At closing, the Company received net cash of $6,715 related to the purchase price adjustments.</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30, 2026, the assets and liabilities of the Cohesive business were classified as held for sale in the consolidated balance sheets. Assets held for sale consisted of cash of $12,464, accounts receivable, net, of $20,038, goodwill of $24,862, and other assets of $4,688. Liabilities held for sale consisted of deferred revenues of $7,338 and other liabilities of $9,735. The disposal did not represent a strategic shift that had or would have a major effect on the Company’s operations or financial results, and therefore was not presented as discontinued operations. The fair value less costs to sell exceeded the carrying value of the assets and liabilities of the Cohesive business as of September 30, 2026. For the three and nine months ended September 30, 2026,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consolidated statements of operations included $5,430 of transaction costs related to the divestiture of Cohesive (see Note 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34,429</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62,274</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112,800</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(84,671)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(76,769)</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$3,813 and $3,871 for the three months ended September 30, 2026 and 2025, respectively, and $11,709 and $10,669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Reclassification to Assets held for sale (see Note 4)</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4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94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Details of intangible assets other than goodwill are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80" w:type="dxa"/>
            <w:vAlign w:val="bottom"/>
            <w:gridSpan w:val="2"/>
          </w:tcPr>
          <w:p>
            <w:pPr>
              <w:jc w:val="center"/>
              <w:ind w:right="140"/>
              <w:spacing w:after="0" w:line="54" w:lineRule="exact"/>
              <w:rPr>
                <w:sz w:val="20"/>
                <w:szCs w:val="20"/>
                <w:color w:val="auto"/>
              </w:rPr>
            </w:pPr>
            <w:r>
              <w:rPr>
                <w:rFonts w:ascii="Times New Roman" w:cs="Times New Roman" w:eastAsia="Times New Roman" w:hAnsi="Times New Roman"/>
                <w:sz w:val="6"/>
                <w:szCs w:val="6"/>
                <w:b w:val="1"/>
                <w:bCs w:val="1"/>
                <w:color w:val="auto"/>
              </w:rPr>
              <w:t>Weighted Average</w:t>
            </w: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Useful Life</w:t>
            </w:r>
          </w:p>
        </w:tc>
        <w:tc>
          <w:tcPr>
            <w:tcW w:w="260" w:type="dxa"/>
            <w:vAlign w:val="bottom"/>
          </w:tcPr>
          <w:p>
            <w:pPr>
              <w:spacing w:after="0"/>
              <w:rPr>
                <w:sz w:val="12"/>
                <w:szCs w:val="12"/>
                <w:color w:val="auto"/>
              </w:rPr>
            </w:pPr>
          </w:p>
        </w:tc>
        <w:tc>
          <w:tcPr>
            <w:tcW w:w="10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200" w:type="dxa"/>
            <w:vAlign w:val="bottom"/>
          </w:tcPr>
          <w:p>
            <w:pPr>
              <w:spacing w:after="0"/>
              <w:rPr>
                <w:sz w:val="12"/>
                <w:szCs w:val="12"/>
                <w:color w:val="auto"/>
              </w:rPr>
            </w:pPr>
          </w:p>
        </w:tc>
        <w:tc>
          <w:tcPr>
            <w:tcW w:w="10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94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as of September 30,</w:t>
            </w:r>
          </w:p>
        </w:tc>
        <w:tc>
          <w:tcPr>
            <w:tcW w:w="260" w:type="dxa"/>
            <w:vAlign w:val="bottom"/>
          </w:tcPr>
          <w:p>
            <w:pPr>
              <w:spacing w:after="0"/>
              <w:rPr>
                <w:sz w:val="10"/>
                <w:szCs w:val="10"/>
                <w:color w:val="auto"/>
              </w:rPr>
            </w:pPr>
          </w:p>
        </w:tc>
        <w:tc>
          <w:tcPr>
            <w:tcW w:w="100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subject to</w:t>
            </w: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w:t>
            </w: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Software and technology</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2.3 years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87,336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9,578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88,183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4.8 years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122,225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332,959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Trademarks</w:t>
            </w:r>
          </w:p>
        </w:tc>
        <w:tc>
          <w:tcPr>
            <w:tcW w:w="12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5.2 years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72,935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26,530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77,764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158,333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498,906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193,018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is included in the consolidated statements of operations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14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1,637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8,152</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24,881</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24,557</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9,789</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we recorded a step-up in fair value of two of the Company’s investees and, as a result, recognized remeasurement gains of $13,958, which were recorded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consolidated statements of operations (see Note 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automobiles. As of September 30, 2026, the Company’s leases have remaining terms of less than one year to 11 years, some of which include one or more options to renew, with renewal terms from one year to five years and some of which include options to terminate the leases from less than one year to five years.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operating lease cost is included in the consolidated statements of operations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2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3,200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3,653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1,115</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1,207</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4,315</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4,860</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35" w:lineRule="exact"/>
        <w:rPr>
          <w:sz w:val="20"/>
          <w:szCs w:val="20"/>
          <w:color w:val="auto"/>
        </w:rPr>
      </w:pPr>
    </w:p>
    <w:p>
      <w:pPr>
        <w:ind w:left="340" w:hanging="332"/>
        <w:spacing w:after="0" w:line="280"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cost includes rent cost related to operating leases for office facilities of $2,994 and $3,422 for the three months ended September 30, 2026 and 2025, respectively, and $10,640 and $10,500 for the nine months ended September 30, 2026 and 2025, respectively.</w:t>
      </w:r>
    </w:p>
    <w:p>
      <w:pPr>
        <w:spacing w:after="0" w:line="133"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Supplemental operating cash flows and other information related to leases was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60" w:type="dxa"/>
            <w:vAlign w:val="bottom"/>
          </w:tcPr>
          <w:p>
            <w:pPr>
              <w:spacing w:after="0"/>
              <w:rPr>
                <w:sz w:val="18"/>
                <w:szCs w:val="18"/>
                <w:color w:val="auto"/>
              </w:rPr>
            </w:pPr>
          </w:p>
        </w:tc>
      </w:tr>
      <w:tr>
        <w:trPr>
          <w:trHeight w:val="219"/>
        </w:trPr>
        <w:tc>
          <w:tcPr>
            <w:tcW w:w="7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5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12,251</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r>
      <w:tr>
        <w:trPr>
          <w:trHeight w:val="27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23,271</w:t>
            </w:r>
          </w:p>
        </w:tc>
        <w:tc>
          <w:tcPr>
            <w:tcW w:w="2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was 5.9 years and 3.8 years as of September 30, 2026 and December 31, 2025, respectively. The weighted average discount rate was 5.9% and 5.4% as of September 30, 2026 and December 31,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45,120</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45,776</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82,359</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167,253</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173,255</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Long-Term Debt</w:t>
      </w:r>
    </w:p>
    <w:p>
      <w:pPr>
        <w:spacing w:after="0" w:line="16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7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loan facility due October 2029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2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 due October 2029</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January 2026 (the “2026 Notes”)</w:t>
            </w:r>
          </w:p>
        </w:tc>
        <w:tc>
          <w:tcPr>
            <w:tcW w:w="20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677,830</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July 2027 (the “2027 Notes”)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1,162,246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1,248,912</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1,148,496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1,248,912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$0 and $150 of letters of credit outstanding as of September 30, 2026 and December 31, 2025, respectively, under its second amended and restated credit agreement, entered into on October 18, 2024 with a syndicate of banks (the “Credit Facility”). As of September 30, 2026 and December 31, 2025, the Company had $1,259,747 and $1,299,850, respectively, available under the Credit Facility.</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23, 2026, the Company entered into a First Amendment and Incremental Facility Agreement to the Credit Facility with a syndicate of banks (the “First Amendment”), which provided for a new $550,000 senior secured term loan (the “Term Loan”). The maturity date of the Term Loan is October 18, 2029, subject to a “incremental term maturity date” on the date that is 91 days prior to the maturity date of the Company’s outstanding convertible debt, unless on such date the Company meets certain liquidity requirements. Voluntary prepayments under the Term Loan are permitted at any time without payment of any prepayment premiums. The Term Loan is subject to quarterly amortization equal to 1.25% of the initial aggregate principal amount of the Term Loan, on the last business day of each fiscal quarter of the Company commencing on June 30, 2027. Debt issuance costs related to the Term Loan were not material. The Company used the Term Loan borrowings to repay portions of the revolving indebtedness outstanding under the Credit Facility.</w:t>
      </w:r>
    </w:p>
    <w:p>
      <w:pPr>
        <w:spacing w:after="0" w:line="37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Term Loan borrowings under the Credit Facility, bear interest, at the Company’s option, at the Alternative Base Rate or Term Secured Overnight Financing Rate (“SOFR”) that reset every one, three, or six months. Under the Term SOFR elections, Term Loan borrowings bear an interest rate of the applicable Term SOFR rate, plus a spread ranging from 100 bps to 200 bps as determined by the Company’s net leverage ratio.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SOFR elections, Term Loan borrowings bear a base interest rate of the highest of (i) the prime rate, (ii) the overnight bank funding effective rate plus 50 bps, or (iii) the daily simple SOFR rate plus 100 bps, plus a spread ranging from 0 bps to 100 bps as determined by the Company’s net leverage ratio.</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2026 Notes matured on January 15, 2026. Upon maturity, the Company repaid $678,254, which consisted of the remaining outstanding principal balance and accrued interest on the 2026 Notes using borrowings under the Credit Facility and available cash on hand. The capped call options entered into in connection with the pricing of the 2026 Notes expired on January 15, 2026.</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2025, the Company paid $9,797 in cash to repurchase $10,000 aggregate principal amount of its outstanding 2026 Notes through open market transactions resulting in an insignificant gain, which was recorded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consolidated statements of operations for the nine months ended September 30, 2025. The 2026 Notes were repurchased under the BSY Stock Repurchase Program (the “Repurchase Program”) authorization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As of September 30, 2026 and December 31, 2025, the Company was in compliance with all debt covenants. Furthermore, none of the conditions to early convert had been met for the 2027 Notes as of September 30, 2026 and December 31, 2025. Unless converted, upon maturity in July 2027, the Company will be required to repay the outstanding principal amount on the 2027 Notes, which, as of September 30, 2026, was $575,000. As of September 30, 2026, the 2027 Notes were classified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 the consolidated balance sheets as the Company currently has the ability and intent to refinance them on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through available capacity under the Credit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net consists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on borrowings under the Credit Facility were 5.11% and 6.19% for the three months ended September 30, 2026 and 2025, respectively, and 5.13% and 6.19% for the nine months ended September 30, 2026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Executive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Bonus Plan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$2,875 and $2,289 for the three months ended September 30, 2026 and 2025, respectively, and $8,015 and $7,117 for the nine months ended September 30, 2026 and 2025,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Stock Program</w:t>
      </w:r>
    </w:p>
    <w:p>
      <w:pPr>
        <w:spacing w:after="0" w:line="148"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color w:val="auto"/>
        </w:rPr>
        <w:t>The Company maintains an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incentive program to compensate a limited set of executives (the “Career Stock Program”) pursuant to which the Company may grant restricted stock units (“RSUs”) awards under the Bentley Systems, Incorporated 2020 Omnibus Incentive Plan (the “2020 Plan”). During the three months ended March 31, 2026, the Company granted 111,136 RSUs with a fair value of $4,422 under the Career Stock Program based on the achievement of the performance goals for the year ended December 31, 2025. During the three months ended March 31, 2025, the Company granted 28,913 RSUs with a fair value of $1,160 under the Career Stock Program based on the achievement of the performance goals for the year ended December 31, 2024. As of September 30, 2026, there was $4,677 of unrecognized compensation expense related to unvested RSUs under the Career Stock Program, which is expected to be recognized over a weighted average period of approximately 4.0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8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Under the Company’s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 The DCP has 50,000,000 shares of Class B common stock reserved for issuance. As of September 30, 2026, shares of Class B common stock available for future issuance under the DCP were 5,195,121.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there were no DCP elective participant deferrals and no discretionary contributions made to the DCP. As of September 30, 2026 and December 31, 2025, phantom shares of the Company’s Class B common stock issuable by the DCP were 8,072,592 and 10,805,223, respectively.</w:t>
      </w:r>
    </w:p>
    <w:p>
      <w:pPr>
        <w:spacing w:after="0" w:line="14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 w:cs="Times New Roman" w:eastAsia="Times New Roman" w:hAnsi="Times New Roman"/>
          <w:sz w:val="18"/>
          <w:szCs w:val="18"/>
          <w:i w:val="1"/>
          <w:iCs w:val="1"/>
          <w:color w:val="auto"/>
        </w:rPr>
        <w:t>Accruals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Deferred compensation plan liabilities </w:t>
      </w:r>
      <w:r>
        <w:rPr>
          <w:rFonts w:ascii="Times New Roman" w:cs="Times New Roman" w:eastAsia="Times New Roman" w:hAnsi="Times New Roman"/>
          <w:sz w:val="18"/>
          <w:szCs w:val="18"/>
          <w:color w:val="auto"/>
        </w:rPr>
        <w:t>in the consolidated balance sheets as they will be settled in cash upon eventual distribution.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in the consolidated statements of operations.</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(income) expense was $(786) and $6,033 for the three months ended September 30, 2026 and 2025, respectively,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$9,801 and $12,371 for the nine months ended September 30, 2026 and 2025, respectively.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liabilities related to the DCP are included in the consolidated balance sheets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111,985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106,831</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DCP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BSY Stock Repurchase Program</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approved the Repurchase Program authorizing the Company to repurchase up to $500,000 of the Company’s Class B common stock and/or outstanding convertible senior notes through December 31, 2028. As of September 30, 2026, $346,558 was available under the Company’s Board of Directors authorization for future repurchases of Class B common stock and/or outstanding convertible senior notes under the Repurchase Program.</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4,064,293 shares for $135,081 under the Repurchase Program. During the nine months ended September 30, 2025, the Company repurchased 1,457,454 shares for $65,029, and $10,000 aggregate principal amount of the Company’s outstanding 2026 Notes for $9,797 (see Note 10)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Conversions, Issuances, Sales, and Repurchases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nine months ended September 30, 2026, 22,500 shares of Class A common stock were converted to Class B common stock.</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issued 2,153,308 shares of Class B common stock to DCP participants in connection with distributions from the plan, net of 633,204 shares which were sold back to the Company in the same period to pay for applicable income tax withholdings of $22,798. During the nine months ended September 30, 2025, the Company issued 1,635,396 shares of Class B common stock to DCP participants in connection with distributions from the plan, net of 317,259 shares which were sold back to the Company in the same period to pay for applicable income tax withholdings of $13,558.</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issued 89,922 shares of Class B common stock in connection with Bonus Plan incentive compensation, net of 69,912 shares which were sold back to the Company in the same period to pay for applicable income tax withholdings of $2,314. During the nine months ended September 30, 2025, the Company issued 66,837 shares of Class B common stock in connection with the Bonus Plan incentive compensation, net of 34,224 shares which were sold back to the Company in the same period to pay for applicable income tax withholdings of $1,686.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declared cash dividends during the periods presented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Employee Stock Purchase Plan</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colleagues who elected to participate in the Bentley Systems, Incorporated Global Employee Stock Purchase Plan (the “ESPP”) purchased a total of 405,139 shares of Class B common stock, net of shares withheld, resulting in cash proceeds to the Company of $11,759. Of the total 415,907 shares purchased, 10,768 shares were sold back to the Company to pay for applicable income tax withholdings of $360. During the nine months ended September 30, 2025, colleagues who elected to participate in the ESPP purchased a total of 280,767 shares of Class B common stock, net of shares withheld, resulting in cash proceeds to the Company of $11,534. Of the total 291,251 shares purchased, 10,484 shares were sold back to the Company to pay for applicable income tax withholdings of $539. As of September 30, 2026 and December 31, 2025, $2,976 and $6,173 of ESPP withholdings via colleague payroll deduction were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respectively. As of September 30, 2026, shares of Class B common stock available for future issuance under the ESPP were 23,332,554.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during the three months ended September 30,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Actuarial</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(Loss) Gain on</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9"/>
                <w:szCs w:val="19"/>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340" w:type="dxa"/>
            <w:vAlign w:val="bottom"/>
          </w:tcPr>
          <w:p>
            <w:pPr>
              <w:spacing w:after="0"/>
              <w:rPr>
                <w:sz w:val="19"/>
                <w:szCs w:val="19"/>
                <w:color w:val="auto"/>
              </w:rPr>
            </w:pPr>
          </w:p>
        </w:tc>
        <w:tc>
          <w:tcPr>
            <w:tcW w:w="134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2026</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(84,887)</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(86,393)</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05"/>
        </w:trPr>
        <w:tc>
          <w:tcPr>
            <w:tcW w:w="5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6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(88,175)</w:t>
            </w: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4"/>
        </w:trPr>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40" w:type="dxa"/>
            <w:vAlign w:val="bottom"/>
          </w:tcPr>
          <w:p>
            <w:pPr>
              <w:spacing w:after="0"/>
              <w:rPr>
                <w:sz w:val="24"/>
                <w:szCs w:val="24"/>
                <w:color w:val="auto"/>
              </w:rPr>
            </w:pP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Actuarial</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5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21"/>
                <w:szCs w:val="21"/>
                <w:color w:val="auto"/>
              </w:rPr>
            </w:pP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(Loss) Gain on</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22"/>
                <w:szCs w:val="22"/>
                <w:color w:val="auto"/>
              </w:rPr>
            </w:pP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340" w:type="dxa"/>
            <w:vAlign w:val="bottom"/>
          </w:tcPr>
          <w:p>
            <w:pPr>
              <w:spacing w:after="0"/>
              <w:rPr>
                <w:sz w:val="22"/>
                <w:szCs w:val="22"/>
                <w:color w:val="auto"/>
              </w:rPr>
            </w:pP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7"/>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2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(69,095)</w:t>
            </w:r>
          </w:p>
        </w:tc>
      </w:tr>
      <w:tr>
        <w:trPr>
          <w:trHeight w:val="223"/>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05"/>
        </w:trPr>
        <w:tc>
          <w:tcPr>
            <w:tcW w:w="5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6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(77,349)</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(77,445)</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during the nine months ended September 30,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Actuarial</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 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(74,558)</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3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benefit</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(13,617)</w:t>
            </w:r>
          </w:p>
        </w:tc>
      </w:tr>
      <w:tr>
        <w:trPr>
          <w:trHeight w:val="205"/>
        </w:trPr>
        <w:tc>
          <w:tcPr>
            <w:tcW w:w="5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(88,175)</w:t>
            </w:r>
          </w:p>
        </w:tc>
      </w:tr>
      <w:tr>
        <w:trPr>
          <w:trHeight w:val="21"/>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00"/>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24"/>
                <w:szCs w:val="24"/>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Actuarial</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 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(103,900)</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(104,078)</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2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26,643</w:t>
            </w:r>
          </w:p>
        </w:tc>
      </w:tr>
      <w:tr>
        <w:trPr>
          <w:trHeight w:val="22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(77,445)</w:t>
            </w:r>
          </w:p>
        </w:tc>
      </w:tr>
      <w:tr>
        <w:trPr>
          <w:trHeight w:val="21"/>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16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2"/>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47,056</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Bonus Plan expense (see Note 11)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expense (see Note 13)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grants expense</w:t>
            </w:r>
          </w:p>
        </w:tc>
        <w:tc>
          <w:tcPr>
            <w:tcW w:w="3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stock-based compensation expense </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19" w:lineRule="exact"/>
        <w:rPr>
          <w:sz w:val="20"/>
          <w:szCs w:val="20"/>
          <w:color w:val="auto"/>
        </w:rPr>
      </w:pPr>
    </w:p>
    <w:p>
      <w:pPr>
        <w:ind w:left="340" w:hanging="332"/>
        <w:spacing w:after="0" w:line="270"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September 30, 2026 and December 31, 2025, $2,412 and $1,814 remained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 respectively.</w:t>
      </w:r>
    </w:p>
    <w:p>
      <w:pPr>
        <w:spacing w:after="0" w:line="316" w:lineRule="exact"/>
        <w:rPr>
          <w:rFonts w:ascii="Times New Roman" w:cs="Times New Roman" w:eastAsia="Times New Roman" w:hAnsi="Times New Roman"/>
          <w:sz w:val="16"/>
          <w:szCs w:val="16"/>
          <w:color w:val="auto"/>
        </w:rPr>
      </w:pPr>
    </w:p>
    <w:p>
      <w:pPr>
        <w:ind w:left="340"/>
        <w:spacing w:after="0" w:line="207"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included in the consolidated statements of operations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26,998</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21,860</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64,800</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55,037</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Bentley Systems, Incorporated 2020 Omnibus Incentive Plan</w:t>
      </w:r>
    </w:p>
    <w:p>
      <w:pPr>
        <w:spacing w:after="0" w:line="148"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The Company’s 2020 Plan provides for the granting of stock, stock options, restricted stock, RSUs,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September 30, 2026, equity awards available for future grants under the 2020 Plan were 16,351,515.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RSUs</w:t>
      </w:r>
    </w:p>
    <w:p>
      <w:pPr>
        <w:spacing w:after="0" w:line="14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Under the 2020 Plan, the Company may grant both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vesting is determined by the achievement of certain business growth targets established by the Sustainability Committee of the Company’s Board of Directors. Performance targets are generally set for performance periods of one year to three years, which are subject to certain cliff vesting performance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unvested RSUs activity and related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203"/>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Based</w:t>
            </w:r>
          </w:p>
        </w:tc>
      </w:tr>
      <w:tr>
        <w:trPr>
          <w:trHeight w:val="203"/>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Time-</w:t>
            </w:r>
          </w:p>
        </w:tc>
        <w:tc>
          <w:tcPr>
            <w:tcW w:w="4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4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8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3"/>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44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30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2025</w:t>
            </w:r>
          </w:p>
        </w:tc>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3,408,609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3,163,771</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244,838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43.96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42.10</w:t>
            </w:r>
          </w:p>
        </w:tc>
      </w:tr>
      <w:tr>
        <w:trPr>
          <w:trHeight w:val="27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2,589,083</w:t>
            </w:r>
          </w:p>
        </w:tc>
        <w:tc>
          <w:tcPr>
            <w:tcW w:w="260" w:type="dxa"/>
            <w:vAlign w:val="bottom"/>
          </w:tcPr>
          <w:p>
            <w:pPr>
              <w:spacing w:after="0"/>
              <w:rPr>
                <w:sz w:val="23"/>
                <w:szCs w:val="23"/>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2,016,685</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572,398</w:t>
            </w:r>
          </w:p>
        </w:tc>
        <w:tc>
          <w:tcPr>
            <w:tcW w:w="2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35.85</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39.47</w:t>
            </w:r>
          </w:p>
        </w:tc>
      </w:tr>
      <w:tr>
        <w:trPr>
          <w:trHeight w:val="27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(1,103,913)</w:t>
            </w:r>
          </w:p>
        </w:tc>
        <w:tc>
          <w:tcPr>
            <w:tcW w:w="26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(892,992)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(210,921)</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42.71</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40.21</w:t>
            </w:r>
          </w:p>
        </w:tc>
      </w:tr>
      <w:tr>
        <w:trPr>
          <w:trHeight w:val="27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(311,336)</w:t>
            </w:r>
          </w:p>
        </w:tc>
        <w:tc>
          <w:tcPr>
            <w:tcW w:w="260" w:type="dxa"/>
            <w:vAlign w:val="bottom"/>
          </w:tcPr>
          <w:p>
            <w:pPr>
              <w:spacing w:after="0"/>
              <w:rPr>
                <w:sz w:val="23"/>
                <w:szCs w:val="23"/>
                <w:color w:val="auto"/>
              </w:rPr>
            </w:pPr>
          </w:p>
        </w:tc>
        <w:tc>
          <w:tcPr>
            <w:tcW w:w="1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(257,904)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2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41.29</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39.55</w:t>
            </w:r>
          </w:p>
        </w:tc>
      </w:tr>
      <w:tr>
        <w:trPr>
          <w:trHeight w:val="248"/>
        </w:trPr>
        <w:tc>
          <w:tcPr>
            <w:tcW w:w="3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September 30, 2026</w:t>
            </w:r>
          </w:p>
        </w:tc>
        <w:tc>
          <w:tcPr>
            <w:tcW w:w="12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4,582,443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4,029,560</w:t>
            </w:r>
          </w:p>
        </w:tc>
        <w:tc>
          <w:tcPr>
            <w:tcW w:w="440" w:type="dxa"/>
            <w:vAlign w:val="bottom"/>
            <w:tcBorders>
              <w:top w:val="single" w:sz="8" w:color="CCEEFF"/>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99"/>
              </w:rPr>
              <w:t>(1)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40.35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40.34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00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3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Includes 51,683 RSUs which are expected to be settled in cash.</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RSUs granted were $36.65 and $40.78 for the nine months ended September 30, 2026 and 2025, respectively.</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RSUs were issued net of 206,388 and 277,595 shares, respectively, which were sold back to the Company to settle applicable income tax withholdings of $7,676 and $12,599, respectively.</w:t>
      </w:r>
    </w:p>
    <w:p>
      <w:pPr>
        <w:spacing w:after="0" w:line="80"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As of September 30, 2026, there was $114,538 of unrecognized compensation expense related to unvested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is expected to be recognized over a weighted average period of approximately 1.9 years. As of September 30, 2026, there was $12,460 of unrecognized compensation expense related to unvested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is expected to be recognized over a weighted average period of approximately 1.4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Grants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granted 20,247 and 12,591 fully vested shares of Class B common stock, respectively, with a fair value of $675 and $600,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income before income taxes, provision for income taxes, and effective tax rate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78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4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115,535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83,707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329,161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274,847</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25,500</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26,256</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65,264</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55,620</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5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For the three and nine months ended September 30, 2026, the effective tax rate was lower compared to the same period in the prior year primarily due to the impact of the increase in discrete tax benefits in the current year periods. For the three months ended September 30, 2026 and 2025, the Company recorded discrete tax benefits (expenses) of $1,672 and $(6,455), respectively, and $11,561, and $6,732 for the nine months ended September 30, 2026 and 2025, respectively, related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 For the three months ended September 30, 2025, discrete tax expenses were primarily associated with the limitation of discrete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deductions on U.S. international tax provisions.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8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185"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126" w:lineRule="exact"/>
        <w:rPr>
          <w:sz w:val="20"/>
          <w:szCs w:val="20"/>
          <w:color w:val="auto"/>
        </w:rPr>
      </w:pPr>
    </w:p>
    <w:p>
      <w:pPr>
        <w:jc w:val="both"/>
        <w:ind w:firstLine="324"/>
        <w:spacing w:after="0" w:line="24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Current Assets and Current Liabilities </w:t>
      </w:r>
      <w:r>
        <w:rPr>
          <w:rFonts w:ascii="Times New Roman" w:cs="Times New Roman" w:eastAsia="Times New Roman" w:hAnsi="Times New Roman"/>
          <w:sz w:val="18"/>
          <w:szCs w:val="18"/>
          <w:color w:val="auto"/>
        </w:rPr>
        <w:t>— In general, the carrying amounts reported on the consolidated balance sheets for current assets and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those instruments.</w:t>
      </w:r>
    </w:p>
    <w:p>
      <w:pPr>
        <w:spacing w:after="0" w:line="14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 </w:t>
      </w:r>
      <w:r>
        <w:rPr>
          <w:rFonts w:ascii="Times New Roman" w:cs="Times New Roman" w:eastAsia="Times New Roman" w:hAnsi="Times New Roman"/>
          <w:sz w:val="18"/>
          <w:szCs w:val="18"/>
          <w:color w:val="auto"/>
        </w:rPr>
        <w:t>— The fair value of the Company’s interest rate swap asset or liability is determined using an income approach and is measured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implied forward rates for the remaining term of the interest rate swap. The Company considers these valuation inputs to be Level 2 inputs in the fair value hierarchy.</w:t>
      </w:r>
    </w:p>
    <w:p>
      <w:pPr>
        <w:spacing w:after="0" w:line="13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color w:val="auto"/>
        </w:rPr>
        <w:t>— The fair value of the Company’s borrowings under the Credit Facility approximated its carrying value based upon discounted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at current market rates for instruments with similar remaining terms. The Company considers these valuation inputs to be Level 2 inputs in the fair value hierarchy. As of September 30, 2026 and December 31, 2025, the estimated fair value of the 2027 Notes was $556,888 and $543,059, respectively. The estimated fair value of the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4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Liabilities </w:t>
      </w:r>
      <w:r>
        <w:rPr>
          <w:rFonts w:ascii="Times New Roman" w:cs="Times New Roman" w:eastAsia="Times New Roman" w:hAnsi="Times New Roman"/>
          <w:sz w:val="18"/>
          <w:szCs w:val="18"/>
          <w:color w:val="auto"/>
        </w:rPr>
        <w:t>— The fair value of deferred compensation plan liabilities, including the liability classified phantom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the DCP, are marked to market at the end of each reporting period.</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assets and financial liabilities carried at fair value measured on a recurring basis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48,555</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48,555</w:t>
            </w: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75,241</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116,637</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116,637</w:t>
            </w: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117,030</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117,030</w:t>
            </w:r>
          </w:p>
        </w:tc>
      </w:tr>
      <w:tr>
        <w:trPr>
          <w:trHeight w:val="21"/>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w:t>
            </w:r>
          </w:p>
        </w:tc>
      </w:tr>
      <w:tr>
        <w:trPr>
          <w:trHeight w:val="27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w:t>
            </w: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39,772</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111,125</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111,125</w:t>
            </w:r>
          </w:p>
        </w:tc>
      </w:tr>
      <w:tr>
        <w:trPr>
          <w:trHeight w:val="27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111,486</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111,486</w:t>
            </w:r>
          </w:p>
        </w:tc>
      </w:tr>
      <w:tr>
        <w:trPr>
          <w:trHeight w:val="21"/>
        </w:trPr>
        <w:tc>
          <w:tcPr>
            <w:tcW w:w="2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292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3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Cash and cash equivalents</w:t>
      </w:r>
      <w:r>
        <w:rPr>
          <w:rFonts w:ascii="Times New Roman" w:cs="Times New Roman" w:eastAsia="Times New Roman" w:hAnsi="Times New Roman"/>
          <w:sz w:val="16"/>
          <w:szCs w:val="16"/>
          <w:color w:val="auto"/>
        </w:rPr>
        <w:t xml:space="preserve"> in the consolidated balance sheets.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Other assets</w:t>
      </w:r>
      <w:r>
        <w:rPr>
          <w:rFonts w:ascii="Times New Roman" w:cs="Times New Roman" w:eastAsia="Times New Roman" w:hAnsi="Times New Roman"/>
          <w:sz w:val="16"/>
          <w:szCs w:val="16"/>
          <w:color w:val="auto"/>
        </w:rPr>
        <w:t xml:space="preserve"> in the consolidated balance sheets.</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compensation plan liabilities</w:t>
      </w:r>
      <w:r>
        <w:rPr>
          <w:rFonts w:ascii="Times New Roman" w:cs="Times New Roman" w:eastAsia="Times New Roman" w:hAnsi="Times New Roman"/>
          <w:sz w:val="16"/>
          <w:szCs w:val="16"/>
          <w:color w:val="auto"/>
        </w:rPr>
        <w:t xml:space="preserve">, except for current liabilities of $4,652 and $4,294 as of September 30, 2026 and December 31, 2025, respectively, which are included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w:t>
      </w: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20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In the normal course of business, the Company enters into various purchase commitments for goods and services. During the nine months ended September 30, 2026, the Company entered into approximately $204,000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commitments for services related to cloud provisioning of the Company’s software and for internal-use software costs. As of September 30, 2026, 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commitments were approximately $218,000 to be paid through 2029. The Company expects to fully consume its contractual commitments in the ordinary course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and Geographic Information</w:t>
      </w:r>
    </w:p>
    <w:p>
      <w:pPr>
        <w:spacing w:after="0" w:line="18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Company operates and manages its business in a single reportable segment, the development and marketing of computer software and related services. The Company defines its chief operating decision maker (“CODM”) to be its Chief Executive Officer, who reviews financial information presented on a consolidated basis. The Company’s reported measures of profit or loss for segment reporting purposes are Net income and Adjusted operating income less operating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(“AOI less Operating SBC”). The CODM is regularly provided Net income and AOI less Operating SBC to understand the Company’s financial and operating results across accounting periods and for comparison of the Company’s results to those of other companies. The CODM regularly reviews AOI less Operating SBC for internal budgeting and forecasting purposes, to evaluate operating performance, and to make decisions on allocation of resources. The CODM does not use segment asset information to evaluate operating performance or allocate resources.</w:t>
      </w:r>
    </w:p>
    <w:p>
      <w:pPr>
        <w:spacing w:after="0" w:line="117"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The presentation of Net income is included in the consolidated statements of operations. AOI less Operating SBC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and is defined as operating income adjusted for the following: amortization of purchased intangibles, expense (income) relating to deferred compensation plan liabilities, acquisition expenses (inclusive of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integration costs, and realignment expenses (income),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Company uses AOI less Operating SBC as its primary performance measure because management believes it better reflects the Company’s core operating results by excluding items that are not indicative of the ordinary operation of its business, including costs arising directly from acquisition activity and the costs of discrete realignment initiatives. Consistent with that objective, the Company refined the measure during 2026: beginning in the first quarter of 2026, the Company expanded its acquisition expenses adjustment to include cash-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and renamed the measure from “AOI less SBC” to “AOI less Operating SBC”; and beginning in the second quarter of 2026, applying the same principle, the Company began adjusting for integration costs incurred to integrate acquired businesses into its operations. The Company continues to adjust for discrete realignment initiatives, and does not adjust for severance or organizational and workforce changes undertaken in the ordinary course of managing its business, which remain reflected in AOI less Operating SBC. Prior period amounts have been revised to conform to the current definition; no integration costs were incurred in periods prior to the second quarter of 2026.</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of operating income to AOI less Operating SBC:</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284,111</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 (see Note 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34,188</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r>
      <w:tr>
        <w:trPr>
          <w:trHeight w:val="230"/>
        </w:trPr>
        <w:tc>
          <w:tcPr>
            <w:tcW w:w="5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w:t>
            </w:r>
          </w:p>
        </w:tc>
      </w:tr>
      <w:tr>
        <w:trPr>
          <w:trHeight w:val="229"/>
        </w:trPr>
        <w:tc>
          <w:tcPr>
            <w:tcW w:w="5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Integration costs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Realignment expenses (income)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AOI less Operating SBC</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explanation of certain of the Company’s adjustments in arriving at AOI less Operating SBC are as follows:</w:t>
      </w:r>
    </w:p>
    <w:p>
      <w:pPr>
        <w:spacing w:after="0" w:line="125" w:lineRule="exact"/>
        <w:rPr>
          <w:sz w:val="20"/>
          <w:szCs w:val="20"/>
          <w:color w:val="auto"/>
        </w:rPr>
      </w:pPr>
    </w:p>
    <w:p>
      <w:pPr>
        <w:jc w:val="both"/>
        <w:ind w:left="340" w:hanging="332"/>
        <w:spacing w:after="0" w:line="205" w:lineRule="exact"/>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Acquisition expenses</w:t>
      </w:r>
      <w:r>
        <w:rPr>
          <w:rFonts w:ascii="Times New Roman" w:cs="Times New Roman" w:eastAsia="Times New Roman" w:hAnsi="Times New Roman"/>
          <w:sz w:val="16"/>
          <w:szCs w:val="16"/>
          <w:color w:val="auto"/>
        </w:rPr>
        <w:t>. The Company incurs expenses for professional services rendered in connection with business combinations, which are recorded in general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expenses in the Company’s GAAP consolidated statements of operations. Also included in the Company’s acquisition expenses are cash- and equity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settled retention incentives provided to key employees of the acquired companies.</w:t>
      </w:r>
    </w:p>
    <w:p>
      <w:pPr>
        <w:spacing w:after="0" w:line="74" w:lineRule="exact"/>
        <w:rPr>
          <w:rFonts w:ascii="Times New Roman" w:cs="Times New Roman" w:eastAsia="Times New Roman" w:hAnsi="Times New Roman"/>
          <w:sz w:val="16"/>
          <w:szCs w:val="16"/>
          <w:color w:val="auto"/>
        </w:rPr>
      </w:pPr>
    </w:p>
    <w:p>
      <w:pPr>
        <w:jc w:val="both"/>
        <w:ind w:left="340" w:hanging="332"/>
        <w:spacing w:after="0" w:line="258"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Integration costs</w:t>
      </w:r>
      <w:r>
        <w:rPr>
          <w:rFonts w:ascii="Times New Roman" w:cs="Times New Roman" w:eastAsia="Times New Roman" w:hAnsi="Times New Roman"/>
          <w:sz w:val="16"/>
          <w:szCs w:val="16"/>
          <w:color w:val="auto"/>
        </w:rPr>
        <w:t>. Integration costs are incremental costs incurred to integrate and consolidate acquired businesses with the Company’s existing operations,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 it combines an acquired business with an existing business and consolidate overlapping teams, products, and systems. These costs consist primarily of employee severance and related personnel costs arising from such consolidation, and also include contract termination costs and costs to combine or migrate systems, platforms, and processes, and, to a lesser extent, charges to exit or consolidate facilities or other assets, in each case incurred as a direct result of an acquisition. The Company excludes these costs when evaluating its continuing operational performance because they result from acquisition activity rather than the ordinary course of business. Integration costs do not include costs of discrete realignment initiatives that are not undertaken in connection with an acquisition, which are reported as realignment expenses (income). Integration costs may recur to the extent the Company completes and integrates additional acquisitions.</w:t>
      </w:r>
    </w:p>
    <w:p>
      <w:pPr>
        <w:spacing w:after="0" w:line="87" w:lineRule="exact"/>
        <w:rPr>
          <w:rFonts w:ascii="Times New Roman" w:cs="Times New Roman" w:eastAsia="Times New Roman" w:hAnsi="Times New Roman"/>
          <w:sz w:val="16"/>
          <w:szCs w:val="16"/>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Realignment expenses (income)</w:t>
      </w:r>
      <w:r>
        <w:rPr>
          <w:rFonts w:ascii="Times New Roman" w:cs="Times New Roman" w:eastAsia="Times New Roman" w:hAnsi="Times New Roman"/>
          <w:sz w:val="16"/>
          <w:szCs w:val="16"/>
          <w:color w:val="auto"/>
        </w:rPr>
        <w:t>. Realignment expenses (income) consist of the costs of discrete, significant realignment initiatives that the Company formally approves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that have a defined scope of actions and completion timeline—such as a broad reorganization or workforce-reduction program—including employee severance and related personnel costs and associated facility or asset costs. Such initiatives arise from time to time, and the related costs may recur in future periods. The Company excludes these amounts when evaluating its continuing operational performance because such initiatives are distinct from the ordinary course of business. The Company does not adjust for severance or organizational and workforce changes undertaken in the ordinary course of managing its business, which remain reflected in the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are considered the Company’s significant expense category and primarily include salaries, benefits, bonuses,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employment taxes, travel, training, and realignment and optimization of the Company’s colleagues,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expenses and related overhead. Certain of these amounts—cash-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integration costs, and the costs of discrete realignment initiatives—are excluded in deriving AOI less Operating SBC, as described in the reconciliation above. The CODM is regularly provided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costs of $229,934 and $215,892 for the three months ended September 30, 2026 and 2025, respectively, and $695,021 and $624,582 for the nine months ended September 30, 2026 and 2025, respectively, are included in </w:t>
      </w: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consolidated statements of operations.</w:t>
      </w:r>
    </w:p>
    <w:p>
      <w:pPr>
        <w:spacing w:after="0" w:line="17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Under the Company’s Net income measure of profit or loss for segment reporting purposes, other segment items were $101,576 and $102,368 for the three months ended September 30, 2026 and 2025, respectively, and $297,533 and $266,488 for the nine months ended September 30, 2026 and 2025, respectively. These other segment items primarily include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costs incurred for servicing the Company’s accounts using cloud provisioned offerings and the Company’s license administration platform, channel partner compensation for providing sales coverage to users, marketing costs, acquisition costs, depreciation expense, and amortization expense recorded in </w:t>
      </w: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Selling and marketing</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General and administrative </w:t>
      </w:r>
      <w:r>
        <w:rPr>
          <w:rFonts w:ascii="Times New Roman" w:cs="Times New Roman" w:eastAsia="Times New Roman" w:hAnsi="Times New Roman"/>
          <w:sz w:val="18"/>
          <w:szCs w:val="18"/>
          <w:color w:val="auto"/>
        </w:rPr>
        <w:t>in the consolidated statements of operations. Additionally, other segment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 (income), </w:t>
      </w:r>
      <w:r>
        <w:rPr>
          <w:rFonts w:ascii="Times New Roman" w:cs="Times New Roman" w:eastAsia="Times New Roman" w:hAnsi="Times New Roman"/>
          <w:sz w:val="18"/>
          <w:szCs w:val="18"/>
          <w:i w:val="1"/>
          <w:iCs w:val="1"/>
          <w:color w:val="auto"/>
        </w:rPr>
        <w:t>Amortization of purchased intangibles</w:t>
      </w:r>
      <w:r>
        <w:rPr>
          <w:rFonts w:ascii="Times New Roman" w:cs="Times New Roman" w:eastAsia="Times New Roman" w:hAnsi="Times New Roman"/>
          <w:sz w:val="18"/>
          <w:szCs w:val="18"/>
          <w:color w:val="auto"/>
        </w:rPr>
        <w: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expense (income) amounts presented in the consolidated statements of operations.</w:t>
      </w:r>
    </w:p>
    <w:p>
      <w:pPr>
        <w:spacing w:after="0" w:line="15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Under the Company’s AOI less Operating SBC measure of profit or loss for segment reporting purposes, other segment items were $59,713 and $57,433 for the three months ended September 30, 2026 and 2025, respectively, and $180,410 and $154,558 for the nine months ended September 30, 2026 and 2025, respectively. These other segment items primarily include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costs incurred for servicing the Company’s accounts using cloud provisioned offerings and the Company’s license administration platform, channel partner compensation for providing sales coverage to users, marketing costs, and depreciation expense recorded in </w:t>
      </w:r>
      <w:r>
        <w:rPr>
          <w:rFonts w:ascii="Times New Roman" w:cs="Times New Roman" w:eastAsia="Times New Roman" w:hAnsi="Times New Roman"/>
          <w:sz w:val="18"/>
          <w:szCs w:val="18"/>
          <w:i w:val="1"/>
          <w:iCs w:val="1"/>
          <w:color w:val="auto"/>
        </w:rPr>
        <w:t>Cost of subscriptions and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in the consolidated statements of operations. Within the reconciliation of AOI less Operating SBC, cash-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incentives provided to key employees of acquired companies included as a component of acquisition expenses totaling $3,596 and $3,365 for the three months ended September 30, 2026 and 2025, respectively, and $9,631 and $9,609 for the nine months ended September 30, 2026 and 2025, respectively, are excluded from the calculation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Additionally, within the reconciliation of AOI less Operating SBC, integration costs of $1,800 for the nine months ended September 30, 2026 are excluded from the calculation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w:t>
      </w:r>
    </w:p>
    <w:p>
      <w:pPr>
        <w:spacing w:after="0" w:line="96"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Revenues by geographic region are presented in Note 3.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goodwill), net of depreciation and amortization by geographic region (see Notes 5, 6, and 8)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CCEEFF"/>
            </w:tcBorders>
            <w:gridSpan w:val="2"/>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184,121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213,352</w:t>
            </w: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w:t>
            </w:r>
          </w:p>
        </w:tc>
      </w:tr>
      <w:tr>
        <w:trPr>
          <w:trHeight w:val="22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r>
      <w:tr>
        <w:trPr>
          <w:trHeight w:val="22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241,166</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260,190</w:t>
            </w:r>
          </w:p>
        </w:tc>
      </w:tr>
      <w:tr>
        <w:trPr>
          <w:trHeight w:val="20"/>
        </w:trPr>
        <w:tc>
          <w:tcPr>
            <w:tcW w:w="3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13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Americas includes the U.S., Canada, and Latin America (including the Caribbean).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Other Income,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 (see Note 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3,918</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2,702</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Receipts related to interest rate swap</w:t>
            </w:r>
          </w:p>
        </w:tc>
        <w:tc>
          <w:tcPr>
            <w:tcW w:w="300" w:type="dxa"/>
            <w:vAlign w:val="bottom"/>
          </w:tcPr>
          <w:p>
            <w:pPr>
              <w:spacing w:after="0"/>
              <w:rPr>
                <w:sz w:val="19"/>
                <w:szCs w:val="19"/>
                <w:color w:val="auto"/>
              </w:rPr>
            </w:pPr>
          </w:p>
        </w:tc>
        <w:tc>
          <w:tcPr>
            <w:tcW w:w="100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1,559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230"/>
        </w:trPr>
        <w:tc>
          <w:tcPr>
            <w:tcW w:w="5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(5,416)</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8"/>
              </w:rPr>
              <w:t>2,763</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1"/>
        </w:trPr>
        <w:tc>
          <w:tcPr>
            <w:tcW w:w="3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121" w:lineRule="exact"/>
        <w:rPr>
          <w:sz w:val="20"/>
          <w:szCs w:val="20"/>
          <w:color w:val="auto"/>
        </w:rPr>
      </w:pPr>
    </w:p>
    <w:p>
      <w:pPr>
        <w:ind w:left="340" w:right="20" w:hanging="332"/>
        <w:spacing w:after="0" w:line="269"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 is primarily attributable to foreign currency translation derived mainly from U.S. dollar denominated cash and cash equivalents, account receivables, customer deposits, and intercompany balances held by foreign subsidiaries.</w:t>
      </w:r>
    </w:p>
    <w:p>
      <w:pPr>
        <w:ind w:left="340" w:right="20" w:hanging="332"/>
        <w:spacing w:after="0" w:line="216" w:lineRule="exact"/>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income, net for the nine months ended September 30, 2026 includes remeasurement gains on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marketable equity investments of $13,958 (see Note 7), partially offset by $5,430 of transaction costs related to the divestiture of Cohesive (see Note 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Net Income Per Share Attributable to Bentley Systems Stockholders</w:t>
      </w:r>
    </w:p>
    <w:p>
      <w:pPr>
        <w:spacing w:after="0" w:line="20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To compute the numerator of basic net income per share attributable to Bentley Systems stockholders, undistributed net income attributable to Bentley Systems allocated to participating securities (described further below) using the required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issue performance-based RSUs that meet the definition of participating securities, as the holders are entitled to non-forfeitable dividend rights upon the declaration of dividends on the Company’s common stock. As of September 30, 2026, no participating securities were outstanding and as of September 30, 2025, 206,013 participating securities were outstanding.</w:t>
      </w:r>
    </w:p>
    <w:p>
      <w:pPr>
        <w:spacing w:after="0" w:line="13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 xml:space="preserve">To compute the numerator of </w:t>
      </w:r>
      <w:r>
        <w:rPr>
          <w:rFonts w:ascii="Times New Roman" w:cs="Times New Roman" w:eastAsia="Times New Roman" w:hAnsi="Times New Roman"/>
          <w:sz w:val="18"/>
          <w:szCs w:val="18"/>
          <w:color w:val="212529"/>
        </w:rPr>
        <w:t>diluted</w:t>
      </w:r>
      <w:r>
        <w:rPr>
          <w:rFonts w:ascii="Times New Roman" w:cs="Times New Roman" w:eastAsia="Times New Roman" w:hAnsi="Times New Roman"/>
          <w:sz w:val="18"/>
          <w:szCs w:val="18"/>
          <w:color w:val="auto"/>
        </w:rPr>
        <w:t xml:space="preserve"> net income per share attributable to Bentley Systems stockholders</w:t>
      </w:r>
      <w:r>
        <w:rPr>
          <w:rFonts w:ascii="Times New Roman" w:cs="Times New Roman" w:eastAsia="Times New Roman" w:hAnsi="Times New Roman"/>
          <w:sz w:val="18"/>
          <w:szCs w:val="18"/>
          <w:color w:val="212529"/>
        </w:rPr>
        <w:t>, interest expense, net of tax, attributable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assumed conversion of the </w:t>
      </w:r>
      <w:r>
        <w:rPr>
          <w:rFonts w:ascii="Times New Roman" w:cs="Times New Roman" w:eastAsia="Times New Roman" w:hAnsi="Times New Roman"/>
          <w:sz w:val="18"/>
          <w:szCs w:val="18"/>
          <w:color w:val="000000"/>
        </w:rPr>
        <w:t>convertible senior notes using the if</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converted method</w:t>
      </w:r>
      <w:r>
        <w:rPr>
          <w:rFonts w:ascii="Times New Roman" w:cs="Times New Roman" w:eastAsia="Times New Roman" w:hAnsi="Times New Roman"/>
          <w:sz w:val="18"/>
          <w:szCs w:val="18"/>
          <w:color w:val="212529"/>
        </w:rPr>
        <w:t xml:space="preserve"> is added back to basic net </w:t>
      </w:r>
      <w:r>
        <w:rPr>
          <w:rFonts w:ascii="Times New Roman" w:cs="Times New Roman" w:eastAsia="Times New Roman" w:hAnsi="Times New Roman"/>
          <w:sz w:val="18"/>
          <w:szCs w:val="18"/>
          <w:color w:val="000000"/>
        </w:rPr>
        <w:t>income</w:t>
      </w:r>
      <w:r>
        <w:rPr>
          <w:rFonts w:ascii="Times New Roman" w:cs="Times New Roman" w:eastAsia="Times New Roman" w:hAnsi="Times New Roman"/>
          <w:sz w:val="18"/>
          <w:szCs w:val="18"/>
          <w:color w:val="212529"/>
        </w:rPr>
        <w:t xml:space="preserve"> attributable to </w:t>
      </w:r>
      <w:r>
        <w:rPr>
          <w:rFonts w:ascii="Times New Roman" w:cs="Times New Roman" w:eastAsia="Times New Roman" w:hAnsi="Times New Roman"/>
          <w:sz w:val="18"/>
          <w:szCs w:val="18"/>
          <w:color w:val="000000"/>
        </w:rPr>
        <w:t>Bentley Systems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compute the denominator of </w:t>
      </w:r>
      <w:r>
        <w:rPr>
          <w:rFonts w:ascii="Times New Roman" w:cs="Times New Roman" w:eastAsia="Times New Roman" w:hAnsi="Times New Roman"/>
          <w:sz w:val="18"/>
          <w:szCs w:val="18"/>
          <w:color w:val="212529"/>
        </w:rPr>
        <w:t>diluted</w:t>
      </w:r>
      <w:r>
        <w:rPr>
          <w:rFonts w:ascii="Times New Roman" w:cs="Times New Roman" w:eastAsia="Times New Roman" w:hAnsi="Times New Roman"/>
          <w:sz w:val="18"/>
          <w:szCs w:val="18"/>
          <w:color w:val="000000"/>
        </w:rPr>
        <w:t xml:space="preserve"> net income per share attributable to Bentley Systems stockholders</w:t>
      </w:r>
      <w:r>
        <w:rPr>
          <w:rFonts w:ascii="Times New Roman" w:cs="Times New Roman" w:eastAsia="Times New Roman" w:hAnsi="Times New Roman"/>
          <w:sz w:val="18"/>
          <w:szCs w:val="18"/>
          <w:color w:val="212529"/>
        </w:rPr>
        <w:t>, the basic weighted average number of shares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adjusted for the effect of dilutive securities, including awards under the Company’s equity compensation plans and ESPP using the treasury stock method, and for the dilutive </w:t>
      </w:r>
      <w:r>
        <w:rPr>
          <w:rFonts w:ascii="Times New Roman" w:cs="Times New Roman" w:eastAsia="Times New Roman" w:hAnsi="Times New Roman"/>
          <w:sz w:val="18"/>
          <w:szCs w:val="18"/>
          <w:color w:val="000000"/>
        </w:rPr>
        <w:t>effect of the assumed conversion of the convertible senior notes using the if</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converted method.</w:t>
      </w:r>
    </w:p>
    <w:p>
      <w:pPr>
        <w:spacing w:after="0" w:line="144"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basic and diluted net income per share attributable to Bentley Systems stockholders are as follows</w:t>
      </w:r>
      <w:r>
        <w:rPr>
          <w:rFonts w:ascii="Times New Roman" w:cs="Times New Roman" w:eastAsia="Times New Roman" w:hAnsi="Times New Roman"/>
          <w:sz w:val="18"/>
          <w:szCs w:val="18"/>
          <w:color w:val="212529"/>
        </w:rPr>
        <w:t>:</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80" w:type="dxa"/>
            <w:vAlign w:val="bottom"/>
          </w:tcPr>
          <w:p>
            <w:pPr>
              <w:spacing w:after="0"/>
              <w:rPr>
                <w:sz w:val="18"/>
                <w:szCs w:val="18"/>
                <w:color w:val="auto"/>
              </w:rPr>
            </w:pPr>
          </w:p>
        </w:tc>
      </w:tr>
      <w:tr>
        <w:trPr>
          <w:trHeight w:val="219"/>
        </w:trPr>
        <w:tc>
          <w:tcPr>
            <w:tcW w:w="4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1"/>
        </w:trPr>
        <w:tc>
          <w:tcPr>
            <w:tcW w:w="4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Bentley Systems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89,933</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263,892</w:t>
            </w:r>
          </w:p>
        </w:tc>
        <w:tc>
          <w:tcPr>
            <w:tcW w:w="26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219,223</w:t>
            </w:r>
          </w:p>
        </w:tc>
      </w:tr>
      <w:tr>
        <w:trPr>
          <w:trHeight w:val="22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Bentley Systems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allocated to participating securities</w:t>
            </w:r>
          </w:p>
        </w:tc>
        <w:tc>
          <w:tcPr>
            <w:tcW w:w="3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5"/>
        </w:trPr>
        <w:tc>
          <w:tcPr>
            <w:tcW w:w="4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Basic net income attributable to Bentley Systems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61"/>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89,933</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57,359</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263,892</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219,180</w:t>
            </w:r>
          </w:p>
        </w:tc>
      </w:tr>
      <w:tr>
        <w:trPr>
          <w:trHeight w:val="22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 of tax, attributable to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assumed conversion of convertible senior notes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05"/>
        </w:trPr>
        <w:tc>
          <w:tcPr>
            <w:tcW w:w="4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Diluted net income attributable to Bentley Systems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90,807</w:t>
            </w:r>
          </w:p>
        </w:tc>
        <w:tc>
          <w:tcPr>
            <w:tcW w:w="26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59,080</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266,648</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224,185</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4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310,474,561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314,626,191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311,671,484</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314,826,779</w:t>
            </w:r>
          </w:p>
        </w:tc>
      </w:tr>
      <w:tr>
        <w:trPr>
          <w:trHeight w:val="27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RSUs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288,811</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1,162,029</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290,783</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813,284</w:t>
            </w:r>
          </w:p>
        </w:tc>
      </w:tr>
      <w:tr>
        <w:trPr>
          <w:trHeight w:val="27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ESPP</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90,892</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59,811</w:t>
            </w:r>
          </w:p>
        </w:tc>
      </w:tr>
      <w:tr>
        <w:trPr>
          <w:trHeight w:val="225"/>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assumed conversion of convertible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1"/>
        </w:trPr>
        <w:tc>
          <w:tcPr>
            <w:tcW w:w="4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6,908,797</w:t>
            </w:r>
          </w:p>
        </w:tc>
        <w:tc>
          <w:tcPr>
            <w:tcW w:w="2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17,477,861</w:t>
            </w: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7,495,967</w:t>
            </w:r>
          </w:p>
        </w:tc>
        <w:tc>
          <w:tcPr>
            <w:tcW w:w="2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17,514,821</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317,691,424</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333,277,478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319,549,126</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333,214,695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Bentley Systems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RSUs of 828,833 for the three months ended September 30, 2026, and 1,698,313 and 185,090 for the nine months ended September 30, 2026 and 2025, respectively, were excluded from the calculation of diluted net income per share attributable to Bentley Systems stockholders because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There were no anti-dilutive securities for the three months ended September 30, 2025.</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repaid the 2026 Notes at maturity on January 15, 2026, and no shares of the Company’s Class B common stock were issued upon settlement. Following the repayment, the 2026 Notes no longer represent potential common shares and were excluded from the dilutive effect of assumed conversion for periods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with our audited consolidated financial statements and notes thereto included in our 2025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Bentley Systems is the infrastructure engineering software company. Our purpose is to advance the world’s infrastructure for better quality of life. Our mission is to reshape how infrastructure systems and critical resources are delivered and optimized. We manage our business globally within one reportable segment, the development and marketing of computer software and related services, which is consistent with how our CODM reviews and manages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jc w:val="both"/>
        <w:ind w:left="260" w:hanging="252"/>
        <w:spacing w:after="0" w:line="24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$421,507 for the three months ended September 30, 2026, up 12.2% or 12.7%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three months ended September 30, 2025. Total revenues were $1,256,415 for the nine months ended September 30, 2026, up 13.2% or 12.3%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nine months ended September 30, 2025;</w:t>
      </w:r>
    </w:p>
    <w:p>
      <w:pPr>
        <w:spacing w:after="0" w:line="82" w:lineRule="exact"/>
        <w:rPr>
          <w:rFonts w:ascii="Times New Roman" w:cs="Times New Roman" w:eastAsia="Times New Roman" w:hAnsi="Times New Roman"/>
          <w:sz w:val="18"/>
          <w:szCs w:val="18"/>
          <w:color w:val="auto"/>
        </w:rPr>
      </w:pPr>
    </w:p>
    <w:p>
      <w:pPr>
        <w:jc w:val="both"/>
        <w:ind w:left="260" w:hanging="252"/>
        <w:spacing w:after="0" w:line="24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revenues were $386,819 for the three months ended September 30, 2026, up 12.4% or 12.9%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three months ended September 30, 2025. Subscriptions revenues were $1,157,938 for the nine months ended September 30, 2026, up 13.5% or 12.7%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nine months ended September 30, 2025;</w:t>
      </w:r>
    </w:p>
    <w:p>
      <w:pPr>
        <w:spacing w:after="0" w:line="84" w:lineRule="exact"/>
        <w:rPr>
          <w:rFonts w:ascii="Times New Roman" w:cs="Times New Roman" w:eastAsia="Times New Roman" w:hAnsi="Times New Roman"/>
          <w:sz w:val="18"/>
          <w:szCs w:val="18"/>
          <w:color w:val="auto"/>
        </w:rPr>
      </w:pPr>
    </w:p>
    <w:p>
      <w:pPr>
        <w:ind w:left="260" w:hanging="252"/>
        <w:spacing w:after="0" w:line="237"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revenues (“ARR”)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$1,582,791 as of September 30, 2026, compared to $1,405,236 as of September 30, 2025. Constant currency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ARR growth rate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13%;</w:t>
      </w:r>
    </w:p>
    <w:p>
      <w:pPr>
        <w:spacing w:after="0" w:line="88" w:lineRule="exact"/>
        <w:rPr>
          <w:rFonts w:ascii="Times New Roman" w:cs="Times New Roman" w:eastAsia="Times New Roman" w:hAnsi="Times New Roman"/>
          <w:sz w:val="18"/>
          <w:szCs w:val="18"/>
          <w:color w:val="auto"/>
        </w:rPr>
      </w:pPr>
    </w:p>
    <w:p>
      <w:pPr>
        <w:ind w:left="260" w:hanging="252"/>
        <w:spacing w:after="0" w:line="229"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twelve-months recurring revenues dollar-based net retention rate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110% as of September 30, 2026, compared to 109% as of September 30, 2025;</w:t>
      </w:r>
    </w:p>
    <w:p>
      <w:pPr>
        <w:spacing w:after="0" w:line="17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$122,623 for the three months ended September 30, 2026, compared to $84,497 for the three months ended September 30, 2025. Operating income was $337,491 for the nine months ended September 30, 2026, compared to $284,111 for the nine months ended September 30, 2025;</w:t>
      </w:r>
    </w:p>
    <w:p>
      <w:pPr>
        <w:spacing w:after="0" w:line="117" w:lineRule="exact"/>
        <w:rPr>
          <w:rFonts w:ascii="Times New Roman" w:cs="Times New Roman" w:eastAsia="Times New Roman" w:hAnsi="Times New Roman"/>
          <w:sz w:val="18"/>
          <w:szCs w:val="18"/>
          <w:color w:val="auto"/>
        </w:rPr>
      </w:pPr>
    </w:p>
    <w:p>
      <w:pPr>
        <w:jc w:val="both"/>
        <w:ind w:left="260" w:right="20" w:hanging="252"/>
        <w:spacing w:after="0" w:line="218"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AOI less Operating SBC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$135,456 for the three months ended September 30, 2026, compared to $105,589 for the three months ended September 30, 2025. AOI less Operating SBC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$392,415 for the nine months ended September 30, 2026, compared to $340,666 for the nine months ended September 30, 2025; and</w:t>
      </w:r>
    </w:p>
    <w:p>
      <w:pPr>
        <w:spacing w:after="0" w:line="158"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$374,355 for the nine months ended September 30, 2026, compared to $396,876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903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6" w:lineRule="exact"/>
        <w:rPr>
          <w:sz w:val="20"/>
          <w:szCs w:val="20"/>
          <w:color w:val="auto"/>
        </w:rPr>
      </w:pPr>
    </w:p>
    <w:p>
      <w:pPr>
        <w:ind w:left="340" w:hanging="332"/>
        <w:spacing w:after="0" w:line="217" w:lineRule="exact"/>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and AOI less Operating SBC are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measures. Refer to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Measures” section for additional information, including our definitions and our uses of constant currency and AOI less Operating SBC.</w:t>
      </w:r>
    </w:p>
    <w:p>
      <w:pPr>
        <w:spacing w:after="0" w:line="4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“Key Business Metrics” section for additional information, including our definitions and our uses of ARR, ARR growth rate, and recurring revenues dollar-based net retention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in the future will be, affected by changes in foreign currency exchange rates. Other than the natural hedge attributable to matching revenues and expenses in the same currencies, we do not currently hedge foreign currency exposure.</w:t>
      </w:r>
    </w:p>
    <w:p>
      <w:pPr>
        <w:spacing w:after="0" w:line="12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and enhance the understanding of our results and evaluation of our performance. Refer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section for additional information, including our definition and our use of constant currency.</w:t>
      </w:r>
    </w:p>
    <w:p>
      <w:pPr>
        <w:spacing w:after="0" w:line="89"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On October 13, 2026, we completed the divestiture of Cohesive—a business that provides IBM Maximo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implementation and consulting services and operated separately from our infrastructure engineering software offerings—by contributing it to Naviam, a leading IBM Maximo partner. On a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basis, Cohesive represented approximately 3.5% of our total revenues and approximately 50% of our services revenues. Because our prior period results include Cohesive and our results following October 13, 2026 will not, we expect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services revenues and cost of services expenses to decline through 2027, with a favorable impact on gross margin. See Note 4 to our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3"/>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w w:val="93"/>
              </w:rPr>
              <w:t>Change</w:t>
            </w:r>
          </w:p>
        </w:tc>
      </w:tr>
      <w:tr>
        <w:trPr>
          <w:trHeight w:val="166"/>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jc w:val="right"/>
              <w:ind w:right="430"/>
              <w:spacing w:after="0" w:line="146"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490"/>
              <w:spacing w:after="0" w:line="146"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Constant</w:t>
            </w:r>
          </w:p>
        </w:tc>
      </w:tr>
      <w:tr>
        <w:trPr>
          <w:trHeight w:val="178"/>
        </w:trPr>
        <w:tc>
          <w:tcPr>
            <w:tcW w:w="2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Currency</w:t>
            </w:r>
          </w:p>
        </w:tc>
      </w:tr>
      <w:tr>
        <w:trPr>
          <w:trHeight w:val="203"/>
        </w:trPr>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3"/>
          </w:tcPr>
          <w:p>
            <w:pPr>
              <w:jc w:val="right"/>
              <w:ind w:right="274"/>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60" w:type="dxa"/>
            <w:vAlign w:val="bottom"/>
            <w:gridSpan w:val="2"/>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3"/>
          </w:tcPr>
          <w:p>
            <w:pPr>
              <w:jc w:val="right"/>
              <w:ind w:right="314"/>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r>
      <w:tr>
        <w:trPr>
          <w:trHeight w:val="196"/>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386,819</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344,293</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1,157,938</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1,020,063</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6"/>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Perpetual licenses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12,631</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10,913</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1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31,395</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31,898</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6"/>
        </w:trPr>
        <w:tc>
          <w:tcPr>
            <w:tcW w:w="2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Subscriptions and licenses</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399,450</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355,206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1,189,333</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1,051,961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6"/>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22,057</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20,343</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1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67,082</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58,236</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28"/>
        </w:trPr>
        <w:tc>
          <w:tcPr>
            <w:tcW w:w="2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421,507</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375,549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1,256,415</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1,110,197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90"/>
        </w:trPr>
        <w:tc>
          <w:tcPr>
            <w:tcW w:w="2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30" w:lineRule="exact"/>
        <w:rPr>
          <w:sz w:val="20"/>
          <w:szCs w:val="20"/>
          <w:color w:val="auto"/>
        </w:rPr>
      </w:pPr>
    </w:p>
    <w:p>
      <w:pPr>
        <w:ind w:left="340" w:hanging="332"/>
        <w:spacing w:after="0" w:line="262" w:lineRule="auto"/>
        <w:tabs>
          <w:tab w:leader="none" w:pos="338"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total revenues for the three and nine months ended September 30, 2026 was primarily driven by an increase in subscriptions revenues, and to a lesser extent, an increase in services revenues. Additionally, for the three months ended September 30, 2026, total revenues further increased due to an increase in perpetual licenses revenues. Our business performance includes the impact from programmatic acquisitions, which generally are immaterial, individually and in the aggregate.</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For the three and nine months ended September 30, 2026, subscriptions revenues increased $42,526 ($44,066 on a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basis) and $137,875 ($129,182 on a constant currency basis), respectively, primarily driven by expansion from accounts with revenues in the same period in the prior year (“existing accounts”), and growth of 3% attributable to new accounts, most notably small- and medium-sized accounts. Increases in subscriptions revenues for the three and nine months ended September 30, 2026 were led by </w:t>
      </w:r>
      <w:r>
        <w:rPr>
          <w:rFonts w:ascii="Times New Roman" w:cs="Times New Roman" w:eastAsia="Times New Roman" w:hAnsi="Times New Roman"/>
          <w:sz w:val="18"/>
          <w:szCs w:val="18"/>
          <w:i w:val="1"/>
          <w:iCs w:val="1"/>
          <w:color w:val="auto"/>
        </w:rPr>
        <w:t>Bentley Open Applications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Seequent</w:t>
      </w:r>
      <w:r>
        <w:rPr>
          <w:rFonts w:ascii="Times New Roman" w:cs="Times New Roman" w:eastAsia="Times New Roman" w:hAnsi="Times New Roman"/>
          <w:sz w:val="18"/>
          <w:szCs w:val="18"/>
          <w:color w:val="auto"/>
        </w:rPr>
        <w:t xml:space="preserve"> applications, and to a lesser extent,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For the three months ended September 30, 2026, perpetual licenses revenues increased $1,718 ($1,751 on a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For the nine months ended September 30, 2026, perpetual licenses revenues decreased $503 ($805 on a constant currency basis).</w:t>
      </w:r>
    </w:p>
    <w:p>
      <w:pPr>
        <w:spacing w:after="0" w:line="118" w:lineRule="exact"/>
        <w:rPr>
          <w:sz w:val="20"/>
          <w:szCs w:val="20"/>
          <w:color w:val="auto"/>
        </w:rPr>
      </w:pPr>
    </w:p>
    <w:p>
      <w:pPr>
        <w:jc w:val="both"/>
        <w:ind w:firstLine="324"/>
        <w:spacing w:after="0" w:line="240" w:lineRule="exact"/>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For the three and nine months ended September 30, 2026, services revenues increased $1,714 ($1,792 on a constant currency basis)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$8,846 ($8,059 on a constant currency basis), respectively, primarily due to strength in Maximo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work within Cohesive.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Region</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6"/>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right"/>
              <w:ind w:right="450"/>
              <w:spacing w:after="0" w:line="146"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ind w:right="490"/>
              <w:spacing w:after="0" w:line="146" w:lineRule="exact"/>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8"/>
        </w:trPr>
        <w:tc>
          <w:tcPr>
            <w:tcW w:w="2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920" w:type="dxa"/>
            <w:vAlign w:val="bottom"/>
            <w:gridSpan w:val="2"/>
          </w:tcPr>
          <w:p>
            <w:pPr>
              <w:jc w:val="right"/>
              <w:ind w:right="248"/>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gridSpan w:val="3"/>
          </w:tcPr>
          <w:p>
            <w:pPr>
              <w:jc w:val="right"/>
              <w:ind w:right="29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7"/>
                <w:szCs w:val="7"/>
                <w:b w:val="1"/>
                <w:bCs w:val="1"/>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218,096</w:t>
            </w:r>
          </w:p>
        </w:tc>
        <w:tc>
          <w:tcPr>
            <w:tcW w:w="16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196,345</w:t>
            </w:r>
          </w:p>
        </w:tc>
        <w:tc>
          <w:tcPr>
            <w:tcW w:w="16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663,097</w:t>
            </w:r>
          </w:p>
        </w:tc>
        <w:tc>
          <w:tcPr>
            <w:tcW w:w="16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589,379</w:t>
            </w:r>
          </w:p>
        </w:tc>
      </w:tr>
      <w:tr>
        <w:trPr>
          <w:trHeight w:val="19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2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121,789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370,812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320,306</w:t>
            </w:r>
          </w:p>
        </w:tc>
      </w:tr>
      <w:tr>
        <w:trPr>
          <w:trHeight w:val="20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2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81,622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222,506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200,512</w:t>
            </w:r>
          </w:p>
        </w:tc>
      </w:tr>
      <w:tr>
        <w:trPr>
          <w:trHeight w:val="23"/>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421,507</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375,549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1,256,415</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1,110,197</w:t>
            </w:r>
          </w:p>
        </w:tc>
      </w:tr>
      <w:tr>
        <w:trPr>
          <w:trHeight w:val="21"/>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9"/>
        </w:trPr>
        <w:tc>
          <w:tcPr>
            <w:tcW w:w="2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3"/>
        <w:spacing w:after="0"/>
        <w:rPr>
          <w:sz w:val="20"/>
          <w:szCs w:val="20"/>
          <w:color w:val="auto"/>
        </w:rPr>
      </w:pPr>
      <w:r>
        <w:rPr>
          <w:rFonts w:ascii="Times New Roman" w:cs="Times New Roman" w:eastAsia="Times New Roman" w:hAnsi="Times New Roman"/>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20955</wp:posOffset>
            </wp:positionV>
            <wp:extent cx="12515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p>
    <w:p>
      <w:pPr>
        <w:ind w:left="883"/>
        <w:spacing w:after="0"/>
        <w:rPr>
          <w:sz w:val="20"/>
          <w:szCs w:val="20"/>
          <w:color w:val="auto"/>
        </w:rPr>
      </w:pPr>
      <w:r>
        <w:rPr>
          <w:rFonts w:ascii="Times New Roman" w:cs="Times New Roman" w:eastAsia="Times New Roman" w:hAnsi="Times New Roman"/>
          <w:sz w:val="13"/>
          <w:szCs w:val="13"/>
          <w:b w:val="1"/>
          <w:bCs w:val="1"/>
          <w:color w:val="auto"/>
        </w:rPr>
        <w:t>Constant</w:t>
      </w:r>
    </w:p>
    <w:p>
      <w:pPr>
        <w:spacing w:after="0" w:line="26" w:lineRule="exact"/>
        <w:rPr>
          <w:sz w:val="20"/>
          <w:szCs w:val="20"/>
          <w:color w:val="auto"/>
        </w:rPr>
      </w:pPr>
    </w:p>
    <w:p>
      <w:pPr>
        <w:ind w:left="863"/>
        <w:spacing w:after="0"/>
        <w:rPr>
          <w:sz w:val="20"/>
          <w:szCs w:val="20"/>
          <w:color w:val="auto"/>
        </w:rPr>
      </w:pPr>
      <w:r>
        <w:rPr>
          <w:rFonts w:ascii="Times New Roman" w:cs="Times New Roman" w:eastAsia="Times New Roman" w:hAnsi="Times New Roman"/>
          <w:sz w:val="13"/>
          <w:szCs w:val="13"/>
          <w:b w:val="1"/>
          <w:bCs w:val="1"/>
          <w:color w:val="auto"/>
        </w:rPr>
        <w:t>Currency</w:t>
      </w:r>
    </w:p>
    <w:p>
      <w:pPr>
        <w:ind w:left="1063" w:hanging="1063"/>
        <w:spacing w:after="0" w:line="182" w:lineRule="auto"/>
        <w:tabs>
          <w:tab w:leader="none" w:pos="1063" w:val="left"/>
        </w:tabs>
        <w:numPr>
          <w:ilvl w:val="0"/>
          <w:numId w:val="16"/>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(1)</w:t>
      </w:r>
    </w:p>
    <w:p>
      <w:pPr>
        <w:spacing w:after="0" w:line="34" w:lineRule="exact"/>
        <w:rPr>
          <w:sz w:val="20"/>
          <w:szCs w:val="20"/>
          <w:color w:val="auto"/>
        </w:rPr>
      </w:pPr>
    </w:p>
    <w:p>
      <w:pPr>
        <w:ind w:left="63"/>
        <w:spacing w:after="0"/>
        <w:tabs>
          <w:tab w:leader="none" w:pos="1222"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color w:val="auto"/>
        </w:rPr>
        <w:t>12.1%</w:t>
      </w:r>
    </w:p>
    <w:p>
      <w:pPr>
        <w:spacing w:after="0" w:line="42" w:lineRule="exact"/>
        <w:rPr>
          <w:sz w:val="20"/>
          <w:szCs w:val="20"/>
          <w:color w:val="auto"/>
        </w:rPr>
      </w:pPr>
    </w:p>
    <w:p>
      <w:pPr>
        <w:ind w:left="63"/>
        <w:spacing w:after="0"/>
        <w:tabs>
          <w:tab w:leader="none" w:pos="1222" w:val="left"/>
        </w:tabs>
        <w:rPr>
          <w:sz w:val="20"/>
          <w:szCs w:val="20"/>
          <w:color w:val="auto"/>
        </w:rPr>
      </w:pPr>
      <w:r>
        <w:rPr>
          <w:rFonts w:ascii="Times New Roman" w:cs="Times New Roman" w:eastAsia="Times New Roman" w:hAnsi="Times New Roman"/>
          <w:sz w:val="14"/>
          <w:szCs w:val="14"/>
          <w:color w:val="auto"/>
        </w:rPr>
        <w:t>15.8%</w:t>
      </w:r>
      <w:r>
        <w:rPr>
          <w:sz w:val="20"/>
          <w:szCs w:val="20"/>
          <w:color w:val="auto"/>
        </w:rPr>
        <w:tab/>
      </w:r>
      <w:r>
        <w:rPr>
          <w:rFonts w:ascii="Times New Roman" w:cs="Times New Roman" w:eastAsia="Times New Roman" w:hAnsi="Times New Roman"/>
          <w:sz w:val="14"/>
          <w:szCs w:val="14"/>
          <w:color w:val="auto"/>
        </w:rPr>
        <w:t>13.7%</w:t>
      </w:r>
    </w:p>
    <w:p>
      <w:pPr>
        <w:spacing w:after="0" w:line="42" w:lineRule="exact"/>
        <w:rPr>
          <w:sz w:val="20"/>
          <w:szCs w:val="20"/>
          <w:color w:val="auto"/>
        </w:rPr>
      </w:pPr>
    </w:p>
    <w:p>
      <w:pPr>
        <w:ind w:left="63"/>
        <w:spacing w:after="0"/>
        <w:tabs>
          <w:tab w:leader="none" w:pos="1222" w:val="left"/>
        </w:tabs>
        <w:rPr>
          <w:sz w:val="20"/>
          <w:szCs w:val="20"/>
          <w:color w:val="auto"/>
        </w:rPr>
      </w:pPr>
      <w:r>
        <w:rPr>
          <w:rFonts w:ascii="Times New Roman" w:cs="Times New Roman" w:eastAsia="Times New Roman" w:hAnsi="Times New Roman"/>
          <w:sz w:val="14"/>
          <w:szCs w:val="14"/>
          <w:color w:val="auto"/>
        </w:rPr>
        <w:t>11.0%</w:t>
      </w:r>
      <w:r>
        <w:rPr>
          <w:sz w:val="20"/>
          <w:szCs w:val="20"/>
          <w:color w:val="auto"/>
        </w:rPr>
        <w:tab/>
      </w:r>
      <w:r>
        <w:rPr>
          <w:rFonts w:ascii="Times New Roman" w:cs="Times New Roman" w:eastAsia="Times New Roman" w:hAnsi="Times New Roman"/>
          <w:sz w:val="14"/>
          <w:szCs w:val="14"/>
          <w:color w:val="auto"/>
        </w:rPr>
        <w:t>10.6%</w:t>
      </w:r>
    </w:p>
    <w:p>
      <w:pPr>
        <w:spacing w:after="0" w:line="82" w:lineRule="exact"/>
        <w:rPr>
          <w:sz w:val="20"/>
          <w:szCs w:val="20"/>
          <w:color w:val="auto"/>
        </w:rPr>
      </w:pPr>
    </w:p>
    <w:p>
      <w:pPr>
        <w:ind w:left="63"/>
        <w:spacing w:after="0"/>
        <w:tabs>
          <w:tab w:leader="none" w:pos="1222"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color w:val="auto"/>
        </w:rPr>
        <w:t>12.3%</w:t>
      </w:r>
    </w:p>
    <w:p>
      <w:pPr>
        <w:spacing w:after="0" w:line="424" w:lineRule="exact"/>
        <w:rPr>
          <w:sz w:val="20"/>
          <w:szCs w:val="20"/>
          <w:color w:val="auto"/>
        </w:rPr>
      </w:pPr>
    </w:p>
    <w:p>
      <w:pPr>
        <w:sectPr>
          <w:pgSz w:w="11900" w:h="16838" w:orient="portrait"/>
          <w:cols w:equalWidth="0" w:num="2">
            <w:col w:w="9120" w:space="477"/>
            <w:col w:w="1643"/>
          </w:cols>
          <w:pgMar w:left="320" w:top="121" w:right="339" w:bottom="1440" w:gutter="0" w:footer="0" w:header="0"/>
        </w:sectPr>
      </w:pPr>
    </w:p>
    <w:p>
      <w:pPr>
        <w:ind w:left="340" w:hanging="332"/>
        <w:spacing w:after="0" w:line="262" w:lineRule="auto"/>
        <w:tabs>
          <w:tab w:leader="none" w:pos="33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Americas. </w:t>
      </w:r>
      <w:r>
        <w:rPr>
          <w:rFonts w:ascii="Times New Roman" w:cs="Times New Roman" w:eastAsia="Times New Roman" w:hAnsi="Times New Roman"/>
          <w:sz w:val="18"/>
          <w:szCs w:val="18"/>
          <w:color w:val="auto"/>
        </w:rPr>
        <w:t>For the three and nine months ended September 30, 2026, revenues from the Americas increased $21,751 ($21,744 on a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and $73,718 ($71,481 on a constant currency basis), respectively, primarily due to expansion of our subscriptions revenues from existing accounts in the U.S. and Canada, as well as increases in our subscription revenues from new accounts.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For the three and nine months ended September 30, 2026, revenues from EMEA increased $13,902 ($15,103 on a constant currency basis)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$50,506 ($43,830 on a constant currency basis), respectively, primarily due to expansion of our subscriptions revenues from existing accounts in the United Kingdom, the Middle East, and Africa, and to a lesser extent, increases in our subscriptions revenues from new accounts as well as an increase in services revenues.</w:t>
      </w:r>
    </w:p>
    <w:p>
      <w:pPr>
        <w:spacing w:after="0" w:line="15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APAC. </w:t>
      </w:r>
      <w:r>
        <w:rPr>
          <w:rFonts w:ascii="Times New Roman" w:cs="Times New Roman" w:eastAsia="Times New Roman" w:hAnsi="Times New Roman"/>
          <w:sz w:val="18"/>
          <w:szCs w:val="18"/>
          <w:color w:val="auto"/>
        </w:rPr>
        <w:t>For the three months ended September 30, 2026, revenues from APAC increased $10,305 ($10,762 on a constant currency basis)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expansion of our subscriptions revenues from existing accounts in Australia and India, and to a lesser extent, increases in our subscriptions revenues from new accounts as well as an increase in perpetual licenses revenues, partially offset by a decline in services revenues.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revenues from APAC increased $21,994 ($21,125 on a constant currency basis) primarily due to expansion of our subscriptions revenues from existing accounts in India and Australia, as well as increases in our subscriptions revenues from new accounts, partially offset by a decline in services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Operating Expense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w w:val="93"/>
              </w:rPr>
              <w:t>Change</w:t>
            </w:r>
          </w:p>
        </w:tc>
      </w:tr>
      <w:tr>
        <w:trPr>
          <w:trHeight w:val="166"/>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right"/>
              <w:ind w:right="430"/>
              <w:spacing w:after="0" w:line="146"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470"/>
              <w:spacing w:after="0" w:line="146"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Constant</w:t>
            </w:r>
          </w:p>
        </w:tc>
      </w:tr>
      <w:tr>
        <w:trPr>
          <w:trHeight w:val="178"/>
        </w:trPr>
        <w:tc>
          <w:tcPr>
            <w:tcW w:w="2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Currency</w:t>
            </w:r>
          </w:p>
        </w:tc>
      </w:tr>
      <w:tr>
        <w:trPr>
          <w:trHeight w:val="203"/>
        </w:trPr>
        <w:tc>
          <w:tcPr>
            <w:tcW w:w="24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25"/>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05"/>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r>
      <w:tr>
        <w:trPr>
          <w:trHeight w:val="19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subscriptions and licenses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52,004</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159,129</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148,080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6"/>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19,952</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18,371</w:t>
            </w:r>
          </w:p>
        </w:tc>
        <w:tc>
          <w:tcPr>
            <w:tcW w:w="960" w:type="dxa"/>
            <w:vAlign w:val="bottom"/>
            <w:tcBorders>
              <w:bottom w:val="single" w:sz="8" w:color="CCEEFF"/>
            </w:tcBorders>
            <w:gridSpan w:val="2"/>
          </w:tcPr>
          <w:p>
            <w:pPr>
              <w:jc w:val="right"/>
              <w:ind w:right="17"/>
              <w:spacing w:after="0"/>
              <w:rPr>
                <w:sz w:val="20"/>
                <w:szCs w:val="20"/>
                <w:color w:val="auto"/>
              </w:rPr>
            </w:pPr>
            <w:r>
              <w:rPr>
                <w:rFonts w:ascii="Times New Roman" w:cs="Times New Roman" w:eastAsia="Times New Roman" w:hAnsi="Times New Roman"/>
                <w:sz w:val="14"/>
                <w:szCs w:val="14"/>
                <w:color w:val="auto"/>
              </w:rPr>
              <w:t>8.6%</w:t>
            </w:r>
          </w:p>
        </w:tc>
        <w:tc>
          <w:tcPr>
            <w:tcW w:w="1220" w:type="dxa"/>
            <w:vAlign w:val="bottom"/>
            <w:tcBorders>
              <w:bottom w:val="single" w:sz="8" w:color="CCEEFF"/>
            </w:tcBorders>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60,588</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58,550</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8"/>
        </w:trPr>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cost of revenues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71,956</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219,717</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206,630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190"/>
        </w:trPr>
        <w:tc>
          <w:tcPr>
            <w:tcW w:w="2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17" w:lineRule="exact"/>
        <w:rPr>
          <w:sz w:val="20"/>
          <w:szCs w:val="20"/>
          <w:color w:val="auto"/>
        </w:rPr>
      </w:pPr>
    </w:p>
    <w:p>
      <w:pPr>
        <w:ind w:left="340" w:hanging="332"/>
        <w:spacing w:after="0" w:line="262" w:lineRule="auto"/>
        <w:tabs>
          <w:tab w:leader="none" w:pos="33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For the three months ended September 30, 2026, on a constant currency basis, cost of subscriptions and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decreased primarily due to lower amortization of capitalized costs under our ACDP of $2,959, partially offset by an increase in cloud-related costs of $2,307.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on a constant currency basis, cost of subscriptions and licenses expenses increased primarily due to an increase in cloud-related costs of $12,196, partially offset by lower amortization of capitalized costs under our ACDP of $4,090.</w:t>
      </w:r>
    </w:p>
    <w:p>
      <w:pPr>
        <w:spacing w:after="0" w:line="133"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For the three and nine months ended September 30, 2026, on a constant currency basis, cost of services expenses increased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$1,789 and $1,174, respectively, mainly due to an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costs, partially offset by decreases in headcount, and annual and other compensation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3"/>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w w:val="93"/>
              </w:rPr>
              <w:t>Change</w:t>
            </w:r>
          </w:p>
        </w:tc>
      </w:tr>
      <w:tr>
        <w:trPr>
          <w:trHeight w:val="166"/>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jc w:val="right"/>
              <w:ind w:right="449"/>
              <w:spacing w:after="0" w:line="146"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Constant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469"/>
              <w:spacing w:after="0" w:line="146"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Constant</w:t>
            </w:r>
          </w:p>
        </w:tc>
      </w:tr>
      <w:tr>
        <w:trPr>
          <w:trHeight w:val="178"/>
        </w:trPr>
        <w:tc>
          <w:tcPr>
            <w:tcW w:w="2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Currency</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Currency</w:t>
            </w:r>
          </w:p>
        </w:tc>
      </w:tr>
      <w:tr>
        <w:trPr>
          <w:trHeight w:val="176"/>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900" w:type="dxa"/>
            <w:vAlign w:val="bottom"/>
            <w:gridSpan w:val="2"/>
          </w:tcPr>
          <w:p>
            <w:pPr>
              <w:jc w:val="right"/>
              <w:ind w:right="248"/>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2"/>
          </w:tcPr>
          <w:p>
            <w:pPr>
              <w:jc w:val="right"/>
              <w:ind w:right="293"/>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7"/>
                <w:szCs w:val="7"/>
                <w:b w:val="1"/>
                <w:bCs w:val="1"/>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960" w:type="dxa"/>
            <w:vAlign w:val="bottom"/>
            <w:gridSpan w:val="2"/>
          </w:tcPr>
          <w:p>
            <w:pPr>
              <w:jc w:val="right"/>
              <w:ind w:right="268"/>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3"/>
          </w:tcPr>
          <w:p>
            <w:pPr>
              <w:jc w:val="right"/>
              <w:ind w:right="31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7"/>
                <w:szCs w:val="7"/>
                <w:b w:val="1"/>
                <w:bCs w:val="1"/>
                <w:color w:val="auto"/>
              </w:rPr>
              <w:t>(1)</w:t>
            </w:r>
          </w:p>
        </w:tc>
      </w:tr>
      <w:tr>
        <w:trPr>
          <w:trHeight w:val="196"/>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81,469</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78,751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246,565</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226,586</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76,591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72,107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232,733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53,818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150,903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2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6,033</w:t>
            </w:r>
          </w:p>
        </w:tc>
        <w:tc>
          <w:tcPr>
            <w:tcW w:w="14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NM</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237"/>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8,148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24,881</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226,928</w:t>
            </w:r>
          </w:p>
        </w:tc>
        <w:tc>
          <w:tcPr>
            <w:tcW w:w="1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218,857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699,207</w:t>
            </w:r>
          </w:p>
        </w:tc>
        <w:tc>
          <w:tcPr>
            <w:tcW w:w="14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619,456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2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Percentage changes that are considered not meaningful are denoted with NM.</w:t>
      </w:r>
    </w:p>
    <w:p>
      <w:pPr>
        <w:spacing w:after="0" w:line="53" w:lineRule="exact"/>
        <w:rPr>
          <w:sz w:val="20"/>
          <w:szCs w:val="20"/>
          <w:color w:val="auto"/>
        </w:rPr>
      </w:pPr>
    </w:p>
    <w:p>
      <w:pPr>
        <w:ind w:left="340" w:hanging="332"/>
        <w:spacing w:after="0" w:line="262" w:lineRule="auto"/>
        <w:tabs>
          <w:tab w:leader="none" w:pos="33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5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For the three and nine months ended September 30, 2026, on a constant currency basis,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increased primarily due to higher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$3,650 and $15,383, respectively, mainly due to increases in annual and other compensation costs. The increase in research and development expenses was partially offset by higher research and development tax credits and incentives compared to the same periods in the prior year and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executive relocation costs recognized during the third quarter of 2025, which did not occur in the current-year periods.</w:t>
      </w:r>
    </w:p>
    <w:p>
      <w:pPr>
        <w:spacing w:after="0" w:line="156"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For the three and nine months ended September 30, 2026, on a constant currency basis, selling and marketing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primarily due to higher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$4,013 and $17,378, respectively, mainly due to increases in headcount, and annual and other compensation costs, partially offset by a reduction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costs.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for the three and nine months ended September 30, 2026 reflected the impact of equity award forfeitures following executive transitions during the third quarter of 2026. Additionally, for the nine months ended September 30, 2026, selling and marketing expenses increased due to higher promotional costs of $4,220.</w:t>
      </w:r>
    </w:p>
    <w:p>
      <w:pPr>
        <w:spacing w:after="0" w:line="156"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For the three and nine months ended September 30, 2026, on a constant currency basis,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increased primarily due to higher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$6,353 and $22,880, respectively. This increase reflected annual compensation increases, higher bonuses,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associated employment taxes, as well as strategic headcount expansion across our corporate functions, to support our growth and position the Company for future operating leverage. The increase in general and administrative expenses was partially offset by $2,356 of transaction costs related to the divestiture of Cohesive that were reclassified from general and administrative expenses to other income, net. The comparison also reflects a prior-year period in which general and administrative expenses for the nine months ended September 30, 2025 had decreased on a constant currency basis when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Additionally, general and administrative expenses increased in connection with our new enterprise-wide administrative and business management platform, which went live during the second quarter of 2026. This increase reflected higher software subscription costs, as well as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including incremental audit and internal-control implementation costs and higher travel costs associated with system testing and go-live activities. General and administrative expenses were also affected by lower capitalization of internal-use software implementation costs as compared to the prior-year period, during which a greater portion of these costs was deferred. We expect the higher software subscription costs and reduced capitalization associated with the platforms to continue to affect general and administrative expenses.</w:t>
      </w:r>
    </w:p>
    <w:p>
      <w:pPr>
        <w:spacing w:after="0" w:line="135" w:lineRule="exact"/>
        <w:rPr>
          <w:sz w:val="20"/>
          <w:szCs w:val="20"/>
          <w:color w:val="auto"/>
        </w:rPr>
      </w:pPr>
    </w:p>
    <w:p>
      <w:pPr>
        <w:jc w:val="both"/>
        <w:ind w:firstLine="324"/>
        <w:spacing w:after="0" w:line="259" w:lineRule="exact"/>
        <w:rPr>
          <w:sz w:val="20"/>
          <w:szCs w:val="20"/>
          <w:color w:val="auto"/>
        </w:rPr>
      </w:pPr>
      <w:r>
        <w:rPr>
          <w:rFonts w:ascii="Times New Roman" w:cs="Times New Roman" w:eastAsia="Times New Roman" w:hAnsi="Times New Roman"/>
          <w:sz w:val="18"/>
          <w:szCs w:val="18"/>
          <w:color w:val="auto"/>
        </w:rPr>
        <w:t>In addition, for the three and nine months ended September 30, 2026, we recognized approximately $1,407 and $1,557, respectively,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costs associated with other corporate initiatives, which did not occur in the prior-year period.</w:t>
      </w:r>
    </w:p>
    <w:p>
      <w:pPr>
        <w:spacing w:after="0" w:line="12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For the three and nine months ended September 30, 2026 and 2025, deferred compensation plan (income) expense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marked to market impact on deferred compensation plan liability balances period over period.</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For the three and nine months ended September 30, 2026, amortization of purchased intangibles was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periods in the prior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(28,970)</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(27,154)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interest expense, net increased compared to the same period in the prior year, primarily due to higher weighted average interest rates on borrowings following the January 2026 repayment of the 2026 Notes, which had a 0.125% coupon rate.</w:t>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(loss) from:</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Receipts related to interest rate swap</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903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81"/>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3,918</w:t>
            </w:r>
          </w:p>
        </w:tc>
        <w:tc>
          <w:tcPr>
            <w:tcW w:w="26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6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r>
      <w:tr>
        <w:trPr>
          <w:trHeight w:val="265"/>
        </w:trPr>
        <w:tc>
          <w:tcPr>
            <w:tcW w:w="300" w:type="dxa"/>
            <w:vAlign w:val="bottom"/>
          </w:tcPr>
          <w:p>
            <w:pPr>
              <w:spacing w:after="0"/>
              <w:rPr>
                <w:sz w:val="23"/>
                <w:szCs w:val="23"/>
                <w:color w:val="auto"/>
              </w:rPr>
            </w:pPr>
          </w:p>
        </w:tc>
        <w:tc>
          <w:tcPr>
            <w:tcW w:w="100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2,702</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30"/>
        </w:trPr>
        <w:tc>
          <w:tcPr>
            <w:tcW w:w="300" w:type="dxa"/>
            <w:vAlign w:val="bottom"/>
          </w:tcPr>
          <w:p>
            <w:pPr>
              <w:spacing w:after="0"/>
              <w:rPr>
                <w:sz w:val="19"/>
                <w:szCs w:val="19"/>
                <w:color w:val="auto"/>
              </w:rPr>
            </w:pPr>
          </w:p>
        </w:tc>
        <w:tc>
          <w:tcPr>
            <w:tcW w:w="100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1,559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234"/>
        </w:trPr>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8"/>
                <w:szCs w:val="18"/>
                <w:color w:val="auto"/>
              </w:rPr>
              <w:t>(5,416)</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8"/>
              </w:rPr>
              <w:t>2,763</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-967740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-650875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-334010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1" w:right="339" w:bottom="1440" w:gutter="0" w:footer="0" w:header="0"/>
          <w:type w:val="continuous"/>
        </w:sectPr>
      </w:pPr>
    </w:p>
    <w:p>
      <w:pPr>
        <w:spacing w:after="0" w:line="151" w:lineRule="exact"/>
        <w:rPr>
          <w:sz w:val="20"/>
          <w:szCs w:val="20"/>
          <w:color w:val="auto"/>
        </w:rPr>
      </w:pPr>
    </w:p>
    <w:p>
      <w:pPr>
        <w:ind w:left="340" w:right="20" w:hanging="332"/>
        <w:spacing w:after="0" w:line="267"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 is primarily attributable to foreign currency translation derived mainly from U.S. dollar denominated cash and cash equivalents, account receivables, customer deposits, and intercompany balances held by foreign subsidiaries.</w:t>
      </w:r>
    </w:p>
    <w:p>
      <w:pPr>
        <w:ind w:left="340" w:hanging="332"/>
        <w:spacing w:after="0" w:line="217" w:lineRule="exact"/>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income, net for the nine months ended September 30, 2026 includes remeasurement gains on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marketable equity investments of $13,958, partially offset by $5,430 of transaction costs related to the divestiture of Cohesive.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780" w:type="dxa"/>
            <w:vAlign w:val="bottom"/>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4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4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115,535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83,707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329,161</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274,847</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25,500</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26,256</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65,264</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55,620</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5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For the three and nine months ended September 30, 2026, the effective tax rate was lower compared to the same period in the prior year primarily due to the impact of the increase in discrete tax benefits in the current year periods. For the three months ended September 30, 2026 and 2025, we recorded discrete tax benefits (expenses) of $1,672 and $(6,455), respectively, and $11,561, and $6,732 for the nine months ended September 30, 2026 and 2025, respectively, related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 For the three months ended September 30, 2025, discrete tax expenses were primarily associated with the limitation of discrete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deductions on U.S. international tax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1,582,791</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1,405,236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1,528,342</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1,350,224</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Twelve-months ended constant currency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70"/>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 growth rate</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0"/>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 rate</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1" w:lineRule="exact"/>
        <w:rPr>
          <w:sz w:val="20"/>
          <w:szCs w:val="20"/>
          <w:color w:val="auto"/>
        </w:rPr>
      </w:pPr>
    </w:p>
    <w:p>
      <w:pPr>
        <w:ind w:left="340" w:hanging="332"/>
        <w:spacing w:after="0" w:line="280"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definition and our use of constant currency.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Recurring revenues are the basis for our other revenue-related key business metrics. We believe this measure is useful in evaluating our ability to consistently retain and grow our revenues within our existing accounts.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w:t>
      </w:r>
    </w:p>
    <w:p>
      <w:pPr>
        <w:spacing w:after="0" w:line="18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ARR is a key business metric that we believe is useful in evaluating the scale and growth of our business as well as to assist in the evaluation of underlying trends in our business. Furthermore, we believe ARR, considered in connection with our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leading indicator of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spacing w:after="0" w:line="1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ARR resulting from the annualization of recurring contracts with consumption measurement durations of less than one year, as a percentage of total ARR, was 51% as of September 30, 2026 and 2025, with our E365 subscription offering representing 46% and 45% of total ARR as of September 30, 2026 and 2025, respectively.</w:t>
      </w:r>
    </w:p>
    <w:p>
      <w:pPr>
        <w:spacing w:after="0" w:line="95"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Constant currency ARR growth rate is the growth rate of ARR measured on a constant currency basis. 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Last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Months Recurring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-43815</wp:posOffset>
            </wp:positionV>
            <wp:extent cx="6413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8"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rates, as well as the addition of new accounts with recurring revenues.</w:t>
      </w:r>
    </w:p>
    <w:p>
      <w:pPr>
        <w:spacing w:after="0" w:line="89"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calculated as recurring revenues recognized over the trailing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w:t>
      </w:r>
    </w:p>
    <w:p>
      <w:pPr>
        <w:spacing w:after="0" w:line="185"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for the periods ended September 30, 2026 compared to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of the comparative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increased by $178,118.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as well as additional recurring revenues resulting from new accounts and acquisitions. For the twelve months ended September 30, 2026 and 2025, 93% and 92%, respectively, of our revenues were recurring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 Retention Rate</w:t>
      </w:r>
    </w:p>
    <w:p>
      <w:pPr>
        <w:spacing w:after="0" w:line="14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Account retention rate is a key business metric that we believe is useful in evaluating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our accounts.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spacing w:after="0" w:line="10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Recurring Revenues 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Retention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-43815</wp:posOffset>
            </wp:positionV>
            <wp:extent cx="6413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65"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key business metric that we believe is useful in evaluating our ability to consistently retain and grow our recurring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that recurring revenues represented 93% and 92% of our total revenues for the twelve months ended September 30, 2026 and 2025, respectively, this metric helps explain our revenue performance as primarily growth from existing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provide reconciliations between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their most directly comparable GAAP financial measures.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should be considered in addition to, not as a substitute for, or in isolation from, the financial information prepared in accordance with GAAP, including operating income, or other measures of performance.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may vary significantly from period to period for reasons unrelated to our operating performance and may differ from similarly titled measures presented by other companies.</w:t>
      </w:r>
    </w:p>
    <w:p>
      <w:pPr>
        <w:spacing w:after="0" w:line="174"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We use AOI less Operating SBC as our primary performance measure because we believe it better reflects our core operating results by excluding items that are not indicative of the ordinary operation of our business, including costs arising directly from our acquisition activity and the costs of discrete realignment initiatives. Consistent with that objective, we refined the measure during 2026: beginning in the first quarter of 2026, we expanded our acquisition expenses adjustment to include cash-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and renamed the measure from “AOI less SBC” to “AOI less Operating SBC”; and beginning in the second quarter of 2026, applying the same principle, we began adjusting for integration costs incurred to integrate acquired businesses into our operations. We continue to adjust for discrete realignment initiatives, and we do not adjust for severance or organizational and workforce changes undertaken in the ordinary course of managing our business, which remain reflected in AOI less Operating SBC. Prior period amounts have been revised to conform to the current definition; no integration costs were incurred in periods prior to the second quarter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Less Operating Stock-Based Compensation Expense (“AOI less Operating SBC”)</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AOI less Operating SBC is a non-GAAP financial measure and is used to measure the operational strength and performance of our business, as well as to assist in the evaluation of underlying trends in our business.</w:t>
      </w:r>
    </w:p>
    <w:p>
      <w:pPr>
        <w:spacing w:after="0" w:line="135"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AOI less Operating SBC is defined as operating income adjusted for the following: amortization of purchased intangibles, expense (income) relating to deferred compensation plan liabilities, acquisition expenses (inclusive of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integration costs, and realignment expenses (income), for the respective periods.</w:t>
      </w:r>
    </w:p>
    <w:p>
      <w:pPr>
        <w:spacing w:after="0" w:line="11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AOI less Operating SBC is our primary performance measure, which excludes certain expenses and charges, including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as we believe these may not be indicative of our core business operating results. We intentionally include operating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less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in this measure as we believe it better captures the economic costs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(“AOI”)</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operating income is a non-GAAP financial measure that we believe is useful to investors in making comparisons to other companies, although this measure may not be directly comparable to similar measures used by other companies.</w:t>
      </w:r>
    </w:p>
    <w:p>
      <w:pPr>
        <w:spacing w:after="0" w:line="121"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Adjusted operating income is defined as operating income adjusted for the following: amortization of purchased intangibles, expense (income) relating to deferred compensation plan liabilities, acquisition expenses (inclusive of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integration costs, realignment expenses (income), and operating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less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retention incentives provided to key employees of acquired companies), for the respective periods.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operating income to AOI less Operating SBC and to Adjusted operating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284,111</w:t>
            </w:r>
          </w:p>
        </w:tc>
      </w:tr>
      <w:tr>
        <w:trPr>
          <w:trHeight w:val="229"/>
        </w:trPr>
        <w:tc>
          <w:tcPr>
            <w:tcW w:w="5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purchased intangibles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34,188</w:t>
            </w:r>
          </w:p>
        </w:tc>
      </w:tr>
      <w:tr>
        <w:trPr>
          <w:trHeight w:val="230"/>
        </w:trPr>
        <w:tc>
          <w:tcPr>
            <w:tcW w:w="5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r>
      <w:tr>
        <w:trPr>
          <w:trHeight w:val="229"/>
        </w:trPr>
        <w:tc>
          <w:tcPr>
            <w:tcW w:w="5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w:t>
            </w:r>
          </w:p>
        </w:tc>
      </w:tr>
      <w:tr>
        <w:trPr>
          <w:trHeight w:val="230"/>
        </w:trPr>
        <w:tc>
          <w:tcPr>
            <w:tcW w:w="5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Integration costs </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Realignment expenses (income) </w:t>
            </w:r>
            <w:r>
              <w:rPr>
                <w:rFonts w:ascii="Times New Roman" w:cs="Times New Roman" w:eastAsia="Times New Roman" w:hAnsi="Times New Roman"/>
                <w:sz w:val="23"/>
                <w:szCs w:val="23"/>
                <w:color w:val="auto"/>
                <w:vertAlign w:val="superscript"/>
              </w:rPr>
              <w:t>(5)</w:t>
            </w:r>
          </w:p>
        </w:tc>
        <w:tc>
          <w:tcPr>
            <w:tcW w:w="3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AOI less Operating SBC</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135,456</w:t>
            </w:r>
          </w:p>
        </w:tc>
        <w:tc>
          <w:tcPr>
            <w:tcW w:w="2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105,589</w:t>
            </w:r>
          </w:p>
        </w:tc>
        <w:tc>
          <w:tcPr>
            <w:tcW w:w="2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392,415</w:t>
            </w: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340,666</w:t>
            </w:r>
          </w:p>
        </w:tc>
      </w:tr>
      <w:tr>
        <w:trPr>
          <w:trHeight w:val="230"/>
        </w:trPr>
        <w:tc>
          <w:tcPr>
            <w:tcW w:w="52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stock-based compensation expense </w:t>
            </w:r>
            <w:r>
              <w:rPr>
                <w:rFonts w:ascii="Times New Roman" w:cs="Times New Roman" w:eastAsia="Times New Roman" w:hAnsi="Times New Roman"/>
                <w:sz w:val="23"/>
                <w:szCs w:val="23"/>
                <w:color w:val="auto"/>
                <w:vertAlign w:val="superscript"/>
              </w:rPr>
              <w:t>(6)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59,349</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49,300</w:t>
            </w: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155,037</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121,899</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451,764</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389,966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explanation of certain of our adjustments in arriving at AOI less Operating SBC and Adjusted operating income are as follows:</w:t>
      </w:r>
    </w:p>
    <w:p>
      <w:pPr>
        <w:spacing w:after="0" w:line="125" w:lineRule="exact"/>
        <w:rPr>
          <w:sz w:val="20"/>
          <w:szCs w:val="20"/>
          <w:color w:val="auto"/>
        </w:rPr>
      </w:pPr>
    </w:p>
    <w:p>
      <w:pPr>
        <w:jc w:val="both"/>
        <w:ind w:left="340" w:hanging="332"/>
        <w:spacing w:after="0" w:line="198" w:lineRule="exact"/>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Amortization of purchased intangibles</w:t>
      </w:r>
      <w:r>
        <w:rPr>
          <w:rFonts w:ascii="Times New Roman" w:cs="Times New Roman" w:eastAsia="Times New Roman" w:hAnsi="Times New Roman"/>
          <w:sz w:val="16"/>
          <w:szCs w:val="16"/>
          <w:color w:val="auto"/>
        </w:rPr>
        <w:t>. Amortization of purchased intangibles varies in amount and frequency and is significantly impacted by the timing and size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acquisitions. Management finds it useful to exclude these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spacing w:after="0" w:line="86"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Deferred compensation plan</w:t>
      </w:r>
      <w:r>
        <w:rPr>
          <w:rFonts w:ascii="Times New Roman" w:cs="Times New Roman" w:eastAsia="Times New Roman" w:hAnsi="Times New Roman"/>
          <w:sz w:val="16"/>
          <w:szCs w:val="16"/>
          <w:color w:val="auto"/>
        </w:rPr>
        <w:t>. We exclude</w:t>
      </w:r>
      <w:r>
        <w:rPr>
          <w:rFonts w:ascii="Times New Roman" w:cs="Times New Roman" w:eastAsia="Times New Roman" w:hAnsi="Times New Roman"/>
          <w:sz w:val="16"/>
          <w:szCs w:val="16"/>
          <w:i w:val="1"/>
          <w:iCs w:val="1"/>
          <w:color w:val="auto"/>
        </w:rPr>
        <w:t xml:space="preserve"> Deferred compensation plan </w:t>
      </w:r>
      <w:r>
        <w:rPr>
          <w:rFonts w:ascii="Times New Roman" w:cs="Times New Roman" w:eastAsia="Times New Roman" w:hAnsi="Times New Roman"/>
          <w:sz w:val="16"/>
          <w:szCs w:val="16"/>
          <w:color w:val="auto"/>
        </w:rPr>
        <w:t>expense (income) when we evaluate our continuing operational performance because it is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reflective of our ongoing business and results of operations.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6"/>
          <w:szCs w:val="16"/>
          <w:i w:val="1"/>
          <w:iCs w:val="1"/>
          <w:color w:val="auto"/>
        </w:rPr>
        <w:t xml:space="preserve">Deferred compensation plan </w:t>
      </w:r>
      <w:r>
        <w:rPr>
          <w:rFonts w:ascii="Times New Roman" w:cs="Times New Roman" w:eastAsia="Times New Roman" w:hAnsi="Times New Roman"/>
          <w:sz w:val="16"/>
          <w:szCs w:val="16"/>
          <w:color w:val="auto"/>
        </w:rPr>
        <w:t>in the consolidated statements of operations.</w:t>
      </w:r>
    </w:p>
    <w:p>
      <w:pPr>
        <w:spacing w:after="0" w:line="81" w:lineRule="exact"/>
        <w:rPr>
          <w:rFonts w:ascii="Times New Roman" w:cs="Times New Roman" w:eastAsia="Times New Roman" w:hAnsi="Times New Roman"/>
          <w:sz w:val="16"/>
          <w:szCs w:val="16"/>
          <w:color w:val="auto"/>
        </w:rPr>
      </w:pPr>
    </w:p>
    <w:p>
      <w:pPr>
        <w:jc w:val="both"/>
        <w:ind w:left="340" w:hanging="332"/>
        <w:spacing w:after="0" w:line="198" w:lineRule="exact"/>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Acquisition expenses</w:t>
      </w:r>
      <w:r>
        <w:rPr>
          <w:rFonts w:ascii="Times New Roman" w:cs="Times New Roman" w:eastAsia="Times New Roman" w:hAnsi="Times New Roman"/>
          <w:sz w:val="16"/>
          <w:szCs w:val="16"/>
          <w:color w:val="auto"/>
        </w:rPr>
        <w:t>. We incur expenses for professional services rendered in connection with business combinations, which are recorded in general and administrative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in our GAAP consolidated statements of operations. Also included in our acquisition expenses are cash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and equity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settled retention incentives provided to key employees of the acquired companies. We exclude these acquisition expenses when we evaluate our continuing operational performance as we would not have otherwise incurred these expenses in the periods presented as part of our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340" w:hanging="332"/>
        <w:spacing w:after="0" w:line="261"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Integration costs</w:t>
      </w:r>
      <w:r>
        <w:rPr>
          <w:rFonts w:ascii="Times New Roman" w:cs="Times New Roman" w:eastAsia="Times New Roman" w:hAnsi="Times New Roman"/>
          <w:sz w:val="16"/>
          <w:szCs w:val="16"/>
          <w:color w:val="auto"/>
        </w:rPr>
        <w:t>. Integration costs are incremental costs incurred to integrate and consolidate acquired businesses with our existing operations, including where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combine an acquired business with an existing business and consolidate overlapping teams, products, and systems. These costs consist primarily of employee severance and related personnel costs arising from such consolidation, and also include contract termination costs and costs to combine or migrate systems, platforms, and processes, and, to a lesser extent, charges to exit or consolidate facilities or other assets, in each case incurred as a direct result of an acquisition. We exclude these costs when evaluating our continuing operational performance because they result from acquisition activity rather than the ordinary course of business. Integration costs do not include costs of discrete realignment initiatives that are not undertaken in connection with an acquisition, which are reported as realignment expenses (income). Integration costs may recur to the extent we complete and integrate additional acquisitions.</w:t>
      </w:r>
    </w:p>
    <w:p>
      <w:pPr>
        <w:spacing w:after="0" w:line="70"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Realignment expenses (income)</w:t>
      </w:r>
      <w:r>
        <w:rPr>
          <w:rFonts w:ascii="Times New Roman" w:cs="Times New Roman" w:eastAsia="Times New Roman" w:hAnsi="Times New Roman"/>
          <w:sz w:val="16"/>
          <w:szCs w:val="16"/>
          <w:color w:val="auto"/>
        </w:rPr>
        <w:t>. Realignment expenses (income) consist of the costs of discrete, significant realignment initiatives that we formally approve and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a defined scope of actions and completion timeline—such as a broad reorganization or workforce-reduction program—including employee severance and related personnel costs and associated facility or asset costs. Such initiatives arise from time to time, and the related costs may recur in future periods. We exclude these amounts when evaluating our continuing operational performance because such initiatives are distinct from the ordinary course of business. We do not adjust for severance or organizational and workforce changes undertaken in the ordinary course of managing our business, which remain reflected in the measure.</w:t>
      </w:r>
    </w:p>
    <w:p>
      <w:pPr>
        <w:spacing w:after="0" w:line="34" w:lineRule="exact"/>
        <w:rPr>
          <w:rFonts w:ascii="Times New Roman" w:cs="Times New Roman" w:eastAsia="Times New Roman" w:hAnsi="Times New Roman"/>
          <w:sz w:val="16"/>
          <w:szCs w:val="16"/>
          <w:color w:val="auto"/>
        </w:rPr>
      </w:pPr>
    </w:p>
    <w:p>
      <w:pPr>
        <w:ind w:left="340" w:hanging="332"/>
        <w:spacing w:after="0" w:line="230" w:lineRule="exact"/>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Operating stock</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 compensation expense</w:t>
      </w:r>
      <w:r>
        <w:rPr>
          <w:rFonts w:ascii="Times New Roman" w:cs="Times New Roman" w:eastAsia="Times New Roman" w:hAnsi="Times New Roman"/>
          <w:sz w:val="16"/>
          <w:szCs w:val="16"/>
          <w:color w:val="auto"/>
        </w:rPr>
        <w:t>. We define “operating”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as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cash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less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settled retention incentives provided to key employees of acquired companies.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16"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consolidated revenues to consolidated revenues in constant currency: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6"/>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6"/>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386,819</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386,836</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344,293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342,771</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399,450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399,491</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355,206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353,675</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20,328</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421,612</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375,549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8"/>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16"/>
                <w:szCs w:val="16"/>
                <w:color w:val="auto"/>
              </w:rPr>
            </w:pPr>
          </w:p>
        </w:tc>
        <w:tc>
          <w:tcPr>
            <w:tcW w:w="3740" w:type="dxa"/>
            <w:vAlign w:val="bottom"/>
            <w:gridSpan w:val="7"/>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1,157,938</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1,147,964</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1,020,063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1,018,783</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31,905</w:t>
            </w: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1,189,333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1,179,064</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1,051,961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1,050,688</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66,273</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1,256,415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1,245,337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1,110,197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1,108,901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revenues by geographic region to revenues by geographic region in constant currency: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8"/>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60" w:type="dxa"/>
            <w:vAlign w:val="bottom"/>
          </w:tcPr>
          <w:p>
            <w:pPr>
              <w:spacing w:after="0"/>
              <w:rPr>
                <w:sz w:val="16"/>
                <w:szCs w:val="16"/>
                <w:color w:val="auto"/>
              </w:rPr>
            </w:pPr>
          </w:p>
        </w:tc>
        <w:tc>
          <w:tcPr>
            <w:tcW w:w="3740" w:type="dxa"/>
            <w:vAlign w:val="bottom"/>
            <w:gridSpan w:val="7"/>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196,345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196,145</w:t>
            </w:r>
          </w:p>
        </w:tc>
        <w:tc>
          <w:tcPr>
            <w:tcW w:w="0" w:type="dxa"/>
            <w:vAlign w:val="bottom"/>
          </w:tcPr>
          <w:p>
            <w:pPr>
              <w:spacing w:after="0"/>
              <w:rPr>
                <w:sz w:val="1"/>
                <w:szCs w:val="1"/>
                <w:color w:val="auto"/>
              </w:rPr>
            </w:pPr>
          </w:p>
        </w:tc>
      </w:tr>
      <w:tr>
        <w:trPr>
          <w:trHeight w:val="22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107,320</w:t>
            </w:r>
          </w:p>
        </w:tc>
        <w:tc>
          <w:tcPr>
            <w:tcW w:w="0" w:type="dxa"/>
            <w:vAlign w:val="bottom"/>
          </w:tcPr>
          <w:p>
            <w:pPr>
              <w:spacing w:after="0"/>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70,538</w:t>
            </w:r>
          </w:p>
        </w:tc>
        <w:tc>
          <w:tcPr>
            <w:tcW w:w="0" w:type="dxa"/>
            <w:vAlign w:val="bottom"/>
          </w:tcPr>
          <w:p>
            <w:pPr>
              <w:spacing w:after="0"/>
              <w:rPr>
                <w:sz w:val="1"/>
                <w:szCs w:val="1"/>
                <w:color w:val="auto"/>
              </w:rPr>
            </w:pPr>
          </w:p>
        </w:tc>
      </w:tr>
      <w:tr>
        <w:trPr>
          <w:trHeight w:val="223"/>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421,507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421,612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375,549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374,003</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9"/>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gridSpan w:val="8"/>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24"/>
                <w:szCs w:val="24"/>
                <w:color w:val="auto"/>
              </w:rPr>
            </w:pPr>
          </w:p>
        </w:tc>
        <w:tc>
          <w:tcPr>
            <w:tcW w:w="3740" w:type="dxa"/>
            <w:vAlign w:val="bottom"/>
            <w:gridSpan w:val="7"/>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660,702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589,219</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320,048</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199,634</w:t>
            </w: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1,256,415</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1,245,337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1,110,197</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1,108,901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cost of revenues to cost of revenues in constant currency: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6"/>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6"/>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4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51,967</w:t>
            </w:r>
          </w:p>
        </w:tc>
        <w:tc>
          <w:tcPr>
            <w:tcW w:w="2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53,824</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53,789</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6"/>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4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159,129</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157,535</w:t>
            </w:r>
          </w:p>
        </w:tc>
        <w:tc>
          <w:tcPr>
            <w:tcW w:w="2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148,080</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148,225</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59,415</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58,591</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operating expense (income) to operating expense (income) in constant currency: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10"/>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5"/>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5"/>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78,729</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72,085</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226,928</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218,857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218,811</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9"/>
        </w:trPr>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6"/>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10"/>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5"/>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5"/>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2025</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226,586</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226,964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151,058</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699,207</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620,367</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0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domestically</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6,018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39,093</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 foreign subsidiaries</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8"/>
                <w:szCs w:val="18"/>
                <w:color w:val="auto"/>
              </w:rPr>
              <w:t>144,856</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84,185</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150,874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Our primary source of operating cash is from the sale of our subscriptions, perpetual licenses, and services. Our primary use of cash is payment of our operating costs, which consist mainly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 On October 29, 2026, we completed the acquisition of Eliis for approximately €133,000 in cash, net of cash acquired and subject to customary adjustments, including for working capital, plus 437,545 shares of the Company’s Class B common stock.</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Activity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7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374,355</w:t>
            </w:r>
          </w:p>
        </w:tc>
        <w:tc>
          <w:tcPr>
            <w:tcW w:w="2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396,876</w:t>
            </w: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(21,627)</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r>
      <w:tr>
        <w:trPr>
          <w:trHeight w:val="27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(309,015)</w:t>
            </w:r>
          </w:p>
        </w:tc>
        <w:tc>
          <w:tcPr>
            <w:tcW w:w="2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(291,207)</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nine months ended September 30, 2026, compared to the same period in the prior year, net cash provided by operating activities was lower by $22,521 due to a decrease in net cash flows from the change in operating assets and liabilities of $46,698 and a net decrease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of $20,557, partially offset by an increase in net income of $44,734. The decrease in net cash flows from the change in operating assets and liabilities period over period was primarily due to timing of collections on our receivables and lower period over period Cloud Services Subscription deposits, partially offset by higher period over period accruals and other current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higher by $7,853 for the nine months ended September 30, 2026, compared to the same period in the prior year, due to higher purchases of property and equipment and investment in capitalized software.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was higher by $17,808 for the nine months ended September 30, 2026 compared to the same period in the prior year. Net borrowings under the Credit Facility increased $725,568 for the nine months ended September 30, 2026 compared to the same period in the prior year due to proceeds from our new $550,000 Term Loan and higher net revolving borrowings. During the first quarter of 2026, we utilized revolving borrowings and available cash on hand to repay the $677,830 outstanding principal balance of the 2026 Notes upon maturity in January 2026. Subsequently, during the second quarter of 2026, proceeds from the Term Loan were used to repay a portion of those revolving borrowings. Further, payments for shares acquired, including shares repurchased under the Repurchase Program, were higher by $74,818 for the nine months ended September 30, 2026 compared to the same period in the prior year. Additionally, under the Repurchase Program, we paid $9,797 in cash to repurchase $10,000 aggregate principal amount of outstanding 2026 Notes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1,148,496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1,248,912</w:t>
            </w:r>
          </w:p>
        </w:tc>
      </w:tr>
      <w:tr>
        <w:trPr>
          <w:trHeight w:val="248"/>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1,162,246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1,248,912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2026 Notes matured on January 15, 2026. Upon maturity, we repaid $678,254, which consisted of the remaining outstanding principal balance and accrued interest on the 2026 Notes using borrowings under the Credit Facility and available cash on hand. Subsequently, on April 23, 2026, we entered into a First Amendment to our Credit Facility, which provided for a new $550,000 Term Loan and used those borrowings to repay portions of the revolving indebtedness outstanding under the Credit Facility.</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we had $1,259,747 available under the Credit Facility, and we were in compliance with all covenants under the Credit Facility and the 2027 Notes. Any failure to comply with such covenants under the Credit Facility would prevent us from being able to borrow additional funds under the Credit Facility, and, as with any failure to comply with such covenants under the 2027 Notes, could constitute a default that may cause all amounts outstanding to become due and immediately payable in full.</w:t>
      </w:r>
    </w:p>
    <w:p>
      <w:pPr>
        <w:spacing w:after="0" w:line="98" w:lineRule="exact"/>
        <w:rPr>
          <w:sz w:val="20"/>
          <w:szCs w:val="20"/>
          <w:color w:val="auto"/>
        </w:rPr>
      </w:pPr>
    </w:p>
    <w:p>
      <w:pPr>
        <w:jc w:val="both"/>
        <w:ind w:firstLine="324"/>
        <w:spacing w:after="0" w:line="259" w:lineRule="exact"/>
        <w:rPr>
          <w:sz w:val="20"/>
          <w:szCs w:val="20"/>
          <w:color w:val="auto"/>
        </w:rPr>
      </w:pPr>
      <w:r>
        <w:rPr>
          <w:rFonts w:ascii="Times New Roman" w:cs="Times New Roman" w:eastAsia="Times New Roman" w:hAnsi="Times New Roman"/>
          <w:sz w:val="18"/>
          <w:szCs w:val="18"/>
          <w:color w:val="auto"/>
        </w:rPr>
        <w:t>As of September 30, 2026, the 2027 Notes were classified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 the consolidated balance sheets as we currently have the ability and intent to refinance them on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through available capacity under the Credit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BSY Stock Repurchase Program</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approved the Repurchase Program authorizing us to repurchase up to $500,000 of our Class B common stock and/or outstanding convertible senior notes through December 31, 2028. We may use available working capital, cash provided by operating activities, and/or external borrowings including available liquidity under our Credit Facility to make repurchases.</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4,064,293 shares for $135,081 under the Repurchase Program. During the nine months ended September 30, 2025, we repurchased 1,457,454 shares for $65,029, and $10,000 aggregate principal amount of our outstanding 2026 Notes for $9,797 under the Repurchase Program.</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Taxes on Certain Equity Awards</w:t>
      </w:r>
    </w:p>
    <w:p>
      <w:pPr>
        <w:spacing w:after="0" w:line="20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the right to require that certain equity awardees receive gross or net quantities of shares of our Class B common stock, including distributions from the DCP and share issuances under the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nine months ended September 30, 2026, we allowed impacted awardees the option to receive net quantities of shares of our Class B common stock. We exercised our right to require that impacted equity awardees receive gross quantities of our Class B common stock during the first quarter of 2025, but we allowed impacted awardees the option to receive net quantities of shares of our Class B common stock during the second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third quarters of 2025. We will continue to evaluate whether share awards will be required to be received by awardees on a gross basis, or if net settlement may be elected by awardees.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$0.07 per share of common stock during the nine months ended September 30, 2026 and 2025.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There have been no material changes in our market risk exposure as described in Part II, Item 7A. Quantitative and Qualitative Disclosures About Market Risk in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Effectiveness of Disclosure Controls and Procedures</w:t>
      </w:r>
    </w:p>
    <w:p>
      <w:pPr>
        <w:spacing w:after="0" w:line="16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September 30, 2026, our disclosure controls and procedures were effective at the reasonable assurance level.</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management’s evaluation pursuant to Rules 13a or 15d of the Exchange Act that occurred during the quarter ended September 30,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Part I, Item 1A. Risk Factors in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July 1, 2026 to September 30, 2026, we issued 59,821 shares of our Class B common stock in connection with distributions from our DCP.</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our Class B common stock we repurchased during the three months ended September 30,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203"/>
        </w:trPr>
        <w:tc>
          <w:tcPr>
            <w:tcW w:w="3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203"/>
        </w:trPr>
        <w:tc>
          <w:tcPr>
            <w:tcW w:w="3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226"/>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xml:space="preserve">Program </w:t>
            </w:r>
            <w:r>
              <w:rPr>
                <w:rFonts w:ascii="Times New Roman" w:cs="Times New Roman" w:eastAsia="Times New Roman" w:hAnsi="Times New Roman"/>
                <w:sz w:val="18"/>
                <w:szCs w:val="18"/>
                <w:b w:val="1"/>
                <w:bCs w:val="1"/>
                <w:color w:val="auto"/>
                <w:w w:val="95"/>
                <w:vertAlign w:val="superscript"/>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8"/>
              </w:rPr>
              <w:t xml:space="preserve">the Program </w:t>
            </w:r>
            <w:r>
              <w:rPr>
                <w:rFonts w:ascii="Times New Roman" w:cs="Times New Roman" w:eastAsia="Times New Roman" w:hAnsi="Times New Roman"/>
                <w:sz w:val="18"/>
                <w:szCs w:val="18"/>
                <w:b w:val="1"/>
                <w:bCs w:val="1"/>
                <w:color w:val="auto"/>
                <w:w w:val="98"/>
                <w:vertAlign w:val="superscript"/>
              </w:rPr>
              <w:t>(2)</w:t>
            </w:r>
          </w:p>
        </w:tc>
      </w:tr>
      <w:tr>
        <w:trPr>
          <w:trHeight w:val="209"/>
        </w:trPr>
        <w:tc>
          <w:tcPr>
            <w:tcW w:w="3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2026 to July 31, 2026</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356,558,387</w:t>
            </w:r>
          </w:p>
        </w:tc>
      </w:tr>
      <w:tr>
        <w:trPr>
          <w:trHeight w:val="21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 2026 to August 31, 2026</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356,558,387</w:t>
            </w:r>
          </w:p>
        </w:tc>
      </w:tr>
      <w:tr>
        <w:trPr>
          <w:trHeight w:val="219"/>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2026 to September 30,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316,551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2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316,551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346,558,403</w:t>
            </w:r>
          </w:p>
        </w:tc>
      </w:tr>
      <w:tr>
        <w:trPr>
          <w:trHeight w:val="210"/>
        </w:trPr>
        <w:tc>
          <w:tcPr>
            <w:tcW w:w="40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316,551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316,551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99" w:lineRule="exact"/>
        <w:rPr>
          <w:sz w:val="20"/>
          <w:szCs w:val="20"/>
          <w:color w:val="auto"/>
        </w:rPr>
      </w:pPr>
    </w:p>
    <w:p>
      <w:pPr>
        <w:ind w:left="340" w:hanging="332"/>
        <w:spacing w:after="0" w:line="184" w:lineRule="exact"/>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purchased in open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transactions under the Repurchase Program approved by our Board of Directors.</w:t>
      </w:r>
    </w:p>
    <w:p>
      <w:pPr>
        <w:spacing w:after="0" w:line="95"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program publicly announced and approved by our Board of Directors in November 2025 that authorizes the repurchase of up to $500 million of our Class B common stock and/or outstanding convertible senior notes through December 31,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4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On August 10, 2026, Keith A. Bentley, a member of the Company’s Board of Directors,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to sell an aggregate of 350,000 shares of our Class B common stock. Mr. Bentley’s plan expires on May 7, 2027.</w:t>
      </w:r>
    </w:p>
    <w:p>
      <w:pPr>
        <w:spacing w:after="0" w:line="117"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On August 18, 2026, Julien Moutte, the Company’s Chief Technology Officer,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to sell an aggregate of 12,000 shares of our Class B common stock. Mr. Moutte’s plan expires on August 18, 2027.</w:t>
      </w:r>
    </w:p>
    <w:p>
      <w:pPr>
        <w:spacing w:after="0" w:line="171"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On August 24, 2026, Raymond B. Bentley, a member of the Company’s Board of Directors,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to sell an aggregate of 1,000,000 shares of our Class B common stock. Mr. Bentley’s plan expires on June 16, 2027.</w:t>
      </w:r>
    </w:p>
    <w:p>
      <w:pPr>
        <w:spacing w:after="0" w:line="11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On August 28, 2026, Gregory S. Bentley, the Company’s Executive Chair and President,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to sell an aggregate of 600,000 shares of our Class B common stock. Mr. Bentley’s plan expires on March 5, 2027.</w:t>
      </w:r>
    </w:p>
    <w:p>
      <w:pPr>
        <w:spacing w:after="0" w:line="158"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During the three months ended September 30, 2026, there were no other Company directors or executive officers who adopted or terminated any contract, instruction or written plan for the purchase or sale of Company securities that was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or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8"/>
                <w:szCs w:val="18"/>
                <w:color w:val="auto"/>
              </w:rPr>
            </w:pPr>
          </w:p>
        </w:tc>
        <w:tc>
          <w:tcPr>
            <w:tcW w:w="5180" w:type="dxa"/>
            <w:vAlign w:val="bottom"/>
            <w:gridSpan w:val="8"/>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11"/>
        </w:trPr>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8"/>
                <w:szCs w:val="18"/>
                <w:color w:val="auto"/>
              </w:rPr>
            </w:pPr>
          </w:p>
        </w:tc>
        <w:tc>
          <w:tcPr>
            <w:tcW w:w="5180" w:type="dxa"/>
            <w:vAlign w:val="bottom"/>
            <w:gridSpan w:val="8"/>
            <w:vMerge w:val="continue"/>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74"/>
        </w:trPr>
        <w:tc>
          <w:tcPr>
            <w:tcW w:w="920" w:type="dxa"/>
            <w:vAlign w:val="bottom"/>
            <w:tcBorders>
              <w:top w:val="single" w:sz="8" w:color="auto"/>
            </w:tcBorders>
          </w:tcPr>
          <w:p>
            <w:pPr>
              <w:ind w:left="100"/>
              <w:spacing w:after="0" w:line="174" w:lineRule="exact"/>
              <w:rPr>
                <w:sz w:val="20"/>
                <w:szCs w:val="20"/>
                <w:color w:val="auto"/>
              </w:rPr>
            </w:pPr>
            <w:r>
              <w:rPr>
                <w:rFonts w:ascii="Times New Roman" w:cs="Times New Roman" w:eastAsia="Times New Roman" w:hAnsi="Times New Roman"/>
                <w:sz w:val="16"/>
                <w:szCs w:val="16"/>
                <w:color w:val="auto"/>
              </w:rPr>
              <w:t>31.1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20" w:type="dxa"/>
            <w:vAlign w:val="bottom"/>
            <w:tcBorders>
              <w:top w:val="single" w:sz="8" w:color="auto"/>
            </w:tcBorders>
            <w:gridSpan w:val="7"/>
          </w:tcPr>
          <w:p>
            <w:pPr>
              <w:spacing w:after="0" w:line="174" w:lineRule="exact"/>
              <w:rPr>
                <w:sz w:val="20"/>
                <w:szCs w:val="20"/>
                <w:color w:val="auto"/>
              </w:rPr>
            </w:pPr>
            <w:r>
              <w:rPr>
                <w:rFonts w:ascii="Times New Roman" w:cs="Times New Roman" w:eastAsia="Times New Roman" w:hAnsi="Times New Roman"/>
                <w:sz w:val="16"/>
                <w:szCs w:val="16"/>
                <w:color w:val="0000FF"/>
              </w:rPr>
              <w:t>Certification of CEO pursuant to Rule 13a-14(a) and Rule 15d-14(a) of the</w:t>
            </w:r>
          </w:p>
        </w:tc>
        <w:tc>
          <w:tcPr>
            <w:tcW w:w="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 as amended</w:t>
            </w:r>
          </w:p>
        </w:tc>
        <w:tc>
          <w:tcPr>
            <w:tcW w:w="1880" w:type="dxa"/>
            <w:vAlign w:val="bottom"/>
            <w:tcBorders>
              <w:top w:val="single" w:sz="8" w:color="0000FF"/>
            </w:tcBorders>
            <w:gridSpan w:val="4"/>
          </w:tcPr>
          <w:p>
            <w:pPr>
              <w:spacing w:after="0"/>
              <w:rPr>
                <w:sz w:val="12"/>
                <w:szCs w:val="12"/>
                <w:color w:val="auto"/>
              </w:rPr>
            </w:pPr>
          </w:p>
        </w:tc>
        <w:tc>
          <w:tcPr>
            <w:tcW w:w="3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CFO pursuant to Rule 13a-14(a) and Rule 15d-14(a) of the</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4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 as amended</w:t>
            </w:r>
          </w:p>
        </w:tc>
        <w:tc>
          <w:tcPr>
            <w:tcW w:w="3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CEO and CFO Pursuant to 18 U.S.C. Section 1350, as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100" w:type="dxa"/>
            <w:vAlign w:val="bottom"/>
            <w:tcBorders>
              <w:top w:val="single" w:sz="8" w:color="0000FF"/>
            </w:tcBorders>
          </w:tcPr>
          <w:p>
            <w:pPr>
              <w:spacing w:after="0"/>
              <w:rPr>
                <w:sz w:val="12"/>
                <w:szCs w:val="12"/>
                <w:color w:val="auto"/>
              </w:rPr>
            </w:pPr>
          </w:p>
        </w:tc>
        <w:tc>
          <w:tcPr>
            <w:tcW w:w="640" w:type="dxa"/>
            <w:vAlign w:val="bottom"/>
            <w:gridSpan w:val="4"/>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5"/>
                <w:szCs w:val="15"/>
                <w:color w:val="auto"/>
              </w:rPr>
            </w:pPr>
          </w:p>
        </w:tc>
        <w:tc>
          <w:tcPr>
            <w:tcW w:w="51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Document—the instance document does not appear in</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the Interactive Data File as its XBRL tags are embedded within the Inline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formatted as Inline XBRL and contained in Exhibit 101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20" w:right="100" w:hanging="294"/>
        <w:spacing w:after="0" w:line="176" w:lineRule="exact"/>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18" w:lineRule="exact"/>
        <w:rPr>
          <w:sz w:val="20"/>
          <w:szCs w:val="20"/>
          <w:color w:val="auto"/>
        </w:rPr>
      </w:pPr>
    </w:p>
    <w:p>
      <w:pPr>
        <w:ind w:left="20"/>
        <w:spacing w:after="0"/>
        <w:tabs>
          <w:tab w:leader="none" w:pos="6140" w:val="left"/>
          <w:tab w:leader="none" w:pos="840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6"/>
          <w:szCs w:val="26"/>
          <w:color w:val="auto"/>
          <w:vertAlign w:val="subscript"/>
        </w:rPr>
        <w:t>/s/ W</w:t>
      </w:r>
      <w:r>
        <w:rPr>
          <w:rFonts w:ascii="Times New Roman" w:cs="Times New Roman" w:eastAsia="Times New Roman" w:hAnsi="Times New Roman"/>
          <w:sz w:val="21"/>
          <w:szCs w:val="21"/>
          <w:color w:val="auto"/>
          <w:vertAlign w:val="subscript"/>
        </w:rPr>
        <w:t>ERNER</w:t>
      </w:r>
      <w:r>
        <w:rPr>
          <w:rFonts w:ascii="Times New Roman" w:cs="Times New Roman" w:eastAsia="Times New Roman" w:hAnsi="Times New Roman"/>
          <w:sz w:val="26"/>
          <w:szCs w:val="26"/>
          <w:color w:val="auto"/>
          <w:vertAlign w:val="subscript"/>
        </w:rPr>
        <w:t xml:space="preserve"> A</w:t>
      </w:r>
      <w:r>
        <w:rPr>
          <w:rFonts w:ascii="Times New Roman" w:cs="Times New Roman" w:eastAsia="Times New Roman" w:hAnsi="Times New Roman"/>
          <w:sz w:val="21"/>
          <w:szCs w:val="21"/>
          <w:color w:val="auto"/>
          <w:vertAlign w:val="subscript"/>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0</wp:posOffset>
            </wp:positionV>
            <wp:extent cx="26657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jc w:val="center"/>
        <w:ind w:left="7020"/>
        <w:spacing w:after="0"/>
        <w:rPr>
          <w:sz w:val="20"/>
          <w:szCs w:val="20"/>
          <w:color w:val="auto"/>
        </w:rPr>
      </w:pPr>
      <w:r>
        <w:rPr>
          <w:rFonts w:ascii="Times New Roman" w:cs="Times New Roman" w:eastAsia="Times New Roman" w:hAnsi="Times New Roman"/>
          <w:sz w:val="18"/>
          <w:szCs w:val="18"/>
          <w:color w:val="auto"/>
        </w:rPr>
        <w:t>Werner Andre</w:t>
      </w:r>
    </w:p>
    <w:p>
      <w:pPr>
        <w:spacing w:after="0" w:line="27"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H. Cumins, certify that:</w:t>
      </w:r>
    </w:p>
    <w:p>
      <w:pPr>
        <w:spacing w:after="0" w:line="157" w:lineRule="exact"/>
        <w:rPr>
          <w:sz w:val="20"/>
          <w:szCs w:val="20"/>
          <w:color w:val="auto"/>
        </w:rPr>
      </w:pPr>
    </w:p>
    <w:p>
      <w:pPr>
        <w:ind w:left="340" w:hanging="332"/>
        <w:spacing w:after="0" w:line="207" w:lineRule="exact"/>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ICHOLAS</w:t>
      </w:r>
      <w:r>
        <w:rPr>
          <w:rFonts w:ascii="Times New Roman" w:cs="Times New Roman" w:eastAsia="Times New Roman" w:hAnsi="Times New Roman"/>
          <w:sz w:val="18"/>
          <w:szCs w:val="18"/>
          <w:color w:val="auto"/>
        </w:rPr>
        <w:t xml:space="preserve"> H. C</w:t>
      </w:r>
      <w:r>
        <w:rPr>
          <w:rFonts w:ascii="Times New Roman" w:cs="Times New Roman" w:eastAsia="Times New Roman" w:hAnsi="Times New Roman"/>
          <w:sz w:val="14"/>
          <w:szCs w:val="14"/>
          <w:color w:val="auto"/>
        </w:rPr>
        <w:t>UMINS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Nicholas H. Cumins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Werner Andre, certify that:</w:t>
      </w:r>
    </w:p>
    <w:p>
      <w:pPr>
        <w:spacing w:after="0" w:line="157" w:lineRule="exact"/>
        <w:rPr>
          <w:sz w:val="20"/>
          <w:szCs w:val="20"/>
          <w:color w:val="auto"/>
        </w:rPr>
      </w:pPr>
    </w:p>
    <w:p>
      <w:pPr>
        <w:ind w:left="340" w:hanging="332"/>
        <w:spacing w:after="0" w:line="207" w:lineRule="exact"/>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of Bentley Systems, Incorporated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September 30, 2026,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1"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140" w:firstLine="332"/>
        <w:spacing w:after="0" w:line="485" w:lineRule="auto"/>
        <w:tabs>
          <w:tab w:leader="none" w:pos="6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5, 2026</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ICHOLAS</w:t>
      </w:r>
      <w:r>
        <w:rPr>
          <w:rFonts w:ascii="Times New Roman" w:cs="Times New Roman" w:eastAsia="Times New Roman" w:hAnsi="Times New Roman"/>
          <w:sz w:val="18"/>
          <w:szCs w:val="18"/>
          <w:color w:val="auto"/>
        </w:rPr>
        <w:t xml:space="preserve"> H. C</w:t>
      </w:r>
      <w:r>
        <w:rPr>
          <w:rFonts w:ascii="Times New Roman" w:cs="Times New Roman" w:eastAsia="Times New Roman" w:hAnsi="Times New Roman"/>
          <w:sz w:val="14"/>
          <w:szCs w:val="14"/>
          <w:color w:val="auto"/>
        </w:rPr>
        <w:t>UMINS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Nicholas H. Cumins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367"/>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4"/>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2026-11-05T18:22:33Z</dcterms:created>
  <dcterms:modified xsi:type="dcterms:W3CDTF">2026-11-05T18:22:33Z</dcterms:modified>
</cp:coreProperties>
</file>