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tabs>
          <w:tab w:leader="none" w:pos="7500" w:val="left"/>
        </w:tabs>
        <w:rPr>
          <w:sz w:val="20"/>
          <w:szCs w:val="20"/>
          <w:color w:val="auto"/>
        </w:rPr>
      </w:pPr>
      <w:r>
        <w:rPr>
          <w:rFonts w:ascii="Arial" w:cs="Arial" w:eastAsia="Arial" w:hAnsi="Arial"/>
          <w:sz w:val="22"/>
          <w:szCs w:val="22"/>
          <w:color w:val="auto"/>
        </w:rPr>
        <w:t>Securities and Exchange Commission</w:t>
      </w:r>
      <w:r>
        <w:rPr>
          <w:sz w:val="20"/>
          <w:szCs w:val="20"/>
          <w:color w:val="auto"/>
        </w:rPr>
        <w:tab/>
      </w:r>
      <w:r>
        <w:rPr>
          <w:rFonts w:ascii="Arial" w:cs="Arial" w:eastAsia="Arial" w:hAnsi="Arial"/>
          <w:sz w:val="19"/>
          <w:szCs w:val="19"/>
          <w:color w:val="auto"/>
        </w:rPr>
        <w:t>August 21, 2020</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32"/>
          <w:szCs w:val="32"/>
          <w:color w:val="auto"/>
        </w:rPr>
        <w:t>Simpson Thacher &amp; Bartlett LLP</w:t>
      </w:r>
    </w:p>
    <w:p>
      <w:pPr>
        <w:spacing w:after="0" w:line="83" w:lineRule="exact"/>
        <w:rPr>
          <w:sz w:val="24"/>
          <w:szCs w:val="24"/>
          <w:color w:val="auto"/>
        </w:rPr>
      </w:pPr>
    </w:p>
    <w:p>
      <w:pPr>
        <w:ind w:left="3440"/>
        <w:spacing w:after="0"/>
        <w:rPr>
          <w:sz w:val="20"/>
          <w:szCs w:val="20"/>
          <w:color w:val="auto"/>
        </w:rPr>
      </w:pPr>
      <w:r>
        <w:rPr>
          <w:rFonts w:ascii="Arial" w:cs="Arial" w:eastAsia="Arial" w:hAnsi="Arial"/>
          <w:sz w:val="18"/>
          <w:szCs w:val="18"/>
          <w:color w:val="auto"/>
        </w:rPr>
        <w:t>425 LEXINGTON AVENUE</w:t>
      </w:r>
    </w:p>
    <w:p>
      <w:pPr>
        <w:spacing w:after="0" w:line="90" w:lineRule="exact"/>
        <w:rPr>
          <w:sz w:val="24"/>
          <w:szCs w:val="24"/>
          <w:color w:val="auto"/>
        </w:rPr>
      </w:pPr>
    </w:p>
    <w:p>
      <w:pPr>
        <w:ind w:left="3380"/>
        <w:spacing w:after="0"/>
        <w:rPr>
          <w:sz w:val="20"/>
          <w:szCs w:val="20"/>
          <w:color w:val="auto"/>
        </w:rPr>
      </w:pPr>
      <w:r>
        <w:rPr>
          <w:rFonts w:ascii="Arial" w:cs="Arial" w:eastAsia="Arial" w:hAnsi="Arial"/>
          <w:sz w:val="18"/>
          <w:szCs w:val="18"/>
          <w:color w:val="auto"/>
        </w:rPr>
        <w:t>NEW YORK, NY 10017-3954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246380</wp:posOffset>
            </wp:positionV>
            <wp:extent cx="140589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0589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tbl>
      <w:tblPr>
        <w:tblLayout w:type="fixed"/>
        <w:tblInd w:w="60" w:type="dxa"/>
        <w:tblCellMar>
          <w:top w:w="0" w:type="dxa"/>
          <w:left w:w="0" w:type="dxa"/>
          <w:bottom w:w="0" w:type="dxa"/>
          <w:right w:w="0" w:type="dxa"/>
        </w:tblCellMar>
      </w:tblPr>
      <w:tr>
        <w:trPr>
          <w:trHeight w:val="216"/>
        </w:trPr>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900" w:type="dxa"/>
            <w:vAlign w:val="bottom"/>
          </w:tcPr>
          <w:p>
            <w:pPr>
              <w:jc w:val="center"/>
              <w:ind w:right="2919"/>
              <w:spacing w:after="0"/>
              <w:rPr>
                <w:sz w:val="20"/>
                <w:szCs w:val="20"/>
                <w:color w:val="auto"/>
              </w:rPr>
            </w:pPr>
            <w:r>
              <w:rPr>
                <w:rFonts w:ascii="Arial" w:cs="Arial" w:eastAsia="Arial" w:hAnsi="Arial"/>
                <w:sz w:val="18"/>
                <w:szCs w:val="18"/>
                <w:color w:val="auto"/>
                <w:w w:val="93"/>
              </w:rPr>
              <w:t>TELEPHONE: +1-212-455-2000</w:t>
            </w:r>
          </w:p>
        </w:tc>
      </w:tr>
      <w:tr>
        <w:trPr>
          <w:trHeight w:val="230"/>
        </w:trPr>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900" w:type="dxa"/>
            <w:vAlign w:val="bottom"/>
          </w:tcPr>
          <w:p>
            <w:pPr>
              <w:jc w:val="center"/>
              <w:ind w:right="2899"/>
              <w:spacing w:after="0"/>
              <w:rPr>
                <w:sz w:val="20"/>
                <w:szCs w:val="20"/>
                <w:color w:val="auto"/>
              </w:rPr>
            </w:pPr>
            <w:r>
              <w:rPr>
                <w:rFonts w:ascii="Arial" w:cs="Arial" w:eastAsia="Arial" w:hAnsi="Arial"/>
                <w:sz w:val="18"/>
                <w:szCs w:val="18"/>
                <w:color w:val="auto"/>
                <w:w w:val="94"/>
              </w:rPr>
              <w:t>FACSIMILE: +1-212-455-2502</w:t>
            </w:r>
          </w:p>
        </w:tc>
      </w:tr>
      <w:tr>
        <w:trPr>
          <w:trHeight w:val="418"/>
        </w:trPr>
        <w:tc>
          <w:tcPr>
            <w:tcW w:w="3000" w:type="dxa"/>
            <w:vAlign w:val="bottom"/>
            <w:gridSpan w:val="3"/>
          </w:tcPr>
          <w:p>
            <w:pPr>
              <w:spacing w:after="0"/>
              <w:rPr>
                <w:sz w:val="20"/>
                <w:szCs w:val="20"/>
                <w:color w:val="auto"/>
              </w:rPr>
            </w:pPr>
            <w:r>
              <w:rPr>
                <w:rFonts w:ascii="Arial" w:cs="Arial" w:eastAsia="Arial" w:hAnsi="Arial"/>
                <w:sz w:val="18"/>
                <w:szCs w:val="18"/>
                <w:color w:val="auto"/>
              </w:rPr>
              <w:t>DIRECT DIAL NUMBER</w:t>
            </w:r>
          </w:p>
        </w:tc>
        <w:tc>
          <w:tcPr>
            <w:tcW w:w="5900" w:type="dxa"/>
            <w:vAlign w:val="bottom"/>
          </w:tcPr>
          <w:p>
            <w:pPr>
              <w:jc w:val="right"/>
              <w:spacing w:after="0"/>
              <w:rPr>
                <w:sz w:val="20"/>
                <w:szCs w:val="20"/>
                <w:color w:val="auto"/>
              </w:rPr>
            </w:pPr>
            <w:r>
              <w:rPr>
                <w:rFonts w:ascii="Arial" w:cs="Arial" w:eastAsia="Arial" w:hAnsi="Arial"/>
                <w:sz w:val="18"/>
                <w:szCs w:val="18"/>
                <w:color w:val="auto"/>
              </w:rPr>
              <w:t>E-MAIL ADDRESS</w:t>
            </w:r>
          </w:p>
        </w:tc>
      </w:tr>
      <w:tr>
        <w:trPr>
          <w:trHeight w:val="230"/>
        </w:trPr>
        <w:tc>
          <w:tcPr>
            <w:tcW w:w="1500" w:type="dxa"/>
            <w:vAlign w:val="bottom"/>
            <w:gridSpan w:val="2"/>
          </w:tcPr>
          <w:p>
            <w:pPr>
              <w:spacing w:after="0"/>
              <w:rPr>
                <w:sz w:val="20"/>
                <w:szCs w:val="20"/>
                <w:color w:val="auto"/>
              </w:rPr>
            </w:pPr>
            <w:r>
              <w:rPr>
                <w:rFonts w:ascii="Arial" w:cs="Arial" w:eastAsia="Arial" w:hAnsi="Arial"/>
                <w:sz w:val="18"/>
                <w:szCs w:val="18"/>
                <w:color w:val="auto"/>
              </w:rPr>
              <w:t>+1-212-455-2812</w:t>
            </w:r>
          </w:p>
        </w:tc>
        <w:tc>
          <w:tcPr>
            <w:tcW w:w="1500" w:type="dxa"/>
            <w:vAlign w:val="bottom"/>
          </w:tcPr>
          <w:p>
            <w:pPr>
              <w:spacing w:after="0"/>
              <w:rPr>
                <w:sz w:val="20"/>
                <w:szCs w:val="20"/>
                <w:color w:val="auto"/>
              </w:rPr>
            </w:pPr>
          </w:p>
        </w:tc>
        <w:tc>
          <w:tcPr>
            <w:tcW w:w="5900" w:type="dxa"/>
            <w:vAlign w:val="bottom"/>
          </w:tcPr>
          <w:p>
            <w:pPr>
              <w:jc w:val="right"/>
              <w:spacing w:after="0"/>
              <w:rPr>
                <w:sz w:val="20"/>
                <w:szCs w:val="20"/>
                <w:color w:val="auto"/>
              </w:rPr>
            </w:pPr>
            <w:r>
              <w:rPr>
                <w:rFonts w:ascii="Arial" w:cs="Arial" w:eastAsia="Arial" w:hAnsi="Arial"/>
                <w:sz w:val="18"/>
                <w:szCs w:val="18"/>
                <w:color w:val="auto"/>
              </w:rPr>
              <w:t>RFenyes@stblaw.com</w:t>
            </w:r>
          </w:p>
        </w:tc>
      </w:tr>
      <w:tr>
        <w:trPr>
          <w:trHeight w:val="469"/>
        </w:trPr>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900" w:type="dxa"/>
            <w:vAlign w:val="bottom"/>
          </w:tcPr>
          <w:p>
            <w:pPr>
              <w:jc w:val="right"/>
              <w:spacing w:after="0"/>
              <w:rPr>
                <w:sz w:val="20"/>
                <w:szCs w:val="20"/>
                <w:color w:val="auto"/>
              </w:rPr>
            </w:pPr>
            <w:r>
              <w:rPr>
                <w:rFonts w:ascii="Arial" w:cs="Arial" w:eastAsia="Arial" w:hAnsi="Arial"/>
                <w:sz w:val="22"/>
                <w:szCs w:val="22"/>
                <w:color w:val="auto"/>
              </w:rPr>
              <w:t>August 21, 2020</w:t>
            </w:r>
          </w:p>
        </w:tc>
      </w:tr>
      <w:tr>
        <w:trPr>
          <w:trHeight w:val="624"/>
        </w:trPr>
        <w:tc>
          <w:tcPr>
            <w:tcW w:w="320" w:type="dxa"/>
            <w:vAlign w:val="bottom"/>
          </w:tcPr>
          <w:p>
            <w:pPr>
              <w:spacing w:after="0"/>
              <w:rPr>
                <w:sz w:val="24"/>
                <w:szCs w:val="24"/>
                <w:color w:val="auto"/>
              </w:rPr>
            </w:pPr>
          </w:p>
        </w:tc>
        <w:tc>
          <w:tcPr>
            <w:tcW w:w="2680" w:type="dxa"/>
            <w:vAlign w:val="bottom"/>
            <w:gridSpan w:val="2"/>
          </w:tcPr>
          <w:p>
            <w:pPr>
              <w:spacing w:after="0"/>
              <w:rPr>
                <w:sz w:val="20"/>
                <w:szCs w:val="20"/>
                <w:color w:val="auto"/>
              </w:rPr>
            </w:pPr>
            <w:r>
              <w:rPr>
                <w:rFonts w:ascii="Arial" w:cs="Arial" w:eastAsia="Arial" w:hAnsi="Arial"/>
                <w:sz w:val="22"/>
                <w:szCs w:val="22"/>
                <w:color w:val="auto"/>
              </w:rPr>
              <w:t>VIA EDGAR</w:t>
            </w:r>
          </w:p>
        </w:tc>
        <w:tc>
          <w:tcPr>
            <w:tcW w:w="5900" w:type="dxa"/>
            <w:vAlign w:val="bottom"/>
          </w:tcPr>
          <w:p>
            <w:pPr>
              <w:spacing w:after="0"/>
              <w:rPr>
                <w:sz w:val="24"/>
                <w:szCs w:val="24"/>
                <w:color w:val="auto"/>
              </w:rPr>
            </w:pPr>
          </w:p>
        </w:tc>
      </w:tr>
      <w:tr>
        <w:trPr>
          <w:trHeight w:val="485"/>
        </w:trPr>
        <w:tc>
          <w:tcPr>
            <w:tcW w:w="320" w:type="dxa"/>
            <w:vAlign w:val="bottom"/>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500" w:type="dxa"/>
            <w:vAlign w:val="bottom"/>
          </w:tcPr>
          <w:p>
            <w:pPr>
              <w:ind w:left="1080"/>
              <w:spacing w:after="0"/>
              <w:rPr>
                <w:sz w:val="20"/>
                <w:szCs w:val="20"/>
                <w:color w:val="auto"/>
              </w:rPr>
            </w:pPr>
            <w:r>
              <w:rPr>
                <w:rFonts w:ascii="Arial" w:cs="Arial" w:eastAsia="Arial" w:hAnsi="Arial"/>
                <w:sz w:val="22"/>
                <w:szCs w:val="22"/>
                <w:color w:val="auto"/>
              </w:rPr>
              <w:t>Re:</w:t>
            </w:r>
          </w:p>
        </w:tc>
        <w:tc>
          <w:tcPr>
            <w:tcW w:w="5900" w:type="dxa"/>
            <w:vAlign w:val="bottom"/>
          </w:tcPr>
          <w:p>
            <w:pPr>
              <w:ind w:left="100"/>
              <w:spacing w:after="0"/>
              <w:rPr>
                <w:sz w:val="20"/>
                <w:szCs w:val="20"/>
                <w:color w:val="auto"/>
              </w:rPr>
            </w:pPr>
            <w:r>
              <w:rPr>
                <w:rFonts w:ascii="Arial" w:cs="Arial" w:eastAsia="Arial" w:hAnsi="Arial"/>
                <w:sz w:val="22"/>
                <w:szCs w:val="22"/>
                <w:color w:val="auto"/>
              </w:rPr>
              <w:t>Bentley Systems, Incorporated</w:t>
            </w:r>
          </w:p>
        </w:tc>
      </w:tr>
      <w:tr>
        <w:trPr>
          <w:trHeight w:val="243"/>
        </w:trPr>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5900" w:type="dxa"/>
            <w:vAlign w:val="bottom"/>
          </w:tcPr>
          <w:p>
            <w:pPr>
              <w:ind w:left="100"/>
              <w:spacing w:after="0" w:line="243" w:lineRule="exact"/>
              <w:rPr>
                <w:sz w:val="20"/>
                <w:szCs w:val="20"/>
                <w:color w:val="auto"/>
              </w:rPr>
            </w:pPr>
            <w:r>
              <w:rPr>
                <w:rFonts w:ascii="Arial" w:cs="Arial" w:eastAsia="Arial" w:hAnsi="Arial"/>
                <w:sz w:val="22"/>
                <w:szCs w:val="22"/>
                <w:color w:val="auto"/>
              </w:rPr>
              <w:t>Amendment No. 2 to</w:t>
            </w:r>
          </w:p>
        </w:tc>
      </w:tr>
      <w:tr>
        <w:trPr>
          <w:trHeight w:val="243"/>
        </w:trPr>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5900" w:type="dxa"/>
            <w:vAlign w:val="bottom"/>
          </w:tcPr>
          <w:p>
            <w:pPr>
              <w:ind w:left="100"/>
              <w:spacing w:after="0" w:line="243" w:lineRule="exact"/>
              <w:rPr>
                <w:sz w:val="20"/>
                <w:szCs w:val="20"/>
                <w:color w:val="auto"/>
              </w:rPr>
            </w:pPr>
            <w:r>
              <w:rPr>
                <w:rFonts w:ascii="Arial" w:cs="Arial" w:eastAsia="Arial" w:hAnsi="Arial"/>
                <w:sz w:val="22"/>
                <w:szCs w:val="22"/>
                <w:color w:val="auto"/>
              </w:rPr>
              <w:t>Draft Registration Statement on Form S-1</w:t>
            </w:r>
          </w:p>
        </w:tc>
      </w:tr>
      <w:tr>
        <w:trPr>
          <w:trHeight w:val="243"/>
        </w:trPr>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5900" w:type="dxa"/>
            <w:vAlign w:val="bottom"/>
          </w:tcPr>
          <w:p>
            <w:pPr>
              <w:ind w:left="100"/>
              <w:spacing w:after="0" w:line="243" w:lineRule="exact"/>
              <w:rPr>
                <w:sz w:val="20"/>
                <w:szCs w:val="20"/>
                <w:color w:val="auto"/>
              </w:rPr>
            </w:pPr>
            <w:r>
              <w:rPr>
                <w:rFonts w:ascii="Arial" w:cs="Arial" w:eastAsia="Arial" w:hAnsi="Arial"/>
                <w:sz w:val="22"/>
                <w:szCs w:val="22"/>
                <w:color w:val="auto"/>
              </w:rPr>
              <w:t>Submitted August 7, 2020</w:t>
            </w:r>
          </w:p>
        </w:tc>
      </w:tr>
      <w:tr>
        <w:trPr>
          <w:trHeight w:val="274"/>
        </w:trPr>
        <w:tc>
          <w:tcPr>
            <w:tcW w:w="3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5900" w:type="dxa"/>
            <w:vAlign w:val="bottom"/>
          </w:tcPr>
          <w:p>
            <w:pPr>
              <w:ind w:left="100"/>
              <w:spacing w:after="0"/>
              <w:rPr>
                <w:sz w:val="20"/>
                <w:szCs w:val="20"/>
                <w:color w:val="auto"/>
              </w:rPr>
            </w:pPr>
            <w:r>
              <w:rPr>
                <w:rFonts w:ascii="Arial" w:cs="Arial" w:eastAsia="Arial" w:hAnsi="Arial"/>
                <w:sz w:val="22"/>
                <w:szCs w:val="22"/>
                <w:color w:val="auto"/>
              </w:rPr>
              <w:t>CIK No. 0001031308</w:t>
            </w:r>
          </w:p>
        </w:tc>
      </w:tr>
    </w:tbl>
    <w:p>
      <w:pPr>
        <w:spacing w:after="0" w:line="185" w:lineRule="exact"/>
        <w:rPr>
          <w:sz w:val="24"/>
          <w:szCs w:val="24"/>
          <w:color w:val="auto"/>
        </w:rPr>
      </w:pPr>
    </w:p>
    <w:p>
      <w:pPr>
        <w:ind w:left="60"/>
        <w:spacing w:after="0"/>
        <w:rPr>
          <w:sz w:val="20"/>
          <w:szCs w:val="20"/>
          <w:color w:val="auto"/>
        </w:rPr>
      </w:pPr>
      <w:r>
        <w:rPr>
          <w:rFonts w:ascii="Arial" w:cs="Arial" w:eastAsia="Arial" w:hAnsi="Arial"/>
          <w:sz w:val="22"/>
          <w:szCs w:val="22"/>
          <w:color w:val="auto"/>
        </w:rPr>
        <w:t>Jan Woo</w:t>
      </w:r>
    </w:p>
    <w:p>
      <w:pPr>
        <w:ind w:left="60"/>
        <w:spacing w:after="0" w:line="238" w:lineRule="auto"/>
        <w:rPr>
          <w:sz w:val="20"/>
          <w:szCs w:val="20"/>
          <w:color w:val="auto"/>
        </w:rPr>
      </w:pPr>
      <w:r>
        <w:rPr>
          <w:rFonts w:ascii="Arial" w:cs="Arial" w:eastAsia="Arial" w:hAnsi="Arial"/>
          <w:sz w:val="22"/>
          <w:szCs w:val="22"/>
          <w:color w:val="auto"/>
        </w:rPr>
        <w:t>Jeffrey Kauten</w:t>
      </w:r>
    </w:p>
    <w:p>
      <w:pPr>
        <w:ind w:left="60"/>
        <w:spacing w:after="0" w:line="230" w:lineRule="auto"/>
        <w:rPr>
          <w:sz w:val="20"/>
          <w:szCs w:val="20"/>
          <w:color w:val="auto"/>
        </w:rPr>
      </w:pPr>
      <w:r>
        <w:rPr>
          <w:rFonts w:ascii="Arial" w:cs="Arial" w:eastAsia="Arial" w:hAnsi="Arial"/>
          <w:sz w:val="22"/>
          <w:szCs w:val="22"/>
          <w:color w:val="auto"/>
        </w:rPr>
        <w:t>Division of Corporation Finance</w:t>
      </w:r>
    </w:p>
    <w:p>
      <w:pPr>
        <w:ind w:left="60"/>
        <w:spacing w:after="0" w:line="231" w:lineRule="auto"/>
        <w:rPr>
          <w:sz w:val="20"/>
          <w:szCs w:val="20"/>
          <w:color w:val="auto"/>
        </w:rPr>
      </w:pPr>
      <w:r>
        <w:rPr>
          <w:rFonts w:ascii="Arial" w:cs="Arial" w:eastAsia="Arial" w:hAnsi="Arial"/>
          <w:sz w:val="22"/>
          <w:szCs w:val="22"/>
          <w:color w:val="auto"/>
        </w:rPr>
        <w:t>Securities and Exchange Commission</w:t>
      </w:r>
    </w:p>
    <w:p>
      <w:pPr>
        <w:ind w:left="60"/>
        <w:spacing w:after="0" w:line="230" w:lineRule="auto"/>
        <w:rPr>
          <w:sz w:val="20"/>
          <w:szCs w:val="20"/>
          <w:color w:val="auto"/>
        </w:rPr>
      </w:pPr>
      <w:r>
        <w:rPr>
          <w:rFonts w:ascii="Arial" w:cs="Arial" w:eastAsia="Arial" w:hAnsi="Arial"/>
          <w:sz w:val="22"/>
          <w:szCs w:val="22"/>
          <w:color w:val="auto"/>
        </w:rPr>
        <w:t>100 F Street, N.E.</w:t>
      </w:r>
    </w:p>
    <w:p>
      <w:pPr>
        <w:spacing w:after="0" w:line="1" w:lineRule="exact"/>
        <w:rPr>
          <w:sz w:val="24"/>
          <w:szCs w:val="24"/>
          <w:color w:val="auto"/>
        </w:rPr>
      </w:pPr>
    </w:p>
    <w:p>
      <w:pPr>
        <w:ind w:left="60"/>
        <w:spacing w:after="0"/>
        <w:rPr>
          <w:sz w:val="20"/>
          <w:szCs w:val="20"/>
          <w:color w:val="auto"/>
        </w:rPr>
      </w:pPr>
      <w:r>
        <w:rPr>
          <w:rFonts w:ascii="Arial" w:cs="Arial" w:eastAsia="Arial" w:hAnsi="Arial"/>
          <w:sz w:val="22"/>
          <w:szCs w:val="22"/>
          <w:color w:val="auto"/>
        </w:rPr>
        <w:t>Washington D.C. 20549</w:t>
      </w:r>
    </w:p>
    <w:p>
      <w:pPr>
        <w:spacing w:after="0" w:line="188" w:lineRule="exact"/>
        <w:rPr>
          <w:sz w:val="24"/>
          <w:szCs w:val="24"/>
          <w:color w:val="auto"/>
        </w:rPr>
      </w:pPr>
    </w:p>
    <w:p>
      <w:pPr>
        <w:ind w:left="60"/>
        <w:spacing w:after="0"/>
        <w:rPr>
          <w:sz w:val="20"/>
          <w:szCs w:val="20"/>
          <w:color w:val="auto"/>
        </w:rPr>
      </w:pPr>
      <w:r>
        <w:rPr>
          <w:rFonts w:ascii="Arial" w:cs="Arial" w:eastAsia="Arial" w:hAnsi="Arial"/>
          <w:sz w:val="22"/>
          <w:szCs w:val="22"/>
          <w:color w:val="auto"/>
        </w:rPr>
        <w:t>Ladies and Gentlemen:</w:t>
      </w:r>
    </w:p>
    <w:p>
      <w:pPr>
        <w:spacing w:after="0" w:line="206" w:lineRule="exact"/>
        <w:rPr>
          <w:sz w:val="24"/>
          <w:szCs w:val="24"/>
          <w:color w:val="auto"/>
        </w:rPr>
      </w:pPr>
    </w:p>
    <w:p>
      <w:pPr>
        <w:ind w:left="60" w:right="59" w:firstLine="648"/>
        <w:spacing w:after="0" w:line="275" w:lineRule="auto"/>
        <w:rPr>
          <w:sz w:val="20"/>
          <w:szCs w:val="20"/>
          <w:color w:val="auto"/>
        </w:rPr>
      </w:pPr>
      <w:r>
        <w:rPr>
          <w:rFonts w:ascii="Arial" w:cs="Arial" w:eastAsia="Arial" w:hAnsi="Arial"/>
          <w:sz w:val="19"/>
          <w:szCs w:val="19"/>
          <w:color w:val="auto"/>
        </w:rPr>
        <w:t>On behalf of Bentley Systems, Incorporated (the “</w:t>
      </w:r>
      <w:r>
        <w:rPr>
          <w:rFonts w:ascii="Arial" w:cs="Arial" w:eastAsia="Arial" w:hAnsi="Arial"/>
          <w:sz w:val="19"/>
          <w:szCs w:val="19"/>
          <w:u w:val="single" w:color="auto"/>
          <w:color w:val="auto"/>
        </w:rPr>
        <w:t>Registrant</w:t>
      </w:r>
      <w:r>
        <w:rPr>
          <w:rFonts w:ascii="Arial" w:cs="Arial" w:eastAsia="Arial" w:hAnsi="Arial"/>
          <w:sz w:val="19"/>
          <w:szCs w:val="19"/>
          <w:color w:val="auto"/>
        </w:rPr>
        <w:t>”), we are writing to respond to the comments set forth in the comment letter of the staff (the “</w:t>
      </w:r>
      <w:r>
        <w:rPr>
          <w:rFonts w:ascii="Arial" w:cs="Arial" w:eastAsia="Arial" w:hAnsi="Arial"/>
          <w:sz w:val="19"/>
          <w:szCs w:val="19"/>
          <w:u w:val="single" w:color="auto"/>
          <w:color w:val="auto"/>
        </w:rPr>
        <w:t>Staff</w:t>
      </w:r>
      <w:r>
        <w:rPr>
          <w:rFonts w:ascii="Arial" w:cs="Arial" w:eastAsia="Arial" w:hAnsi="Arial"/>
          <w:sz w:val="19"/>
          <w:szCs w:val="19"/>
          <w:color w:val="auto"/>
        </w:rPr>
        <w:t>”) of the Securities and Exchange Commission (the “</w:t>
      </w:r>
      <w:r>
        <w:rPr>
          <w:rFonts w:ascii="Arial" w:cs="Arial" w:eastAsia="Arial" w:hAnsi="Arial"/>
          <w:sz w:val="19"/>
          <w:szCs w:val="19"/>
          <w:u w:val="single" w:color="auto"/>
          <w:color w:val="auto"/>
        </w:rPr>
        <w:t>Commission</w:t>
      </w:r>
      <w:r>
        <w:rPr>
          <w:rFonts w:ascii="Arial" w:cs="Arial" w:eastAsia="Arial" w:hAnsi="Arial"/>
          <w:sz w:val="19"/>
          <w:szCs w:val="19"/>
          <w:color w:val="auto"/>
        </w:rPr>
        <w:t>”) dated August 14, 2020 (the “</w:t>
      </w:r>
      <w:r>
        <w:rPr>
          <w:rFonts w:ascii="Arial" w:cs="Arial" w:eastAsia="Arial" w:hAnsi="Arial"/>
          <w:sz w:val="19"/>
          <w:szCs w:val="19"/>
          <w:u w:val="single" w:color="auto"/>
          <w:color w:val="auto"/>
        </w:rPr>
        <w:t>Comment Letter</w:t>
      </w:r>
      <w:r>
        <w:rPr>
          <w:rFonts w:ascii="Arial" w:cs="Arial" w:eastAsia="Arial" w:hAnsi="Arial"/>
          <w:sz w:val="19"/>
          <w:szCs w:val="19"/>
          <w:color w:val="auto"/>
        </w:rPr>
        <w:t>”) relating to the above-referenced Amendment No. 2 to the draft Registration Statement on Form S-1 confidentially submitted on August 7, 2020 (the “</w:t>
      </w:r>
      <w:r>
        <w:rPr>
          <w:rFonts w:ascii="Arial" w:cs="Arial" w:eastAsia="Arial" w:hAnsi="Arial"/>
          <w:sz w:val="19"/>
          <w:szCs w:val="19"/>
          <w:u w:val="single" w:color="auto"/>
          <w:color w:val="auto"/>
        </w:rPr>
        <w:t>Draft Registration Statement</w:t>
      </w:r>
      <w:r>
        <w:rPr>
          <w:rFonts w:ascii="Arial" w:cs="Arial" w:eastAsia="Arial" w:hAnsi="Arial"/>
          <w:sz w:val="19"/>
          <w:szCs w:val="19"/>
          <w:color w:val="auto"/>
        </w:rPr>
        <w:t>”). The Draft Registration Statement has been revised in response to the Staff’s comments and to reflect that it has been filed rather than confidentially submitted, and the Registrant is hereby publicly filing concurrently with this letter its Registration Statement on Form S-1 (the “</w:t>
      </w:r>
      <w:r>
        <w:rPr>
          <w:rFonts w:ascii="Arial" w:cs="Arial" w:eastAsia="Arial" w:hAnsi="Arial"/>
          <w:sz w:val="19"/>
          <w:szCs w:val="19"/>
          <w:u w:val="single" w:color="auto"/>
          <w:color w:val="auto"/>
        </w:rPr>
        <w:t>Registration Statement</w:t>
      </w:r>
      <w:r>
        <w:rPr>
          <w:rFonts w:ascii="Arial" w:cs="Arial" w:eastAsia="Arial" w:hAnsi="Arial"/>
          <w:sz w:val="19"/>
          <w:szCs w:val="19"/>
          <w:color w:val="auto"/>
        </w:rPr>
        <w:t>”) with the Commission.</w:t>
      </w:r>
    </w:p>
    <w:p>
      <w:pPr>
        <w:spacing w:after="0" w:line="157" w:lineRule="exact"/>
        <w:rPr>
          <w:sz w:val="24"/>
          <w:szCs w:val="24"/>
          <w:color w:val="auto"/>
        </w:rPr>
      </w:pPr>
    </w:p>
    <w:p>
      <w:pPr>
        <w:ind w:left="60" w:right="79" w:firstLine="648"/>
        <w:spacing w:after="0" w:line="297" w:lineRule="auto"/>
        <w:rPr>
          <w:sz w:val="20"/>
          <w:szCs w:val="20"/>
          <w:color w:val="auto"/>
        </w:rPr>
      </w:pPr>
      <w:r>
        <w:rPr>
          <w:rFonts w:ascii="Arial" w:cs="Arial" w:eastAsia="Arial" w:hAnsi="Arial"/>
          <w:sz w:val="19"/>
          <w:szCs w:val="19"/>
          <w:color w:val="auto"/>
        </w:rPr>
        <w:t>In addition, we are providing the following responses to the Comment Letter. To assist your review, we have retyped the text of the Staff’s comments in italics below. Page references in the text of this letter correspond to the pages of the Registration Statement. Unless otherwise defined below,</w:t>
      </w:r>
    </w:p>
    <w:p>
      <w:pPr>
        <w:spacing w:after="0" w:line="350"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349885</wp:posOffset>
            </wp:positionV>
            <wp:extent cx="565785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72" w:right="1440" w:bottom="1440" w:gutter="0" w:footer="0" w:header="0"/>
        </w:sectPr>
      </w:pPr>
    </w:p>
    <w:bookmarkStart w:id="1" w:name="page2"/>
    <w:bookmarkEnd w:id="1"/>
    <w:p>
      <w:pPr>
        <w:ind w:left="60"/>
        <w:spacing w:after="0"/>
        <w:tabs>
          <w:tab w:leader="none" w:pos="7500" w:val="left"/>
        </w:tabs>
        <w:rPr>
          <w:sz w:val="20"/>
          <w:szCs w:val="20"/>
          <w:color w:val="auto"/>
        </w:rPr>
      </w:pPr>
      <w:r>
        <w:rPr>
          <w:rFonts w:ascii="Arial" w:cs="Arial" w:eastAsia="Arial" w:hAnsi="Arial"/>
          <w:sz w:val="22"/>
          <w:szCs w:val="22"/>
          <w:color w:val="auto"/>
        </w:rPr>
        <w:t>Securities and Exchange Commission</w:t>
      </w:r>
      <w:r>
        <w:rPr>
          <w:sz w:val="20"/>
          <w:szCs w:val="20"/>
          <w:color w:val="auto"/>
        </w:rPr>
        <w:tab/>
      </w:r>
      <w:r>
        <w:rPr>
          <w:rFonts w:ascii="Arial" w:cs="Arial" w:eastAsia="Arial" w:hAnsi="Arial"/>
          <w:sz w:val="19"/>
          <w:szCs w:val="19"/>
          <w:color w:val="auto"/>
        </w:rPr>
        <w:t>August 21, 2020</w:t>
      </w:r>
    </w:p>
    <w:p>
      <w:pPr>
        <w:spacing w:after="0" w:line="206" w:lineRule="exact"/>
        <w:rPr>
          <w:sz w:val="20"/>
          <w:szCs w:val="20"/>
          <w:color w:val="auto"/>
        </w:rPr>
      </w:pPr>
    </w:p>
    <w:p>
      <w:pPr>
        <w:ind w:left="60" w:right="239"/>
        <w:spacing w:after="0"/>
        <w:rPr>
          <w:sz w:val="20"/>
          <w:szCs w:val="20"/>
          <w:color w:val="auto"/>
        </w:rPr>
      </w:pPr>
      <w:r>
        <w:rPr>
          <w:rFonts w:ascii="Arial" w:cs="Arial" w:eastAsia="Arial" w:hAnsi="Arial"/>
          <w:sz w:val="22"/>
          <w:szCs w:val="22"/>
          <w:color w:val="auto"/>
        </w:rPr>
        <w:t>terms defined in the Registration Statement and used below shall have the meanings given to them in the Registration Statement. The responses and information described below are based upon information provided to us by the Registrant.</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22"/>
          <w:szCs w:val="22"/>
          <w:u w:val="single" w:color="auto"/>
          <w:color w:val="auto"/>
        </w:rPr>
        <w:t>Prospectus Summary, page 1</w:t>
      </w:r>
    </w:p>
    <w:p>
      <w:pPr>
        <w:spacing w:after="0" w:line="206" w:lineRule="exact"/>
        <w:rPr>
          <w:sz w:val="20"/>
          <w:szCs w:val="20"/>
          <w:color w:val="auto"/>
        </w:rPr>
      </w:pPr>
    </w:p>
    <w:p>
      <w:pPr>
        <w:ind w:left="700" w:right="179" w:hanging="650"/>
        <w:spacing w:after="0" w:line="250" w:lineRule="auto"/>
        <w:tabs>
          <w:tab w:leader="none" w:pos="700" w:val="left"/>
        </w:tabs>
        <w:numPr>
          <w:ilvl w:val="0"/>
          <w:numId w:val="1"/>
        </w:numPr>
        <w:rPr>
          <w:rFonts w:ascii="Arial" w:cs="Arial" w:eastAsia="Arial" w:hAnsi="Arial"/>
          <w:sz w:val="22"/>
          <w:szCs w:val="22"/>
          <w:color w:val="auto"/>
        </w:rPr>
      </w:pPr>
      <w:r>
        <w:rPr>
          <w:rFonts w:ascii="Arial" w:cs="Arial" w:eastAsia="Arial" w:hAnsi="Arial"/>
          <w:sz w:val="22"/>
          <w:szCs w:val="22"/>
          <w:i w:val="1"/>
          <w:iCs w:val="1"/>
          <w:color w:val="auto"/>
        </w:rPr>
        <w:t>We note your revised disclosures in response to prior comment 1. Please revise to also include this information for the interim periods ending June 30, 2020 and 2019.</w:t>
      </w:r>
    </w:p>
    <w:p>
      <w:pPr>
        <w:spacing w:after="0" w:line="175" w:lineRule="exact"/>
        <w:rPr>
          <w:sz w:val="20"/>
          <w:szCs w:val="20"/>
          <w:color w:val="auto"/>
        </w:rPr>
      </w:pPr>
    </w:p>
    <w:p>
      <w:pPr>
        <w:ind w:left="1020" w:right="499"/>
        <w:spacing w:after="0" w:line="250" w:lineRule="auto"/>
        <w:rPr>
          <w:sz w:val="20"/>
          <w:szCs w:val="20"/>
          <w:color w:val="auto"/>
        </w:rPr>
      </w:pPr>
      <w:r>
        <w:rPr>
          <w:rFonts w:ascii="Arial" w:cs="Arial" w:eastAsia="Arial" w:hAnsi="Arial"/>
          <w:sz w:val="22"/>
          <w:szCs w:val="22"/>
          <w:color w:val="auto"/>
        </w:rPr>
        <w:t>The Registrant has revised the disclosure on pages 3 and 111 to disclose the number of accounts for the six months ended June 30, 2019 and 2020.</w:t>
      </w:r>
    </w:p>
    <w:p>
      <w:pPr>
        <w:spacing w:after="0" w:line="175" w:lineRule="exact"/>
        <w:rPr>
          <w:sz w:val="20"/>
          <w:szCs w:val="20"/>
          <w:color w:val="auto"/>
        </w:rPr>
      </w:pPr>
    </w:p>
    <w:p>
      <w:pPr>
        <w:ind w:left="700" w:right="419" w:hanging="650"/>
        <w:spacing w:after="0" w:line="274" w:lineRule="auto"/>
        <w:tabs>
          <w:tab w:leader="none" w:pos="700" w:val="left"/>
        </w:tabs>
        <w:numPr>
          <w:ilvl w:val="0"/>
          <w:numId w:val="2"/>
        </w:numPr>
        <w:rPr>
          <w:rFonts w:ascii="Arial" w:cs="Arial" w:eastAsia="Arial" w:hAnsi="Arial"/>
          <w:sz w:val="21"/>
          <w:szCs w:val="21"/>
          <w:color w:val="auto"/>
        </w:rPr>
      </w:pPr>
      <w:r>
        <w:rPr>
          <w:rFonts w:ascii="Arial" w:cs="Arial" w:eastAsia="Arial" w:hAnsi="Arial"/>
          <w:sz w:val="21"/>
          <w:szCs w:val="21"/>
          <w:i w:val="1"/>
          <w:iCs w:val="1"/>
          <w:color w:val="auto"/>
        </w:rPr>
        <w:t>We note your response to prior comment 2. Please disclose in the summary section that you authored the 2019 Bentley Infrastructure 500 Top Owners report.</w:t>
      </w:r>
    </w:p>
    <w:p>
      <w:pPr>
        <w:spacing w:after="0" w:line="151" w:lineRule="exact"/>
        <w:rPr>
          <w:sz w:val="20"/>
          <w:szCs w:val="20"/>
          <w:color w:val="auto"/>
        </w:rPr>
      </w:pPr>
    </w:p>
    <w:p>
      <w:pPr>
        <w:ind w:left="1020" w:right="699"/>
        <w:spacing w:after="0" w:line="274" w:lineRule="auto"/>
        <w:rPr>
          <w:sz w:val="20"/>
          <w:szCs w:val="20"/>
          <w:color w:val="auto"/>
        </w:rPr>
      </w:pPr>
      <w:r>
        <w:rPr>
          <w:rFonts w:ascii="Arial" w:cs="Arial" w:eastAsia="Arial" w:hAnsi="Arial"/>
          <w:sz w:val="21"/>
          <w:szCs w:val="21"/>
          <w:color w:val="auto"/>
        </w:rPr>
        <w:t xml:space="preserve">The Registrant has revised the disclosure on page 2 to disclose that the </w:t>
      </w:r>
      <w:r>
        <w:rPr>
          <w:rFonts w:ascii="Arial" w:cs="Arial" w:eastAsia="Arial" w:hAnsi="Arial"/>
          <w:sz w:val="21"/>
          <w:szCs w:val="21"/>
          <w:i w:val="1"/>
          <w:iCs w:val="1"/>
          <w:color w:val="auto"/>
        </w:rPr>
        <w:t>2019 Bentley</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Infrastructure 500 Top Owners </w:t>
      </w:r>
      <w:r>
        <w:rPr>
          <w:rFonts w:ascii="Arial" w:cs="Arial" w:eastAsia="Arial" w:hAnsi="Arial"/>
          <w:sz w:val="21"/>
          <w:szCs w:val="21"/>
          <w:color w:val="auto"/>
        </w:rPr>
        <w:t>report was authored by the Registrant.</w:t>
      </w:r>
    </w:p>
    <w:p>
      <w:pPr>
        <w:spacing w:after="0" w:line="151" w:lineRule="exact"/>
        <w:rPr>
          <w:sz w:val="20"/>
          <w:szCs w:val="20"/>
          <w:color w:val="auto"/>
        </w:rPr>
      </w:pPr>
    </w:p>
    <w:p>
      <w:pPr>
        <w:ind w:left="60"/>
        <w:spacing w:after="0"/>
        <w:rPr>
          <w:sz w:val="20"/>
          <w:szCs w:val="20"/>
          <w:color w:val="auto"/>
        </w:rPr>
      </w:pPr>
      <w:r>
        <w:rPr>
          <w:rFonts w:ascii="Arial" w:cs="Arial" w:eastAsia="Arial" w:hAnsi="Arial"/>
          <w:sz w:val="22"/>
          <w:szCs w:val="22"/>
          <w:u w:val="single" w:color="auto"/>
          <w:color w:val="auto"/>
        </w:rPr>
        <w:t>Risk Factors</w:t>
      </w:r>
    </w:p>
    <w:p>
      <w:pPr>
        <w:ind w:left="60"/>
        <w:spacing w:after="0" w:line="238" w:lineRule="auto"/>
        <w:rPr>
          <w:sz w:val="20"/>
          <w:szCs w:val="20"/>
          <w:color w:val="auto"/>
        </w:rPr>
      </w:pPr>
      <w:r>
        <w:rPr>
          <w:rFonts w:ascii="Arial" w:cs="Arial" w:eastAsia="Arial" w:hAnsi="Arial"/>
          <w:sz w:val="22"/>
          <w:szCs w:val="22"/>
          <w:u w:val="single" w:color="auto"/>
          <w:color w:val="auto"/>
        </w:rPr>
        <w:t>Risks Related to the Ownership of Our Class B Common Stock</w:t>
      </w:r>
    </w:p>
    <w:p>
      <w:pPr>
        <w:ind w:left="60"/>
        <w:spacing w:after="0"/>
        <w:rPr>
          <w:sz w:val="20"/>
          <w:szCs w:val="20"/>
          <w:color w:val="auto"/>
        </w:rPr>
      </w:pPr>
      <w:r>
        <w:rPr>
          <w:rFonts w:ascii="Arial" w:cs="Arial" w:eastAsia="Arial" w:hAnsi="Arial"/>
          <w:sz w:val="22"/>
          <w:szCs w:val="22"/>
          <w:u w:val="single" w:color="auto"/>
          <w:color w:val="auto"/>
        </w:rPr>
        <w:t>The choice of forum provision..., page 48</w:t>
      </w:r>
    </w:p>
    <w:p>
      <w:pPr>
        <w:spacing w:after="0" w:line="188" w:lineRule="exact"/>
        <w:rPr>
          <w:sz w:val="20"/>
          <w:szCs w:val="20"/>
          <w:color w:val="auto"/>
        </w:rPr>
      </w:pPr>
    </w:p>
    <w:p>
      <w:pPr>
        <w:ind w:left="700" w:right="199" w:hanging="650"/>
        <w:spacing w:after="0" w:line="246" w:lineRule="auto"/>
        <w:tabs>
          <w:tab w:leader="none" w:pos="700" w:val="left"/>
        </w:tabs>
        <w:numPr>
          <w:ilvl w:val="0"/>
          <w:numId w:val="3"/>
        </w:numPr>
        <w:rPr>
          <w:rFonts w:ascii="Arial" w:cs="Arial" w:eastAsia="Arial" w:hAnsi="Arial"/>
          <w:sz w:val="21"/>
          <w:szCs w:val="21"/>
          <w:color w:val="auto"/>
        </w:rPr>
      </w:pPr>
      <w:r>
        <w:rPr>
          <w:rFonts w:ascii="Arial" w:cs="Arial" w:eastAsia="Arial" w:hAnsi="Arial"/>
          <w:sz w:val="21"/>
          <w:szCs w:val="21"/>
          <w:i w:val="1"/>
          <w:iCs w:val="1"/>
          <w:color w:val="auto"/>
        </w:rPr>
        <w:t>We note that your forum selection provision identifies the federal district court for the District of Delaware as the exclusive forum for claims brought under the Securities Act or the Exchange Act. Please also state that investors cannot waive compliance with the federal securities laws and the rules and regulations thereunder. In that regard, we note that Section 22 of the Securities Act creates concurrent jurisdiction for federal and state courts over all suits brought to enforce any duty or liability created by the Securities Act or the rules and regulations thereunder.</w:t>
      </w:r>
    </w:p>
    <w:p>
      <w:pPr>
        <w:spacing w:after="0" w:line="184" w:lineRule="exact"/>
        <w:rPr>
          <w:sz w:val="20"/>
          <w:szCs w:val="20"/>
          <w:color w:val="auto"/>
        </w:rPr>
      </w:pPr>
    </w:p>
    <w:p>
      <w:pPr>
        <w:ind w:left="1020" w:right="359"/>
        <w:spacing w:after="0" w:line="238" w:lineRule="auto"/>
        <w:rPr>
          <w:sz w:val="20"/>
          <w:szCs w:val="20"/>
          <w:color w:val="auto"/>
        </w:rPr>
      </w:pPr>
      <w:r>
        <w:rPr>
          <w:rFonts w:ascii="Arial" w:cs="Arial" w:eastAsia="Arial" w:hAnsi="Arial"/>
          <w:sz w:val="22"/>
          <w:szCs w:val="22"/>
          <w:color w:val="auto"/>
        </w:rPr>
        <w:t>The Registrant has revised the disclosure on page 48 to state that investors cannot waive compliance with federal securities laws and the rules and regulations thereunder and to clarify that such forum selection provision is applicable only to the extent permitted by applicable law.</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22"/>
          <w:szCs w:val="22"/>
          <w:u w:val="single" w:color="auto"/>
          <w:color w:val="auto"/>
        </w:rPr>
        <w:t>Capitalization, page 56</w:t>
      </w:r>
    </w:p>
    <w:p>
      <w:pPr>
        <w:spacing w:after="0" w:line="206" w:lineRule="exact"/>
        <w:rPr>
          <w:sz w:val="20"/>
          <w:szCs w:val="20"/>
          <w:color w:val="auto"/>
        </w:rPr>
      </w:pPr>
    </w:p>
    <w:p>
      <w:pPr>
        <w:ind w:left="700" w:right="179" w:hanging="650"/>
        <w:spacing w:after="0" w:line="279" w:lineRule="auto"/>
        <w:tabs>
          <w:tab w:leader="none" w:pos="700" w:val="left"/>
        </w:tabs>
        <w:numPr>
          <w:ilvl w:val="0"/>
          <w:numId w:val="4"/>
        </w:numPr>
        <w:rPr>
          <w:rFonts w:ascii="Arial" w:cs="Arial" w:eastAsia="Arial" w:hAnsi="Arial"/>
          <w:sz w:val="19"/>
          <w:szCs w:val="19"/>
          <w:color w:val="auto"/>
        </w:rPr>
      </w:pPr>
      <w:r>
        <w:rPr>
          <w:rFonts w:ascii="Arial" w:cs="Arial" w:eastAsia="Arial" w:hAnsi="Arial"/>
          <w:sz w:val="19"/>
          <w:szCs w:val="19"/>
          <w:i w:val="1"/>
          <w:iCs w:val="1"/>
          <w:color w:val="auto"/>
        </w:rPr>
        <w:t>Please revise the introductory paragraph to disclose the amount of additional share-based compensation expense that will be included in as adjusted accumulated deficit for the 994,912 shares of Class B stock that will vest upon consummation of this offering. With regards to the shares of Class B stock that will be sold in this offering following the exercise of stock options for such shares, please tell us how you determined this adjustment meets the factually supportable criteria of Rule 11-02(b)(6) of Regulation S-X. In this regard, tell us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349885</wp:posOffset>
            </wp:positionV>
            <wp:extent cx="565785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72" w:right="1440" w:bottom="1440" w:gutter="0" w:footer="0" w:header="0"/>
        </w:sectPr>
      </w:pPr>
    </w:p>
    <w:bookmarkStart w:id="2" w:name="page3"/>
    <w:bookmarkEnd w:id="2"/>
    <w:p>
      <w:pPr>
        <w:ind w:left="60"/>
        <w:spacing w:after="0"/>
        <w:tabs>
          <w:tab w:leader="none" w:pos="7500" w:val="left"/>
        </w:tabs>
        <w:rPr>
          <w:sz w:val="20"/>
          <w:szCs w:val="20"/>
          <w:color w:val="auto"/>
        </w:rPr>
      </w:pPr>
      <w:r>
        <w:rPr>
          <w:rFonts w:ascii="Arial" w:cs="Arial" w:eastAsia="Arial" w:hAnsi="Arial"/>
          <w:sz w:val="22"/>
          <w:szCs w:val="22"/>
          <w:color w:val="auto"/>
        </w:rPr>
        <w:t>Securities and Exchange Commission</w:t>
      </w:r>
      <w:r>
        <w:rPr>
          <w:sz w:val="20"/>
          <w:szCs w:val="20"/>
          <w:color w:val="auto"/>
        </w:rPr>
        <w:tab/>
      </w:r>
      <w:r>
        <w:rPr>
          <w:rFonts w:ascii="Arial" w:cs="Arial" w:eastAsia="Arial" w:hAnsi="Arial"/>
          <w:sz w:val="19"/>
          <w:szCs w:val="19"/>
          <w:color w:val="auto"/>
        </w:rPr>
        <w:t>August 21, 2020</w:t>
      </w:r>
    </w:p>
    <w:p>
      <w:pPr>
        <w:spacing w:after="0" w:line="206" w:lineRule="exact"/>
        <w:rPr>
          <w:sz w:val="20"/>
          <w:szCs w:val="20"/>
          <w:color w:val="auto"/>
        </w:rPr>
      </w:pPr>
    </w:p>
    <w:p>
      <w:pPr>
        <w:ind w:left="700" w:right="659"/>
        <w:spacing w:after="0" w:line="250" w:lineRule="auto"/>
        <w:rPr>
          <w:sz w:val="20"/>
          <w:szCs w:val="20"/>
          <w:color w:val="auto"/>
        </w:rPr>
      </w:pPr>
      <w:r>
        <w:rPr>
          <w:rFonts w:ascii="Arial" w:cs="Arial" w:eastAsia="Arial" w:hAnsi="Arial"/>
          <w:sz w:val="22"/>
          <w:szCs w:val="22"/>
          <w:i w:val="1"/>
          <w:iCs w:val="1"/>
          <w:color w:val="auto"/>
        </w:rPr>
        <w:t>whether you have enforceable commitments from certain option holders of their intent to exercise such options.</w:t>
      </w:r>
    </w:p>
    <w:p>
      <w:pPr>
        <w:spacing w:after="0" w:line="175" w:lineRule="exact"/>
        <w:rPr>
          <w:sz w:val="20"/>
          <w:szCs w:val="20"/>
          <w:color w:val="auto"/>
        </w:rPr>
      </w:pPr>
    </w:p>
    <w:p>
      <w:pPr>
        <w:ind w:left="1020" w:right="99"/>
        <w:spacing w:after="0" w:line="234" w:lineRule="auto"/>
        <w:rPr>
          <w:sz w:val="20"/>
          <w:szCs w:val="20"/>
          <w:color w:val="auto"/>
        </w:rPr>
      </w:pPr>
      <w:r>
        <w:rPr>
          <w:rFonts w:ascii="Arial" w:cs="Arial" w:eastAsia="Arial" w:hAnsi="Arial"/>
          <w:sz w:val="22"/>
          <w:szCs w:val="22"/>
          <w:color w:val="auto"/>
        </w:rPr>
        <w:t>In response to the first part of the Staff’s comment, the Registrant has revised the disclosure on pages 20 and 55 to disclose the amount of additional share-based compensation expense that will be included in as adjusted accumulated deficit for the total shares of restricted Class B common stock that will vest upon the consummation of the offering and to disclose the amount of additional share-based compensation expense for the restricted stock units that will vest upon the consummation of the offering and be settled in cash.</w:t>
      </w:r>
    </w:p>
    <w:p>
      <w:pPr>
        <w:spacing w:after="0" w:line="191" w:lineRule="exact"/>
        <w:rPr>
          <w:sz w:val="20"/>
          <w:szCs w:val="20"/>
          <w:color w:val="auto"/>
        </w:rPr>
      </w:pPr>
    </w:p>
    <w:p>
      <w:pPr>
        <w:ind w:left="1020" w:right="239"/>
        <w:spacing w:after="0" w:line="249" w:lineRule="auto"/>
        <w:rPr>
          <w:sz w:val="20"/>
          <w:szCs w:val="20"/>
          <w:color w:val="auto"/>
        </w:rPr>
      </w:pPr>
      <w:r>
        <w:rPr>
          <w:rFonts w:ascii="Arial" w:cs="Arial" w:eastAsia="Arial" w:hAnsi="Arial"/>
          <w:sz w:val="21"/>
          <w:szCs w:val="21"/>
          <w:color w:val="auto"/>
        </w:rPr>
        <w:t>In response to the second part of the Staff’s comment, the Registrant respectfully advises the Staff that the Registrant has received contractual commitments from such option holders to exercise their options upon the consummation of the offering and that therefore the Registrant believes the adjustment meets the factually supportable criteria of Rule 11-02(b)(6) of Regulation S-X.</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22"/>
          <w:szCs w:val="22"/>
          <w:u w:val="single" w:color="auto"/>
          <w:color w:val="auto"/>
        </w:rPr>
        <w:t>Consolidated Financial Statements</w:t>
      </w:r>
    </w:p>
    <w:p>
      <w:pPr>
        <w:spacing w:after="0" w:line="8" w:lineRule="exact"/>
        <w:rPr>
          <w:sz w:val="20"/>
          <w:szCs w:val="20"/>
          <w:color w:val="auto"/>
        </w:rPr>
      </w:pPr>
    </w:p>
    <w:p>
      <w:pPr>
        <w:ind w:left="60"/>
        <w:spacing w:after="0"/>
        <w:rPr>
          <w:sz w:val="20"/>
          <w:szCs w:val="20"/>
          <w:color w:val="auto"/>
        </w:rPr>
      </w:pPr>
      <w:r>
        <w:rPr>
          <w:rFonts w:ascii="Arial" w:cs="Arial" w:eastAsia="Arial" w:hAnsi="Arial"/>
          <w:sz w:val="22"/>
          <w:szCs w:val="22"/>
          <w:u w:val="single" w:color="auto"/>
          <w:color w:val="auto"/>
        </w:rPr>
        <w:t>Note 23. Subsequent Events, page F-79</w:t>
      </w:r>
    </w:p>
    <w:p>
      <w:pPr>
        <w:spacing w:after="0" w:line="188" w:lineRule="exact"/>
        <w:rPr>
          <w:sz w:val="20"/>
          <w:szCs w:val="20"/>
          <w:color w:val="auto"/>
        </w:rPr>
      </w:pPr>
    </w:p>
    <w:p>
      <w:pPr>
        <w:ind w:left="700" w:right="639" w:hanging="650"/>
        <w:spacing w:after="0" w:line="297" w:lineRule="auto"/>
        <w:tabs>
          <w:tab w:leader="none" w:pos="700" w:val="left"/>
        </w:tabs>
        <w:numPr>
          <w:ilvl w:val="0"/>
          <w:numId w:val="5"/>
        </w:numPr>
        <w:rPr>
          <w:rFonts w:ascii="Arial" w:cs="Arial" w:eastAsia="Arial" w:hAnsi="Arial"/>
          <w:sz w:val="19"/>
          <w:szCs w:val="19"/>
          <w:color w:val="auto"/>
        </w:rPr>
      </w:pPr>
      <w:r>
        <w:rPr>
          <w:rFonts w:ascii="Arial" w:cs="Arial" w:eastAsia="Arial" w:hAnsi="Arial"/>
          <w:sz w:val="19"/>
          <w:szCs w:val="19"/>
          <w:i w:val="1"/>
          <w:iCs w:val="1"/>
          <w:color w:val="auto"/>
        </w:rPr>
        <w:t>With regard to the restricted stock awards granted after June 30, 2020, please revise to disclose the amount of estimated unrecognized stock-based compensation expense that is associated with these awards. Refer to ASC 855-10-50-2(b).</w:t>
      </w:r>
    </w:p>
    <w:p>
      <w:pPr>
        <w:spacing w:after="0" w:line="134" w:lineRule="exact"/>
        <w:rPr>
          <w:sz w:val="20"/>
          <w:szCs w:val="20"/>
          <w:color w:val="auto"/>
        </w:rPr>
      </w:pPr>
    </w:p>
    <w:p>
      <w:pPr>
        <w:ind w:left="1020" w:right="119"/>
        <w:spacing w:after="0" w:line="238" w:lineRule="auto"/>
        <w:rPr>
          <w:sz w:val="20"/>
          <w:szCs w:val="20"/>
          <w:color w:val="auto"/>
        </w:rPr>
      </w:pPr>
      <w:r>
        <w:rPr>
          <w:rFonts w:ascii="Arial" w:cs="Arial" w:eastAsia="Arial" w:hAnsi="Arial"/>
          <w:sz w:val="22"/>
          <w:szCs w:val="22"/>
          <w:color w:val="auto"/>
        </w:rPr>
        <w:t>The Registrant has revised the disclosure on pages F-79 and F-80 to disclose the amount of estimated unrecognized stock-based compensation expense that is associated with such awards to the extent such expense is able to be estimated prior to the consummation of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349885</wp:posOffset>
            </wp:positionV>
            <wp:extent cx="565785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72" w:right="1440" w:bottom="1440" w:gutter="0" w:footer="0" w:header="0"/>
        </w:sectPr>
      </w:pPr>
    </w:p>
    <w:bookmarkStart w:id="3" w:name="page4"/>
    <w:bookmarkEnd w:id="3"/>
    <w:p>
      <w:pPr>
        <w:ind w:left="60"/>
        <w:spacing w:after="0"/>
        <w:tabs>
          <w:tab w:leader="none" w:pos="7500" w:val="left"/>
        </w:tabs>
        <w:rPr>
          <w:sz w:val="20"/>
          <w:szCs w:val="20"/>
          <w:color w:val="auto"/>
        </w:rPr>
      </w:pPr>
      <w:r>
        <w:rPr>
          <w:rFonts w:ascii="Arial" w:cs="Arial" w:eastAsia="Arial" w:hAnsi="Arial"/>
          <w:sz w:val="22"/>
          <w:szCs w:val="22"/>
          <w:color w:val="auto"/>
        </w:rPr>
        <w:t>Securities and Exchange Commission</w:t>
      </w:r>
      <w:r>
        <w:rPr>
          <w:sz w:val="20"/>
          <w:szCs w:val="20"/>
          <w:color w:val="auto"/>
        </w:rPr>
        <w:tab/>
      </w:r>
      <w:r>
        <w:rPr>
          <w:rFonts w:ascii="Arial" w:cs="Arial" w:eastAsia="Arial" w:hAnsi="Arial"/>
          <w:sz w:val="19"/>
          <w:szCs w:val="19"/>
          <w:color w:val="auto"/>
        </w:rPr>
        <w:t>August 21, 2020</w:t>
      </w:r>
    </w:p>
    <w:p>
      <w:pPr>
        <w:spacing w:after="0" w:line="200" w:lineRule="exact"/>
        <w:rPr>
          <w:sz w:val="20"/>
          <w:szCs w:val="20"/>
          <w:color w:val="auto"/>
        </w:rPr>
      </w:pPr>
    </w:p>
    <w:p>
      <w:pPr>
        <w:spacing w:after="0" w:line="249" w:lineRule="exact"/>
        <w:rPr>
          <w:sz w:val="20"/>
          <w:szCs w:val="20"/>
          <w:color w:val="auto"/>
        </w:rPr>
      </w:pPr>
    </w:p>
    <w:p>
      <w:pPr>
        <w:ind w:left="4520" w:right="259" w:hanging="3811"/>
        <w:spacing w:after="0" w:line="444" w:lineRule="auto"/>
        <w:rPr>
          <w:sz w:val="20"/>
          <w:szCs w:val="20"/>
          <w:color w:val="auto"/>
        </w:rPr>
      </w:pPr>
      <w:r>
        <w:rPr>
          <w:rFonts w:ascii="Arial" w:cs="Arial" w:eastAsia="Arial" w:hAnsi="Arial"/>
          <w:sz w:val="22"/>
          <w:szCs w:val="22"/>
          <w:color w:val="auto"/>
        </w:rPr>
        <w:t>Please call me at (212) 455-2812 if you wish to discuss our responses to the Comment Letter. Very truly yours,</w:t>
      </w:r>
    </w:p>
    <w:p>
      <w:pPr>
        <w:ind w:left="4520"/>
        <w:spacing w:after="0"/>
        <w:rPr>
          <w:sz w:val="20"/>
          <w:szCs w:val="20"/>
          <w:color w:val="auto"/>
        </w:rPr>
      </w:pPr>
      <w:r>
        <w:rPr>
          <w:rFonts w:ascii="Arial" w:cs="Arial" w:eastAsia="Arial" w:hAnsi="Arial"/>
          <w:sz w:val="20"/>
          <w:szCs w:val="20"/>
          <w:color w:val="auto"/>
        </w:rPr>
        <w:t>/s/ Richard A. Fenyes</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Richard A. Fenyes</w:t>
      </w:r>
    </w:p>
    <w:p>
      <w:pPr>
        <w:spacing w:after="0" w:line="200" w:lineRule="exact"/>
        <w:rPr>
          <w:sz w:val="20"/>
          <w:szCs w:val="20"/>
          <w:color w:val="auto"/>
        </w:rPr>
      </w:pPr>
    </w:p>
    <w:p>
      <w:pPr>
        <w:spacing w:after="0" w:line="281" w:lineRule="exact"/>
        <w:rPr>
          <w:sz w:val="20"/>
          <w:szCs w:val="20"/>
          <w:color w:val="auto"/>
        </w:rPr>
      </w:pPr>
    </w:p>
    <w:p>
      <w:pPr>
        <w:ind w:left="760" w:right="5339" w:hanging="704"/>
        <w:spacing w:after="0" w:line="239" w:lineRule="auto"/>
        <w:tabs>
          <w:tab w:leader="none" w:pos="409" w:val="left"/>
        </w:tabs>
        <w:numPr>
          <w:ilvl w:val="0"/>
          <w:numId w:val="6"/>
        </w:numPr>
        <w:rPr>
          <w:rFonts w:ascii="Arial" w:cs="Arial" w:eastAsia="Arial" w:hAnsi="Arial"/>
          <w:sz w:val="22"/>
          <w:szCs w:val="22"/>
          <w:color w:val="auto"/>
        </w:rPr>
      </w:pPr>
      <w:r>
        <w:rPr>
          <w:rFonts w:ascii="Arial" w:cs="Arial" w:eastAsia="Arial" w:hAnsi="Arial"/>
          <w:sz w:val="22"/>
          <w:szCs w:val="22"/>
          <w:color w:val="auto"/>
        </w:rPr>
        <w:t>Securities and Exchange Commission Kathleen Collins</w:t>
      </w:r>
    </w:p>
    <w:p>
      <w:pPr>
        <w:ind w:left="760"/>
        <w:spacing w:after="0"/>
        <w:rPr>
          <w:rFonts w:ascii="Arial" w:cs="Arial" w:eastAsia="Arial" w:hAnsi="Arial"/>
          <w:sz w:val="22"/>
          <w:szCs w:val="22"/>
          <w:color w:val="auto"/>
        </w:rPr>
      </w:pPr>
      <w:r>
        <w:rPr>
          <w:rFonts w:ascii="Arial" w:cs="Arial" w:eastAsia="Arial" w:hAnsi="Arial"/>
          <w:sz w:val="22"/>
          <w:szCs w:val="22"/>
          <w:color w:val="auto"/>
        </w:rPr>
        <w:t>David Edgar</w:t>
      </w:r>
    </w:p>
    <w:p>
      <w:pPr>
        <w:spacing w:after="0" w:line="215" w:lineRule="exact"/>
        <w:rPr>
          <w:sz w:val="20"/>
          <w:szCs w:val="20"/>
          <w:color w:val="auto"/>
        </w:rPr>
      </w:pPr>
    </w:p>
    <w:p>
      <w:pPr>
        <w:ind w:left="400"/>
        <w:spacing w:after="0"/>
        <w:rPr>
          <w:sz w:val="20"/>
          <w:szCs w:val="20"/>
          <w:color w:val="auto"/>
        </w:rPr>
      </w:pPr>
      <w:r>
        <w:rPr>
          <w:rFonts w:ascii="Arial" w:cs="Arial" w:eastAsia="Arial" w:hAnsi="Arial"/>
          <w:sz w:val="22"/>
          <w:szCs w:val="22"/>
          <w:color w:val="auto"/>
        </w:rPr>
        <w:t>Bentley Systems, Incorporated</w:t>
      </w:r>
    </w:p>
    <w:p>
      <w:pPr>
        <w:ind w:left="760"/>
        <w:spacing w:after="0" w:line="238" w:lineRule="auto"/>
        <w:rPr>
          <w:sz w:val="20"/>
          <w:szCs w:val="20"/>
          <w:color w:val="auto"/>
        </w:rPr>
      </w:pPr>
      <w:r>
        <w:rPr>
          <w:rFonts w:ascii="Arial" w:cs="Arial" w:eastAsia="Arial" w:hAnsi="Arial"/>
          <w:sz w:val="22"/>
          <w:szCs w:val="22"/>
          <w:color w:val="auto"/>
        </w:rPr>
        <w:t>Gregory S. Bentley</w:t>
      </w:r>
    </w:p>
    <w:p>
      <w:pPr>
        <w:ind w:left="760"/>
        <w:spacing w:after="0" w:line="230" w:lineRule="auto"/>
        <w:rPr>
          <w:sz w:val="20"/>
          <w:szCs w:val="20"/>
          <w:color w:val="auto"/>
        </w:rPr>
      </w:pPr>
      <w:r>
        <w:rPr>
          <w:rFonts w:ascii="Arial" w:cs="Arial" w:eastAsia="Arial" w:hAnsi="Arial"/>
          <w:sz w:val="22"/>
          <w:szCs w:val="22"/>
          <w:color w:val="auto"/>
        </w:rPr>
        <w:t>David J. Hollister</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22"/>
          <w:szCs w:val="22"/>
          <w:color w:val="auto"/>
        </w:rPr>
        <w:t>David R. Shaman</w:t>
      </w:r>
    </w:p>
    <w:p>
      <w:pPr>
        <w:spacing w:after="0" w:line="215" w:lineRule="exact"/>
        <w:rPr>
          <w:sz w:val="20"/>
          <w:szCs w:val="20"/>
          <w:color w:val="auto"/>
        </w:rPr>
      </w:pPr>
    </w:p>
    <w:p>
      <w:pPr>
        <w:ind w:left="400"/>
        <w:spacing w:after="0"/>
        <w:rPr>
          <w:sz w:val="20"/>
          <w:szCs w:val="20"/>
          <w:color w:val="auto"/>
        </w:rPr>
      </w:pPr>
      <w:r>
        <w:rPr>
          <w:rFonts w:ascii="Arial" w:cs="Arial" w:eastAsia="Arial" w:hAnsi="Arial"/>
          <w:sz w:val="22"/>
          <w:szCs w:val="22"/>
          <w:color w:val="auto"/>
        </w:rPr>
        <w:t>Simpson Thacher &amp; Bartlett LLP</w:t>
      </w:r>
    </w:p>
    <w:p>
      <w:pPr>
        <w:spacing w:after="0" w:line="8" w:lineRule="exact"/>
        <w:rPr>
          <w:sz w:val="20"/>
          <w:szCs w:val="20"/>
          <w:color w:val="auto"/>
        </w:rPr>
      </w:pPr>
    </w:p>
    <w:p>
      <w:pPr>
        <w:ind w:left="760"/>
        <w:spacing w:after="0"/>
        <w:rPr>
          <w:sz w:val="20"/>
          <w:szCs w:val="20"/>
          <w:color w:val="auto"/>
        </w:rPr>
      </w:pPr>
      <w:r>
        <w:rPr>
          <w:rFonts w:ascii="Arial" w:cs="Arial" w:eastAsia="Arial" w:hAnsi="Arial"/>
          <w:sz w:val="22"/>
          <w:szCs w:val="22"/>
          <w:color w:val="auto"/>
        </w:rPr>
        <w:t>Jonathan R. Ozner</w:t>
      </w:r>
    </w:p>
    <w:p>
      <w:pPr>
        <w:spacing w:after="0" w:line="215" w:lineRule="exact"/>
        <w:rPr>
          <w:sz w:val="20"/>
          <w:szCs w:val="20"/>
          <w:color w:val="auto"/>
        </w:rPr>
      </w:pPr>
    </w:p>
    <w:p>
      <w:pPr>
        <w:ind w:left="400"/>
        <w:spacing w:after="0"/>
        <w:rPr>
          <w:sz w:val="20"/>
          <w:szCs w:val="20"/>
          <w:color w:val="auto"/>
        </w:rPr>
      </w:pPr>
      <w:r>
        <w:rPr>
          <w:rFonts w:ascii="Arial" w:cs="Arial" w:eastAsia="Arial" w:hAnsi="Arial"/>
          <w:sz w:val="22"/>
          <w:szCs w:val="22"/>
          <w:color w:val="auto"/>
        </w:rPr>
        <w:t>Goodwin Procter LLP</w:t>
      </w:r>
    </w:p>
    <w:p>
      <w:pPr>
        <w:spacing w:after="0" w:line="8" w:lineRule="exact"/>
        <w:rPr>
          <w:sz w:val="20"/>
          <w:szCs w:val="20"/>
          <w:color w:val="auto"/>
        </w:rPr>
      </w:pPr>
    </w:p>
    <w:p>
      <w:pPr>
        <w:ind w:left="760"/>
        <w:spacing w:after="0"/>
        <w:rPr>
          <w:sz w:val="20"/>
          <w:szCs w:val="20"/>
          <w:color w:val="auto"/>
        </w:rPr>
      </w:pPr>
      <w:r>
        <w:rPr>
          <w:rFonts w:ascii="Arial" w:cs="Arial" w:eastAsia="Arial" w:hAnsi="Arial"/>
          <w:sz w:val="22"/>
          <w:szCs w:val="22"/>
          <w:color w:val="auto"/>
        </w:rPr>
        <w:t>Richard A. Kline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349885</wp:posOffset>
            </wp:positionV>
            <wp:extent cx="565785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67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2"/>
    </w:lvl>
  </w:abstractNum>
  <w:abstractNum w:abstractNumId="2">
    <w:nsid w:val="238E1F29"/>
    <w:multiLevelType w:val="hybridMultilevel"/>
    <w:lvl w:ilvl="0">
      <w:lvlJc w:val="left"/>
      <w:lvlText w:val="%1."/>
      <w:numFmt w:val="decimal"/>
      <w:start w:val="3"/>
    </w:lvl>
  </w:abstractNum>
  <w:abstractNum w:abstractNumId="3">
    <w:nsid w:val="46E87CCD"/>
    <w:multiLevelType w:val="hybridMultilevel"/>
    <w:lvl w:ilvl="0">
      <w:lvlJc w:val="left"/>
      <w:lvlText w:val="%1."/>
      <w:numFmt w:val="decimal"/>
      <w:start w:val="4"/>
    </w:lvl>
  </w:abstractNum>
  <w:abstractNum w:abstractNumId="4">
    <w:nsid w:val="3D1B58BA"/>
    <w:multiLevelType w:val="hybridMultilevel"/>
    <w:lvl w:ilvl="0">
      <w:lvlJc w:val="left"/>
      <w:lvlText w:val="%1."/>
      <w:numFmt w:val="decimal"/>
      <w:start w:val="5"/>
    </w:lvl>
  </w:abstractNum>
  <w:abstractNum w:abstractNumId="5">
    <w:nsid w:val="507ED7AB"/>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2021-08-15T19:51:28Z</dcterms:created>
  <dcterms:modified xsi:type="dcterms:W3CDTF">2021-08-15T19:51:28Z</dcterms:modified>
</cp:coreProperties>
</file>