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Commission File Number: 001-39548</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color w:val="000000"/>
          <w:sz w:val="32"/>
        </w:rPr>
      </w:pPr>
      <w:r>
        <w:rPr>
          <w:rFonts w:ascii="Times New Roman;sans-serif" w:hAnsi="Times New Roman;sans-serif"/>
          <w:b/>
          <w:color w:val="000000"/>
          <w:sz w:val="32"/>
        </w:rPr>
        <w:t>BENTLEY SYSTEMS, INCORPORATED</w:t>
      </w:r>
    </w:p>
    <w:p>
      <w:pPr>
        <w:pStyle w:val="TextBody"/>
        <w:bidi w:val="0"/>
        <w:spacing w:lineRule="auto" w:line="288" w:before="0" w:after="0"/>
        <w:ind w:left="0" w:right="0" w:firstLine="3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ind w:left="0" w:right="0" w:firstLine="360"/>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18"/>
        </w:rPr>
        <w:t>(610) 458-5000</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p>
      <w:pPr>
        <w:pStyle w:val="TextBody"/>
        <w:bidi w:val="0"/>
        <w:spacing w:before="0" w:after="0"/>
        <w:ind w:left="0" w:right="0" w:firstLine="360"/>
        <w:jc w:val="left"/>
        <w:rPr/>
      </w:pPr>
      <w:r>
        <w:rPr/>
      </w:r>
    </w:p>
    <w:tbl>
      <w:tblPr>
        <w:tblW w:w="8872" w:type="dxa"/>
        <w:jc w:val="center"/>
        <w:tblInd w:w="0" w:type="dxa"/>
        <w:tblLayout w:type="fixed"/>
        <w:tblCellMar>
          <w:top w:w="28" w:type="dxa"/>
          <w:left w:w="28" w:type="dxa"/>
          <w:bottom w:w="28" w:type="dxa"/>
          <w:right w:w="28" w:type="dxa"/>
        </w:tblCellMar>
      </w:tblPr>
      <w:tblGrid>
        <w:gridCol w:w="1359"/>
        <w:gridCol w:w="1187"/>
        <w:gridCol w:w="1203"/>
        <w:gridCol w:w="109"/>
        <w:gridCol w:w="109"/>
        <w:gridCol w:w="109"/>
        <w:gridCol w:w="414"/>
        <w:gridCol w:w="414"/>
        <w:gridCol w:w="416"/>
        <w:gridCol w:w="109"/>
        <w:gridCol w:w="109"/>
        <w:gridCol w:w="109"/>
        <w:gridCol w:w="945"/>
        <w:gridCol w:w="945"/>
        <w:gridCol w:w="1335"/>
      </w:tblGrid>
      <w:tr>
        <w:trPr/>
        <w:tc>
          <w:tcPr>
            <w:tcW w:w="135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August 1, 2023, the registrant had 11,601,757 shares of Class A and 283,364,519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ind w:left="0" w:right="0" w:firstLine="360"/>
        <w:jc w:val="center"/>
        <w:rPr/>
      </w:pPr>
      <w:r>
        <w:rPr/>
      </w:r>
    </w:p>
    <w:tbl>
      <w:tblPr>
        <w:tblW w:w="8847" w:type="dxa"/>
        <w:jc w:val="center"/>
        <w:tblInd w:w="0" w:type="dxa"/>
        <w:tblLayout w:type="fixed"/>
        <w:tblCellMar>
          <w:top w:w="28" w:type="dxa"/>
          <w:left w:w="28" w:type="dxa"/>
          <w:bottom w:w="28" w:type="dxa"/>
          <w:right w:w="28" w:type="dxa"/>
        </w:tblCellMar>
      </w:tblPr>
      <w:tblGrid>
        <w:gridCol w:w="2891"/>
        <w:gridCol w:w="2539"/>
        <w:gridCol w:w="2549"/>
        <w:gridCol w:w="109"/>
        <w:gridCol w:w="109"/>
        <w:gridCol w:w="109"/>
        <w:gridCol w:w="158"/>
        <w:gridCol w:w="158"/>
        <w:gridCol w:w="225"/>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c29792a1e543a89be92833223a84b7_208">
              <w:r>
                <w:rPr>
                  <w:rStyle w:val="InternetLink"/>
                  <w:rFonts w:ascii="Times New Roman;sans-serif" w:hAnsi="Times New Roman;sans-serif"/>
                  <w:b w:val="false"/>
                  <w:color w:val="0000FF"/>
                  <w:sz w:val="20"/>
                  <w:u w:val="single"/>
                </w:rPr>
                <w:t>Cautionary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08">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c29792a1e543a89be92833223a84b7_217">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217">
              <w:r>
                <w:rPr>
                  <w:rStyle w:val="InternetLink"/>
                  <w:rFonts w:ascii="Times New Roman;sans-serif" w:hAnsi="Times New Roman;sans-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217">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17">
              <w:r>
                <w:rPr>
                  <w:rStyle w:val="InternetLink"/>
                  <w:rFonts w:ascii="Times New Roman;sans-serif" w:hAnsi="Times New Roman;sans-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f9c29792a1e543a89be92833223a84b7_220">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20">
              <w:r>
                <w:rPr>
                  <w:rStyle w:val="InternetLink"/>
                  <w:rFonts w:ascii="Times New Roman;sans-serif" w:hAnsi="Times New Roman;sans-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f9c29792a1e543a89be92833223a84b7_226">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26">
              <w:r>
                <w:rPr>
                  <w:rStyle w:val="InternetLink"/>
                  <w:rFonts w:ascii="Times New Roman;sans-serif" w:hAnsi="Times New Roman;sans-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f9c29792a1e543a89be92833223a84b7_232">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32">
              <w:r>
                <w:rPr>
                  <w:rStyle w:val="InternetLink"/>
                  <w:rFonts w:ascii="Times New Roman;sans-serif" w:hAnsi="Times New Roman;sans-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f9c29792a1e543a89be92833223a84b7_238">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38">
              <w:r>
                <w:rPr>
                  <w:rStyle w:val="InternetLink"/>
                  <w:rFonts w:ascii="Times New Roman;sans-serif" w:hAnsi="Times New Roman;sans-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28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289">
              <w:r>
                <w:rPr>
                  <w:rStyle w:val="InternetLink"/>
                  <w:rFonts w:ascii="Times New Roman;sans-serif" w:hAnsi="Times New Roman;sans-serif"/>
                  <w:b w:val="false"/>
                  <w:color w:val="0000FF"/>
                  <w:sz w:val="20"/>
                  <w:u w:val="singl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81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817">
              <w:r>
                <w:rPr>
                  <w:rStyle w:val="InternetLink"/>
                  <w:rFonts w:ascii="Times New Roman;sans-serif" w:hAnsi="Times New Roman;sans-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31">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31">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34">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34">
              <w:r>
                <w:rPr>
                  <w:rStyle w:val="InternetLink"/>
                  <w:rFonts w:ascii="Times New Roman;sans-serif" w:hAnsi="Times New Roman;sans-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c29792a1e543a89be92833223a84b7_1237">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37">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37">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40">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40">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55">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55">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73">
              <w:r>
                <w:rPr>
                  <w:rStyle w:val="InternetLink"/>
                  <w:rFonts w:ascii="Times New Roman;sans-serif" w:hAnsi="Times New Roman;sans-serif"/>
                  <w:b w:val="false"/>
                  <w:color w:val="000080"/>
                  <w:sz w:val="20"/>
                  <w:u w:val="single"/>
                </w:rPr>
                <w:t xml:space="preserve">Item </w:t>
              </w:r>
            </w:hyperlink>
            <w:hyperlink w:anchor="if9c29792a1e543a89be92833223a84b7_1273">
              <w:r>
                <w:rPr>
                  <w:rStyle w:val="InternetLink"/>
                  <w:rFonts w:ascii="Times New Roman;sans-serif" w:hAnsi="Times New Roman;sans-serif"/>
                  <w:b w:val="false"/>
                  <w:color w:val="000080"/>
                  <w:sz w:val="20"/>
                  <w:u w:val="single"/>
                </w:rPr>
                <w:t>5</w:t>
              </w:r>
            </w:hyperlink>
            <w:hyperlink w:anchor="if9c29792a1e543a89be92833223a84b7_1273">
              <w:r>
                <w:rPr>
                  <w:rStyle w:val="InternetLink"/>
                  <w:rFonts w:ascii="Times New Roman;sans-serif" w:hAnsi="Times New Roman;sans-serif"/>
                  <w:b w:val="false"/>
                  <w:color w:val="000080"/>
                  <w:sz w:val="20"/>
                  <w:u w:val="single"/>
                </w:rPr>
                <w:t xml:space="preserve">. </w:t>
              </w:r>
            </w:hyperlink>
            <w:hyperlink w:anchor="if9c29792a1e543a89be92833223a84b7_1273">
              <w:r>
                <w:rPr>
                  <w:rStyle w:val="InternetLink"/>
                  <w:rFonts w:ascii="Times New Roman;sans-serif" w:hAnsi="Times New Roman;sans-serif"/>
                  <w:b w:val="false"/>
                  <w:color w:val="000080"/>
                  <w:sz w:val="20"/>
                  <w:u w:val="single"/>
                </w:rPr>
                <w:t>O</w:t>
              </w:r>
            </w:hyperlink>
            <w:hyperlink w:anchor="if9c29792a1e543a89be92833223a84b7_1273">
              <w:r>
                <w:rPr>
                  <w:rStyle w:val="InternetLink"/>
                  <w:rFonts w:ascii="Times New Roman;sans-serif" w:hAnsi="Times New Roman;sans-serif"/>
                  <w:b w:val="false"/>
                  <w:color w:val="000080"/>
                  <w:sz w:val="20"/>
                  <w:u w:val="single"/>
                </w:rPr>
                <w:t>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73">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c29792a1e543a89be92833223a84b7_1276">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76">
              <w:r>
                <w:rPr>
                  <w:rStyle w:val="InternetLink"/>
                  <w:rFonts w:ascii="Times New Roman;sans-serif" w:hAnsi="Times New Roman;sans-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c29792a1e543a89be92833223a84b7_1279">
              <w:r>
                <w:rPr>
                  <w:rStyle w:val="InternetLink"/>
                  <w:rFonts w:ascii="Times New Roman;sans-serif" w:hAnsi="Times New Roman;sans-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9c29792a1e543a89be92833223a84b7_1279">
              <w:r>
                <w:rPr>
                  <w:rStyle w:val="InternetLink"/>
                  <w:rFonts w:ascii="Times New Roman;sans-serif" w:hAnsi="Times New Roman;sans-serif"/>
                  <w:b w:val="false"/>
                  <w:color w:val="0000FF"/>
                  <w:sz w:val="20"/>
                  <w:u w:val="single"/>
                </w:rPr>
                <w:t>51</w:t>
              </w:r>
            </w:hyperlink>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w:t>
        <w:noBreakHyphen/>
        <w:t>looking statements. All statements contained in this report other than statements of historical facts, including statements regarding our future results of operations and financial position,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report may not occur and actual results could differ materially and adversely from those anticipated or implied in the forward</w:t>
        <w:noBreakHyphen/>
        <w:t>looking statements. The forward</w:t>
        <w:noBreakHyphen/>
        <w:t>looking statements, as well as our report as a whole, are subject to risks and uncertainties.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report in greater detail in the section titled “Risk Factors” and elsewhere in this report. You should not rely upon forward</w:t>
        <w:noBreakHyphen/>
        <w:t>looking statements as predictions of future events.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report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BENTLEY SYSTEMS, INCORPORATED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before="0" w:after="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2925"/>
        <w:gridCol w:w="2095"/>
        <w:gridCol w:w="2058"/>
        <w:gridCol w:w="109"/>
        <w:gridCol w:w="109"/>
        <w:gridCol w:w="109"/>
        <w:gridCol w:w="196"/>
        <w:gridCol w:w="871"/>
        <w:gridCol w:w="109"/>
        <w:gridCol w:w="109"/>
        <w:gridCol w:w="109"/>
        <w:gridCol w:w="109"/>
        <w:gridCol w:w="207"/>
        <w:gridCol w:w="924"/>
        <w:gridCol w:w="166"/>
      </w:tblGrid>
      <w:tr>
        <w:trPr/>
        <w:tc>
          <w:tcPr>
            <w:tcW w:w="292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415,895 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2,237,184 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3,165,005 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628,358 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1,775,696 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2,591,551 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authorized 100,000,000 shares; none issued or outstanding as of June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authorized 100,000,000 shares; issued and outstanding 11,601,757 shares as of June 30, 2023 and December 31, 2022, and Class B Common Stock, $0.01 par value, authorized 1,800,000,000 shares; issued and outstanding 283,111,226 and 277,412,730 shares as of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1,030,466 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573,454 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3,165,005 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24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1349"/>
        <w:gridCol w:w="1156"/>
        <w:gridCol w:w="1165"/>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investments accounted for using the equity method,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311,914,602 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308,244,778 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311,366,371 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308,512,924 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332,352,725 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332,275,216 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331,831,973 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332,208,435 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1672"/>
        <w:gridCol w:w="1448"/>
        <w:gridCol w:w="146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on retirement plan, net of tax effect of $(1), $(5), $(7), and $(10),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360"/>
        <w:jc w:val="center"/>
        <w:rPr/>
      </w:pPr>
      <w:r>
        <w:rPr/>
      </w:r>
    </w:p>
    <w:tbl>
      <w:tblPr>
        <w:tblW w:w="10366" w:type="dxa"/>
        <w:jc w:val="center"/>
        <w:tblInd w:w="0" w:type="dxa"/>
        <w:tblLayout w:type="fixed"/>
        <w:tblCellMar>
          <w:top w:w="28" w:type="dxa"/>
          <w:left w:w="28" w:type="dxa"/>
          <w:bottom w:w="28" w:type="dxa"/>
          <w:right w:w="28" w:type="dxa"/>
        </w:tblCellMar>
      </w:tblPr>
      <w:tblGrid>
        <w:gridCol w:w="677"/>
        <w:gridCol w:w="268"/>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291,501,271 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1,729,443 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1,308,527 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294,712,983 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tbl>
      <w:tblPr>
        <w:tblW w:w="10366" w:type="dxa"/>
        <w:jc w:val="center"/>
        <w:tblInd w:w="0" w:type="dxa"/>
        <w:tblLayout w:type="fixed"/>
        <w:tblCellMar>
          <w:top w:w="28" w:type="dxa"/>
          <w:left w:w="28" w:type="dxa"/>
          <w:bottom w:w="28" w:type="dxa"/>
          <w:right w:w="28" w:type="dxa"/>
        </w:tblCellMar>
      </w:tblPr>
      <w:tblGrid>
        <w:gridCol w:w="720"/>
        <w:gridCol w:w="225"/>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289,014,487 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2,782,181 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employee stock purchase plan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2,236,827 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294,712,983 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928"/>
        <w:gridCol w:w="574"/>
        <w:gridCol w:w="545"/>
        <w:gridCol w:w="525"/>
        <w:gridCol w:w="526"/>
        <w:gridCol w:w="171"/>
        <w:gridCol w:w="109"/>
        <w:gridCol w:w="109"/>
        <w:gridCol w:w="109"/>
        <w:gridCol w:w="196"/>
        <w:gridCol w:w="556"/>
        <w:gridCol w:w="109"/>
        <w:gridCol w:w="109"/>
        <w:gridCol w:w="109"/>
        <w:gridCol w:w="109"/>
        <w:gridCol w:w="196"/>
        <w:gridCol w:w="736"/>
        <w:gridCol w:w="109"/>
        <w:gridCol w:w="109"/>
        <w:gridCol w:w="109"/>
        <w:gridCol w:w="109"/>
        <w:gridCol w:w="196"/>
        <w:gridCol w:w="717"/>
        <w:gridCol w:w="109"/>
        <w:gridCol w:w="109"/>
        <w:gridCol w:w="109"/>
        <w:gridCol w:w="109"/>
        <w:gridCol w:w="196"/>
        <w:gridCol w:w="766"/>
        <w:gridCol w:w="109"/>
        <w:gridCol w:w="109"/>
        <w:gridCol w:w="109"/>
        <w:gridCol w:w="109"/>
        <w:gridCol w:w="109"/>
        <w:gridCol w:w="109"/>
        <w:gridCol w:w="196"/>
        <w:gridCol w:w="736"/>
        <w:gridCol w:w="156"/>
      </w:tblGrid>
      <w:tr>
        <w:trPr/>
        <w:tc>
          <w:tcPr>
            <w:tcW w:w="92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2022</w:t>
            </w:r>
          </w:p>
        </w:tc>
        <w:tc>
          <w:tcPr>
            <w:tcW w:w="1197" w:type="dxa"/>
            <w:gridSpan w:val="4"/>
            <w:tcBorders/>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285,134,093 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457,653 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2,616,044 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2022</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288,154,159 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(397,961)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496,993 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65"/>
        <w:gridCol w:w="540"/>
        <w:gridCol w:w="543"/>
        <w:gridCol w:w="525"/>
        <w:gridCol w:w="526"/>
        <w:gridCol w:w="171"/>
        <w:gridCol w:w="109"/>
        <w:gridCol w:w="109"/>
        <w:gridCol w:w="109"/>
        <w:gridCol w:w="196"/>
        <w:gridCol w:w="556"/>
        <w:gridCol w:w="109"/>
        <w:gridCol w:w="109"/>
        <w:gridCol w:w="109"/>
        <w:gridCol w:w="109"/>
        <w:gridCol w:w="196"/>
        <w:gridCol w:w="736"/>
        <w:gridCol w:w="109"/>
        <w:gridCol w:w="109"/>
        <w:gridCol w:w="109"/>
        <w:gridCol w:w="109"/>
        <w:gridCol w:w="196"/>
        <w:gridCol w:w="717"/>
        <w:gridCol w:w="109"/>
        <w:gridCol w:w="109"/>
        <w:gridCol w:w="109"/>
        <w:gridCol w:w="109"/>
        <w:gridCol w:w="196"/>
        <w:gridCol w:w="765"/>
        <w:gridCol w:w="109"/>
        <w:gridCol w:w="109"/>
        <w:gridCol w:w="109"/>
        <w:gridCol w:w="109"/>
        <w:gridCol w:w="109"/>
        <w:gridCol w:w="109"/>
        <w:gridCol w:w="196"/>
        <w:gridCol w:w="736"/>
        <w:gridCol w:w="156"/>
      </w:tblGrid>
      <w:tr>
        <w:trPr/>
        <w:tc>
          <w:tcPr>
            <w:tcW w:w="96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2022</w:t>
            </w:r>
          </w:p>
        </w:tc>
        <w:tc>
          <w:tcPr>
            <w:tcW w:w="1197" w:type="dxa"/>
            <w:gridSpan w:val="4"/>
            <w:tcBorders/>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282,526,719 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3,425,795 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2,054,585 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4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2022</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288,154,159 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(397,961)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360"/>
        <w:jc w:val="center"/>
        <w:rPr/>
      </w:pPr>
      <w:r>
        <w:rPr/>
      </w:r>
    </w:p>
    <w:tbl>
      <w:tblPr>
        <w:tblW w:w="9605"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721"/>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remeasurement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net of 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investment in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aircraft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net of cash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360"/>
        <w:jc w:val="center"/>
        <w:rPr/>
      </w:pPr>
      <w:r>
        <w:rPr/>
      </w:r>
    </w:p>
    <w:tbl>
      <w:tblPr>
        <w:tblW w:w="7536" w:type="dxa"/>
        <w:jc w:val="center"/>
        <w:tblInd w:w="0" w:type="dxa"/>
        <w:tblLayout w:type="fixed"/>
        <w:tblCellMar>
          <w:top w:w="28" w:type="dxa"/>
          <w:left w:w="28" w:type="dxa"/>
          <w:bottom w:w="28" w:type="dxa"/>
          <w:right w:w="28" w:type="dxa"/>
        </w:tblCellMar>
      </w:tblPr>
      <w:tblGrid>
        <w:gridCol w:w="1721"/>
        <w:gridCol w:w="1515"/>
        <w:gridCol w:w="151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4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accompanying unaudited consolidated financial statements include the accounts of Bentley Systems, Incorporated and its wholly-owned subsidiaries (“Bentley Systems, Incorporated” or the “Company”), and have been prepared in accordance with United States generally accepted accounting principles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the Company’s 2022 Annual Report on Form 10</w:t>
      </w:r>
      <w:r>
        <w:rPr>
          <w:color w:val="000000"/>
        </w:rPr>
        <w:noBreakHyphen/>
      </w:r>
      <w:r>
        <w:rPr>
          <w:rFonts w:ascii="Times New Roman;sans-serif" w:hAnsi="Times New Roman;sans-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U.S. GAAP requires management to make estimates and assumptions that affect reported amounts in the financial statements and accompanying notes. Actual results could differ materially from those estimates. The December 31, 2022 consolidated balance sheet included herein is derived from the Company’s audited consolidated financial statements.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Certain reclassifications of prior period amounts have been made to conform to the current period presentation. For the three and six months ended June 30, 2023, payments related to the Company’s interest rate swap were recognized 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in the consolidated statements of operations and the corresponding prior period amounts, which were previously recognized in </w:t>
      </w: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xml:space="preserve">, were reclassified to conform to the current period presentation. For the three and six months ended June 30, 2022, the amounts reclassified were not material, and </w:t>
      </w:r>
      <w:r>
        <w:rPr>
          <w:rFonts w:ascii="Times New Roman;sans-serif" w:hAnsi="Times New Roman;sans-serif"/>
          <w:b w:val="false"/>
          <w:i/>
          <w:color w:val="000000"/>
          <w:sz w:val="20"/>
        </w:rPr>
        <w:t>Income before income taxes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in the consolidated statements of operations did not change as a result of these reclassifications.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 Recent Accounting Pronouncements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Guidance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March 2020, the Financial Accounting Standards Board (“FASB”) issued Accounting Standards Update (“ASU”) No. 2020</w:t>
        <w:noBreakHyphen/>
        <w:t xml:space="preserve">04, </w:t>
      </w:r>
      <w:r>
        <w:rPr>
          <w:rFonts w:ascii="Times New Roman;sans-serif" w:hAnsi="Times New Roman;sans-serif"/>
          <w:b w:val="false"/>
          <w:i/>
          <w:color w:val="000000"/>
          <w:sz w:val="20"/>
        </w:rPr>
        <w:t xml:space="preserve">Reference Rate Reform (Topic 848): Facilitation of the Effects of Reference Rate Reform on Financial Reporting </w:t>
      </w:r>
      <w:r>
        <w:rPr>
          <w:rFonts w:ascii="Times New Roman;sans-serif" w:hAnsi="Times New Roman;sans-serif"/>
          <w:b w:val="false"/>
          <w:color w:val="000000"/>
          <w:sz w:val="20"/>
        </w:rPr>
        <w:t>(“ASU 2020</w:t>
        <w:noBreakHyphen/>
        <w:t>04”), which provides optional expedients and exceptions for applying U.S. GAAP to contracts, hedging relationships, and other transactions affected by reference rate reform if certain criteria are met. ASU 2020</w:t>
        <w:noBreakHyphen/>
        <w:t>04 applies only to contracts, hedging relationships, and other transactions that reference the London Interbank Offered Rate (“LIBOR”) or another reference rate expected to be discontinued because of reference rate reform between March 12, 2020 and December 31, 2022. In December 2022, the FASB issued ASU No. 2022</w:t>
        <w:noBreakHyphen/>
        <w:t xml:space="preserve">06, </w:t>
      </w:r>
      <w:r>
        <w:rPr>
          <w:rFonts w:ascii="Times New Roman;sans-serif" w:hAnsi="Times New Roman;sans-serif"/>
          <w:b w:val="false"/>
          <w:i/>
          <w:color w:val="000000"/>
          <w:sz w:val="20"/>
        </w:rPr>
        <w:t>Reference Rate Reform (Topic 848): Deferral of the Sunset Date of Topic 848</w:t>
      </w:r>
      <w:r>
        <w:rPr>
          <w:rFonts w:ascii="Times New Roman;sans-serif" w:hAnsi="Times New Roman;sans-serif"/>
          <w:b w:val="false"/>
          <w:color w:val="000000"/>
          <w:sz w:val="20"/>
        </w:rPr>
        <w:t>, which provides optional guidance to ease the potential burden in accounting for (or recognizing the effects of) reference rate reform on financial reporting by extending the sunset date of Topic 848 to December 31, 2024. The expedients and exceptions provided by these ASUs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 The Company adopted these ASUs during the second quarter of 2023 (see Note 10) and the adoption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3: Revenue from Contracts with Customers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Disaggregation of Revenues</w:t>
      </w:r>
    </w:p>
    <w:p>
      <w:pPr>
        <w:pStyle w:val="TextBody"/>
        <w:bidi w:val="0"/>
        <w:spacing w:lineRule="auto" w:line="288" w:before="0" w:after="2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consist of the following:</w:t>
      </w:r>
    </w:p>
    <w:tbl>
      <w:tblPr>
        <w:tblW w:w="7889"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Enterprise subscriptions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(1)Enterprise subscriptions includes revenue attributable to Enterprise 365 (“E365”) subscriptions of $99,248 and $72,905 for the three months ended June 30, 2023 and 2022, respectively, and $193,579 and $141,503 for the six months ended June 30, 2023 and 2022, respectively.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recognizes perpetual licenses and the term license component of subscriptions as revenue when either the licenses are delivered or at the start of the subscription term. For the three months ended June 30, 2023 and 2022, the Company recognized $138,822 and $129,872 of license related revenues, respectively, of which $127,104 and $118,324, respectively, were attributable to the term license component of the Company’s subscription</w:t>
        <w:noBreakHyphen/>
        <w:t xml:space="preserve">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 For the six months ended June 30, 2023 and 2022, the Company recognized $296,846 and $255,097 of license related revenues, respectively, of which $275,581 and $233,344, respectively, were attributable to the term license component of the Company’s subscription</w:t>
        <w:noBreakHyphen/>
        <w:t xml:space="preserve">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derived 7% of its total revenues through channel partners for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 Revenues by geographic region are as follows:</w:t>
      </w:r>
    </w:p>
    <w:tbl>
      <w:tblPr>
        <w:tblW w:w="9524"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Americas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United States (“U.S.”), Canada, and Latin America (including the Caribbean). Revenue attributable to the U.S. totaled $127,847 and $108,456 for the three months ended June 30, 2023 and 2022, respectively, and $255,297 and $224,589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Contract Assets and Contract Liabilities</w:t>
      </w:r>
    </w:p>
    <w:tbl>
      <w:tblPr>
        <w:tblW w:w="4647" w:type="dxa"/>
        <w:jc w:val="center"/>
        <w:tblInd w:w="0" w:type="dxa"/>
        <w:tblLayout w:type="fixed"/>
        <w:tblCellMar>
          <w:top w:w="28" w:type="dxa"/>
          <w:left w:w="28" w:type="dxa"/>
          <w:bottom w:w="28" w:type="dxa"/>
          <w:right w:w="28" w:type="dxa"/>
        </w:tblCellMar>
      </w:tblPr>
      <w:tblGrid>
        <w:gridCol w:w="570"/>
        <w:gridCol w:w="501"/>
        <w:gridCol w:w="504"/>
        <w:gridCol w:w="310"/>
        <w:gridCol w:w="685"/>
        <w:gridCol w:w="160"/>
        <w:gridCol w:w="109"/>
        <w:gridCol w:w="109"/>
        <w:gridCol w:w="109"/>
        <w:gridCol w:w="403"/>
        <w:gridCol w:w="892"/>
        <w:gridCol w:w="295"/>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243,073 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June 30, 2023 and December 31, 2022, the Company’s contract assets relate to performance obligations completed in advance of the right to invoice and are included in </w:t>
      </w: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in the consolidated balance sheets. Contract assets were not impaired as of June 30, 2023 and December 31,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consist of billings made or payments received in advance of revenue recognition from subscriptions and services. The timing of revenue recognition may differ from the timing of billings to users.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$149,247 of revenues that were included in the December 31, 2022 deferred revenues balance were recognized. There were additional deferrals of $151,528 for the six months ended June 30, 2023, which were primarily related to new billings and acquisitions. For the six months ended June 30, 2022, $139,873 of revenues that were included in the December 31, 2021 deferred revenues balance were recognized. There were additional deferrals of $131,051 for the six months ended June 30, 2022, which were primarily related to new billings and acquisitions.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June 30, 2023 and December 31, 2022, the Company has deferred $17,965 and $17,338, respectively, related to portfolio balancing exchange rights which is included in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include amounts allocated to performance obligations that will be satisfied at a later date. As of June 30, 2023, amounts allocated to these remaining performance obligations are $247,755, of which the Company expects to recognize approximately 93%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4: Acquisitions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details of the Company’s acquisition activity are as follows:</w:t>
      </w:r>
    </w:p>
    <w:tbl>
      <w:tblPr>
        <w:tblW w:w="4790" w:type="dxa"/>
        <w:jc w:val="center"/>
        <w:tblInd w:w="0" w:type="dxa"/>
        <w:tblLayout w:type="fixed"/>
        <w:tblCellMar>
          <w:top w:w="28" w:type="dxa"/>
          <w:left w:w="28" w:type="dxa"/>
          <w:bottom w:w="28" w:type="dxa"/>
          <w:right w:w="28" w:type="dxa"/>
        </w:tblCellMar>
      </w:tblPr>
      <w:tblGrid>
        <w:gridCol w:w="727"/>
        <w:gridCol w:w="640"/>
        <w:gridCol w:w="642"/>
        <w:gridCol w:w="211"/>
        <w:gridCol w:w="723"/>
        <w:gridCol w:w="109"/>
        <w:gridCol w:w="109"/>
        <w:gridCol w:w="109"/>
        <w:gridCol w:w="109"/>
        <w:gridCol w:w="211"/>
        <w:gridCol w:w="828"/>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738"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acquisitions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 paid at closing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(1)Of the cash paid at closing for the six months ended June 30, 2022, $3,000 was deposited into an escrow account to secure any potential indemnification and other obligations of the seller.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2022, the Company completed the acquisition of Power Line Systems (“PLS”), a leader in software for the design of overhead electric power transmission lines and their structures, for $695,968 in cash, net of cash acquired. The operating results of the acquired businesses were not material, individually or in the aggregate, to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from acquisitions is included in the consolidated balance sheets as follows:</w:t>
      </w:r>
    </w:p>
    <w:tbl>
      <w:tblPr>
        <w:tblW w:w="6731" w:type="dxa"/>
        <w:jc w:val="center"/>
        <w:tblInd w:w="0" w:type="dxa"/>
        <w:tblLayout w:type="fixed"/>
        <w:tblCellMar>
          <w:top w:w="28" w:type="dxa"/>
          <w:left w:w="28" w:type="dxa"/>
          <w:bottom w:w="28" w:type="dxa"/>
          <w:right w:w="28" w:type="dxa"/>
        </w:tblCellMar>
      </w:tblPr>
      <w:tblGrid>
        <w:gridCol w:w="1324"/>
        <w:gridCol w:w="1165"/>
        <w:gridCol w:w="1170"/>
        <w:gridCol w:w="423"/>
        <w:gridCol w:w="512"/>
        <w:gridCol w:w="220"/>
        <w:gridCol w:w="109"/>
        <w:gridCol w:w="109"/>
        <w:gridCol w:w="109"/>
        <w:gridCol w:w="342"/>
        <w:gridCol w:w="998"/>
        <w:gridCol w:w="250"/>
      </w:tblGrid>
      <w:tr>
        <w:trPr/>
        <w:tc>
          <w:tcPr>
            <w:tcW w:w="132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from acquisitions</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non-contingent consideration from acquisitions is included in the consolidated balance sheets as follows:</w:t>
      </w:r>
    </w:p>
    <w:tbl>
      <w:tblPr>
        <w:tblW w:w="7090" w:type="dxa"/>
        <w:jc w:val="center"/>
        <w:tblInd w:w="0" w:type="dxa"/>
        <w:tblLayout w:type="fixed"/>
        <w:tblCellMar>
          <w:top w:w="28" w:type="dxa"/>
          <w:left w:w="28" w:type="dxa"/>
          <w:bottom w:w="28" w:type="dxa"/>
          <w:right w:w="28" w:type="dxa"/>
        </w:tblCellMar>
      </w:tblPr>
      <w:tblGrid>
        <w:gridCol w:w="1454"/>
        <w:gridCol w:w="1280"/>
        <w:gridCol w:w="1285"/>
        <w:gridCol w:w="260"/>
        <w:gridCol w:w="760"/>
        <w:gridCol w:w="134"/>
        <w:gridCol w:w="109"/>
        <w:gridCol w:w="109"/>
        <w:gridCol w:w="109"/>
        <w:gridCol w:w="342"/>
        <w:gridCol w:w="998"/>
        <w:gridCol w:w="250"/>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finalizing the purchase accounting for one acquisition completed during the six months ended June 30, 2023 and one acquisition completed during the year ended December 31, 2022.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Acquisition costs are expensed as incurred and are recorded 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in the consolidated statements of operations. For the three months ended June 30, 2023 and 2022, the Company’s acquisition expenses were $113 and $677, respectively, and $5,298 and $11,251 for the six months ended June 30, 2023 and 2022, respectively, which include costs related to legal, accounting, valuation, insurance, general administrative, and other consulting and transaction fees. For the three and six months ended June 30, 2022, $26 and $9,799, respectively, of the Company’s acquisition expenses related to the acquisition of PLS.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fair values of the assets acquired and liabilities assumed, as well as the weighted average useful lives assigned to acquired intangible assets at the respective date of each acquisition (including contingent consideration):</w:t>
      </w:r>
    </w:p>
    <w:tbl>
      <w:tblPr>
        <w:tblW w:w="10205" w:type="dxa"/>
        <w:jc w:val="center"/>
        <w:tblInd w:w="0" w:type="dxa"/>
        <w:tblLayout w:type="fixed"/>
        <w:tblCellMar>
          <w:top w:w="28" w:type="dxa"/>
          <w:left w:w="28" w:type="dxa"/>
          <w:bottom w:w="28" w:type="dxa"/>
          <w:right w:w="28" w:type="dxa"/>
        </w:tblCellMar>
      </w:tblPr>
      <w:tblGrid>
        <w:gridCol w:w="2385"/>
        <w:gridCol w:w="2096"/>
        <w:gridCol w:w="2107"/>
        <w:gridCol w:w="305"/>
        <w:gridCol w:w="1045"/>
        <w:gridCol w:w="157"/>
        <w:gridCol w:w="109"/>
        <w:gridCol w:w="109"/>
        <w:gridCol w:w="109"/>
        <w:gridCol w:w="278"/>
        <w:gridCol w:w="1093"/>
        <w:gridCol w:w="144"/>
        <w:gridCol w:w="109"/>
        <w:gridCol w:w="159"/>
      </w:tblGrid>
      <w:tr>
        <w:trPr/>
        <w:tc>
          <w:tcPr>
            <w:tcW w:w="2385"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in</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765,098 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w:t>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other current assets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technology (weighted average useful life of 3 and 5 years, respectively)</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(weighted average useful life of 6 and 10 years, respectively)</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(weighted average useful life of 5 and 8 years, respectively)</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 excluding goodwill</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 excluding goodwill</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765,098 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working capital, other assets (liabilities), and property and equipment approximated their respective carrying values as of the acquisition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were determined in accordance with the Company’s revenue recognition policies.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intangible assets were primarily determined using the income approach. When applying the income approach, indications of fair values were developed by discounting future net cash flows to their present values at market</w:t>
        <w:noBreakHyphen/>
        <w:t>based rates of return. The cash flows were based on estimates used to price the acquisitions and the discount rates applied were benchmarked with reference to the implied rate of return from the Company’s pricing model and the weighted average cost of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recorded in connection with the acquisitions was attributable to synergies expected to arise from cost saving opportunities, as well as future expected cash flows. The Company expects $7,289 of the goodwill recorded relating to the 2023 acquisition will be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5981" w:type="dxa"/>
        <w:jc w:val="center"/>
        <w:tblInd w:w="0" w:type="dxa"/>
        <w:tblLayout w:type="fixed"/>
        <w:tblCellMar>
          <w:top w:w="28" w:type="dxa"/>
          <w:left w:w="28" w:type="dxa"/>
          <w:bottom w:w="28" w:type="dxa"/>
          <w:right w:w="28" w:type="dxa"/>
        </w:tblCellMar>
      </w:tblPr>
      <w:tblGrid>
        <w:gridCol w:w="1054"/>
        <w:gridCol w:w="924"/>
        <w:gridCol w:w="932"/>
        <w:gridCol w:w="234"/>
        <w:gridCol w:w="800"/>
        <w:gridCol w:w="121"/>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$2,910 and $2,922 for the three months ended June 30, 2023 and 2022, respectively, and $5,634 and $5,412 for the six months ended June 30, 2023 and 2022, respectively.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Related Party Equipment Sale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the six months ended June 30, 2022 (see Note 20). Subsequent to the transaction, ongoing operating and fixed costs of the aircraft are shared on a proportional use basis subject to a cost-sharing agreement. Such costs were not material during the six months ended June 30, 2023 and 2022. The Company determined this transaction was with a related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6: Goodwill and Other Intangible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2,252,832 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 2022</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292,271 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purchased intangible assets with finite lives was reflected in the Company’s consolidated statements of operations as follows:</w:t>
      </w:r>
    </w:p>
    <w:tbl>
      <w:tblPr>
        <w:tblW w:w="8430"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7: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425" w:type="dxa"/>
        <w:jc w:val="center"/>
        <w:tblInd w:w="0" w:type="dxa"/>
        <w:tblLayout w:type="fixed"/>
        <w:tblCellMar>
          <w:top w:w="28" w:type="dxa"/>
          <w:left w:w="28" w:type="dxa"/>
          <w:bottom w:w="28" w:type="dxa"/>
          <w:right w:w="28" w:type="dxa"/>
        </w:tblCellMar>
      </w:tblPr>
      <w:tblGrid>
        <w:gridCol w:w="853"/>
        <w:gridCol w:w="749"/>
        <w:gridCol w:w="752"/>
        <w:gridCol w:w="234"/>
        <w:gridCol w:w="800"/>
        <w:gridCol w:w="121"/>
        <w:gridCol w:w="109"/>
        <w:gridCol w:w="109"/>
        <w:gridCol w:w="109"/>
        <w:gridCol w:w="308"/>
        <w:gridCol w:w="1055"/>
        <w:gridCol w:w="22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Cost Method Investments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Through its </w:t>
      </w:r>
      <w:r>
        <w:rPr>
          <w:rFonts w:ascii="Times New Roman;sans-serif" w:hAnsi="Times New Roman;sans-serif"/>
          <w:b w:val="false"/>
          <w:i/>
          <w:color w:val="000000"/>
          <w:sz w:val="20"/>
        </w:rPr>
        <w:t>iTwin Ventures</w:t>
      </w:r>
      <w:r>
        <w:rPr>
          <w:color w:val="000000"/>
        </w:rPr>
        <w:t xml:space="preserve"> </w:t>
      </w:r>
      <w:r>
        <w:rPr>
          <w:rFonts w:ascii="Times New Roman;sans-serif" w:hAnsi="Times New Roman;sans-serif"/>
          <w:b w:val="false"/>
          <w:color w:val="000000"/>
          <w:sz w:val="20"/>
        </w:rPr>
        <w:t>initiative, 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noBreakHyphen/>
        <w:t xml:space="preserve">cash contribution of the Thread business resulted in an insignificant gain, which was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the six months ended June 30, 2023 (see Note 20). In July 2022, the Company acquired an equity interest in Teralytics Holdings AG, a global platform company for human mobility analysis.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second quarter of 2023, the Company recognized impairment charges of $7,318 to write-down certain cost method investments to their fair value primarily as a result of the investees’ decline in operating performance and the overall decline in the venture investment valuation environment. The impairment charges were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the three and six months ended June 30, 2023 (see Note 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invested a total of $11,700, including $8,928 of cash and non-cash for our investment in Worldsensing. During the six months ended June 30, 2022, the Company invested a total of $4,361. As of June 30, 2023, our investment balance in Worldsensing and Teralytics Holdings AG was $8,928 and $7,270, respectively. As of December 31, 2022, our investment balance in Teralytics Holdings AG was $11,130.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consist of office facilities, office equipment, and automobiles. As of June 30, 2023, the Company’s leases have remaining terms of less than one year to ten years, some of which include one or more options to renew, with renewal terms from one year to ten years and some of which include options to terminate the leases from less than one year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reflected in the consolidated statements of operations were as follows:</w:t>
      </w:r>
    </w:p>
    <w:tbl>
      <w:tblPr>
        <w:tblW w:w="7185"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(1)Operating lease cost includes rent cost related to operating leases for office facilities of $4,329 and $5,014 for the three months ended June 30, 2023 and 2022, respectively, and $8,746 and $10,567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40"/>
        <w:ind w:left="0" w:right="0" w:firstLine="360"/>
        <w:jc w:val="left"/>
        <w:rPr/>
      </w:pPr>
      <w:r>
        <w:rPr>
          <w:rFonts w:ascii="Times New Roman;sans-serif" w:hAnsi="Times New Roman;sans-serif"/>
          <w:b w:val="false"/>
          <w:color w:val="000000"/>
          <w:sz w:val="20"/>
        </w:rPr>
        <w:t>Supplemental operating cash flow and other information related to leases</w:t>
      </w:r>
      <w:r>
        <w:rPr>
          <w:color w:val="212529"/>
        </w:rPr>
        <w:t xml:space="preserve"> </w:t>
      </w:r>
      <w:r>
        <w:rPr>
          <w:rFonts w:ascii="Times New Roman;sans-serif" w:hAnsi="Times New Roman;sans-serif"/>
          <w:b w:val="false"/>
          <w:color w:val="212529"/>
          <w:sz w:val="20"/>
        </w:rPr>
        <w:t>was as follows:</w:t>
      </w:r>
    </w:p>
    <w:tbl>
      <w:tblPr>
        <w:tblW w:w="8859" w:type="dxa"/>
        <w:jc w:val="center"/>
        <w:tblInd w:w="0" w:type="dxa"/>
        <w:tblLayout w:type="fixed"/>
        <w:tblCellMar>
          <w:top w:w="28" w:type="dxa"/>
          <w:left w:w="28" w:type="dxa"/>
          <w:bottom w:w="28" w:type="dxa"/>
          <w:right w:w="28" w:type="dxa"/>
        </w:tblCellMar>
      </w:tblPr>
      <w:tblGrid>
        <w:gridCol w:w="2318"/>
        <w:gridCol w:w="2040"/>
        <w:gridCol w:w="2047"/>
        <w:gridCol w:w="211"/>
        <w:gridCol w:w="721"/>
        <w:gridCol w:w="109"/>
        <w:gridCol w:w="109"/>
        <w:gridCol w:w="109"/>
        <w:gridCol w:w="109"/>
        <w:gridCol w:w="211"/>
        <w:gridCol w:w="721"/>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Right-of-use assets obtained in exchange for new operating lease liabilities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(1)Right</w:t>
        <w:noBreakHyphen/>
        <w:t>of</w:t>
        <w:noBreakHyphen/>
        <w:t>use assets obtained in exchange for new operating lease liabilities does not include the impact from acquisitions of $345 and $1,237 for the six months ended June 30, 2023 and 2022,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for operating leases was 4.7 years and 3.9 years as of June 30, 2023 and December 31, 2022, respectively. The weighted average discount rate was 4.3% and 3.4% as of June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additional minimum operating lease payments of $1,080 for executed leases that have not yet commenced, primarily for office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9: Accruals and Other Current Liabilities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 consist of the following:</w:t>
      </w:r>
    </w:p>
    <w:tbl>
      <w:tblPr>
        <w:tblW w:w="7089" w:type="dxa"/>
        <w:jc w:val="center"/>
        <w:tblInd w:w="0" w:type="dxa"/>
        <w:tblLayout w:type="fixed"/>
        <w:tblCellMar>
          <w:top w:w="28" w:type="dxa"/>
          <w:left w:w="28" w:type="dxa"/>
          <w:bottom w:w="28" w:type="dxa"/>
          <w:right w:w="28" w:type="dxa"/>
        </w:tblCellMar>
      </w:tblPr>
      <w:tblGrid>
        <w:gridCol w:w="1457"/>
        <w:gridCol w:w="1279"/>
        <w:gridCol w:w="1283"/>
        <w:gridCol w:w="212"/>
        <w:gridCol w:w="833"/>
        <w:gridCol w:w="109"/>
        <w:gridCol w:w="109"/>
        <w:gridCol w:w="109"/>
        <w:gridCol w:w="109"/>
        <w:gridCol w:w="281"/>
        <w:gridCol w:w="1103"/>
        <w:gridCol w:w="205"/>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Services Subscription (“CSS”) deposits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customers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acquisition stay bonus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contributions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indirect taxes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cloud provisioning costs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from acquisitions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accruals and other current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362,048 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10: Long-Term Debt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w:t>
        <w:noBreakHyphen/>
        <w:t>term debt consists of the following:</w:t>
      </w:r>
    </w:p>
    <w:tbl>
      <w:tblPr>
        <w:tblW w:w="8386" w:type="dxa"/>
        <w:jc w:val="center"/>
        <w:tblInd w:w="0" w:type="dxa"/>
        <w:tblLayout w:type="fixed"/>
        <w:tblCellMar>
          <w:top w:w="28" w:type="dxa"/>
          <w:left w:w="28" w:type="dxa"/>
          <w:bottom w:w="28" w:type="dxa"/>
          <w:right w:w="28" w:type="dxa"/>
        </w:tblCellMar>
      </w:tblPr>
      <w:tblGrid>
        <w:gridCol w:w="1871"/>
        <w:gridCol w:w="1647"/>
        <w:gridCol w:w="1656"/>
        <w:gridCol w:w="211"/>
        <w:gridCol w:w="976"/>
        <w:gridCol w:w="109"/>
        <w:gridCol w:w="109"/>
        <w:gridCol w:w="109"/>
        <w:gridCol w:w="109"/>
        <w:gridCol w:w="250"/>
        <w:gridCol w:w="1157"/>
        <w:gridCol w:w="182"/>
      </w:tblGrid>
      <w:tr>
        <w:trPr/>
        <w:tc>
          <w:tcPr>
            <w:tcW w:w="187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facility due November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January 2026 (the “2026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July 2027 (the “2027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1,780,696 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1,775,696 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Credit Agreement dated December 19, 2017 (as amended from time to time), which provides for an $850,000 senior secured revolving loan facility that matures on November 15, 2025 (the “Credit Facility”). The Credit Facility also provides up to $50,000 of letters of credit and other borrowings subject to availability, including an $85,000 U.S. dollar swingline sub</w:t>
        <w:noBreakHyphen/>
        <w:t>facility and a $200,000 incremental “accordion” sub</w:t>
        <w:noBreakHyphen/>
        <w:t>facility. Debt issuance costs are amortized to interest expense through the maturity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Credit Facility, the Company has a $200,000 senior secured term loan with a maturity of November 15, 2025 (the “Term Loan”). The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$150 of letters of credit and surety bonds outstanding as of June 30, 2023 and December 31, 2022 under the Credit Facility. As of June 30, 2023 and December 31, 2022, the Company had $648,605 and $504,253, respectively, available under the 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June 23, 2023, the Company amended the Credit Facility to replace the referenced interest rate based on LIBOR with the Secured Overnight Financing Rate (“SOFR”).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Revolving loan borrowings under the Credit Facility bear interest at variable rates that reset every one, three, or six months depending on the period selected by the Company. Under the Term SOFR elections, revolving loan borrowings bear an interest rate of the applicable term SOFR rate plus 10 basis points (“bps”), plus a spread ranging from 125 bps to 225 bps as determined by the Company’s net leverage ratio. Under the non</w:t>
        <w:noBreakHyphen/>
        <w:t>Term SOFR elections, revolving loan borrowings bear a base interest rate of the highest of (i) the prime rate, (ii) the overnight bank funding effective rate plus 50 bps, or (iii) the applicable term SOFR rate plus 10 bps, plus a spread ranging from 25 bps to 125 bps as determined by the Company’s net leverage ratio.</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Swingline borrowings under the Credit Facility bear interest that resets daily. Interest on U.S. dollar swingline borrowings bear an interest rate of the daily simple SOFR rate plus 3.5 bps, plus a spread ranging from 125 bps to 225 bps as determined by the Company’s net leverage ratio. The Company cannot make optional currency swingline borrowings without the consent of the applicable swingline lender.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 loan borrowings under the Credit Facility bear interest at variable rates that reset every one, three, or six months depending on the period selected by the Company. Under the Term SOFR elections, term loan borrowings bear an interest rate of the applicable term SOFR rate plus 10 bps, plus a spread ranging from 100 bps to 200 bps as determined by the Company’s net leverage ratio. Under the non</w:t>
        <w:noBreakHyphen/>
        <w:t>Term SOFR elections, term loan borrowings bear a base interest rate of the highest of (i) the prime rate, (ii) the overnight bank funding effective rate plus 50 bps, or (iii) the applicable term SOFR rate plus 10 bps, plus a spread ranging from 0 bps to 100 bps as determined by the Company’s net leverage ratio.</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commitment fee for the unused Credit Facility ranges from 20 bps to 30 bps as determined by the Company’s net leverage ratio.</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are guaranteed by all of the Company’s material first tier domestic subsidiaries and are secured by a first priority security interest in substantially all of the Company’s and the guarantors’ U.S. assets and 65% of the stock of their directly owned foreign subsidiaries.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governing the Credit Facility contains customary positive and negative covenants, including restrictions on our ability to pay dividends and make other restricted payments, as well as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 The Credit Facility also contains customary financial covenants, including maximum net leverage ratio. As of June 30, 2023 and December 31, 2022, the Company was in compliance with all covenants in its 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Voluntary prepayments of amounts outstanding under the Credit Facility, in whole or in part, are permitted at any time, so long as the Company gives notice as required by the Credit Facility. However, if prepayment is made with respect to a SOFR</w:t>
        <w:noBreakHyphen/>
        <w:t>based loan and the prepayment is made on a date other than an interest payment date, the Company is subject to customary breakage costs.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was in compliance with all covenants in the 2026 Notes and 2027 Notes, and none of the conditions of the 2026 Notes or 2027 Notes to early convert had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Derivative Arrangements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Company records derivative instruments as an asset or liability 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sans-serif" w:hAnsi="Times New Roman;sans-serif"/>
          <w:b w:val="false"/>
          <w:i/>
          <w:color w:val="000000"/>
          <w:sz w:val="20"/>
        </w:rPr>
        <w:t>Other comprehensive income (loss), net of taxes</w:t>
      </w:r>
      <w:r>
        <w:rPr>
          <w:color w:val="000000"/>
        </w:rPr>
        <w:t xml:space="preserve"> </w:t>
      </w:r>
      <w:r>
        <w:rPr>
          <w:rFonts w:ascii="Times New Roman;sans-serif" w:hAnsi="Times New Roman;sans-serif"/>
          <w:b w:val="false"/>
          <w:color w:val="000000"/>
          <w:sz w:val="20"/>
        </w:rPr>
        <w:t>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Effective on April 2, 2020, the Company entered into an interest rate swap with a notional amount of $200,000 and a ten</w:t>
        <w:noBreakHyphen/>
        <w:t>year term to reduce the interest rate risk associated with the Credit Facility. Effective on June 26, 2023, the Company amended the interest rate swap agreement to replace the LIBOR rate to SOFR under the ISDA Fallback Protocols included within the agreement. Subsequent to the amendment, the Company will continue to pay a fixed interest rate of 72.9 bps, and will receive a floating interest rate equal to daily SOFR plus an ARRC spread adjustment of 11.448 bps. The interest rate swap is not designated as a hedging instrument for accounting purposes. The Company accounts for the interest rate swap as either an asset or a liability on the consolidated balance sheets and carries the derivative at fair value (see Note 17). Gain (loss) from the change in fair value and payments related to the interest rate swap are recognized in</w:t>
      </w:r>
      <w:r>
        <w:rPr>
          <w:color w:val="000000"/>
        </w:rPr>
        <w:t xml:space="preserve"> </w:t>
      </w: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in the consolidated statements of operations (see Note 20).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the following:</w:t>
      </w:r>
    </w:p>
    <w:tbl>
      <w:tblPr>
        <w:tblW w:w="8984"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borrowings under the Credit Facility were 7.14% and 2.89% for the three months ended June 30, 2023 and 2022, respectively, and 6.89% and 2.62%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11: Executive Bonus Plan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$4,297 and $6,811, respectively, and $12,245 and $16,530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12: Retirement Plans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expense (income) was $3,777 and $(12,159) for the three months ended June 30, 2023 and 2022, respectively, and $7,923 and $(17,297) for the six months ended June 30, 2023 and 2022,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elective participant deferrals into the Company’s unfunded amended and restated Bentley Systems, Incorporated Nonqualified Deferred Compensation Plan (the “DCP”) were $118 and $2,439, respectively, and $1,651 and $3,108 for the six months ended June 30, 2023 and 2022, respectively. No discretionary contributions were made to the DCP during the three and six months ended June 30, 2023 and 2022. As of June 30, 2023 and December 31, 2022, phantom shares of the Company’s Class B Common Stock issuable by the DCP were 17,995,119 and 21,587,831,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liabilities related to the DCP is included in the consolidated balance sheets as follows:</w:t>
      </w:r>
    </w:p>
    <w:tbl>
      <w:tblPr>
        <w:tblW w:w="6295" w:type="dxa"/>
        <w:jc w:val="center"/>
        <w:tblInd w:w="0" w:type="dxa"/>
        <w:tblLayout w:type="fixed"/>
        <w:tblCellMar>
          <w:top w:w="28" w:type="dxa"/>
          <w:left w:w="28" w:type="dxa"/>
          <w:bottom w:w="28" w:type="dxa"/>
          <w:right w:w="28" w:type="dxa"/>
        </w:tblCellMar>
      </w:tblPr>
      <w:tblGrid>
        <w:gridCol w:w="1166"/>
        <w:gridCol w:w="1027"/>
        <w:gridCol w:w="1031"/>
        <w:gridCol w:w="234"/>
        <w:gridCol w:w="800"/>
        <w:gridCol w:w="121"/>
        <w:gridCol w:w="109"/>
        <w:gridCol w:w="109"/>
        <w:gridCol w:w="109"/>
        <w:gridCol w:w="308"/>
        <w:gridCol w:w="1055"/>
        <w:gridCol w:w="226"/>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DCP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13: Common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BSY Stock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11, 2022, the Company announced that its Board of Directors approved the BSY Stock Repurchase Program (the “Repurchase Program”) authorizing the Company to repurchase up to $200,000 of the Company’s Class B Common Stock through June 30, 2024. On December 14, 2022, the Company’s Board of Directors amended the Repurchase Program to allow the Company also to repurchase its outstanding convertible senior notes. This additional authorization did not increase the overall dollar limit of the Repurchase Program. The shares and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notes, general market and economic conditions, available liquidity, compliance with the Company’s debt and other agreements, and applicable legal requirements. The exact number of shares and/or notes to be repurchased by the Company is not guaranteed, and the Repurchase Program may be suspended, modified, or discontinued at any time without prior notice. The Company did not repurchase shares under the Repurchase Program for the six months ended June 30, 2023. For the six months ended June 30, 2022, the Company repurchased 463,001 shares for $13,242 under the Repurchase Program. As of June 30, 2023, $169,752 was available under the Company’s Board of Directors authorization for future repurchases of Class B Common Stock and/or outstanding convertible senior notes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Common Stock Issuances, Sales, and Repurchases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 issued 2,236,827 shares of Class B Common Stock to colleagues who exercised their stock options, net of 221,078 shares withheld at exercise to pay for the cost of the stock options, as well as for $5,989 of applicable income tax withholdings. The Company received $9,700 in proceeds from the exercise of stock options. For the six months ended June 30, 2022, the Company issued 2,054,585 shares of Class B Common Stock to colleagues who exercised their stock options, net of 355,063 shares withheld at exercise to pay for the cost of the stock options, as well as for $8,400 of applicable income tax withholdings. The Company received $5,861 in proceeds from the exercise of 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the Company issued 185,178 shares of Class B Common Stock related to the exercise of acquisition options, net of 714,822 shares withheld at exercise to pay for the cost of the options. The Company did not receive any proceeds from the exercise of these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the Company issued 137,197 and 159,797 shares of Class B Common Stock, respectively, in connection with Bonus Plan incentive compensation, net of shares withheld. Of the total 245,571 shares awarded for the six months ended June 30, 2023, 108,374 shares were sold back to the Company in the same period to pay for applicable income tax withholdings of $4,326. Of the total 283,913 shares awarded for the six months ended June 30, 2022, 124,116 shares were sold back to the Company in the same period to pay for applicable income tax withholdings of $5,197.</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the Company issued 2,782,181 and 3,425,795 shares of Class B Common Stock, respectively, to DCP participants in connection with distributions from the plan. The distribution in shares for the six months ended June 30, 2023 totaled 3,677,405 shares of which 895,224 shares were sold back to the Company in the same period to pay for applicable income tax withholdings of $36,329. The distribution in shares for the six months ended June 30, 2022 totaled 3,926,105 shares of which 500,310 shares were sold back to the Company in the same period to pay for applicable income tax withholdings of $24,246.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cash dividends during the periods presented as follows:</w:t>
      </w:r>
    </w:p>
    <w:tbl>
      <w:tblPr>
        <w:tblW w:w="3603" w:type="dxa"/>
        <w:jc w:val="center"/>
        <w:tblInd w:w="0" w:type="dxa"/>
        <w:tblLayout w:type="fixed"/>
        <w:tblCellMar>
          <w:top w:w="28" w:type="dxa"/>
          <w:left w:w="28" w:type="dxa"/>
          <w:bottom w:w="28" w:type="dxa"/>
          <w:right w:w="28" w:type="dxa"/>
        </w:tblCellMar>
      </w:tblPr>
      <w:tblGrid>
        <w:gridCol w:w="483"/>
        <w:gridCol w:w="424"/>
        <w:gridCol w:w="428"/>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Dividends Declared Subsequent to June 30, 2023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the Company’s Board of Directors approved cash dividends of $0.05 per share payable on August 24, 2023 to all stockholders of record of Class A and Class B Common Stock as of the close of business on August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Global Employee Stock Purchase Plan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six months ended June 30, 2023, colleagues who elected to participate in the Bentley Systems, Incorporated Global Employee Stock Purchase Plan (the “ESPP”) purchased a total of 153,381 shares of Class B Common Stock, net of shares withheld, resulting in cash proceeds to the Company of $4,557. Of the total 159,377 shares purchased, 5,996 shares were sold back to the Company to pay for applicable income tax withholdings of $222. During the six months ended June 30, 2022, colleagues who elected to participate in the ESPP purchased a total of 109,749 shares of Class B Common Stock, net of shares withheld, resulting in cash proceeds to the Company of $4,611. Of the total 112,249 shares purchased, 2,500 shares were sold back to the Company to pay for applicable income tax withholdings of $121. As of June 30, 2023 and December 31, 2022, $5,488 and $5,230 of ESPP withholdings via colleague payroll deduction were recorded in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respectively. As of June 30, 2023, shares of Class B Common Stock available for future issuance under the ESPP were 24,434,497.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14: Accumulated Other Comprehensive Loss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three months ended June 30, 2023 and 2022:</w:t>
      </w:r>
    </w:p>
    <w:tbl>
      <w:tblPr>
        <w:tblW w:w="7835" w:type="dxa"/>
        <w:jc w:val="center"/>
        <w:tblInd w:w="0" w:type="dxa"/>
        <w:tblLayout w:type="fixed"/>
        <w:tblCellMar>
          <w:top w:w="28" w:type="dxa"/>
          <w:left w:w="28" w:type="dxa"/>
          <w:bottom w:w="28" w:type="dxa"/>
          <w:right w:w="28" w:type="dxa"/>
        </w:tblCellMar>
      </w:tblPr>
      <w:tblGrid>
        <w:gridCol w:w="1287"/>
        <w:gridCol w:w="1132"/>
        <w:gridCol w:w="1135"/>
        <w:gridCol w:w="211"/>
        <w:gridCol w:w="796"/>
        <w:gridCol w:w="109"/>
        <w:gridCol w:w="109"/>
        <w:gridCol w:w="109"/>
        <w:gridCol w:w="109"/>
        <w:gridCol w:w="331"/>
        <w:gridCol w:w="848"/>
        <w:gridCol w:w="171"/>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6" w:type="dxa"/>
        <w:jc w:val="center"/>
        <w:tblInd w:w="0" w:type="dxa"/>
        <w:tblLayout w:type="fixed"/>
        <w:tblCellMar>
          <w:top w:w="28" w:type="dxa"/>
          <w:left w:w="28" w:type="dxa"/>
          <w:bottom w:w="28" w:type="dxa"/>
          <w:right w:w="28" w:type="dxa"/>
        </w:tblCellMar>
      </w:tblPr>
      <w:tblGrid>
        <w:gridCol w:w="1461"/>
        <w:gridCol w:w="1285"/>
        <w:gridCol w:w="1289"/>
        <w:gridCol w:w="211"/>
        <w:gridCol w:w="796"/>
        <w:gridCol w:w="109"/>
        <w:gridCol w:w="109"/>
        <w:gridCol w:w="109"/>
        <w:gridCol w:w="109"/>
        <w:gridCol w:w="331"/>
        <w:gridCol w:w="848"/>
        <w:gridCol w:w="171"/>
        <w:gridCol w:w="109"/>
        <w:gridCol w:w="109"/>
        <w:gridCol w:w="109"/>
        <w:gridCol w:w="211"/>
        <w:gridCol w:w="79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six months ended June 30, 2023 and 2022:</w:t>
      </w:r>
    </w:p>
    <w:tbl>
      <w:tblPr>
        <w:tblW w:w="7835" w:type="dxa"/>
        <w:jc w:val="center"/>
        <w:tblInd w:w="0" w:type="dxa"/>
        <w:tblLayout w:type="fixed"/>
        <w:tblCellMar>
          <w:top w:w="28" w:type="dxa"/>
          <w:left w:w="28" w:type="dxa"/>
          <w:bottom w:w="28" w:type="dxa"/>
          <w:right w:w="28" w:type="dxa"/>
        </w:tblCellMar>
      </w:tblPr>
      <w:tblGrid>
        <w:gridCol w:w="1287"/>
        <w:gridCol w:w="1131"/>
        <w:gridCol w:w="1136"/>
        <w:gridCol w:w="211"/>
        <w:gridCol w:w="796"/>
        <w:gridCol w:w="109"/>
        <w:gridCol w:w="109"/>
        <w:gridCol w:w="109"/>
        <w:gridCol w:w="109"/>
        <w:gridCol w:w="331"/>
        <w:gridCol w:w="848"/>
        <w:gridCol w:w="171"/>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35" w:type="dxa"/>
        <w:jc w:val="center"/>
        <w:tblInd w:w="0" w:type="dxa"/>
        <w:tblLayout w:type="fixed"/>
        <w:tblCellMar>
          <w:top w:w="28" w:type="dxa"/>
          <w:left w:w="28" w:type="dxa"/>
          <w:bottom w:w="28" w:type="dxa"/>
          <w:right w:w="28" w:type="dxa"/>
        </w:tblCellMar>
      </w:tblPr>
      <w:tblGrid>
        <w:gridCol w:w="1287"/>
        <w:gridCol w:w="1131"/>
        <w:gridCol w:w="1136"/>
        <w:gridCol w:w="211"/>
        <w:gridCol w:w="796"/>
        <w:gridCol w:w="109"/>
        <w:gridCol w:w="109"/>
        <w:gridCol w:w="109"/>
        <w:gridCol w:w="109"/>
        <w:gridCol w:w="331"/>
        <w:gridCol w:w="848"/>
        <w:gridCol w:w="171"/>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consists of the following:</w:t>
      </w:r>
    </w:p>
    <w:tbl>
      <w:tblPr>
        <w:tblW w:w="10184" w:type="dxa"/>
        <w:jc w:val="center"/>
        <w:tblInd w:w="0" w:type="dxa"/>
        <w:tblLayout w:type="fixed"/>
        <w:tblCellMar>
          <w:top w:w="28" w:type="dxa"/>
          <w:left w:w="28" w:type="dxa"/>
          <w:bottom w:w="28" w:type="dxa"/>
          <w:right w:w="28" w:type="dxa"/>
        </w:tblCellMar>
      </w:tblPr>
      <w:tblGrid>
        <w:gridCol w:w="1806"/>
        <w:gridCol w:w="1591"/>
        <w:gridCol w:w="159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restricted stock units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DCP elective participant deferrals expense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(see Note 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stock-based compensation expense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(1)DCP elective participant deferrals expense excludes deferred incentive bonus payable pursuant to the Bonus Plan.</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 xml:space="preserve">(2)As of June 30, 2023 and December 31, 2022, $4,338 and $7,300 remained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is included in the consolidated statements of operations as follows:</w:t>
      </w:r>
    </w:p>
    <w:tbl>
      <w:tblPr>
        <w:tblW w:w="8640"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stock option activity and related information under the Company’s applicable equity incentive plans:</w:t>
      </w:r>
    </w:p>
    <w:tbl>
      <w:tblPr>
        <w:tblW w:w="8473" w:type="dxa"/>
        <w:jc w:val="center"/>
        <w:tblInd w:w="0" w:type="dxa"/>
        <w:tblLayout w:type="fixed"/>
        <w:tblCellMar>
          <w:top w:w="28" w:type="dxa"/>
          <w:left w:w="28" w:type="dxa"/>
          <w:bottom w:w="28" w:type="dxa"/>
          <w:right w:w="28" w:type="dxa"/>
        </w:tblCellMar>
      </w:tblPr>
      <w:tblGrid>
        <w:gridCol w:w="1010"/>
        <w:gridCol w:w="889"/>
        <w:gridCol w:w="891"/>
        <w:gridCol w:w="524"/>
        <w:gridCol w:w="526"/>
        <w:gridCol w:w="243"/>
        <w:gridCol w:w="109"/>
        <w:gridCol w:w="109"/>
        <w:gridCol w:w="109"/>
        <w:gridCol w:w="292"/>
        <w:gridCol w:w="710"/>
        <w:gridCol w:w="152"/>
        <w:gridCol w:w="109"/>
        <w:gridCol w:w="109"/>
        <w:gridCol w:w="109"/>
        <w:gridCol w:w="387"/>
        <w:gridCol w:w="387"/>
        <w:gridCol w:w="395"/>
        <w:gridCol w:w="109"/>
        <w:gridCol w:w="109"/>
        <w:gridCol w:w="109"/>
        <w:gridCol w:w="211"/>
        <w:gridCol w:w="72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Intrinsic</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3,794,515 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(2,457,905)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June 30, 2023</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1,329,110 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June 30, 2023</w:t>
            </w:r>
          </w:p>
        </w:tc>
        <w:tc>
          <w:tcPr>
            <w:tcW w:w="10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1,329,110 </w:t>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the Company received cash proceeds of $9,700 and $5,861, respectively, related to the exercise of stock options. The total intrinsic value of stock options exercised for the six months ended June 30, 2023 and 2022 was $93,656 and $82,288,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no remaining unrecognized compensation expense related to unvested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Restricted Stock and RSUs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plans,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profitability and growth targets, including growth in annualized recurring revenues (“ARR”), and actual bookings for perpetual licenses and non</w:t>
        <w:noBreakHyphen/>
        <w:t>recurring services, among others. Performance targets are generally set for performance periods of one to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unvested restricted stock and RSU activity and related information under the Company’s applicable equity incentive plans:</w:t>
      </w:r>
    </w:p>
    <w:tbl>
      <w:tblPr>
        <w:tblW w:w="9748" w:type="dxa"/>
        <w:jc w:val="center"/>
        <w:tblInd w:w="0" w:type="dxa"/>
        <w:tblLayout w:type="fixed"/>
        <w:tblCellMar>
          <w:top w:w="28" w:type="dxa"/>
          <w:left w:w="28" w:type="dxa"/>
          <w:bottom w:w="28" w:type="dxa"/>
          <w:right w:w="28" w:type="dxa"/>
        </w:tblCellMar>
      </w:tblPr>
      <w:tblGrid>
        <w:gridCol w:w="923"/>
        <w:gridCol w:w="811"/>
        <w:gridCol w:w="816"/>
        <w:gridCol w:w="488"/>
        <w:gridCol w:w="488"/>
        <w:gridCol w:w="283"/>
        <w:gridCol w:w="109"/>
        <w:gridCol w:w="109"/>
        <w:gridCol w:w="109"/>
        <w:gridCol w:w="488"/>
        <w:gridCol w:w="488"/>
        <w:gridCol w:w="285"/>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3,068,851 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2,706,078 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362,773 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1,195,377 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998,913 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(518,106)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(360,946)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(121,669)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June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3,624,453 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3,256,170 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368,283 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the six months ended June 30, 2023, the Company only granted RSUs.</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(2)Includes 64,939 RSUs which are expected to be settled in cash.</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(3)</w:t>
      </w:r>
      <w:r>
        <w:rPr>
          <w:rFonts w:ascii="Times New Roman;sans-serif" w:hAnsi="Times New Roman;sans-serif"/>
          <w:b w:val="false"/>
          <w:color w:val="000000"/>
          <w:sz w:val="18"/>
        </w:rPr>
        <w:t>Includes 199,076 time</w:t>
        <w:noBreakHyphen/>
        <w:t>based RSUs granted during the three months ended March 31, 2022 to certain officers and key employees, which cliff vest on January 31, 2025.</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(4)</w:t>
      </w:r>
      <w:r>
        <w:rPr>
          <w:rFonts w:ascii="Times New Roman;sans-serif" w:hAnsi="Times New Roman;sans-serif"/>
          <w:b w:val="false"/>
          <w:color w:val="000000"/>
          <w:sz w:val="18"/>
        </w:rPr>
        <w:t>Primarily relates to the 2022 annual performance period, except for 185,186 performance</w:t>
        <w:noBreakHyphen/>
        <w:t>based RSUs granted during the year ended December 31, 2022 with extraordinary terms, which are described below.</w:t>
      </w:r>
    </w:p>
    <w:p>
      <w:pPr>
        <w:pStyle w:val="TextBody"/>
        <w:bidi w:val="0"/>
        <w:spacing w:lineRule="auto" w:line="288" w:before="0" w:after="240"/>
        <w:ind w:left="0" w:right="0" w:hanging="360"/>
        <w:jc w:val="both"/>
        <w:rPr/>
      </w:pPr>
      <w:r>
        <w:rPr>
          <w:rFonts w:ascii="Times New Roman;sans-serif" w:hAnsi="Times New Roman;sans-serif"/>
          <w:b w:val="false"/>
          <w:color w:val="231F20"/>
          <w:sz w:val="18"/>
        </w:rPr>
        <w:t>(5)</w:t>
      </w:r>
      <w:r>
        <w:rPr>
          <w:rFonts w:ascii="Times New Roman;sans-serif" w:hAnsi="Times New Roman;sans-serif"/>
          <w:b w:val="false"/>
          <w:color w:val="000000"/>
          <w:sz w:val="18"/>
        </w:rPr>
        <w:t>Primarily relates to the 2023 annual performance period, except for 13,367 additional shares earned based on the achievement of 2022 performance goals for performance</w:t>
        <w:noBreakHyphen/>
        <w:t>based RSUs granted during the year ended December 31,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will be subject to a cliff, whereby no vesting of that portion will occur unless the Company’s applicable margin metrics (which, for 2022, was Adjusted EBITDA margin and for 2023 and 2024, will be Adjusted operating income inclusive of stock-based compensation expense (“Adjusted OI w/SBC”) margin, excluding the impact of currency exchange fluctuations) also equals or exceeds the relevant target level for such year. Provided that the applicable margin targets are met, the total number of performance</w:t>
        <w:noBreakHyphen/>
        <w:t>based RSUs that will vest is determined by the achievement of growth targets, which include growth in ARR, as well as actual bookings for perpetual licenses and non</w:t>
        <w:noBreakHyphen/>
        <w:t>recurring services. Final actual vesting will be determined on January 31, 2025. The 2022 Adjusted EBITDA margin target for the performance</w:t>
        <w:noBreakHyphen/>
        <w:t>based RSUs was met.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2016, the Company granted RSUs subject to performance</w:t>
        <w:noBreakHyphen/>
        <w:t>based vesting as determined by the achievement of certain business growth targets. Certain colleagues elected to defer delivery of such shares upon vesting. During the six months ended June 30, 2023 and 2022, 1,562 and 10,888 shares, respectively, were delivered to colleagues, and 20 and 16 additional shares, respectively, were earned as a result of dividends. As of June 30, 2023 and December 31, 2022, 7,821 and 9,363 shares, respectively, of these vested and deferred RSUs remained outstanding.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values of RSUs granted were $40.80 and $39.02, for the six months ended June 30, 2023 and 2022,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restricted stock and RSUs were issued net of 104,773 and 52,026 shares, respectively, which were sold back to the Company to settle applicable income tax withholdings of $4,336 and $2,148,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$95,227 of unrecognized compensation expense related to unvested time</w:t>
        <w:noBreakHyphen/>
        <w:t>based restricted stock and RSUs, which is expected to be recognized over a weighted average period of approximately 1.8 years. As of June 30, 2023, there was $8,437 of unrecognized compensation expense related to unvested performance</w:t>
        <w:noBreakHyphen/>
        <w:t>based RSUs, which is expected to be recognized over a weighted average period of approximately 1.0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Stock Grants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the Company granted 12,639 and 13,632 fully vested shares of Class B Common Stock, respectively, with a fair value of $600 and $450,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following is a summary of</w:t>
      </w:r>
      <w:r>
        <w:rPr>
          <w:color w:val="000000"/>
        </w:rPr>
        <w:t xml:space="preserve"> </w:t>
      </w:r>
      <w:r>
        <w:rPr>
          <w:rFonts w:ascii="Times New Roman;sans-serif" w:hAnsi="Times New Roman;sans-serif"/>
          <w:b w:val="false"/>
          <w:i/>
          <w:color w:val="000000"/>
          <w:sz w:val="20"/>
        </w:rPr>
        <w:t>Income before income taxes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(Benefit) provision for income taxes</w:t>
      </w:r>
      <w:r>
        <w:rPr>
          <w:rFonts w:ascii="Times New Roman;sans-serif" w:hAnsi="Times New Roman;sans-serif"/>
          <w:b w:val="false"/>
          <w:color w:val="000000"/>
          <w:sz w:val="20"/>
        </w:rPr>
        <w:t>, and effective tax rate for the periods presented:</w:t>
      </w:r>
    </w:p>
    <w:tbl>
      <w:tblPr>
        <w:tblW w:w="8972" w:type="dxa"/>
        <w:jc w:val="center"/>
        <w:tblInd w:w="0" w:type="dxa"/>
        <w:tblLayout w:type="fixed"/>
        <w:tblCellMar>
          <w:top w:w="28" w:type="dxa"/>
          <w:left w:w="28" w:type="dxa"/>
          <w:bottom w:w="28" w:type="dxa"/>
          <w:right w:w="28" w:type="dxa"/>
        </w:tblCellMar>
      </w:tblPr>
      <w:tblGrid>
        <w:gridCol w:w="1095"/>
        <w:gridCol w:w="965"/>
        <w:gridCol w:w="96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6"/>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effective tax rate was higher compared to the prior year period primarily due to the increase in the forecasted effective tax rate impact of the U.S. Global Intangible Low-Taxed Income (“GILTI”) inclusion due to the mandatory capitalization of research and development expenses for U.S. tax purposes, partially offset by an increase in discrete tax benefits recognized in the current year period. For the three months ended June 30, 2023 and 2022, the Company recorded discrete tax benefits of $20,394 and $19,024, respectively, primarily associated with windfall tax benefits from stock</w:t>
        <w:noBreakHyphen/>
        <w:t>based compensation, net of the impact from officer compensation limitation provisions.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effective tax rate was higher compared to the prior year period primarily due to the decrease in discrete tax benefits recognized in the current year period and the increase in the forecasted effective tax rate impact of the GILTI inclusion due to the mandatory capitalization of research and development expenses for U.S. tax purposes. For the six months ended June 30, 2023 and 2022, the Company recorded discrete tax benefits of $27,467 and $31,752,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17: Fair Value of Financial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quoted prices (unadjusted) in active markets for identical assets or liabilities.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inputs based on management’s own assumptions used to measure assets and liabilities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Current assets and current liabilities</w:t>
      </w:r>
      <w:r>
        <w:rPr>
          <w:color w:val="000000"/>
        </w:rPr>
        <w:t xml:space="preserve"> — </w:t>
      </w:r>
      <w:r>
        <w:rPr>
          <w:rFonts w:ascii="Times New Roman;sans-serif" w:hAnsi="Times New Roman;sans-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in estimating its fair value measurements for Level 2 and Level 3 financial instruments as of June 30, 2023 and December 31, 2022:</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Acquisition contingent consideration</w:t>
      </w:r>
      <w:r>
        <w:rPr>
          <w:color w:val="000000"/>
        </w:rPr>
        <w:t xml:space="preserve"> — </w:t>
      </w:r>
      <w:r>
        <w:rPr>
          <w:rFonts w:ascii="Times New Roman;sans-serif" w:hAnsi="Times New Roman;sans-serif"/>
          <w:b w:val="false"/>
          <w:color w:val="000000"/>
          <w:sz w:val="20"/>
        </w:rPr>
        <w:t>The fair value of these liabilities is generally determined using a cost or income approach and is measured based on significant inputs not observable in the market, which represents a Level 3 measurement within the fair value hierarchy. The valuation of contingent consideration uses assumptions the Company believes would be made by a market participant.</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Interest rate swap</w:t>
      </w:r>
      <w:r>
        <w:rPr>
          <w:color w:val="000000"/>
        </w:rPr>
        <w:t xml:space="preserve"> — </w:t>
      </w:r>
      <w:r>
        <w:rPr>
          <w:rFonts w:ascii="Times New Roman;sans-serif" w:hAnsi="Times New Roman;sans-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Long-term debt</w:t>
      </w:r>
      <w:r>
        <w:rPr>
          <w:color w:val="000000"/>
        </w:rPr>
        <w:t xml:space="preserve"> — </w:t>
      </w:r>
      <w:r>
        <w:rPr>
          <w:rFonts w:ascii="Times New Roman;sans-serif" w:hAnsi="Times New Roman;sans-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June 30, 2023, the estimated fair value of the 2026 Notes and 2027 Notes was $700,438 and $516,873, respectively. As of December 31, 2022, the estimated fair value of the 2026 Notes and 2027 Notes was $622,431 and $470,856,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Deferred compensation plan liabilities</w:t>
      </w:r>
      <w:r>
        <w:rPr>
          <w:color w:val="000000"/>
        </w:rPr>
        <w:t xml:space="preserve"> — </w:t>
      </w:r>
      <w:r>
        <w:rPr>
          <w:rFonts w:ascii="Times New Roman;sans-serif" w:hAnsi="Times New Roman;sans-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carried at fair value measured on a recurring basis consist of the following:</w:t>
      </w:r>
    </w:p>
    <w:tbl>
      <w:tblPr>
        <w:tblW w:w="8310" w:type="dxa"/>
        <w:jc w:val="center"/>
        <w:tblInd w:w="0" w:type="dxa"/>
        <w:tblLayout w:type="fixed"/>
        <w:tblCellMar>
          <w:top w:w="28" w:type="dxa"/>
          <w:left w:w="28" w:type="dxa"/>
          <w:bottom w:w="28" w:type="dxa"/>
          <w:right w:w="28" w:type="dxa"/>
        </w:tblCellMar>
      </w:tblPr>
      <w:tblGrid>
        <w:gridCol w:w="1243"/>
        <w:gridCol w:w="1095"/>
        <w:gridCol w:w="1097"/>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contingent consideration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tbl>
      <w:tblPr>
        <w:tblW w:w="8519" w:type="dxa"/>
        <w:jc w:val="center"/>
        <w:tblInd w:w="0" w:type="dxa"/>
        <w:tblLayout w:type="fixed"/>
        <w:tblCellMar>
          <w:top w:w="28" w:type="dxa"/>
          <w:left w:w="28" w:type="dxa"/>
          <w:bottom w:w="28" w:type="dxa"/>
          <w:right w:w="28" w:type="dxa"/>
        </w:tblCellMar>
      </w:tblPr>
      <w:tblGrid>
        <w:gridCol w:w="1245"/>
        <w:gridCol w:w="1092"/>
        <w:gridCol w:w="109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contingent consideration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(1)Included in </w:t>
      </w:r>
      <w:r>
        <w:rPr>
          <w:rFonts w:ascii="Times New Roman;sans-serif" w:hAnsi="Times New Roman;sans-serif"/>
          <w:b w:val="false"/>
          <w:i/>
          <w:color w:val="000000"/>
          <w:sz w:val="18"/>
        </w:rPr>
        <w:t>Cash and cash equivalents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(2)Included in </w:t>
      </w:r>
      <w:r>
        <w:rPr>
          <w:rFonts w:ascii="Times New Roman;sans-serif" w:hAnsi="Times New Roman;sans-serif"/>
          <w:b w:val="false"/>
          <w:i/>
          <w:color w:val="000000"/>
          <w:sz w:val="18"/>
        </w:rPr>
        <w:t>Other assets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(3)Included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 xml:space="preserve">(4)Included in </w:t>
      </w:r>
      <w:r>
        <w:rPr>
          <w:rFonts w:ascii="Times New Roman;sans-serif" w:hAnsi="Times New Roman;sans-serif"/>
          <w:b w:val="false"/>
          <w:i/>
          <w:color w:val="000000"/>
          <w:sz w:val="18"/>
        </w:rPr>
        <w:t>Deferred compensation plan liabilities</w:t>
      </w:r>
      <w:r>
        <w:rPr>
          <w:rFonts w:ascii="Times New Roman;sans-serif" w:hAnsi="Times New Roman;sans-serif"/>
          <w:b w:val="false"/>
          <w:color w:val="000000"/>
          <w:sz w:val="18"/>
        </w:rPr>
        <w:t xml:space="preserve">, except for current liabilities of $2,238 and $2,067 as of June 30, 2023 and December 31, 2022, respectively, which are 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changes in fair value of the Company’s financial liabilities which have been classified as Level 3 in the fair value hierarchy:</w:t>
      </w:r>
    </w:p>
    <w:tbl>
      <w:tblPr>
        <w:tblW w:w="6897" w:type="dxa"/>
        <w:jc w:val="center"/>
        <w:tblInd w:w="0" w:type="dxa"/>
        <w:tblLayout w:type="fixed"/>
        <w:tblCellMar>
          <w:top w:w="28" w:type="dxa"/>
          <w:left w:w="28" w:type="dxa"/>
          <w:bottom w:w="28" w:type="dxa"/>
          <w:right w:w="28" w:type="dxa"/>
        </w:tblCellMar>
      </w:tblPr>
      <w:tblGrid>
        <w:gridCol w:w="1244"/>
        <w:gridCol w:w="1093"/>
        <w:gridCol w:w="1098"/>
        <w:gridCol w:w="348"/>
        <w:gridCol w:w="1017"/>
        <w:gridCol w:w="180"/>
        <w:gridCol w:w="109"/>
        <w:gridCol w:w="109"/>
        <w:gridCol w:w="109"/>
        <w:gridCol w:w="342"/>
        <w:gridCol w:w="998"/>
        <w:gridCol w:w="250"/>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transfers between levels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18: Commitments and Contingencies</w:t>
      </w:r>
    </w:p>
    <w:p>
      <w:pPr>
        <w:pStyle w:val="TextBody"/>
        <w:bidi w:val="0"/>
        <w:spacing w:lineRule="auto" w:line="288" w:before="0" w:after="240"/>
        <w:ind w:left="0" w:right="0" w:firstLine="360"/>
        <w:jc w:val="both"/>
        <w:rPr/>
      </w:pPr>
      <w:r>
        <w:rPr>
          <w:rFonts w:ascii="Times New Roman;sans-serif" w:hAnsi="Times New Roman;sans-serif"/>
          <w:b/>
          <w:i/>
          <w:color w:val="000000"/>
          <w:sz w:val="20"/>
        </w:rPr>
        <w:t>Purchase Commitment</w:t>
      </w:r>
      <w:r>
        <w:rPr>
          <w:color w:val="000000"/>
        </w:rPr>
        <w:t xml:space="preserve"> — </w:t>
      </w:r>
      <w:r>
        <w:rPr>
          <w:rFonts w:ascii="Times New Roman;sans-serif" w:hAnsi="Times New Roman;sans-serif"/>
          <w:b w:val="false"/>
          <w:color w:val="000000"/>
          <w:sz w:val="20"/>
        </w:rPr>
        <w:t>In the normal course of business, the Company enters into various purchase commitments for goods and services. During June 2023, the Company entered into a $122,000 non</w:t>
        <w:noBreakHyphen/>
        <w:t>cancelable future cash purchase commitment for services related to cloud provisioning of the Company’s software solutions through May 2026. As of June 30, 2023, the non</w:t>
        <w:noBreakHyphen/>
        <w:t>cancelable future cash purchase commitment was $118,915. The Company expects to fully consume its contractual commitment in the ordinary course of operations.</w:t>
      </w:r>
    </w:p>
    <w:p>
      <w:pPr>
        <w:pStyle w:val="TextBody"/>
        <w:bidi w:val="0"/>
        <w:spacing w:lineRule="auto" w:line="288" w:before="0" w:after="240"/>
        <w:ind w:left="0" w:right="0" w:firstLine="360"/>
        <w:jc w:val="both"/>
        <w:rPr/>
      </w:pPr>
      <w:r>
        <w:rPr>
          <w:rFonts w:ascii="Times New Roman;sans-serif" w:hAnsi="Times New Roman;sans-serif"/>
          <w:b/>
          <w:i/>
          <w:color w:val="000000"/>
          <w:sz w:val="20"/>
        </w:rPr>
        <w:t>Litigation</w:t>
      </w:r>
      <w:r>
        <w:rPr>
          <w:color w:val="000000"/>
        </w:rPr>
        <w:t xml:space="preserve"> — </w:t>
      </w: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19: Geographic Data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034" w:type="dxa"/>
        <w:jc w:val="center"/>
        <w:tblInd w:w="0" w:type="dxa"/>
        <w:tblLayout w:type="fixed"/>
        <w:tblCellMar>
          <w:top w:w="28" w:type="dxa"/>
          <w:left w:w="28" w:type="dxa"/>
          <w:bottom w:w="28" w:type="dxa"/>
          <w:right w:w="28" w:type="dxa"/>
        </w:tblCellMar>
      </w:tblPr>
      <w:tblGrid>
        <w:gridCol w:w="710"/>
        <w:gridCol w:w="624"/>
        <w:gridCol w:w="630"/>
        <w:gridCol w:w="212"/>
        <w:gridCol w:w="833"/>
        <w:gridCol w:w="109"/>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Americas</w:t>
            </w:r>
            <w:r>
              <w:rPr>
                <w:color w:val="000000"/>
              </w:rPr>
              <w:t xml:space="preserve"> </w:t>
            </w:r>
            <w:r>
              <w:rPr>
                <w:rFonts w:ascii="Times New Roman;sans-serif" w:hAnsi="Times New Roman;sans-serif"/>
                <w:b w:val="false"/>
                <w:color w:val="000000"/>
                <w:sz w:val="13"/>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364,771 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20: Other Income,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w:t>
      </w:r>
    </w:p>
    <w:tbl>
      <w:tblPr>
        <w:tblW w:w="10205" w:type="dxa"/>
        <w:jc w:val="center"/>
        <w:tblInd w:w="0" w:type="dxa"/>
        <w:tblLayout w:type="fixed"/>
        <w:tblCellMar>
          <w:top w:w="28" w:type="dxa"/>
          <w:left w:w="28" w:type="dxa"/>
          <w:bottom w:w="28" w:type="dxa"/>
          <w:right w:w="28" w:type="dxa"/>
        </w:tblCellMar>
      </w:tblPr>
      <w:tblGrid>
        <w:gridCol w:w="1957"/>
        <w:gridCol w:w="1702"/>
        <w:gridCol w:w="16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aircraft (see Note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contingent consideration (see Note 17)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(payments) related to interest rate swap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$1,397 and $(5,799) for the three months ended June 30, 2023 and 2022, respectively, and $2,258 and $(6,563) for the six months ended June 30, 2023 and 2022, respectively.</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(expense) income, net includes investment impairment charges of $(7,318) for the three and six months ended June 30, 2023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21: Net Income Per Share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June 30, 2023 and 2022, there were 368,283 and 356,946 participating securities outstanding,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color w:val="212529"/>
          <w:sz w:val="20"/>
        </w:rPr>
        <w:t xml:space="preserve">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numerator, interest expense, net of tax, attributable to the assumed conversion of the</w:t>
      </w:r>
      <w:r>
        <w:rPr>
          <w:color w:val="000000"/>
        </w:rPr>
        <w:t xml:space="preserve"> </w:t>
      </w:r>
      <w:r>
        <w:rPr>
          <w:rFonts w:ascii="Times New Roman;sans-serif" w:hAnsi="Times New Roman;sans-serif"/>
          <w:b w:val="false"/>
          <w:color w:val="000000"/>
          <w:sz w:val="20"/>
        </w:rPr>
        <w:t>convertible senior notes</w:t>
      </w:r>
      <w:r>
        <w:rPr>
          <w:color w:val="212529"/>
        </w:rPr>
        <w:t xml:space="preserve"> </w:t>
      </w:r>
      <w:r>
        <w:rPr>
          <w:rFonts w:ascii="Times New Roman;sans-serif" w:hAnsi="Times New Roman;sans-serif"/>
          <w:b w:val="false"/>
          <w:color w:val="212529"/>
          <w:sz w:val="20"/>
        </w:rPr>
        <w:t xml:space="preserve">is added back to basic net income attributable to common stockholders. 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denominator, the basic weighted average number of shares is adjusted for the effect of dilutive securities, including awards under the Company’s equity compensation plans and ESPP, and for the dilutive </w:t>
      </w:r>
      <w:r>
        <w:rPr>
          <w:rFonts w:ascii="Times New Roman;sans-serif" w:hAnsi="Times New Roman;sans-serif"/>
          <w:b w:val="false"/>
          <w:color w:val="000000"/>
          <w:sz w:val="20"/>
        </w:rPr>
        <w:t xml:space="preserve">effect of the assumed conversion of the convertible senior notes. </w:t>
      </w:r>
      <w:r>
        <w:rPr>
          <w:rFonts w:ascii="Times New Roman;sans-serif" w:hAnsi="Times New Roman;sans-serif"/>
          <w:b w:val="false"/>
          <w:color w:val="212529"/>
          <w:sz w:val="20"/>
        </w:rPr>
        <w:t>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attributable to common stockholders is computed by dividing diluted net </w:t>
      </w:r>
      <w:r>
        <w:rPr>
          <w:rFonts w:ascii="Times New Roman;sans-serif" w:hAnsi="Times New Roman;sans-serif"/>
          <w:b w:val="false"/>
          <w:color w:val="000000"/>
          <w:sz w:val="20"/>
        </w:rPr>
        <w:t>income</w:t>
      </w:r>
      <w:r>
        <w:rPr>
          <w:color w:val="212529"/>
        </w:rPr>
        <w:t xml:space="preserve"> </w:t>
      </w:r>
      <w:r>
        <w:rPr>
          <w:rFonts w:ascii="Times New Roman;sans-serif" w:hAnsi="Times New Roman;sans-serif"/>
          <w:b w:val="false"/>
          <w:color w:val="212529"/>
          <w:sz w:val="20"/>
        </w:rPr>
        <w:t>attributable to common stockholders by the weighted average number of fully diluted common shares.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noBreakHyphen/>
        <w:t>class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details of basic and diluted net income per share are as follows</w:t>
      </w:r>
      <w:r>
        <w:rPr>
          <w:rFonts w:ascii="Times New Roman;sans-serif" w:hAnsi="Times New Roman;sans-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409"/>
        <w:gridCol w:w="1129"/>
        <w:gridCol w:w="1132"/>
        <w:gridCol w:w="109"/>
        <w:gridCol w:w="109"/>
        <w:gridCol w:w="109"/>
        <w:gridCol w:w="268"/>
        <w:gridCol w:w="918"/>
        <w:gridCol w:w="109"/>
        <w:gridCol w:w="109"/>
        <w:gridCol w:w="109"/>
        <w:gridCol w:w="109"/>
        <w:gridCol w:w="268"/>
        <w:gridCol w:w="918"/>
        <w:gridCol w:w="109"/>
        <w:gridCol w:w="109"/>
        <w:gridCol w:w="109"/>
        <w:gridCol w:w="109"/>
        <w:gridCol w:w="268"/>
        <w:gridCol w:w="918"/>
        <w:gridCol w:w="109"/>
        <w:gridCol w:w="109"/>
        <w:gridCol w:w="109"/>
        <w:gridCol w:w="109"/>
        <w:gridCol w:w="241"/>
        <w:gridCol w:w="945"/>
        <w:gridCol w:w="156"/>
      </w:tblGrid>
      <w:tr>
        <w:trPr/>
        <w:tc>
          <w:tcPr>
            <w:tcW w:w="14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308,244,778 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308,512,924 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5,854,791 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17,667,623 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332,208,435 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 common shares were excluded from the calculation of diluted net income per share attributable to common stockholders because their effect would have been anti</w:t>
        <w:noBreakHyphen/>
        <w:t>dilutive for the periods presented:</w:t>
      </w:r>
    </w:p>
    <w:tbl>
      <w:tblPr>
        <w:tblW w:w="7119" w:type="dxa"/>
        <w:jc w:val="center"/>
        <w:tblInd w:w="0" w:type="dxa"/>
        <w:tblLayout w:type="fixed"/>
        <w:tblCellMar>
          <w:top w:w="28" w:type="dxa"/>
          <w:left w:w="28" w:type="dxa"/>
          <w:bottom w:w="28" w:type="dxa"/>
          <w:right w:w="28" w:type="dxa"/>
        </w:tblCellMar>
      </w:tblPr>
      <w:tblGrid>
        <w:gridCol w:w="879"/>
        <w:gridCol w:w="769"/>
        <w:gridCol w:w="781"/>
        <w:gridCol w:w="221"/>
        <w:gridCol w:w="195"/>
        <w:gridCol w:w="195"/>
        <w:gridCol w:w="195"/>
        <w:gridCol w:w="195"/>
        <w:gridCol w:w="195"/>
        <w:gridCol w:w="451"/>
        <w:gridCol w:w="375"/>
        <w:gridCol w:w="195"/>
        <w:gridCol w:w="109"/>
        <w:gridCol w:w="109"/>
        <w:gridCol w:w="109"/>
        <w:gridCol w:w="203"/>
        <w:gridCol w:w="203"/>
        <w:gridCol w:w="169"/>
        <w:gridCol w:w="169"/>
        <w:gridCol w:w="169"/>
        <w:gridCol w:w="169"/>
        <w:gridCol w:w="413"/>
        <w:gridCol w:w="413"/>
        <w:gridCol w:w="238"/>
      </w:tblGrid>
      <w:tr>
        <w:trPr/>
        <w:tc>
          <w:tcPr>
            <w:tcW w:w="87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4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223,731 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2022 Annual Report on Form 10</w:t>
        <w:noBreakHyphen/>
        <w:t>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software for infrastructure engineering, and enable infrastructure professionals and their organizations, by “going digital” through our software and cloud services offerings, to better design, build, and operate better infrastructure. Our users engineer, construct, and operate projects and assets across the following infrastructure sectors: public works/utilities, resources, industrial, and commercial/facilities.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enduring commitment is to develop and support the most comprehensive portfolio of integrated software offerings across professional disciplines, project and asset lifecycles, infrastructure sectors, and geographies. We deliver our solutions via on</w:t>
        <w:noBreakHyphen/>
        <w:t>premises, cloud, and hybrid environments. Our software enables digital workflows across engineering disciplines, across distributed project teams, and from offices to the field.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offerings, in particular our infrastructure digital twin solutions, empower the achievement of sustainable development goals by helping our users – infrastructure professionals – realize outcomes that are more sustainable and resilient.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10205" w:type="dxa"/>
        <w:jc w:val="center"/>
        <w:tblInd w:w="0" w:type="dxa"/>
        <w:tblLayout w:type="fixed"/>
        <w:tblCellMar>
          <w:top w:w="28" w:type="dxa"/>
          <w:left w:w="28" w:type="dxa"/>
          <w:bottom w:w="28" w:type="dxa"/>
          <w:right w:w="28" w:type="dxa"/>
        </w:tblCellMar>
      </w:tblPr>
      <w:tblGrid>
        <w:gridCol w:w="1349"/>
        <w:gridCol w:w="1156"/>
        <w:gridCol w:w="1165"/>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investments accounted for using the equity method,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311,914,602 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308,244,778 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311,366,371 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308,512,924 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332,352,725 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332,275,216 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331,831,973 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332,208,435 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Comparison of the Three and Six Months Ended June 30, 2023 and 2022</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8725" w:type="dxa"/>
        <w:jc w:val="center"/>
        <w:tblInd w:w="0" w:type="dxa"/>
        <w:tblLayout w:type="fixed"/>
        <w:tblCellMar>
          <w:top w:w="28" w:type="dxa"/>
          <w:left w:w="28" w:type="dxa"/>
          <w:bottom w:w="28" w:type="dxa"/>
          <w:right w:w="28" w:type="dxa"/>
        </w:tblCellMar>
      </w:tblPr>
      <w:tblGrid>
        <w:gridCol w:w="820"/>
        <w:gridCol w:w="721"/>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271"/>
        <w:gridCol w:w="109"/>
        <w:gridCol w:w="109"/>
        <w:gridCol w:w="109"/>
        <w:gridCol w:w="255"/>
        <w:gridCol w:w="256"/>
        <w:gridCol w:w="52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785" w:type="dxa"/>
        <w:jc w:val="center"/>
        <w:tblInd w:w="0" w:type="dxa"/>
        <w:tblLayout w:type="fixed"/>
        <w:tblCellMar>
          <w:top w:w="28" w:type="dxa"/>
          <w:left w:w="28" w:type="dxa"/>
          <w:bottom w:w="28" w:type="dxa"/>
          <w:right w:w="28" w:type="dxa"/>
        </w:tblCellMar>
      </w:tblPr>
      <w:tblGrid>
        <w:gridCol w:w="820"/>
        <w:gridCol w:w="721"/>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331"/>
        <w:gridCol w:w="109"/>
        <w:gridCol w:w="109"/>
        <w:gridCol w:w="109"/>
        <w:gridCol w:w="255"/>
        <w:gridCol w:w="256"/>
        <w:gridCol w:w="52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for the three months ended June 30, 2023 was primarily driven by increases in subscriptions revenues, and to a lesser extent, services and perpetual licenses revenues. The increase in total revenues for the six months ended June 30, 2023 was primarily driven by increases in subscriptions revenues, and to a lesser extent, services revenues. Partially offsetting these increases were decreases in perpetual licenses revenues for the six months ended June 30, 2023.</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Subscriptions</w:t>
      </w:r>
      <w:r>
        <w:rPr>
          <w:rFonts w:ascii="Times New Roman;sans-serif" w:hAnsi="Times New Roman;sans-serif"/>
          <w:b w:val="false"/>
          <w:color w:val="000000"/>
          <w:sz w:val="20"/>
        </w:rPr>
        <w:t>. For the three months ended June 30, 2023, the increase in subscriptions revenues was driven by improvements in our business performance of approximately $27,052 ($25,364 on a constant currency basis). Our business performance excludes the impact of our platform acquisitions and includes the impact from programmatic acquisitions, which generally are immaterial, individually and in the aggregate.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increase in subscriptions revenues was primarily driven by improvements in our business performance of approximately $59,363 ($64,351 on a constant currency basis) and the impact from our platform acquisition of approximately $4,301 ($4,330 on a constant currency basis). The platform acquisition impact relates to our acquisition of PLS and is inclusive of PLS’ organic performance.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improvements in business performance were primarily driven by expansion from accounts with revenues in the prior period (“existing accounts”), and growth of 3% attributable to new accounts, most notably smaller- and medium-sized accounts. Improvements in business performance for the three and six months ended June 30, 2023 were led by our civil and structural engineering applications, geoprofessional applications, and our Enterprise Systems for project delivery.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Perpetual licenses</w:t>
      </w:r>
      <w:r>
        <w:rPr>
          <w:rFonts w:ascii="Times New Roman;sans-serif" w:hAnsi="Times New Roman;sans-serif"/>
          <w:b w:val="false"/>
          <w:color w:val="000000"/>
          <w:sz w:val="20"/>
        </w:rPr>
        <w:t>. For the three months ended June 30, 2023, the increase in perpetual licenses revenues was driven by improvements in business performance of approximately $170 ($163 on a constant currency basis). For the six months ended June 30, 2023, the decrease in perpetual licenses revenues was driven by a decline in business performance of approximately $488 ($158 on a constant currency basis).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Services.</w:t>
      </w:r>
      <w:r>
        <w:rPr>
          <w:color w:val="000000"/>
        </w:rPr>
        <w:t xml:space="preserve"> </w:t>
      </w:r>
      <w:r>
        <w:rPr>
          <w:rFonts w:ascii="Times New Roman;sans-serif" w:hAnsi="Times New Roman;sans-serif"/>
          <w:b w:val="false"/>
          <w:color w:val="000000"/>
          <w:sz w:val="20"/>
        </w:rPr>
        <w:t>For the three and six months ended June 30, 2023, the increase in services revenues was driven by improvements in our business performance of approximately $1,242 ($1,486 on a constant currency basis) and $4,182 ($5,659 on a constant currency basis),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improvements in business performance were primarily driven by contributions from Cohesive digital integrator services of approximately $1,597 ($1,829 on a constant currency basis) and $5,179 ($6,445 on a constant currency basis),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by Geographic Region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 Revenues by geographic region are as follows:</w:t>
      </w:r>
    </w:p>
    <w:tbl>
      <w:tblPr>
        <w:tblW w:w="7780" w:type="dxa"/>
        <w:jc w:val="center"/>
        <w:tblInd w:w="0" w:type="dxa"/>
        <w:tblLayout w:type="fixed"/>
        <w:tblCellMar>
          <w:top w:w="28" w:type="dxa"/>
          <w:left w:w="28" w:type="dxa"/>
          <w:bottom w:w="28" w:type="dxa"/>
          <w:right w:w="28" w:type="dxa"/>
        </w:tblCellMar>
      </w:tblPr>
      <w:tblGrid>
        <w:gridCol w:w="477"/>
        <w:gridCol w:w="420"/>
        <w:gridCol w:w="42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271"/>
        <w:gridCol w:w="109"/>
        <w:gridCol w:w="109"/>
        <w:gridCol w:w="109"/>
        <w:gridCol w:w="255"/>
        <w:gridCol w:w="256"/>
        <w:gridCol w:w="52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780" w:type="dxa"/>
        <w:jc w:val="center"/>
        <w:tblInd w:w="0" w:type="dxa"/>
        <w:tblLayout w:type="fixed"/>
        <w:tblCellMar>
          <w:top w:w="28" w:type="dxa"/>
          <w:left w:w="28" w:type="dxa"/>
          <w:bottom w:w="28" w:type="dxa"/>
          <w:right w:w="28" w:type="dxa"/>
        </w:tblCellMar>
      </w:tblPr>
      <w:tblGrid>
        <w:gridCol w:w="477"/>
        <w:gridCol w:w="420"/>
        <w:gridCol w:w="42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271"/>
        <w:gridCol w:w="109"/>
        <w:gridCol w:w="109"/>
        <w:gridCol w:w="109"/>
        <w:gridCol w:w="255"/>
        <w:gridCol w:w="256"/>
        <w:gridCol w:w="52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Americas</w:t>
      </w:r>
      <w:r>
        <w:rPr>
          <w:rFonts w:ascii="Times New Roman;sans-serif" w:hAnsi="Times New Roman;sans-serif"/>
          <w:b w:val="false"/>
          <w:color w:val="000000"/>
          <w:sz w:val="20"/>
        </w:rPr>
        <w:t>. For the three months ended June 30, 2023, the increase in revenues from the Americas was driven by improvements in our business performance of approximately $14,477 ($14,224 on a constant currency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increase in revenues from the Americas was primarily driven by improvements in our business performance of approximately $24,872 ($25,174 on a constant currency basis) and the impact from our platform acquisition of approximately $3,690 ($3,697 on a constant currency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and six months ended June 30, 2023 were primarily due to expansion of our subscriptions revenues from existing accounts in the U.S.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EMEA</w:t>
      </w:r>
      <w:r>
        <w:rPr>
          <w:rFonts w:ascii="Times New Roman;sans-serif" w:hAnsi="Times New Roman;sans-serif"/>
          <w:b w:val="false"/>
          <w:color w:val="000000"/>
          <w:sz w:val="20"/>
        </w:rPr>
        <w:t>. For the three and six months ended June 30, 2023, the increase in revenues from EMEA was primarily driven by improvements in our business performance of approximately $8,644 ($7,270 on a constant currency basis) and $23,547 ($27,164 on a constant currency basis),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June 30, 2023 were primarily due to expansion of our subscriptions revenues from existing accounts in Central Europe and the Middle East. Partially offsetting these increases were reductions in Russia due to exiting our operations beginning in the second quarter of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six months ended June 30, 2023 were primarily due to expansion of our subscriptions revenues from existing accounts in the U.K., the Middle East, and Africa, partially offset by reductions in Russia due to exiting our operations beginning in the second quarter of 2022.</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APAC.</w:t>
      </w:r>
      <w:r>
        <w:rPr>
          <w:color w:val="000000"/>
        </w:rPr>
        <w:t xml:space="preserve"> </w:t>
      </w:r>
      <w:r>
        <w:rPr>
          <w:rFonts w:ascii="Times New Roman;sans-serif" w:hAnsi="Times New Roman;sans-serif"/>
          <w:b w:val="false"/>
          <w:color w:val="000000"/>
          <w:sz w:val="20"/>
        </w:rPr>
        <w:t>For the three and six months ended June 30, 2023, the increase in revenues from APAC was primarily driven by improvements in our business performance of approximately $5,343 ($5,519 on a constant currency basis) and $14,638 ($17,514 on a constant currency basis),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June 30, 2023 were primarily due to expansion of our subscriptions revenues from existing accounts in India and Australia, partially offset by declines in China.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six months ended June 30, 2023 were primarily due to expansion of our subscriptions revenues from existing accounts in India, Australia, and Southeast Asia.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 China for the three and six months ended June 30, 2023 decreased as compared to the same periods in the prior year. The future results in China remain uncertain as a result of continued geopolitical challenges, the obstacles there to cloud</w:t>
        <w:noBreakHyphen/>
        <w:t>deployed software, and the financial timing impact of the preference there for license sales, rather than subscriptions, of locally-developed solutions based on our platforms.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9010"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271"/>
        <w:gridCol w:w="109"/>
        <w:gridCol w:w="109"/>
        <w:gridCol w:w="109"/>
        <w:gridCol w:w="255"/>
        <w:gridCol w:w="256"/>
        <w:gridCol w:w="526"/>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9325" w:type="dxa"/>
        <w:jc w:val="center"/>
        <w:tblInd w:w="0" w:type="dxa"/>
        <w:tblLayout w:type="fixed"/>
        <w:tblCellMar>
          <w:top w:w="28" w:type="dxa"/>
          <w:left w:w="28" w:type="dxa"/>
          <w:bottom w:w="28" w:type="dxa"/>
          <w:right w:w="28" w:type="dxa"/>
        </w:tblCellMar>
      </w:tblPr>
      <w:tblGrid>
        <w:gridCol w:w="1038"/>
        <w:gridCol w:w="911"/>
        <w:gridCol w:w="91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271"/>
        <w:gridCol w:w="109"/>
        <w:gridCol w:w="109"/>
        <w:gridCol w:w="109"/>
        <w:gridCol w:w="255"/>
        <w:gridCol w:w="256"/>
        <w:gridCol w:w="526"/>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Cost of subscriptions and licenses. </w:t>
      </w:r>
      <w:r>
        <w:rPr>
          <w:rFonts w:ascii="Times New Roman;sans-serif" w:hAnsi="Times New Roman;sans-serif"/>
          <w:b w:val="false"/>
          <w:color w:val="000000"/>
          <w:sz w:val="20"/>
        </w:rPr>
        <w:t>For the three and six months ended June 30, 2023, on a constant currency basis, cost of subscriptions and licenses increased primarily due to an increase in headcount</w:t>
        <w:noBreakHyphen/>
        <w:t>related costs of approximately $3,737 and $8,232, respectively, mainly due to increases in headcount and annual compensation costs. Cost of subscriptions and licenses also increased due to an increase in cloud</w:t>
        <w:noBreakHyphen/>
        <w:t>related costs of approximately $596 and $2,740 for the three and six months ended June 30, 2023, respectively.</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Cost of services. </w:t>
      </w:r>
      <w:r>
        <w:rPr>
          <w:rFonts w:ascii="Times New Roman;sans-serif" w:hAnsi="Times New Roman;sans-serif"/>
          <w:b w:val="false"/>
          <w:color w:val="000000"/>
          <w:sz w:val="20"/>
        </w:rPr>
        <w:t>For the three months ended June 30, 2023, on a constant currency basis, cost of services increased primarily due to an increase in headcount-related costs of approximately $2,870, mainly due to third-party personnel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on a constant currency basis, cost of services increased primarily due to an increase in headcount-related costs of approximately $8,306, mainly due to third-party personnel costs, and to a lesser extent, increases in headcount.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 (Income)</w:t>
      </w:r>
    </w:p>
    <w:tbl>
      <w:tblPr>
        <w:tblW w:w="9759" w:type="dxa"/>
        <w:jc w:val="center"/>
        <w:tblInd w:w="0" w:type="dxa"/>
        <w:tblLayout w:type="fixed"/>
        <w:tblCellMar>
          <w:top w:w="28" w:type="dxa"/>
          <w:left w:w="28" w:type="dxa"/>
          <w:bottom w:w="28" w:type="dxa"/>
          <w:right w:w="28" w:type="dxa"/>
        </w:tblCellMar>
      </w:tblPr>
      <w:tblGrid>
        <w:gridCol w:w="1174"/>
        <w:gridCol w:w="1030"/>
        <w:gridCol w:w="103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331"/>
        <w:gridCol w:w="109"/>
        <w:gridCol w:w="109"/>
        <w:gridCol w:w="109"/>
        <w:gridCol w:w="255"/>
        <w:gridCol w:w="256"/>
        <w:gridCol w:w="526"/>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9759" w:type="dxa"/>
        <w:jc w:val="center"/>
        <w:tblInd w:w="0" w:type="dxa"/>
        <w:tblLayout w:type="fixed"/>
        <w:tblCellMar>
          <w:top w:w="28" w:type="dxa"/>
          <w:left w:w="28" w:type="dxa"/>
          <w:bottom w:w="28" w:type="dxa"/>
          <w:right w:w="28" w:type="dxa"/>
        </w:tblCellMar>
      </w:tblPr>
      <w:tblGrid>
        <w:gridCol w:w="1174"/>
        <w:gridCol w:w="1030"/>
        <w:gridCol w:w="103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331"/>
        <w:gridCol w:w="109"/>
        <w:gridCol w:w="109"/>
        <w:gridCol w:w="109"/>
        <w:gridCol w:w="255"/>
        <w:gridCol w:w="256"/>
        <w:gridCol w:w="526"/>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Percentage changes that are considered not meaningful are denoted with NM.</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For the three and six months ended June 30, 2023, on a constant currency basis, research and development expenses increased primarily due to an increase in headcount-related costs of approximately $6,666 and $15,294, respectively, mainly due to increases in headcount and annual compensation costs.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Selling and marketing. </w:t>
      </w:r>
      <w:r>
        <w:rPr>
          <w:rFonts w:ascii="Times New Roman;sans-serif" w:hAnsi="Times New Roman;sans-serif"/>
          <w:b w:val="false"/>
          <w:color w:val="000000"/>
          <w:sz w:val="20"/>
        </w:rPr>
        <w:t>For the three months ended June 30, 2023, on a constant currency basis, selling and marketing expenses increased primarily due to an increase in headcount-related costs of approximately $5,481, mainly due to increases in headcount and annual compensation costs, and to a lesser extent, an increase in variable compensation costs. The three months ended June 30, 2022 included $1,123 of asset impairments and $826 of termination benefits as a result of our decision to wind down business and exit the Russian market beginning in the second quarter of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on a constant currency basis, selling and marketing expenses increased primarily due to an increase in headcount-related costs of approximately $12,622, mainly due to increases in headcount, and to a lesser extent, an increase in stock</w:t>
        <w:noBreakHyphen/>
        <w:t>based compensation expense, variable compensation costs, and travel-related costs. The six months ended June 30, 2022 included $1,123 of asset impairments and $826 of termination benefits as a result of our decision to wind down business and exit the Russian market beginning in the second quarter of 2022.</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For the three months ended June 30, 2023, on a constant currency basis, general and administrative expenses decreased primarily due to lower non</w:t>
        <w:noBreakHyphen/>
        <w:t>income related taxes of approximately $3,429. The three months ended June 30, 2022 included $1,085 of asset impairments as a result of our decision to wind down business and exit the Russian market beginning in the second quarter of 2022. Partially offsetting these decreases were increases in headcount and annual compensation costs of approximately $4,218.</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on a constant currency basis, general and administrative expenses decreased primarily due to lower acquisition expenses of approximately $5,851 (acquisition expenses were $5,298 for the six months ended June 30, 2023 compared to $11,251 for the six months ended June 30, 2022), lower non</w:t>
        <w:noBreakHyphen/>
        <w:t>income related taxes of approximately $5,066, and a decrease in facility-related costs of approximately $1,631. Costs resulting from our decision to wind down business and exit the Russian market beginning in the second quarter of 2022 were approximately $3,050 lower in the current year period. Partially offsetting these decreases were increases in headcount-related costs of approximately $11,677, mainly due to increases in headcount and annual compensation costs, and to a lesser extent, an increase in stock</w:t>
        <w:noBreakHyphen/>
        <w:t>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Deferred compensation plan</w:t>
      </w:r>
      <w:r>
        <w:rPr>
          <w:rFonts w:ascii="Times New Roman;sans-serif" w:hAnsi="Times New Roman;sans-serif"/>
          <w:b w:val="false"/>
          <w:color w:val="000000"/>
          <w:sz w:val="20"/>
        </w:rPr>
        <w:t>. For the three months ended June 30, 2023, deferred compensation plan expense was $3,777 as compared to deferred compensation plan income of $12,159 for the three months ended June 30, 2022. For the six months ended June 30, 2023, deferred compensation plan expense was $7,923 as compared to deferred compensation plan income of $17,297 for the six months ended June 30, 2022. These amounts were attributable to the marked to market impact on deferred compensation plan liability balances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Amortization of purchased intangibles.</w:t>
      </w:r>
      <w:r>
        <w:rPr>
          <w:color w:val="000000"/>
        </w:rPr>
        <w:t xml:space="preserve"> </w:t>
      </w:r>
      <w:r>
        <w:rPr>
          <w:rFonts w:ascii="Times New Roman;sans-serif" w:hAnsi="Times New Roman;sans-serif"/>
          <w:b w:val="false"/>
          <w:color w:val="000000"/>
          <w:sz w:val="20"/>
        </w:rPr>
        <w:t>For the three and six months ended June 30, 2023, on a constant currency basis, amortization of purchased intangibles decreased primarily due to previously acquired intangible assets that continue to become fully amortized and lower acquisition activity as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tbl>
      <w:tblPr>
        <w:tblW w:w="6611" w:type="dxa"/>
        <w:jc w:val="center"/>
        <w:tblInd w:w="0" w:type="dxa"/>
        <w:tblLayout w:type="fixed"/>
        <w:tblCellMar>
          <w:top w:w="28" w:type="dxa"/>
          <w:left w:w="28" w:type="dxa"/>
          <w:bottom w:w="28" w:type="dxa"/>
          <w:right w:w="28" w:type="dxa"/>
        </w:tblCellMar>
      </w:tblPr>
      <w:tblGrid>
        <w:gridCol w:w="641"/>
        <w:gridCol w:w="562"/>
        <w:gridCol w:w="567"/>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55"/>
        <w:gridCol w:w="256"/>
        <w:gridCol w:w="31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821" w:type="dxa"/>
        <w:jc w:val="center"/>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55"/>
        <w:gridCol w:w="256"/>
        <w:gridCol w:w="31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Comparison</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Percentage changes that are considered not meaningful are denoted with NM.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interest expense, net increased primarily due to a higher weighted average interest rate on borrowings under the revolving loan facility and on the Term Loan, partially offset by lower weighted average debt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tbl>
      <w:tblPr>
        <w:tblW w:w="9899" w:type="dxa"/>
        <w:jc w:val="center"/>
        <w:tblInd w:w="0" w:type="dxa"/>
        <w:tblLayout w:type="fixed"/>
        <w:tblCellMar>
          <w:top w:w="28" w:type="dxa"/>
          <w:left w:w="28" w:type="dxa"/>
          <w:bottom w:w="28" w:type="dxa"/>
          <w:right w:w="28" w:type="dxa"/>
        </w:tblCellMar>
      </w:tblPr>
      <w:tblGrid>
        <w:gridCol w:w="1816"/>
        <w:gridCol w:w="1600"/>
        <w:gridCol w:w="160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aircraft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contingent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(payments) related to interest rate swap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$1,397 and $(5,799) for the three months ended June 30, 2023 and 2022, respectively, and $2,258 and $(6,563) for the six months ended June 30, 2023 and 2022, respectively.</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(expense) income, net includes investment impairment charges of $(7,318) for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(Benefit) Provision for Income Taxes</w:t>
      </w:r>
    </w:p>
    <w:tbl>
      <w:tblPr>
        <w:tblW w:w="8972" w:type="dxa"/>
        <w:jc w:val="center"/>
        <w:tblInd w:w="0" w:type="dxa"/>
        <w:tblLayout w:type="fixed"/>
        <w:tblCellMar>
          <w:top w:w="28" w:type="dxa"/>
          <w:left w:w="28" w:type="dxa"/>
          <w:bottom w:w="28" w:type="dxa"/>
          <w:right w:w="28" w:type="dxa"/>
        </w:tblCellMar>
      </w:tblPr>
      <w:tblGrid>
        <w:gridCol w:w="1095"/>
        <w:gridCol w:w="965"/>
        <w:gridCol w:w="96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6"/>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effective tax rate was higher compared to the prior year period primarily due to the increase in the forecasted effective tax rate impact of the GILTI inclusion due to the mandatory capitalization of research and development expenses for U.S. tax purposes, partially offset by an increase in discrete tax benefits recognized in the current year period. For the three months ended June 30, 2023 and 2022, we recorded discrete tax benefits of $20,394 and $19,024, respectively, primarily associated with windfall tax benefits from stock</w:t>
        <w:noBreakHyphen/>
        <w:t>based compensation, net of the impact from officer compensation limitation provisions.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effective tax rate was higher compared to the prior year period primarily due to the decrease in discrete tax benefits recognized in the current year period and the increase in the forecasted effective tax rate impact of the GILTI inclusion due to the mandatory capitalization of research and development expenses for U.S. tax purposes. For the six months ended June 30, 2023 and 2022, we recorded discrete tax benefits of $27,467 and $31,752,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30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82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Twelve-months ended constant currency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ARR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resulting from the annualization of recurring contracts with consumption measurement durations of less than one year, as a percentage of total ARR, was 45% and 40% as of June 30, 2023 and 2022, respectively. Within our consumption</w:t>
        <w:noBreakHyphen/>
        <w:t>measured ARR, the continued transition to our E365 subscription offering has increased daily consumption</w:t>
        <w:noBreakHyphen/>
        <w:t>measured ARR, representing 38% and 32% of total ARR as of June 30, 2023 and 2022, respectively. For the six months ended June 30, 2022, ARR was reduced by $11,190 due to our decision to exit the Russian market.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ARR growth rate is the growth rate of ARR measured on a constant currency basis. We believe that ARR growth is an important metric indicating the scale and growth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Last twelve</w:t>
        <w:noBreakHyphen/>
        <w:t>months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months recurring revenues is calculated as recurring revenues recognized over the preceding twelve</w:t>
        <w:noBreakHyphen/>
        <w:t>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last twelve</w:t>
        <w:noBreakHyphen/>
        <w:t>months recurring revenues for the periods ended June 30, 2023 compared to the last twelve</w:t>
        <w:noBreakHyphen/>
        <w:t>months of the comparative twelve</w:t>
        <w:noBreakHyphen/>
        <w:t>month period increased by $111,143.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including the favorable impact from our platform acquisition of PLS. For the twelve months ended June 30, 2023 and 2022, 89% and 88%, respectively, of our revenues were recurring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Account retention 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for any given twelve-month period is calculated using the average currency exchange rates for the prior period, as follows: the prior period recurring revenues from all accounts with recurring revenues in the current and prior period, divided by total recurring revenues from all accounts during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Recurring revenues dollar</w:t>
        <w:noBreakHyphen/>
        <w:t>based net retention 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that recurring revenues represented 89% of our total revenues for the twelve months ended June 30, 2023, this metric helps explain our revenue performance, excluding the impact from acquisitions, as primarily growth into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OI w/SBC</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our primary performance measure, which excludes certain expenses and charges, including the non-cash amortization expense resulting from the acquisition of intangible assets, as we believe these may not be indicative of the Company’s core business operating results. We intentionally include stock-based compensation expense in this measure as we believe it better captures the economic costs of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income to Adjusted OI w/SBC and to Adjusted operating income:</w:t>
      </w:r>
    </w:p>
    <w:tbl>
      <w:tblPr>
        <w:tblW w:w="8849" w:type="dxa"/>
        <w:jc w:val="center"/>
        <w:tblInd w:w="0" w:type="dxa"/>
        <w:tblLayout w:type="fixed"/>
        <w:tblCellMar>
          <w:top w:w="28" w:type="dxa"/>
          <w:left w:w="28" w:type="dxa"/>
          <w:bottom w:w="28" w:type="dxa"/>
          <w:right w:w="28" w:type="dxa"/>
        </w:tblCellMar>
      </w:tblPr>
      <w:tblGrid>
        <w:gridCol w:w="1248"/>
        <w:gridCol w:w="1097"/>
        <w:gridCol w:w="110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purchased intangibles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plan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expenses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Realignment expenses (income)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 w/SBC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Further explanation of certain of our adjustments in arriving at Adjusted OI w/SBC and Adjusted operating income are as follows: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Amortization of purchased intangibles</w:t>
      </w:r>
      <w:r>
        <w:rPr>
          <w:rFonts w:ascii="Times New Roman;sans-serif" w:hAnsi="Times New Roman;sans-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i/>
          <w:color w:val="000000"/>
          <w:sz w:val="18"/>
        </w:rPr>
        <w:t>Deferred compensation plan</w:t>
      </w:r>
      <w:r>
        <w:rPr>
          <w:rFonts w:ascii="Times New Roman;sans-serif" w:hAnsi="Times New Roman;sans-serif"/>
          <w:b w:val="false"/>
          <w:color w:val="000000"/>
          <w:sz w:val="18"/>
        </w:rPr>
        <w:t xml:space="preserve">. We exclude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 xml:space="preserve">expense (income) when we evaluate our continuing operational performance because it is not 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i/>
          <w:color w:val="000000"/>
          <w:sz w:val="18"/>
        </w:rPr>
        <w:t>Acquisition expenses</w:t>
      </w:r>
      <w:r>
        <w:rPr>
          <w:rFonts w:ascii="Times New Roman;sans-serif" w:hAnsi="Times New Roman;sans-serif"/>
          <w:b w:val="false"/>
          <w:color w:val="000000"/>
          <w:sz w:val="18"/>
        </w:rPr>
        <w:t>. We incur expenses for professional services rendered in connection with business combinations, which are included in our U.S. GAAP presentation of general and administrative expense (See Note 4 to our consolidated financial statements included in Part I, Item 1 of this Quarterly Report on Form 10</w:t>
        <w:noBreakHyphen/>
        <w:t>Q).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 For the three and six months ended June 30, 2022, $26 and $9,799, respectively, of our acquisition expenses related to our platform acquisition of PLS.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i/>
          <w:color w:val="000000"/>
          <w:sz w:val="18"/>
        </w:rPr>
        <w:t>Realignment expenses (income)</w:t>
      </w:r>
      <w:r>
        <w:rPr>
          <w:rFonts w:ascii="Times New Roman;sans-serif" w:hAnsi="Times New Roman;sans-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 For the three and six months ended June 30, 2022,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 xml:space="preserve">were comprised of asset impairments and termination benefits as a result of our decision to wind down business and exit the Russian market beginning in the second quarter of 2022. For the three and six months ended June 30, 2023, </w:t>
      </w:r>
      <w:r>
        <w:rPr>
          <w:rFonts w:ascii="Times New Roman;sans-serif" w:hAnsi="Times New Roman;sans-serif"/>
          <w:b w:val="false"/>
          <w:i/>
          <w:color w:val="000000"/>
          <w:sz w:val="18"/>
        </w:rPr>
        <w:t>Realignment expenses (income)</w:t>
      </w:r>
      <w:r>
        <w:rPr>
          <w:color w:val="000000"/>
        </w:rPr>
        <w:t xml:space="preserve"> </w:t>
      </w:r>
      <w:r>
        <w:rPr>
          <w:rFonts w:ascii="Times New Roman;sans-serif" w:hAnsi="Times New Roman;sans-serif"/>
          <w:b w:val="false"/>
          <w:color w:val="000000"/>
          <w:sz w:val="18"/>
        </w:rPr>
        <w:t>primarily relates to the continued wind down of our Russian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both"/>
        <w:rPr/>
      </w:pPr>
      <w:r>
        <w:rPr>
          <w:rFonts w:ascii="Times New Roman;sans-serif" w:hAnsi="Times New Roman;sans-serif"/>
          <w:b w:val="false"/>
          <w:color w:val="000000"/>
          <w:sz w:val="18"/>
        </w:rPr>
        <w:t>(5)</w:t>
      </w:r>
      <w:r>
        <w:rPr>
          <w:rFonts w:ascii="Times New Roman;sans-serif" w:hAnsi="Times New Roman;sans-serif"/>
          <w:b w:val="false"/>
          <w:i/>
          <w:color w:val="000000"/>
          <w:sz w:val="18"/>
        </w:rPr>
        <w:t>Stock</w:t>
        <w:noBreakHyphen/>
        <w:t>based compensation expense</w:t>
      </w:r>
      <w:r>
        <w:rPr>
          <w:rFonts w:ascii="Times New Roman;sans-serif" w:hAnsi="Times New Roman;sans-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Constant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non-GAAP financial measures that present our results of operations excluding the estimated effects of foreign currency exchange rate fluctuations. We have operations outside the U.S. that are conducted in local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reporting period</w:t>
        <w:noBreakHyphen/>
        <w:t>over</w:t>
        <w:noBreakHyphen/>
        <w:t>period results, we calculate the effects of foreign currency fluctuations and constant currency information by translating current period results using prior period average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primary source of operating cash is from the sale of subscriptions, perpetual licenses, and services. Our primary use of cash is payment of our operating costs, which consist primarily of headcount</w:t>
        <w:noBreakHyphen/>
        <w:t xml:space="preserve">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 including our </w:t>
      </w:r>
      <w:r>
        <w:rPr>
          <w:rFonts w:ascii="Times New Roman;sans-serif" w:hAnsi="Times New Roman;sans-serif"/>
          <w:b w:val="false"/>
          <w:i/>
          <w:color w:val="000000"/>
          <w:sz w:val="20"/>
        </w:rPr>
        <w:t>iTwin Ventures</w:t>
      </w:r>
      <w:r>
        <w:rPr>
          <w:color w:val="000000"/>
        </w:rPr>
        <w:t xml:space="preserve"> </w:t>
      </w:r>
      <w:r>
        <w:rPr>
          <w:rFonts w:ascii="Times New Roman;sans-serif" w:hAnsi="Times New Roman;sans-serif"/>
          <w:b w:val="false"/>
          <w:color w:val="000000"/>
          <w:sz w:val="20"/>
        </w:rPr>
        <w:t>initiative which makes seed, early, and growth stage investments in technology companies with promising and emerging opportunities for infrastructure digital twin solutions potentially relevant to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require that certain equity awardees receive gross or net quantities of shares of our Class B Common Stock. On a gross basis, this determination is most meaningfully for the issuance of shares in connection with our executive bonus plan incentive compensation and distributions from the DCP, as awardees promptly reimburse to us the cash required for their tax withholding amounts. On a net basis, shares are withheld in consideration of remitting withholding taxes on behalf of equity awardees, thereby requiring us to remit cash for the tax withholdings. During the six months ended June 30, 2023, and the first quarter of 2022, we allowed certain equity awardees the option to receive net quantities of shares of our Class B Common Stock, whereas during the second quarter of 2022, we exercised our right to require that certain equity awardees receive gross quantities of shares of our Class B Common Stock. We will continue to evaluate whether share awards will be required to be received by awardees on a gross basis, or if net settlement may be elected by awardees.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existing domestic and international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tbl>
      <w:tblPr>
        <w:tblW w:w="7111" w:type="dxa"/>
        <w:jc w:val="center"/>
        <w:tblInd w:w="0" w:type="dxa"/>
        <w:tblLayout w:type="fixed"/>
        <w:tblCellMar>
          <w:top w:w="28" w:type="dxa"/>
          <w:left w:w="28" w:type="dxa"/>
          <w:bottom w:w="28" w:type="dxa"/>
          <w:right w:w="28" w:type="dxa"/>
        </w:tblCellMar>
      </w:tblPr>
      <w:tblGrid>
        <w:gridCol w:w="1651"/>
        <w:gridCol w:w="1452"/>
        <w:gridCol w:w="1456"/>
        <w:gridCol w:w="211"/>
        <w:gridCol w:w="721"/>
        <w:gridCol w:w="109"/>
        <w:gridCol w:w="109"/>
        <w:gridCol w:w="109"/>
        <w:gridCol w:w="109"/>
        <w:gridCol w:w="229"/>
        <w:gridCol w:w="786"/>
        <w:gridCol w:w="169"/>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11" w:type="dxa"/>
            <w:gridSpan w:val="6"/>
            <w:tcBorders/>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domestically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 foreign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Long-term debt</w:t>
      </w:r>
    </w:p>
    <w:tbl>
      <w:tblPr>
        <w:tblW w:w="5798"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11"/>
        <w:gridCol w:w="97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68" w:type="dxa"/>
            <w:gridSpan w:val="6"/>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for the six months ended June 30, 2023 and 2022 consist of the following:</w:t>
      </w:r>
    </w:p>
    <w:tbl>
      <w:tblPr>
        <w:tblW w:w="5423" w:type="dxa"/>
        <w:jc w:val="center"/>
        <w:tblInd w:w="0" w:type="dxa"/>
        <w:tblLayout w:type="fixed"/>
        <w:tblCellMar>
          <w:top w:w="28" w:type="dxa"/>
          <w:left w:w="28" w:type="dxa"/>
          <w:bottom w:w="28" w:type="dxa"/>
          <w:right w:w="28" w:type="dxa"/>
        </w:tblCellMar>
      </w:tblPr>
      <w:tblGrid>
        <w:gridCol w:w="999"/>
        <w:gridCol w:w="877"/>
        <w:gridCol w:w="883"/>
        <w:gridCol w:w="211"/>
        <w:gridCol w:w="826"/>
        <w:gridCol w:w="109"/>
        <w:gridCol w:w="109"/>
        <w:gridCol w:w="109"/>
        <w:gridCol w:w="109"/>
        <w:gridCol w:w="211"/>
        <w:gridCol w:w="82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$256,819 for the six months ended June 30, 2023. Compared to the same period in the prior year, net cash provided by operating activities was higher by $88,089 due to an increase in net cash flows from the change in operating assets and liabilities of $73,814 and a net increase in non</w:t>
        <w:noBreakHyphen/>
        <w:t>cash adjustments of $32,161, partially offset by a decrease in net income of $17,886. The increase in cash flows from the change in operating assets and liabilities was primarily due to a decrease in accounts receivable period over period due to the timing of collections from accounts, an increase in deferred revenues period over period, higher accounts payable, higher CSS deposits, and the overall timing of tax payments.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provided by operating activities was $168,730 resulting from net income of $112,061, changes in operating assets and liabilities of $29,255, and non</w:t>
        <w:noBreakHyphen/>
        <w:t>cash adjustments of $27,414.</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$29,752 for the six months ended June 30, 2023 due to $11,253 related to purchases of property and equipment and investment in capitalized software, $10,299 in acquisition related payments, net of cash acquired, to complete one acquisition, and $8,200 for purchases of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used in investing activities was $723,967 primarily due to $714,197 in acquisition related payments, net of cash acquired, to complete two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$215,976 for the six months ended June 30, 2023 primarily due to the net paydown of the Credit Facility of $146,852, payments for shares acquired of $51,202, and payments of dividends of $29,224.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provided by financing activities was $325,773 primarily due to an increase in net borrowings under the Credit Facility of $391,374, partially offset by net payments for shares acquired of $53,762, including shares repurchased under the Repurchase Program, and payments of dividends of $17,163.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exposure as described in Part II, Item 7A. Quantitative and Qualitative Disclosures About Market Risk in our 2022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Evaluation of Effectiveness of Disclosure Controls and Procedures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June 30, 2023, our disclosure controls and procedures were effective at the reasonable assurance level.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management’s evaluation pursuant to Rules 13a or 15d of the Exchange Act that occurred during the quarter ended June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Part I, Item 1A. Risk Factors in our 2022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Equity Securities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April 1, 2023 to June 30, 2023, we issued 1,729,443 shares of our Class B Common Stock in connection with distributions from our DCP.</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June 6, 2023, David R. Shaman, Chief Legal Officer and Secretary, terminated a trading plan established pursuant to Rule 10b5</w:t>
        <w:noBreakHyphen/>
        <w:t>1 of the Exchange Act, which was intended to satisfy the affirmative defense conditions of Rule 10b5</w:t>
        <w:noBreakHyphen/>
        <w:t>1(c) and was adopted effective December 16, 2022, to sell an aggregate of 65,696 shares of our Class B common stock through December 31, 2023. Effective June 8, 2023, Mr. Shaman adopted a trading plan established pursuant to Rule 10b5</w:t>
        <w:noBreakHyphen/>
        <w:t>1 of the Exchange Act, which is intended to satisfy the affirmative defense conditions of Rule 10b5</w:t>
        <w:noBreakHyphen/>
        <w:t>1(c), to sell an aggregate of 127,942 shares of our Class B common stock through March 31, 2024.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03"/>
        <w:gridCol w:w="267"/>
        <w:gridCol w:w="269"/>
        <w:gridCol w:w="109"/>
        <w:gridCol w:w="109"/>
        <w:gridCol w:w="109"/>
        <w:gridCol w:w="2690"/>
        <w:gridCol w:w="2610"/>
        <w:gridCol w:w="3739"/>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Sixth Amendment, dated as of June 21, 2023, to the Amended and Restated Credit Agreement dated as of December 19, 2017, by and among Bentley Systems, Incorporated, PNC Bank National Association, as administrative agent, and the lenders party thereto (filed as Exhibit 10.1 to our Current Report on Form 8-K filed on June 23, 2023 (File No. 001-39548) and incorporated herein by reference)</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q2exhibit311.htm">
              <w:r>
                <w:rPr>
                  <w:rStyle w:val="InternetLink"/>
                  <w:rFonts w:ascii="Times New Roman;sans-serif" w:hAnsi="Times New Roman;sans-serif"/>
                  <w:b w:val="false"/>
                  <w:color w:val="0000FF"/>
                  <w:sz w:val="20"/>
                  <w:u w:val="single"/>
                </w:rPr>
                <w:t>Certification of CEO pursuant to Rule 13a-14(a) and Rule 15d-14(a) of the Securities Exchange Act of 1934, as amended</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q2exhibit312.htm">
              <w:r>
                <w:rPr>
                  <w:rStyle w:val="InternetLink"/>
                  <w:rFonts w:ascii="Times New Roman;sans-serif" w:hAnsi="Times New Roman;sans-serif"/>
                  <w:b w:val="false"/>
                  <w:color w:val="0000FF"/>
                  <w:sz w:val="20"/>
                  <w:u w:val="single"/>
                </w:rPr>
                <w:t>Certification of CFO pursuant to Rule 13a-14(a) and Rule 15d-14(a) of the Securities Exchange Act of 1934, as amended</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q2exhibit32.htm">
              <w:r>
                <w:rPr>
                  <w:rStyle w:val="InternetLink"/>
                  <w:rFonts w:ascii="Times New Roman;sans-serif" w:hAnsi="Times New Roman;sans-serif"/>
                  <w:b w:val="false"/>
                  <w:color w:val="0000FF"/>
                  <w:sz w:val="20"/>
                  <w:u w:val="single"/>
                </w:rPr>
                <w:t>Certification of CEO and CFO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as its XBRL tags are embedded within the Inline XBRL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The certification attached as Exhibit 32.1 that accompanies this Quarterly Report on Form 10</w:t>
              <w:noBreakHyphen/>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54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1498"/>
        <w:gridCol w:w="1498"/>
        <w:gridCol w:w="214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Gregory S. Bentley,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2489" w:type="dxa"/>
        <w:jc w:val="left"/>
        <w:tblInd w:w="0" w:type="dxa"/>
        <w:tblLayout w:type="fixed"/>
        <w:tblCellMar>
          <w:top w:w="28" w:type="dxa"/>
          <w:left w:w="28" w:type="dxa"/>
          <w:bottom w:w="28" w:type="dxa"/>
          <w:right w:w="28" w:type="dxa"/>
        </w:tblCellMar>
      </w:tblPr>
      <w:tblGrid>
        <w:gridCol w:w="795"/>
        <w:gridCol w:w="699"/>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G</w:t>
            </w:r>
            <w:r>
              <w:rPr>
                <w:rFonts w:ascii="Times New Roman;sans-serif" w:hAnsi="Times New Roman;sans-serif"/>
                <w:b w:val="false"/>
                <w:color w:val="000000"/>
                <w:sz w:val="16"/>
              </w:rPr>
              <w:t>REGORY</w:t>
            </w:r>
            <w:r>
              <w:rPr>
                <w:color w:val="000000"/>
              </w:rPr>
              <w:t xml:space="preserve"> </w:t>
            </w:r>
            <w:r>
              <w:rPr>
                <w:rFonts w:ascii="Times New Roman;sans-serif" w:hAnsi="Times New Roman;sans-serif"/>
                <w:b w:val="false"/>
                <w:color w:val="000000"/>
                <w:sz w:val="20"/>
              </w:rPr>
              <w:t>S. B</w:t>
            </w:r>
            <w:r>
              <w:rPr>
                <w:rFonts w:ascii="Times New Roman;sans-serif" w:hAnsi="Times New Roman;sans-serif"/>
                <w:b w:val="false"/>
                <w:color w:val="000000"/>
                <w:sz w:val="16"/>
              </w:rPr>
              <w:t>ENTLEY</w:t>
            </w:r>
          </w:p>
        </w:tc>
      </w:tr>
      <w:tr>
        <w:trPr/>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Werner Andre,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4469" w:type="dxa"/>
        <w:jc w:val="left"/>
        <w:tblInd w:w="0" w:type="dxa"/>
        <w:tblLayout w:type="fixed"/>
        <w:tblCellMar>
          <w:top w:w="28" w:type="dxa"/>
          <w:left w:w="28" w:type="dxa"/>
          <w:bottom w:w="28" w:type="dxa"/>
          <w:right w:w="28" w:type="dxa"/>
        </w:tblCellMar>
      </w:tblPr>
      <w:tblGrid>
        <w:gridCol w:w="1427"/>
        <w:gridCol w:w="1256"/>
        <w:gridCol w:w="178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Bentley Systems, Incorporated (the “Company”) on Form 10</w:t>
        <w:noBreakHyphen/>
        <w:t>Q for the period ended June 30, 2023,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2489" w:type="dxa"/>
        <w:jc w:val="left"/>
        <w:tblInd w:w="0" w:type="dxa"/>
        <w:tblLayout w:type="fixed"/>
        <w:tblCellMar>
          <w:top w:w="28" w:type="dxa"/>
          <w:left w:w="28" w:type="dxa"/>
          <w:bottom w:w="28" w:type="dxa"/>
          <w:right w:w="28" w:type="dxa"/>
        </w:tblCellMar>
      </w:tblPr>
      <w:tblGrid>
        <w:gridCol w:w="795"/>
        <w:gridCol w:w="699"/>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G</w:t>
            </w:r>
            <w:r>
              <w:rPr>
                <w:rFonts w:ascii="Times New Roman;sans-serif" w:hAnsi="Times New Roman;sans-serif"/>
                <w:b w:val="false"/>
                <w:color w:val="000000"/>
                <w:sz w:val="16"/>
              </w:rPr>
              <w:t>REGORY</w:t>
            </w:r>
            <w:r>
              <w:rPr>
                <w:color w:val="000000"/>
              </w:rPr>
              <w:t xml:space="preserve"> </w:t>
            </w:r>
            <w:r>
              <w:rPr>
                <w:rFonts w:ascii="Times New Roman;sans-serif" w:hAnsi="Times New Roman;sans-serif"/>
                <w:b w:val="false"/>
                <w:color w:val="000000"/>
                <w:sz w:val="20"/>
              </w:rPr>
              <w:t>S. B</w:t>
            </w:r>
            <w:r>
              <w:rPr>
                <w:rFonts w:ascii="Times New Roman;sans-serif" w:hAnsi="Times New Roman;sans-serif"/>
                <w:b w:val="false"/>
                <w:color w:val="000000"/>
                <w:sz w:val="16"/>
              </w:rPr>
              <w:t>ENTLEY</w:t>
            </w:r>
          </w:p>
        </w:tc>
      </w:tr>
      <w:tr>
        <w:trPr/>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4469" w:type="dxa"/>
        <w:jc w:val="left"/>
        <w:tblInd w:w="0" w:type="dxa"/>
        <w:tblLayout w:type="fixed"/>
        <w:tblCellMar>
          <w:top w:w="28" w:type="dxa"/>
          <w:left w:w="28" w:type="dxa"/>
          <w:bottom w:w="28" w:type="dxa"/>
          <w:right w:w="28" w:type="dxa"/>
        </w:tblCellMar>
      </w:tblPr>
      <w:tblGrid>
        <w:gridCol w:w="1427"/>
        <w:gridCol w:w="1256"/>
        <w:gridCol w:w="178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1308/000110465923074251/tm2319435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20968</Words>
  <Characters>117100</Characters>
  <CharactersWithSpaces>136009</CharactersWithSpaces>
  <Paragraphs>3710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