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tm2628336-3_4seq1.xml.htm"/>
      <w:bookmarkStart w:id="1" w:name="kstm26283363_4seq1"/>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Bentley Raymond B.</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BENTLEY SYSTEMS, INCORPORATED</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685 STOCKTON DRIVE</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19341</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BENTLEY SYSTEMS INC</w:t>
              </w:r>
            </w:hyperlink>
            <w:r>
              <w:t xml:space="preserve"> [ </w:t>
            </w:r>
            <w:r>
              <w:rPr>
                <w:rFonts w:ascii="Times;serif" w:hAnsi="Times;serif"/>
                <w:color w:val="0000FF"/>
                <w:sz w:val="24"/>
                <w:shd w:fill="FFFFFF" w:val="clear"/>
              </w:rPr>
              <w:t>BSY</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10/30/2026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0"/>
        <w:gridCol w:w="909"/>
        <w:gridCol w:w="780"/>
        <w:gridCol w:w="603"/>
        <w:gridCol w:w="337"/>
        <w:gridCol w:w="997"/>
        <w:gridCol w:w="417"/>
        <w:gridCol w:w="981"/>
        <w:gridCol w:w="1334"/>
        <w:gridCol w:w="956"/>
        <w:gridCol w:w="9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0" w:type="dxa"/>
            <w:vMerge w:val="continue"/>
            <w:tcBorders>
              <w:left w:val="single" w:sz="6" w:space="0" w:color="808080"/>
              <w:bottom w:val="single" w:sz="2" w:space="0" w:color="808080"/>
              <w:right w:val="single" w:sz="6" w:space="0" w:color="808080"/>
            </w:tcBorders>
          </w:tcPr>
          <w:p>
            <w:pPr>
              <w:pStyle w:val="Normal"/>
              <w:bidi w:val="0"/>
              <w:jc w:val="left"/>
            </w:pPr>
            <w:r/>
          </w:p>
        </w:tc>
        <w:tc>
          <w:tcPr>
            <w:tcW w:w="909" w:type="dxa"/>
            <w:vMerge w:val="continue"/>
            <w:tcBorders>
              <w:left w:val="single" w:sz="2" w:space="0" w:color="808080"/>
              <w:bottom w:val="single" w:sz="2" w:space="0" w:color="808080"/>
              <w:right w:val="single" w:sz="6" w:space="0" w:color="808080"/>
            </w:tcBorders>
          </w:tcPr>
          <w:p>
            <w:pPr>
              <w:pStyle w:val="Normal"/>
              <w:bidi w:val="0"/>
              <w:jc w:val="left"/>
            </w:pPr>
            <w:r/>
          </w:p>
        </w:tc>
        <w:tc>
          <w:tcPr>
            <w:tcW w:w="780" w:type="dxa"/>
            <w:vMerge w:val="continue"/>
            <w:tcBorders>
              <w:left w:val="single" w:sz="2" w:space="0" w:color="808080"/>
              <w:bottom w:val="single" w:sz="2" w:space="0" w:color="808080"/>
              <w:right w:val="single" w:sz="6" w:space="0" w:color="808080"/>
            </w:tcBorders>
          </w:tcPr>
          <w:p>
            <w:pPr>
              <w:pStyle w:val="Normal"/>
              <w:bidi w:val="0"/>
              <w:jc w:val="left"/>
            </w:p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pPr>
            <w:r/>
          </w:p>
        </w:tc>
        <w:tc>
          <w:tcPr>
            <w:tcW w:w="956" w:type="dxa"/>
            <w:vMerge w:val="continue"/>
            <w:tcBorders>
              <w:left w:val="single" w:sz="2" w:space="0" w:color="808080"/>
              <w:bottom w:val="single" w:sz="2" w:space="0" w:color="808080"/>
              <w:right w:val="single" w:sz="6" w:space="0" w:color="808080"/>
            </w:tcBorders>
          </w:tcPr>
          <w:p>
            <w:pPr>
              <w:pStyle w:val="Normal"/>
              <w:bidi w:val="0"/>
              <w:jc w:val="left"/>
            </w:pPr>
            <w:r/>
          </w:p>
        </w:tc>
        <w:tc>
          <w:tcPr>
            <w:tcW w:w="911"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344,203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40.2369</w:t>
            </w:r>
            <w:r>
              <w:rPr>
                <w:rFonts w:ascii="Times;serif" w:hAnsi="Times;serif"/>
                <w:color w:val="008000"/>
                <w:position w:val="7"/>
                <w:sz w:val="16"/>
                <w:sz w:val="20"/>
                <w:shd w:fill="FFFFFF" w:val="clear"/>
              </w:rPr>
              <w:t>(2)</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14,316,404</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c>
          <w:tcPr>
            <w:tcW w:w="1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92,654</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March 12, 2026.</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on October 30, 2026 at prices ranging from $40.01 to $40.62. The Reporting Person undertakes to provide to Bentley Systems, Incorporated, any security holder of Bentley Systems, Incorporated,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T. Fischette,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5229" TargetMode="External"/><Relationship Id="rId5" Type="http://schemas.openxmlformats.org/officeDocument/2006/relationships/hyperlink" Target="http://www.sec.gov/cgi-bin/browse-edgar?action=getcompany&amp;CIK=00010313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3701</Characters>
  <CharactersWithSpaces>4312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