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8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7"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66" w:right="339" w:bottom="1440" w:gutter="0" w:footer="0" w:header="0"/>
        </w:sectPr>
      </w:pPr>
    </w:p>
    <w:p>
      <w:pPr>
        <w:spacing w:after="0" w:line="6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66" w:right="339" w:bottom="1440" w:gutter="0" w:footer="0" w:header="0"/>
          <w:type w:val="continuous"/>
        </w:sectPr>
      </w:pP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BENTLEY SYSTEMS, INCORPORATED</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366" w:right="339" w:bottom="1440" w:gutter="0" w:footer="0" w:header="0"/>
          <w:type w:val="continuous"/>
        </w:sectPr>
      </w:pPr>
    </w:p>
    <w:p>
      <w:pPr>
        <w:spacing w:after="0" w:line="27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2">
            <w:col w:w="7600" w:space="720"/>
            <w:col w:w="2920"/>
          </w:cols>
          <w:pgMar w:left="320" w:top="1366"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3" w:lineRule="exact"/>
        <w:rPr>
          <w:sz w:val="24"/>
          <w:szCs w:val="24"/>
          <w:color w:val="auto"/>
        </w:rPr>
      </w:pPr>
    </w:p>
    <w:p>
      <w:pPr>
        <w:sectPr>
          <w:pgSz w:w="11900" w:h="16838" w:orient="portrait"/>
          <w:cols w:equalWidth="0" w:num="2">
            <w:col w:w="6940" w:space="720"/>
            <w:col w:w="3580"/>
          </w:cols>
          <w:pgMar w:left="320" w:top="1366"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7780" w:space="720"/>
            <w:col w:w="2740"/>
          </w:cols>
          <w:pgMar w:left="320" w:top="1366"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0" w:lineRule="exact"/>
        <w:rPr>
          <w:sz w:val="24"/>
          <w:szCs w:val="24"/>
          <w:color w:val="auto"/>
        </w:rPr>
      </w:pPr>
    </w:p>
    <w:p>
      <w:pPr>
        <w:sectPr>
          <w:pgSz w:w="11900" w:h="16838" w:orient="portrait"/>
          <w:cols w:equalWidth="0" w:num="2">
            <w:col w:w="7660" w:space="720"/>
            <w:col w:w="2860"/>
          </w:cols>
          <w:pgMar w:left="320" w:top="136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459"/>
        </w:trPr>
        <w:tc>
          <w:tcPr>
            <w:tcW w:w="96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Title of each class</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9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6"/>
        </w:trPr>
        <w:tc>
          <w:tcPr>
            <w:tcW w:w="960" w:type="dxa"/>
            <w:vAlign w:val="bottom"/>
          </w:tcPr>
          <w:p>
            <w:pPr>
              <w:spacing w:after="0"/>
              <w:rPr>
                <w:sz w:val="16"/>
                <w:szCs w:val="16"/>
                <w:color w:val="auto"/>
              </w:rPr>
            </w:pPr>
          </w:p>
        </w:tc>
        <w:tc>
          <w:tcPr>
            <w:tcW w:w="4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 Common Stock, par value $0.01 per share</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BSY</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25" w:lineRule="exact"/>
        <w:rPr>
          <w:sz w:val="24"/>
          <w:szCs w:val="24"/>
          <w:color w:val="auto"/>
        </w:rPr>
      </w:pPr>
    </w:p>
    <w:p>
      <w:pPr>
        <w:ind w:right="2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pacing w:after="0" w:line="5" w:lineRule="exact"/>
        <w:rPr>
          <w:sz w:val="24"/>
          <w:szCs w:val="24"/>
          <w:color w:val="auto"/>
        </w:rPr>
      </w:pPr>
    </w:p>
    <w:p>
      <w:pPr>
        <w:ind w:left="1100"/>
        <w:spacing w:after="0" w:line="161" w:lineRule="exact"/>
        <w:tabs>
          <w:tab w:leader="none" w:pos="80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4" w:lineRule="exact"/>
        <w:rPr>
          <w:sz w:val="24"/>
          <w:szCs w:val="24"/>
          <w:color w:val="auto"/>
        </w:rPr>
      </w:pPr>
    </w:p>
    <w:p>
      <w:pPr>
        <w:ind w:left="1100"/>
        <w:spacing w:after="0" w:line="161" w:lineRule="exact"/>
        <w:tabs>
          <w:tab w:leader="none" w:pos="800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ind w:left="8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2, 2022, the registrant had 11,601,757 shares of Class A and 276,774,655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1. Unaudited Consolidated Financial Statements</w:t>
            </w:r>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2022 and December 31, 2021</w:t>
            </w: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2022 and 2021</w:t>
            </w: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20" w:type="dxa"/>
            <w:vAlign w:val="bottom"/>
            <w:tcBorders>
              <w:bottom w:val="single" w:sz="8" w:color="0000FF"/>
            </w:tcBorders>
            <w:gridSpan w:val="16"/>
            <w:vMerge w:val="continue"/>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4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and six months ended June 30, 2022 and 2021</w:t>
            </w: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Borders>
              <w:bottom w:val="single" w:sz="8" w:color="0000FF"/>
            </w:tcBorders>
            <w:gridSpan w:val="18"/>
            <w:vMerge w:val="continue"/>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60" w:type="dxa"/>
            <w:vAlign w:val="bottom"/>
            <w:gridSpan w:val="1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and six months ended June 30, 2022 and 2021</w:t>
            </w: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60" w:type="dxa"/>
            <w:vAlign w:val="bottom"/>
            <w:tcBorders>
              <w:bottom w:val="single" w:sz="8" w:color="0000FF"/>
            </w:tcBorders>
            <w:gridSpan w:val="17"/>
            <w:vMerge w:val="continue"/>
          </w:tcPr>
          <w:p>
            <w:pPr>
              <w:spacing w:after="0"/>
              <w:rPr>
                <w:sz w:val="18"/>
                <w:szCs w:val="18"/>
                <w:color w:val="auto"/>
              </w:rPr>
            </w:pPr>
          </w:p>
        </w:tc>
        <w:tc>
          <w:tcPr>
            <w:tcW w:w="2320" w:type="dxa"/>
            <w:vAlign w:val="bottom"/>
            <w:gridSpan w:val="2"/>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2022 and 2021</w:t>
            </w:r>
          </w:p>
        </w:tc>
        <w:tc>
          <w:tcPr>
            <w:tcW w:w="40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tcBorders>
              <w:bottom w:val="single" w:sz="8" w:color="0000FF"/>
            </w:tcBorders>
            <w:gridSpan w:val="14"/>
            <w:vMerge w:val="continue"/>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4"/>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9"/>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spacing w:after="0"/>
              <w:rPr>
                <w:sz w:val="18"/>
                <w:szCs w:val="18"/>
                <w:color w:val="auto"/>
              </w:rPr>
            </w:pPr>
          </w:p>
        </w:tc>
        <w:tc>
          <w:tcPr>
            <w:tcW w:w="3320" w:type="dxa"/>
            <w:vAlign w:val="bottom"/>
            <w:gridSpan w:val="4"/>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6"/>
            <w:vMerge w:val="continue"/>
          </w:tcPr>
          <w:p>
            <w:pPr>
              <w:spacing w:after="0"/>
              <w:rPr>
                <w:sz w:val="18"/>
                <w:szCs w:val="18"/>
                <w:color w:val="auto"/>
              </w:rPr>
            </w:pPr>
          </w:p>
        </w:tc>
        <w:tc>
          <w:tcPr>
            <w:tcW w:w="3320" w:type="dxa"/>
            <w:vAlign w:val="bottom"/>
            <w:gridSpan w:val="4"/>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3"/>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68</w:t>
            </w:r>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9"/>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330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2.</w:t>
            </w:r>
          </w:p>
        </w:tc>
        <w:tc>
          <w:tcPr>
            <w:tcW w:w="43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0"/>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756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93,411</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329,337</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241,807</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16,880</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34,348</w:t>
            </w:r>
          </w:p>
        </w:tc>
      </w:tr>
      <w:tr>
        <w:trPr>
          <w:trHeight w:val="213"/>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615,831</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31,823</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50,818</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316,258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245,834</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2,215,909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1,588,477</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71,376</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64,085</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48,646</w:t>
            </w:r>
          </w:p>
        </w:tc>
      </w:tr>
      <w:tr>
        <w:trPr>
          <w:trHeight w:val="207"/>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3,099,609</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2,659,243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16,483</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323,603</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201,598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224,610</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17,482</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r>
      <w:tr>
        <w:trPr>
          <w:trHeight w:val="237"/>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591,414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593,874</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1,825,505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1,430,992</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75,525</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94,890</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35,274</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w:t>
            </w:r>
          </w:p>
        </w:tc>
      </w:tr>
      <w:tr>
        <w:trPr>
          <w:trHeight w:val="23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65,014</w:t>
            </w: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w:t>
            </w: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14,269</w:t>
            </w:r>
          </w:p>
        </w:tc>
      </w:tr>
      <w:tr>
        <w:trPr>
          <w:trHeight w:val="23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2,602,616</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2,250,021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02"/>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100,000,000 shares; none issued or outstanding as of June 30,</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0"/>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2022 and December 31, 2021</w:t>
            </w:r>
          </w:p>
        </w:tc>
        <w:tc>
          <w:tcPr>
            <w:tcW w:w="26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authorized 100,000,000 shares; issued and outstanding</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3"/>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11,601,757 shares as of June 30, 2022 and December 31, 2021, and Class B Common Stock, $0.01 par</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8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value, authorized 1,800,000,000 shares; issued and outstanding 276,552,402 and 270,924,962 shares as of</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43"/>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June 30, 2022 and December 31, 2021, respectively</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r>
      <w:tr>
        <w:trPr>
          <w:trHeight w:val="23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981,203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937,805</w:t>
            </w:r>
          </w:p>
        </w:tc>
      </w:tr>
      <w:tr>
        <w:trPr>
          <w:trHeight w:val="253"/>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(89,131)</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(91,774)</w:t>
            </w:r>
          </w:p>
        </w:tc>
      </w:tr>
      <w:tr>
        <w:trPr>
          <w:trHeight w:val="236"/>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(397,961)</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(439,634)</w:t>
            </w:r>
          </w:p>
        </w:tc>
      </w:tr>
      <w:tr>
        <w:trPr>
          <w:trHeight w:val="23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496,993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409,222</w:t>
            </w:r>
          </w:p>
        </w:tc>
      </w:tr>
      <w:tr>
        <w:trPr>
          <w:trHeight w:val="207"/>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3,099,609</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2,659,243</w:t>
            </w:r>
          </w:p>
        </w:tc>
      </w:tr>
      <w:tr>
        <w:trPr>
          <w:trHeight w:val="23"/>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232,191</w:t>
            </w:r>
          </w:p>
        </w:tc>
        <w:tc>
          <w:tcPr>
            <w:tcW w:w="2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186,442</w:t>
            </w:r>
          </w:p>
        </w:tc>
        <w:tc>
          <w:tcPr>
            <w:tcW w:w="2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473,424</w:t>
            </w:r>
          </w:p>
        </w:tc>
        <w:tc>
          <w:tcPr>
            <w:tcW w:w="24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374,567</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495,177</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396,074</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445,926</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58,826</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53,451</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115,479</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208,591</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170,470</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428,323</w:t>
            </w:r>
          </w:p>
        </w:tc>
        <w:tc>
          <w:tcPr>
            <w:tcW w:w="24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343,186</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52,776</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126,139</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100,579</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95,562</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70,454</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91,187</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74,904</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316,014</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254,326</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33,213</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112,309</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111,783</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method, net of tax</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Net income attributable to Class A and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B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112,041</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308,244,778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304,066,038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308,512,924</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303,311,423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332,275,216</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324,478,086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332,208,435</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323,094,045</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43"/>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w:t>
            </w:r>
          </w:p>
        </w:tc>
      </w:tr>
      <w:tr>
        <w:trPr>
          <w:trHeight w:val="225"/>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$(5), $(9), $(10), and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1"/>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$(17), respectively</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114,704</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73,980</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285,134,093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957,498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457,653</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55,673</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2,616,044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87,692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653,336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option exercises,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Class B Common Stock under approved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program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288,154,159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981,203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(89,131)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496,993</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282,526,719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937,805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409,222</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112,061</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3,425,795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employee stock</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plan</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109,749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2,054,585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17,529</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141,705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Class B Common Stock under approved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program</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(13,242)</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288,154,159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981,203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496,993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273,722,483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732,635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(35,394)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353,997</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45,627</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(19,492)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3,141,342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capped call options, net of tax of $6,334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(19,591)</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1,862,576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(53,053)</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69,486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2,393,937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281,189,127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910,951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(54,886)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3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2"/>
                <w:szCs w:val="2"/>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4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741,113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(26,233)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341,599</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102,633</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(28,653)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(28,653)</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3,141,342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182,390</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capped call options, net of tax of $12,584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(39,021)</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2,202,079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(61,912)</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elective participant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deferrals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in connection with Executive Bonus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net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3,657,058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(24,703)</w:t>
            </w: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4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281,189,127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910,951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(54,886)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472,531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BENTLEY SYSTEMS, INCORPORATED AND SUBSIDIARIES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21590</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ectPr>
          <w:pgSz w:w="11900" w:h="16838" w:orient="portrait"/>
          <w:cols w:equalWidth="0" w:num="1">
            <w:col w:w="11240"/>
          </w:cols>
          <w:pgMar w:left="320" w:top="1143" w:right="339" w:bottom="173"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Bad debt allowance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right="3140"/>
        <w:spacing w:after="0" w:line="313" w:lineRule="auto"/>
        <w:rPr>
          <w:sz w:val="20"/>
          <w:szCs w:val="20"/>
          <w:color w:val="auto"/>
        </w:rPr>
      </w:pPr>
      <w:r>
        <w:rPr>
          <w:rFonts w:ascii="Times New Roman" w:cs="Times New Roman" w:eastAsia="Times New Roman" w:hAnsi="Times New Roman"/>
          <w:sz w:val="18"/>
          <w:szCs w:val="18"/>
          <w:color w:val="auto"/>
        </w:rPr>
        <w:t>Amortization and write-off of deferred debt issuance costs 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on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Gain on sale of aircraft</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sale of aircraft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convertible senior notes, net of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capped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 of term loan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right="2600"/>
        <w:spacing w:after="0" w:line="313" w:lineRule="auto"/>
        <w:rPr>
          <w:sz w:val="20"/>
          <w:szCs w:val="20"/>
          <w:color w:val="auto"/>
        </w:rPr>
      </w:pPr>
      <w:r>
        <w:rPr>
          <w:rFonts w:ascii="Times New Roman" w:cs="Times New Roman" w:eastAsia="Times New Roman" w:hAnsi="Times New Roman"/>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right="2820"/>
        <w:spacing w:after="0" w:line="318" w:lineRule="auto"/>
        <w:rPr>
          <w:sz w:val="20"/>
          <w:szCs w:val="20"/>
          <w:color w:val="auto"/>
        </w:rPr>
      </w:pPr>
      <w:r>
        <w:rPr>
          <w:rFonts w:ascii="Times New Roman" w:cs="Times New Roman" w:eastAsia="Times New Roman" w:hAnsi="Times New Roman"/>
          <w:sz w:val="18"/>
          <w:szCs w:val="18"/>
          <w:color w:val="auto"/>
        </w:rPr>
        <w:t>Payments for shares acquired including shares withheld for taxes Repurchase of Class B Common Stock under approved program</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102,633</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540"/>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(26,957)</w:t>
            </w:r>
          </w:p>
        </w:tc>
      </w:tr>
      <w:tr>
        <w:trPr>
          <w:trHeight w:val="244"/>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168,730</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149,022</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(714,197)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(1,002,551)</w:t>
            </w:r>
          </w:p>
        </w:tc>
      </w:tr>
      <w:tr>
        <w:trPr>
          <w:trHeight w:val="270"/>
        </w:trPr>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(723,967)</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(1,008,001)</w:t>
            </w:r>
          </w:p>
        </w:tc>
      </w:tr>
      <w:tr>
        <w:trPr>
          <w:trHeight w:val="486"/>
        </w:trPr>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657,981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581,233</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(790,846)</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1,233,377</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r>
      <w:tr>
        <w:trPr>
          <w:trHeight w:val="270"/>
        </w:trPr>
        <w:tc>
          <w:tcPr>
            <w:tcW w:w="320" w:type="dxa"/>
            <w:vAlign w:val="bottom"/>
          </w:tcPr>
          <w:p>
            <w:pPr>
              <w:spacing w:after="0"/>
              <w:rPr>
                <w:sz w:val="23"/>
                <w:szCs w:val="2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(51,555)</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70"/>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(87,836)</w:t>
            </w:r>
          </w:p>
        </w:tc>
      </w:tr>
      <w:tr>
        <w:trPr>
          <w:trHeight w:val="268"/>
        </w:trPr>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p>
    <w:p>
      <w:pPr>
        <w:sectPr>
          <w:pgSz w:w="11900" w:h="16838" w:orient="portrait"/>
          <w:cols w:equalWidth="0" w:num="2">
            <w:col w:w="7680" w:space="720"/>
            <w:col w:w="2840"/>
          </w:cols>
          <w:pgMar w:left="320" w:top="1143" w:right="339" w:bottom="173"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325,773</w:t>
            </w:r>
          </w:p>
        </w:tc>
        <w:tc>
          <w:tcPr>
            <w:tcW w:w="2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866,510</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5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(235,926)</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329,337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122,006</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73"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73" w:gutter="0" w:footer="0" w:header="0"/>
          <w:type w:val="continuous"/>
        </w:sectPr>
      </w:pPr>
    </w:p>
    <w:bookmarkStart w:id="8" w:name="page9"/>
    <w:bookmarkEnd w:id="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8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33"/>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26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25,109</w:t>
            </w:r>
          </w:p>
        </w:tc>
      </w:tr>
      <w:tr>
        <w:trPr>
          <w:trHeight w:val="27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related to acquisition</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182,390</w:t>
            </w:r>
          </w:p>
        </w:tc>
      </w:tr>
      <w:tr>
        <w:trPr>
          <w:trHeight w:val="27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consideration</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r>
      <w:tr>
        <w:trPr>
          <w:trHeight w:val="27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senior notes expenses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Accruals and other current liabilities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Capped call options expenses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Accruals and other current liabilities</w:t>
            </w:r>
          </w:p>
        </w:tc>
        <w:tc>
          <w:tcPr>
            <w:tcW w:w="26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Share-settled Executive Bonus Plan awards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r>
      <w:tr>
        <w:trPr>
          <w:trHeight w:val="270"/>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 elective participant deferrals</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consolidated financial statements include the accounts of Bentley Systems, Incorporated (“Bentley”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“Company”) and its wholly-owned subsidiaries, and have been prepared in accordance with accounting principles generally accepted in the United States of America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2021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K on file with the SEC.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at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2021 consolidated balance sheet included herein is derived from the Company’s audited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of prior period amounts have been made to conform to the current period presentation.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On January 31, 2022, the Company completed the acquisition of Power Line Systems, a leader in software for the design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overhead electric power transmission lines and their structures, for $695,968 in cash, net of cash acquired. On June 17, 2021, the Company completed the acquisition of Seequent Holdings Limited (“Seequent”), a leader in software for geological and geophysical modeling, geotechnical stability, and cloud services for geodata management and collaboration, for $883,336 in cash, net of cash acquired, plus 3,141,342 shares of the Company’s Class B Common Stock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200"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No.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which provides optional expedients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for applying U.S. GAAP to contracts, hedging relationships, and other transactions affected by reference rate reform if certain criteria are met.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0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In October 2021, the FASB issued ASU No. 2021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 which improves the comparability of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The new guidance is meant to reduce diversity in practice and inconsistencies related to recognition of an acquired contract liability and revenue contract payment terms and their effect on subsequent revenue recognized by the acquirer. During the fourth quarter of 2021, the Company early adopted the ASU effective January 1, 2021 using the modified retrospective method of adoption and retrospectively recasted interim prior period amounts presented in the accompanying unaudited consolidated financial statements for acquisitions subsequent to January 1, 2021. The adoption of this ASU did not have a material impact on the accompanying unaudited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 The Company provides prepaid annual recurring subscriptions that accounts (which are based on distinct contractual and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 The Company also provides enterprise subscription offerings, which provide its largest accounts with complete and unlimited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 The Company provides annual, quarterly, and monthly term licenses for its software products. Term license subscriptions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For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users to access specific project or enterprise information and entitles users to certain functionality of the Company’s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The Company’s standard offerings are usage based with monetization through the Company’s CSS program as described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Certain of the Company’s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arrangements, including its Success Services offerings, are structured as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spacing w:after="0" w:line="20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00"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June 30, 2022 and December 31, 2021, the Company has deferred $17,197 and $18,020, respectively, related to portfolio balancing exchange rights which is included in </w:t>
      </w: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in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232,593</w:t>
            </w:r>
          </w:p>
        </w:tc>
      </w:tr>
    </w:tbl>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2022 and December 31, 2021,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impaired as of June 30, 2022 and December 31,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$139,873 of revenues that were included in the December 31, 2021 deferred revenues balance were recognized. There were additional deferrals of $131,051, which were primarily related to new billings and acquisitions (see Note 4). For the six months ended June 30, 2021, $135,237 of revenues that were included in the December 31, 2020 deferred revenues balance were recognized. There were additional deferrals of $153,133, which were primarily related to new billings.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June 30, 2022, amounts allocated to these remaining performance obligations are $214,814, of which the Company expects to recognize approximately 94%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66,579</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133,177</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133,074</w:t>
            </w: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Enterprise subscriptions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81,593</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163,420</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138,677</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84,019</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176,827</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102,816</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232,191</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473,424</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374,567</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21,507</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243,739</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495,177</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396,074</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39,751</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w:t>
            </w:r>
          </w:p>
        </w:tc>
      </w:tr>
      <w:tr>
        <w:trPr>
          <w:trHeight w:val="250"/>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2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445,926</w:t>
            </w:r>
          </w:p>
        </w:tc>
      </w:tr>
      <w:tr>
        <w:trPr>
          <w:trHeight w:val="20"/>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subscriptions includes revenue attributable to E365 subscriptions of $72,905 and $53,753 for the three months ended June 30, 2022 and 2021, respectively, and $141,503 and $102,018 for the six months ended June 30, 2022 and 2021,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perpetual licenses and the term license component of subscriptions as revenue when either the licenses are delivered or at the start of the subscription term. For the three months ended June 30, 2022 and 2021, the Company recognized $129,872 and $88,652 of license related revenues, respectively, of which $118,324 and $77,261, respectively, were attributable to the term license component of the Company’s subscription 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 For the six months ended June 30, 2022 and 2021, the Company recognized $255,097 and $184,277 of license related revenues, respectively, of which $233,344 and $162,770, respectively, were attributable to the term license component of the Company’s subscription 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derived 7% of its total revenues through channel partners for the three months ended June 30, 2022 and 2021, and 7% and 8% of its total revenues through channel partners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221,756</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152,280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92,903</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81,165</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445,926</w:t>
            </w:r>
          </w:p>
        </w:tc>
      </w:tr>
      <w:tr>
        <w:trPr>
          <w:trHeight w:val="21"/>
        </w:trPr>
        <w:tc>
          <w:tcPr>
            <w:tcW w:w="3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17"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(“U.S.”), Canada, and Latin America (including the Caribbean). Revenue attributable to the U.S. totaled $108,456 and $91,689 for the three months ended June 30, 2022 and 2021, respectively, and $224,589 and $184,629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2022 and the year ended December 31, 2021, the Company completed a number of acquisitions, for an aggregate purchase price of $733,190 and $1,269,844, respectively. On January 31, 2022, the Company completed the acquisition of Power Line Systems, a leader in software for the design of overhead electric power transmission lines and their structures, for $695,968 in cash, net of cash acquired.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details of the Company’s acquisition activity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acquisitions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Cash paid at closing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acquired</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Acquisitions Completed 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6"/>
        </w:trPr>
        <w:tc>
          <w:tcPr>
            <w:tcW w:w="26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1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31"/>
        </w:trPr>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733,343</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1,072,820</w:t>
            </w:r>
          </w:p>
        </w:tc>
      </w:tr>
      <w:tr>
        <w:trPr>
          <w:trHeight w:val="270"/>
        </w:trPr>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2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714,197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1,034,983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160" w:lineRule="exact"/>
        <w:rPr>
          <w:sz w:val="20"/>
          <w:szCs w:val="20"/>
          <w:color w:val="auto"/>
        </w:rPr>
      </w:pPr>
    </w:p>
    <w:p>
      <w:pPr>
        <w:ind w:left="340" w:right="2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for the six months ended June 30, 2022 and year ended December 31, 2021, $3,000 and $8,701, respectively, was deposited into an escrow account to secure any potential indemnification and other obligations of the seller.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1460" w:type="dxa"/>
            <w:vAlign w:val="bottom"/>
            <w:tcBorders>
              <w:top w:val="single" w:sz="8" w:color="auto"/>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non-contingent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5,487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2,983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8,470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finalizing the purchase accounting for two acquisitions completed during the six months ended June 30,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Acquisition costs are expensed as incurred and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operations. For the three months ended June 30, 2022 and 2021, the Company incurred acquisition expenses of $677 and $10,233, respectively, and $11,251 and $17,094 for the six months ended June 30, 2022 and 2021, respectively, which include costs related to legal, accounting, valuation, insurance, general administrative, and other consulting fees. For the three and six months ended June 30, 2022, $26 and $9,799, respectively, of the Company’s acquisition expenses related to the acquisition of Power Line Systems. For the three and six months ended June 30, 2021, $9,180 and $15,896, respectively, of the Company’s acquisition expenses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Acquisitions Completed in</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Pr>
          <w:p>
            <w:pPr>
              <w:spacing w:after="0"/>
              <w:rPr>
                <w:sz w:val="18"/>
                <w:szCs w:val="18"/>
                <w:color w:val="auto"/>
              </w:rPr>
            </w:pPr>
          </w:p>
        </w:tc>
        <w:tc>
          <w:tcPr>
            <w:tcW w:w="186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6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733,343</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1,072,820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Shares issued at closing </w:t>
            </w:r>
            <w:r>
              <w:rPr>
                <w:rFonts w:ascii="Times New Roman" w:cs="Times New Roman" w:eastAsia="Times New Roman" w:hAnsi="Times New Roman"/>
                <w:sz w:val="23"/>
                <w:szCs w:val="23"/>
                <w:color w:val="auto"/>
                <w:vertAlign w:val="superscript"/>
              </w:rPr>
              <w:t>(1)(2)</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182,390</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23"/>
                <w:szCs w:val="23"/>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733,190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1,269,844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24,174</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5 years)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(weighted average useful life of 10 and 9 years, respectively)</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158,555</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10 years)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2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323,434</w:t>
            </w:r>
          </w:p>
        </w:tc>
        <w:tc>
          <w:tcPr>
            <w:tcW w:w="0" w:type="dxa"/>
            <w:vAlign w:val="bottom"/>
          </w:tcPr>
          <w:p>
            <w:pPr>
              <w:spacing w:after="0"/>
              <w:rPr>
                <w:sz w:val="1"/>
                <w:szCs w:val="1"/>
                <w:color w:val="auto"/>
              </w:rPr>
            </w:pPr>
          </w:p>
        </w:tc>
      </w:tr>
      <w:tr>
        <w:trPr>
          <w:trHeight w:val="25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0" w:type="dxa"/>
            <w:vAlign w:val="bottom"/>
          </w:tcPr>
          <w:p>
            <w:pPr>
              <w:spacing w:after="0"/>
              <w:rPr>
                <w:sz w:val="1"/>
                <w:szCs w:val="1"/>
                <w:color w:val="auto"/>
              </w:rPr>
            </w:pPr>
          </w:p>
        </w:tc>
      </w:tr>
      <w:tr>
        <w:trPr>
          <w:trHeight w:val="27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(53,342)</w:t>
            </w:r>
          </w:p>
        </w:tc>
        <w:tc>
          <w:tcPr>
            <w:tcW w:w="0" w:type="dxa"/>
            <w:vAlign w:val="bottom"/>
          </w:tcPr>
          <w:p>
            <w:pPr>
              <w:spacing w:after="0"/>
              <w:rPr>
                <w:sz w:val="1"/>
                <w:szCs w:val="1"/>
                <w:color w:val="auto"/>
              </w:rPr>
            </w:pPr>
          </w:p>
        </w:tc>
      </w:tr>
      <w:tr>
        <w:trPr>
          <w:trHeight w:val="270"/>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203,494</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634,522</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1,066,350</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733,190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1,269,844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right="20" w:hanging="332"/>
        <w:spacing w:after="0" w:line="250" w:lineRule="exact"/>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3,141,342 shares issued at closing, 83,627 shares are subject to forfeiture if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employment service conditions are not met and accordingly are being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over the related forfeiture period of two years (see Note 15).</w:t>
      </w:r>
    </w:p>
    <w:p>
      <w:pPr>
        <w:spacing w:after="0" w:line="7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value adjustment of $16,943 was applied to the stock consideration due to restrictions on the transfer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deferred revenues were determined in accordance with the Company’s revenue recognition policies (see Note 3).</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The Company expects $524,360 of the goodwill recorded relating to the 2022 acquisitions will be deductible for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Had the acquisition of Seequent been made at the beginning of 2020, unaudited pro forma total revenues for the three and six months ended June 30, 2021 would have been $241,762 and $497,545, respectively. Net income, net income per share, basic, and net income per share, diluted for the three and six months ended June 30, 2021 would not have been materially different than the amounts reported primarily due to the pro forma adjustments to reflect the amortization of purchased intangibles and the cost to finance the transaction, net of the related tax effects.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is for informational purposes only and is not indicative of the results of operations that would have been achieved if the acquisition had taken place at the beginning of 2021.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35,188</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(73,378)</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$2,922 and $2,617 for the three months ended June 30, 2022 and 2021, respectively, and $5,412 and $5,114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Equipment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 for the six months ended June 30, 2022. Subsequent to the transaction, ongoing operating and fixed costs of the aircraft are shared on a proportional use basis subject to a cost-sharing agreement. Such costs were not material during the six months ended June 30, 2022. Pursuant to FASB Accounting Standards Codification (“ASC”) Topic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determined this transaction was to a related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1,588,477</w:t>
            </w:r>
          </w:p>
        </w:tc>
        <w:tc>
          <w:tcPr>
            <w:tcW w:w="0" w:type="dxa"/>
            <w:vAlign w:val="bottom"/>
          </w:tcPr>
          <w:p>
            <w:pPr>
              <w:spacing w:after="0"/>
              <w:rPr>
                <w:sz w:val="1"/>
                <w:szCs w:val="1"/>
                <w:color w:val="auto"/>
              </w:rPr>
            </w:pPr>
          </w:p>
        </w:tc>
      </w:tr>
      <w:tr>
        <w:trPr>
          <w:trHeight w:val="27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634,522</w:t>
            </w:r>
          </w:p>
        </w:tc>
        <w:tc>
          <w:tcPr>
            <w:tcW w:w="0" w:type="dxa"/>
            <w:vAlign w:val="bottom"/>
          </w:tcPr>
          <w:p>
            <w:pPr>
              <w:spacing w:after="0"/>
              <w:rPr>
                <w:sz w:val="1"/>
                <w:szCs w:val="1"/>
                <w:color w:val="auto"/>
              </w:rPr>
            </w:pPr>
          </w:p>
        </w:tc>
      </w:tr>
      <w:tr>
        <w:trPr>
          <w:trHeight w:val="270"/>
        </w:trPr>
        <w:tc>
          <w:tcPr>
            <w:tcW w:w="3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70"/>
        </w:trPr>
        <w:tc>
          <w:tcPr>
            <w:tcW w:w="2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2,215,909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Details of intangible assets other than goodwill are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88"/>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43,028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101,588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(63,225)</w:t>
            </w:r>
          </w:p>
        </w:tc>
        <w:tc>
          <w:tcPr>
            <w:tcW w:w="3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38,363</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224,904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161,526</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44,910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63,080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42,187</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313,019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410,343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(168,056)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242,287</w:t>
            </w: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not subject to</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development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0" w:type="dxa"/>
            <w:vAlign w:val="bottom"/>
          </w:tcPr>
          <w:p>
            <w:pPr>
              <w:spacing w:after="0"/>
              <w:rPr>
                <w:sz w:val="1"/>
                <w:szCs w:val="1"/>
                <w:color w:val="auto"/>
              </w:rPr>
            </w:pPr>
          </w:p>
        </w:tc>
      </w:tr>
      <w:tr>
        <w:trPr>
          <w:trHeight w:val="23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316,258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413,890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(168,056)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245,834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was reflected in the Company’s consolidated statements of operations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4,589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5,684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Company’s investments consist of cost method investments of $10,666 and $6,438, respectively. The carrying amount of the Company’s equity method investment was zero as of June 30, 2022 and December 31, 2021.</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iTwin Ventures</w:t>
      </w:r>
      <w:r>
        <w:rPr>
          <w:rFonts w:ascii="Times New Roman" w:cs="Times New Roman" w:eastAsia="Times New Roman" w:hAnsi="Times New Roman"/>
          <w:sz w:val="18"/>
          <w:szCs w:val="18"/>
          <w:color w:val="auto"/>
        </w:rPr>
        <w:t>, the Company invests in technology development companies, generally in the form of equity interests or convertible notes. The Company recorded these investments under the cost method. For the six months ended June 30, 2022, the Company invested $4,361 in cost method investments.</w:t>
      </w:r>
    </w:p>
    <w:p>
      <w:pPr>
        <w:spacing w:after="0" w:line="14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Company accounts for Digital Construction Works, Inc. (“DCW”) using the equity method. DCW, a 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joint venture with Topcon Positioning Systems, Inc., operates as a digital integrator of software and cloud services for the construction industry. DCW’s focus is to transform the construction industry from its legacy document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centric paradigm by simplifying and enabling digital automated workflows and processes, technology integration, and digital twinning services for infrastructure. For the six months ended June 30, 2022, the Company invested $1,200 in DCW. Pursuant to FASB ASC Topic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six months ended June 30, 2022, transactions between the Company and DCW were not material to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and the Company’s finance lease consists of computer equipment. The finance lease is not material for the periods presented and it expired during the second quarter of 2022. As of June 30, 2022, the Company’s leases have remaining terms of less than one year to nine years, some of which include one or more options to renew, with renewal terms from one year to ten years and some of which include options to terminate the leases from less than one year to five years.</w:t>
      </w:r>
    </w:p>
    <w:p>
      <w:pPr>
        <w:spacing w:after="0" w:line="151"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For contracts with lease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or lease liability for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(leases with a term of twelve months or less).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are recognized in the consolidated statements of operations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statements of operations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72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11,287</w:t>
            </w:r>
          </w:p>
        </w:tc>
      </w:tr>
      <w:tr>
        <w:trPr>
          <w:trHeight w:val="21"/>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rent cost related to operating leases for office facilities of $5,014 and $4,618 for the three months ended June 30, 2022 and 2021, respectively, and $10,567 and $8,969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information related to leases </w:t>
      </w:r>
      <w:r>
        <w:rPr>
          <w:rFonts w:ascii="Times New Roman" w:cs="Times New Roman" w:eastAsia="Times New Roman" w:hAnsi="Times New Roman"/>
          <w:sz w:val="18"/>
          <w:szCs w:val="18"/>
          <w:color w:val="212529"/>
        </w:rPr>
        <w:t>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60" w:type="dxa"/>
            <w:vAlign w:val="bottom"/>
          </w:tcPr>
          <w:p>
            <w:pPr>
              <w:spacing w:after="0"/>
              <w:rPr>
                <w:sz w:val="23"/>
                <w:szCs w:val="23"/>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Right-of-use assets obtained in exchange for new operating lease liabilities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8" w:lineRule="exact"/>
        <w:rPr>
          <w:sz w:val="20"/>
          <w:szCs w:val="20"/>
          <w:color w:val="auto"/>
        </w:rPr>
      </w:pPr>
    </w:p>
    <w:p>
      <w:pPr>
        <w:ind w:left="340" w:hanging="332"/>
        <w:spacing w:after="0" w:line="239" w:lineRule="exact"/>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obtained in exchange for new operating lease liabilities does not include the impact from acquisitions of $1,237 and $12,418 for the six months ended June 30, 2022 and 2021, respectively.</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was 4.0 years and 4.1 years as of June 30, 2022 and December 31, 2021, respectively. The weighted average discount rate was 2.8% and 2.5% as of June 30, 2022 and December 31,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additional operating lease minimum lease payments of $1,720 for executed leases that have not yet commenced, primarily for office locations.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financing lease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8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Borders>
              <w:bottom w:val="single" w:sz="8" w:color="auto"/>
            </w:tcBorders>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lease liabilities included in Accruals and other current liabilities</w:t>
            </w:r>
          </w:p>
        </w:tc>
        <w:tc>
          <w:tcPr>
            <w:tcW w:w="148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CSS deposits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196,449</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162,046</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customers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acquisition stay bonus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cloud provisioning costs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indirect taxes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323,603</w:t>
            </w:r>
          </w:p>
        </w:tc>
        <w:tc>
          <w:tcPr>
            <w:tcW w:w="0" w:type="dxa"/>
            <w:vAlign w:val="bottom"/>
          </w:tcPr>
          <w:p>
            <w:pPr>
              <w:spacing w:after="0"/>
              <w:rPr>
                <w:sz w:val="1"/>
                <w:szCs w:val="1"/>
                <w:color w:val="auto"/>
              </w:rPr>
            </w:pPr>
          </w:p>
        </w:tc>
      </w:tr>
      <w:tr>
        <w:trPr>
          <w:trHeight w:val="21"/>
        </w:trPr>
        <w:tc>
          <w:tcPr>
            <w:tcW w:w="71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Note 10: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7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24"/>
                <w:szCs w:val="24"/>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Revolving loan facility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393,874</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Term loan net carrying value</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197,035</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199,466</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credit facility net carrying value</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590,909</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199,466</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 Notes net carrying value</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677,139</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 Notes net carrying value</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561,203</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carrying value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1,435,992</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1,825,505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1,430,992</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Credit Facility</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an amended and restated Credit Agreement, which provides for an $850,000 senior secured revolving loan facility with a maturity date of November 15, 2025 and a $200,000 senior secured term loan as described further below (the “Credit Facility”).</w:t>
      </w:r>
    </w:p>
    <w:p>
      <w:pPr>
        <w:spacing w:after="0" w:line="16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Company’s $200,000 senior secured term loan has a maturity of November 15, 2025 (the “2021 Term Loan”). The 2021 Term Loan requires principal repayment at the end of each calendar quarter. Beginning with March 31, 2022 and ending with December 31, 2023, the Company is required to repay $1,250 per quarter. Beginning with March 31, 2024 and ending with the last such date prior to the maturity date, the Company is required to repay $2,500 per quarter. The Company incurred $540 of debt issuance costs related to the 2021 Term Loan. The Company used borrowings under the 2021 Term Loan to pay down borrowings under the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revolving loan facility under the Credit Facility.</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$200,000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The Company had $150 of letters of credit and surety bonds outstanding as of June 30, 2022 and December 31, 2021. As of June 30, 2022 and December 31, 2021, the Company had $455,976 and $849,850, respectively, available under the Credit Facility.</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net leverage ratios. As of June 30, 2022 and December 31, 2021, the Company was in compliance with all covenants in its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January 26, 2021, the Company completed a private offering of $690,000 of 0.125% convertible senior notes due 2026 (the “2026 Notes”). The 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the payment of initial purchasers’ discounts and commissions, professional fees, and other expenses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none of the conditions of the 2026 Notes to early convert has been met.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Notes contain both affirmative and negative covenants. As of June 30, 2022, the Company was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2026 Notes, the Company entered into capped call options with certain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June 28, 2021, the Company completed a private offering of $575,000 of 0.375% convertible senior notes due 2027 (the “2027 Notes”). The 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8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none of the conditions of the 2027 Notes to early convert has been met.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2027 Notes contain both affirmative and negative covenants. As of June 30, 2022, the Company was in compliance with all covenants in the 2027 Notes.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 In connection with the pricing of the 2027 Notes, the Company entered into capped call options with certain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20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Bank credit facility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loan facility</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3,540</w:t>
            </w:r>
          </w:p>
        </w:tc>
        <w:tc>
          <w:tcPr>
            <w:tcW w:w="260" w:type="dxa"/>
            <w:vAlign w:val="bottom"/>
          </w:tcPr>
          <w:p>
            <w:pPr>
              <w:spacing w:after="0"/>
              <w:rPr>
                <w:sz w:val="23"/>
                <w:szCs w:val="23"/>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1,391</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5,247</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1,387</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0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0.125% Coupon interest</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1,138</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1,124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0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0.375% Coupon interest</w:t>
            </w:r>
          </w:p>
        </w:tc>
        <w:tc>
          <w:tcPr>
            <w:tcW w:w="8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0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1,166</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7,704</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2,582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3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was 2.89% and 2.11% for the three months ended June 30, 2022 and 2021, respectively, and 2.62% and 2.18% for the six months ended June 30, 2022 and 2021,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has a termination date of April 2, 2030. Under the terms of the interest rate swap, the Company fixed its LIBOR borrowing rate at 0.73% on a notional amount of $200,000. The interest rate swap is not designated as a hedging instrument for accounting purposes. The Company accounts for the interest rate swap as either an asset or a liability in the consolidated balance sheets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As of June 30, 2022 and December 31, 2021, the Company recorded a swap related asset at fair value of $29,607 and $10,117, respectively,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22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Certain of the Company’s key employees, including its named executive officers, participate in the amended and restated Bentley Systems, Incorporated Bonus Pool Plan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participants and participant charitable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deferred compensation plan (see Note 12). A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is payable in cash, however, the Bonus Plan provides, in part, that a participant may elect to receive any portion, or all, of such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issued under the Bentley Systems, Incorporated 2020 Omnibus Incentive Plan, subject to the limitation described below. The Company records the election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bonuses exceeds $7,500, the portion of each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the incentive compensation, including cash payments, election to receive shares of fully vested Class B Common Stock, and deferred compensation to plan participants, recognized under this plan (net of all applicable holdbacks) was $6,811 and $7,683, respectively, and $16,530 and $16,558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29"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Under the Company’s unfunded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statements of operations (see Note 15).</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DCP participants’ holdings in phantom shares of the Company’s Class B Common Stock are equity classified as they will be settled in shares of Class B Common Stock upon eventual distribution.</w:t>
      </w:r>
    </w:p>
    <w:p>
      <w:pPr>
        <w:spacing w:after="0" w:line="13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For further discussion of the aforementioned DCP reallocation, see Note 12 to the Company’s consolidated financial statements included in Part II, Item 8 of the Company’s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DCP participants’ holdings in phantom investment funds are classified as liabilities in either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 liabilities </w:t>
      </w:r>
      <w:r>
        <w:rPr>
          <w:rFonts w:ascii="Times New Roman" w:cs="Times New Roman" w:eastAsia="Times New Roman" w:hAnsi="Times New Roman"/>
          <w:sz w:val="18"/>
          <w:szCs w:val="18"/>
          <w:color w:val="auto"/>
        </w:rPr>
        <w:t>in the consolidated balance sheets as they will be settled in cash upon eventual distribution. The deferred compensation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plan </w:t>
      </w:r>
      <w:r>
        <w:rPr>
          <w:rFonts w:ascii="Times New Roman" w:cs="Times New Roman" w:eastAsia="Times New Roman" w:hAnsi="Times New Roman"/>
          <w:sz w:val="18"/>
          <w:szCs w:val="18"/>
          <w:color w:val="auto"/>
        </w:rPr>
        <w:t>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(income) expense was $(12,159) and $195 for the three months ended June 30, 2022 and 2021, respectively, and $(17,297)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$362 for the six months ended June 30, 2022 and 2021, respectively.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and 2021, DCP elective participant deferrals were $3,108 and $1,493, respectively. No discretionary contributions were made to the DCP during the three and six months ended June 30, 2022 and 2021. As of June 30, 2022 and December 31, 2021, phantom shares of the Company’s Class B Common Stock issuable by the DCP were 21,570,161 and 25,384,449,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liabilities related to the DCP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DCP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BSY Stock Repurchase Program</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May 11, 2022, the Company announced that its board of directors approved the BSY Stock Repurchase Program (the “Repurchase Program”) authorizing the Company to repurchase up to $200,000 of the Company’s Class B Common Stock through June 30, 2024. The Repurchase Program is used to offset dilution from the issuance of the Company’s Class B Common Stock under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The shares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repurchased under the Repurchase Program, will be determined by the Company at its discretion and will depend on a variety of factors, including management’s assessment of the intrinsic value of the Company’s shares, the market price of the Company’s Class B Common Stock, general market and economic conditions, available liquidity, compliance with the Company’s debt and other agreements, and applicable legal requirements. The exact number of shares to be repurchased by the Company is not guaranteed, and the Repurchase Program may be suspended, modified, or discontinued at any time without prior notice. For the six months ended June 30, 2022, the Company repurchased 463,001 shares for $13,242.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Issuances, Sales, and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2021, the Company issued 3,141,342 shares of the Company’s Class B Common Stock pursuant to the acquisition of Seequent (see Note 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the Company issued 2,054,585 shares of Class B Common Stock to colleagues who exercised their stock options, net of 355,063 shares withheld at exercise to pay for the cost of the stock options, as well as for $8,400 of applicable income tax withholdings. The Company received $5,861 in proceeds from the exercise of stock options. For the six months ended June 30, 2021, the Company issued 3,657,058 shares of Class B Common Stock to colleagues who exercised their stock options, net of 860,335 shares withheld at exercise to pay for the cost of the stock options, as well as for $29,027 of applicable income tax withholdings. The Company received $4,324 in proceeds from the exercise of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 Company issued 185,178 shares of Class B Common Stock related to the exercise of acquisition options (see Note 15), net of 714,822 shares withheld at exercise to pay for the cost of the options. The Company did not receive any proceeds from the exercise of these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issued 159,797 and 149,447 shares of Class B Common Stock, respectively, in connection with Bonus Plan incentive compensation, net of shares withheld. Of the total 283,913 shares awarded for the six months ended June 30, 2022, 124,116 shares were sold back to the Company in the same period to pay for applicable income tax withholdings of $5,197. Of the total 249,189 shares awarded for the six months ended June 30, 2021, 99,742 shares were sold back to the Company in the same period to pay for applicable income tax withholdings of $4,716.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issued 3,425,795 and 2,202,079 shares of Class B Common Stock, respectively, to DCP participants in connection with distributions from the plan. The distribution in shares for the six months ended June 30, 2022 totaled 3,926,105 shares of which 500,310 shares were sold back to the Company in the same period to pay for applicable income tax withholdings of $24,246. The distribution in shares for the six months ended June 30, 2021 totaled 3,527,023 shares of which 1,324,944 shares were sold back to the Company in the same period to pay for applicable income tax withholdings of $61,912.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declared cash dividends during the periods presented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6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Employee Stock Purchase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During the six months ended June 30, 2022, colleagues who elected to participate in the ESPP purchased a total of 109,749 shares of Class B Common Stock, net of shares withheld, resulting in cash proceeds to the Company of $4,611. Of the total 112,249 shares purchased, 2,500 shares were sold back to the Company to pay for applicable income tax withholdings of $121. During the six months ended June 30, 2021, no shares were issued under the ESPP. As of June 30, 2022 and December 31, 2021, $5,820 and $4,818 of ESPP withholding via colleague payroll deduction were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three months ended June 30,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(19,483)</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six months ended June 30, 2022 and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(28,653)</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consists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7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Restricted stock and restricted stock units (“RSUs”) expense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expense (see Note 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DCP elective participant deferrals expense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(see Note 12)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(3)</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88" w:lineRule="exact"/>
        <w:rPr>
          <w:sz w:val="20"/>
          <w:szCs w:val="20"/>
          <w:color w:val="auto"/>
        </w:rPr>
      </w:pPr>
    </w:p>
    <w:p>
      <w:pPr>
        <w:ind w:left="320" w:hanging="312"/>
        <w:spacing w:after="0" w:line="207" w:lineRule="exact"/>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shares (see Note 4).</w:t>
      </w:r>
    </w:p>
    <w:p>
      <w:pPr>
        <w:spacing w:after="0" w:line="14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DCP elective participant deferrals expense excludes deferred incentive bonus payable pursuant to the Bonus Plan.</w:t>
      </w:r>
    </w:p>
    <w:p>
      <w:pPr>
        <w:spacing w:after="0" w:line="115"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June 30, 2022 and December 31, 2021, $6,163 and $6,749 remained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w:t>
      </w:r>
    </w:p>
    <w:p>
      <w:pPr>
        <w:spacing w:after="0" w:line="13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21,101</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and related information under the Company’s applicable equity incentive plans: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6,917,925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(2,409,648)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June 30,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4,417,152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3,453,277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received cash proceeds of $5,861 and $4,324, respectively, related to the exercise of stock options. The total intrinsic value of stock options exercised for the six months ended June 30, 2022 and 2021 was $82,288 and $206,097,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was $1,162 of unrecognized compensation expense related to unvested stock options, which is expected to be recognized over a weighted average period of approximately 0.7 years.</w:t>
      </w:r>
    </w:p>
    <w:p>
      <w:pPr>
        <w:spacing w:after="0" w:line="16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Acquisition Options </w:t>
      </w:r>
      <w:r>
        <w:rPr>
          <w:rFonts w:ascii="Times New Roman" w:cs="Times New Roman" w:eastAsia="Times New Roman" w:hAnsi="Times New Roman"/>
          <w:sz w:val="18"/>
          <w:szCs w:val="18"/>
          <w:color w:val="auto"/>
        </w:rPr>
        <w:t>— In addition to stock options granted under the Company’s equity incentive plans, in connection with an acquisition completed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were exercisable on March 27, 2022, and have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During the six months ended June 30, 2022, 900,000 shares were exercised. No acquisition options remain outstanding as of June 30,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RSUs</w:t>
      </w:r>
    </w:p>
    <w:p>
      <w:pPr>
        <w:spacing w:after="0" w:line="20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Under the equity incentive plans, the Company may grant both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and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performance targets. Performance targets are generally set for performance periods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is a summary of unvested restricted stock and RSU activity and related information under the Company’s applicable equity incentive plans: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Based</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7"/>
                <w:szCs w:val="17"/>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7"/>
                <w:szCs w:val="17"/>
                <w:color w:val="auto"/>
              </w:rPr>
            </w:pPr>
          </w:p>
        </w:tc>
        <w:tc>
          <w:tcPr>
            <w:tcW w:w="11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20" w:type="dxa"/>
            <w:vAlign w:val="bottom"/>
          </w:tcPr>
          <w:p>
            <w:pPr>
              <w:spacing w:after="0"/>
              <w:rPr>
                <w:sz w:val="17"/>
                <w:szCs w:val="17"/>
                <w:color w:val="auto"/>
              </w:rPr>
            </w:pPr>
          </w:p>
        </w:tc>
        <w:tc>
          <w:tcPr>
            <w:tcW w:w="11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3"/>
        </w:trPr>
        <w:tc>
          <w:tcPr>
            <w:tcW w:w="3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1,708,545</w:t>
            </w:r>
          </w:p>
        </w:tc>
        <w:tc>
          <w:tcPr>
            <w:tcW w:w="4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1,611,862</w:t>
            </w:r>
          </w:p>
        </w:tc>
        <w:tc>
          <w:tcPr>
            <w:tcW w:w="4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500" w:type="dxa"/>
            <w:vAlign w:val="bottom"/>
            <w:tcBorders>
              <w:top w:val="single" w:sz="8" w:color="CCEEFF"/>
            </w:tcBorders>
            <w:shd w:val="clear" w:color="auto" w:fill="CCEEFF"/>
          </w:tcPr>
          <w:p>
            <w:pPr>
              <w:jc w:val="right"/>
              <w:ind w:right="302"/>
              <w:spacing w:after="0" w:line="136" w:lineRule="exact"/>
              <w:rPr>
                <w:sz w:val="20"/>
                <w:szCs w:val="20"/>
                <w:color w:val="auto"/>
              </w:rPr>
            </w:pPr>
            <w:r>
              <w:rPr>
                <w:rFonts w:ascii="Times New Roman" w:cs="Times New Roman" w:eastAsia="Times New Roman" w:hAnsi="Times New Roman"/>
                <w:sz w:val="12"/>
                <w:szCs w:val="12"/>
                <w:color w:val="auto"/>
                <w:w w:val="85"/>
              </w:rPr>
              <w:t>(4)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32.81</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1,431,550</w:t>
            </w: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85"/>
              </w:rPr>
              <w:t>(1)</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1,074,604</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356,946</w:t>
            </w:r>
          </w:p>
        </w:tc>
        <w:tc>
          <w:tcPr>
            <w:tcW w:w="50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w w:val="85"/>
              </w:rPr>
              <w:t>(5)</w:t>
            </w:r>
          </w:p>
        </w:tc>
        <w:tc>
          <w:tcPr>
            <w:tcW w:w="16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39.27</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38.26</w:t>
            </w:r>
          </w:p>
        </w:tc>
      </w:tr>
      <w:tr>
        <w:trPr>
          <w:trHeight w:val="270"/>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(214,382)</w:t>
            </w: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(123,212)</w:t>
            </w:r>
          </w:p>
        </w:tc>
        <w:tc>
          <w:tcPr>
            <w:tcW w:w="4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 xml:space="preserve">(91,170) </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49.78</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70"/>
        </w:trPr>
        <w:tc>
          <w:tcPr>
            <w:tcW w:w="3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4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(84,484)</w:t>
            </w:r>
          </w:p>
        </w:tc>
        <w:tc>
          <w:tcPr>
            <w:tcW w:w="4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5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33.48</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49.93</w:t>
            </w: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June 30,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2,835,716</w:t>
            </w:r>
          </w:p>
        </w:tc>
        <w:tc>
          <w:tcPr>
            <w:tcW w:w="42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(2)</w:t>
            </w:r>
          </w:p>
        </w:tc>
        <w:tc>
          <w:tcPr>
            <w:tcW w:w="11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2,478,770</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356,946</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34.74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38.26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2022, the Company only granted RSUs.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63,422 RSUs which are expected to be settled in cash.</w:t>
      </w:r>
    </w:p>
    <w:p>
      <w:pPr>
        <w:spacing w:after="0" w:line="88" w:lineRule="exact"/>
        <w:rPr>
          <w:rFonts w:ascii="Times New Roman" w:cs="Times New Roman" w:eastAsia="Times New Roman" w:hAnsi="Times New Roman"/>
          <w:sz w:val="18"/>
          <w:szCs w:val="18"/>
          <w:color w:val="auto"/>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Includes 199,076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during the three months ended March 31, 2022 to certain officers and key employees, which cliff vest on January 31, 2025.</w:t>
      </w:r>
    </w:p>
    <w:p>
      <w:pPr>
        <w:spacing w:after="0" w:line="62" w:lineRule="exact"/>
        <w:rPr>
          <w:rFonts w:ascii="Times New Roman" w:cs="Times New Roman" w:eastAsia="Times New Roman" w:hAnsi="Times New Roman"/>
          <w:sz w:val="18"/>
          <w:szCs w:val="18"/>
          <w:color w:val="231F20"/>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2021 annual performance period. 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awards was fully recognized as of December 31, 2021.</w:t>
      </w:r>
    </w:p>
    <w:p>
      <w:pPr>
        <w:spacing w:after="0" w:line="62" w:lineRule="exact"/>
        <w:rPr>
          <w:rFonts w:ascii="Times New Roman" w:cs="Times New Roman" w:eastAsia="Times New Roman" w:hAnsi="Times New Roman"/>
          <w:sz w:val="18"/>
          <w:szCs w:val="18"/>
          <w:color w:val="auto"/>
        </w:rPr>
      </w:pPr>
    </w:p>
    <w:p>
      <w:pPr>
        <w:ind w:left="340" w:hanging="332"/>
        <w:spacing w:after="0" w:line="239" w:lineRule="exact"/>
        <w:tabs>
          <w:tab w:leader="none" w:pos="33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Primarily relates to the 2022 annual performance period, except for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during the three months ended March 31, 2022 with extraordinary terms, which are described below.</w:t>
      </w:r>
    </w:p>
    <w:p>
      <w:pPr>
        <w:spacing w:after="0" w:line="17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During the three months ended March 31, 2022, the Company granted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will be subject to a cliff, whereby no vesting of that portion will occur unless the Company’s Adjusted EBITDA margin also equals or exceeds the relevant target level for such year. Provided Adjusted EBITDA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Final actual vesting will be determined on January 31, 2025.</w:t>
      </w:r>
    </w:p>
    <w:p>
      <w:pPr>
        <w:spacing w:after="0" w:line="17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During the three months ended March 31, 2022, the Company granted 120,599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related to the 2022 annual performance period. Provided Adjusted EBITDA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certain business profitability and growth targets, which include growth in annualized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To the extent performance exceeds the applicable targets for 2022, these grantees could realize a maximum of 1.25x the number of annual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granted or 150,749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w:t>
      </w:r>
    </w:p>
    <w:p>
      <w:pPr>
        <w:spacing w:after="0" w:line="15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2016, the Company granted RSUs subject to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as determined by the achievement of certain business growth targets. Certain colleagues elected to defer delivery of such shares upon vesting. During the six months ended June 30, 2022 and 2021, 10,888 and 10,864 shares, respectively, were delivered to colleagues, and 16 and 23 additional shares, respectively, were earned as a result of dividends. As of June 30, 2022 and December 31, 2021, 9,349 and 20,221 shares, respectively, of these vested and deferred RSUs remained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values of RSUs granted were $39.02 and $49.86,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restricted stock and RSUs were issued net of 52,026 and 14,869 shares, respectively, which were sold back to the Company to settle applicable income tax withholdings of $2,148 and $708, respectively.</w:t>
      </w:r>
    </w:p>
    <w:p>
      <w:pPr>
        <w:spacing w:after="0" w:line="13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As of June 30, 2022, there was $74,275 of unrecognized compensation expense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and RSUs, which is expected to be recognized over a weighted average period of approximately 2.0 years. There was no remaining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As of June 30, 2022, there was $11,006 of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1.9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granted 13,632 and 7,824 fully vested shares of Class B Common Stock, respectively, with a fair value of $450.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 for income taxes</w:t>
      </w:r>
      <w:r>
        <w:rPr>
          <w:rFonts w:ascii="Times New Roman" w:cs="Times New Roman" w:eastAsia="Times New Roman" w:hAnsi="Times New Roman"/>
          <w:sz w:val="18"/>
          <w:szCs w:val="18"/>
          <w:color w:val="auto"/>
        </w:rPr>
        <w:t>, and effective tax rate for the periods presented: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0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26,983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94,793</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Benefit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7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9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(10,115)</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9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the three and six months ended June 30, 2022, the effective tax rate was higher primarily due to the decrease in discrete tax benefits recognized in the respective periods. For the three months ended June 30, 2022 and 2021, the Company recorded discrete tax benefits of $19,024 and $28,967, respectively, and $31,752 and $36,452 for the six months ended June 30, 2022 and 2021,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2022, the Company repatriated $50,000 and $150,000, respectively, of undistributed previously taxed earnings generated by its foreign subsidiaries to the U.S. The repatriations were used to fund the acquisition of Power Line Systems (see Note 4). The cash repatriations did not have a material impact on </w:t>
      </w:r>
      <w:r>
        <w:rPr>
          <w:rFonts w:ascii="Times New Roman" w:cs="Times New Roman" w:eastAsia="Times New Roman" w:hAnsi="Times New Roman"/>
          <w:sz w:val="18"/>
          <w:szCs w:val="18"/>
          <w:i w:val="1"/>
          <w:iCs w:val="1"/>
          <w:color w:val="auto"/>
        </w:rPr>
        <w:t>Benefit for income taxes</w:t>
      </w:r>
      <w:r>
        <w:rPr>
          <w:rFonts w:ascii="Times New Roman" w:cs="Times New Roman" w:eastAsia="Times New Roman" w:hAnsi="Times New Roman"/>
          <w:sz w:val="18"/>
          <w:szCs w:val="18"/>
          <w:color w:val="auto"/>
        </w:rPr>
        <w:t xml:space="preserve"> for the three and six months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interest rate swap with a notional amount of $200,000 and a termination date of April 2, 2030 to reduce the interest rate risk associated with the Company’s Credit Facility. The interest rate swap is not designated as a hedging instrument for accounting purposes. The Company accounts for the interest rate swap as either an asset or a liability in the consolidated balance sheets and carries the derivative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interest rate swap activity: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9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Consolidated</w:t>
            </w:r>
          </w:p>
        </w:tc>
      </w:tr>
      <w:tr>
        <w:trPr>
          <w:trHeight w:val="214"/>
        </w:trPr>
        <w:tc>
          <w:tcPr>
            <w:tcW w:w="3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r>
      <w:tr>
        <w:trPr>
          <w:trHeight w:val="232"/>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r>
      <w:tr>
        <w:trPr>
          <w:trHeight w:val="270"/>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from change in 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6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60" w:type="dxa"/>
            <w:vAlign w:val="bottom"/>
          </w:tcPr>
          <w:p>
            <w:pPr>
              <w:spacing w:after="0"/>
              <w:rPr>
                <w:sz w:val="23"/>
                <w:szCs w:val="23"/>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r>
      <w:tr>
        <w:trPr>
          <w:trHeight w:val="27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(Refunds) payments</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shd w:val="clear" w:color="auto" w:fill="CCEEFF"/>
          </w:tcPr>
          <w:p>
            <w:pPr>
              <w:spacing w:after="0"/>
              <w:rPr>
                <w:sz w:val="23"/>
                <w:szCs w:val="23"/>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expense, net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7"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 xml:space="preserve">The Company applies the provisions of 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items that are recognized or disclosed at fair value in the consolidated financial statements.</w:t>
      </w:r>
    </w:p>
    <w:p>
      <w:pPr>
        <w:spacing w:after="0" w:line="17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 as of June 30, 2022 and December 31, 2021:</w:t>
      </w:r>
    </w:p>
    <w:p>
      <w:pPr>
        <w:spacing w:after="0" w:line="160"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Current assets and current liabilities </w:t>
      </w:r>
      <w:r>
        <w:rPr>
          <w:rFonts w:ascii="Times New Roman" w:cs="Times New Roman" w:eastAsia="Times New Roman" w:hAnsi="Times New Roman"/>
          <w:sz w:val="18"/>
          <w:szCs w:val="18"/>
          <w:color w:val="auto"/>
        </w:rPr>
        <w:t>— In general, the carrying amounts reported on the Company’s consolidated balance sheets for current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liabilities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contingent consideration </w:t>
      </w:r>
      <w:r>
        <w:rPr>
          <w:rFonts w:ascii="Times New Roman" w:cs="Times New Roman" w:eastAsia="Times New Roman" w:hAnsi="Times New Roman"/>
          <w:sz w:val="18"/>
          <w:szCs w:val="18"/>
          <w:color w:val="auto"/>
        </w:rPr>
        <w:t>— The fair value of these liabilities is based on significant inputs not observable in the market, which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3 measurement within the fair value hierarchy. The valuation of contingent consideration uses assumptions the Company believes would be made by a market participant.</w:t>
      </w:r>
    </w:p>
    <w:p>
      <w:pPr>
        <w:spacing w:after="0" w:line="14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i w:val="1"/>
          <w:iCs w:val="1"/>
          <w:color w:val="auto"/>
        </w:rPr>
        <w:t xml:space="preserve">Interest rate swap </w:t>
      </w:r>
      <w:r>
        <w:rPr>
          <w:rFonts w:ascii="Times New Roman" w:cs="Times New Roman" w:eastAsia="Times New Roman" w:hAnsi="Times New Roman"/>
          <w:sz w:val="18"/>
          <w:szCs w:val="18"/>
          <w:color w:val="auto"/>
        </w:rPr>
        <w:t>— The fair value of the Company’s interest rate swap is measured based on the implied forward rates from the U.S. Dollar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yield curve and are classified as Level 2 within the fair value hierarchy.</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The fair value of the Company’s borrowings under its Credit Facility approximated its carrying value based upon discounted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current market rates for instruments with similar remaining terms. The Company considers these valuation inputs to be Level 2 inputs in the fair value hierarchy. As of June 30, 2022, the estimated fair value of the 2026 Notes and 2027 Notes was $601,825 and $450,467, respectively. As of December 31, 2021, the estimated fair value of the 2026 Notes and 2027 Notes was $720,284 and $531,915,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liabilities </w:t>
      </w:r>
      <w:r>
        <w:rPr>
          <w:rFonts w:ascii="Times New Roman" w:cs="Times New Roman" w:eastAsia="Times New Roman" w:hAnsi="Times New Roman"/>
          <w:sz w:val="18"/>
          <w:szCs w:val="18"/>
          <w:color w:val="auto"/>
        </w:rPr>
        <w:t>— The fair value of deferred compensation plan liabilities, including the liability classified phantom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DCP, are marked to market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carried at fair value measured on a recurring basis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r>
      <w:tr>
        <w:trPr>
          <w:trHeight w:val="223"/>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29,626</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77,566</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77,566</w:t>
            </w: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8"/>
        </w:trPr>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5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r>
      <w:tr>
        <w:trPr>
          <w:trHeight w:val="223"/>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70"/>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102,199</w:t>
            </w:r>
          </w:p>
        </w:tc>
      </w:tr>
      <w:tr>
        <w:trPr>
          <w:trHeight w:val="270"/>
        </w:trPr>
        <w:tc>
          <w:tcPr>
            <w:tcW w:w="5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102,552</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2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consolidated balance sheets.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$1,923 and $5,382 as of June 30, 2022 and December 31, 2021,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2" w:lineRule="exact"/>
        <w:rPr>
          <w:sz w:val="20"/>
          <w:szCs w:val="20"/>
          <w:color w:val="auto"/>
        </w:rPr>
      </w:pPr>
    </w:p>
    <w:p>
      <w:pPr>
        <w:ind w:left="340" w:hanging="332"/>
        <w:spacing w:after="0" w:line="284"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Deferred compensation plan liabilities</w:t>
      </w:r>
      <w:r>
        <w:rPr>
          <w:rFonts w:ascii="Times New Roman" w:cs="Times New Roman" w:eastAsia="Times New Roman" w:hAnsi="Times New Roman"/>
          <w:sz w:val="18"/>
          <w:szCs w:val="18"/>
          <w:color w:val="auto"/>
        </w:rPr>
        <w:t xml:space="preserve">, except for current liabilities of $2,041 and $7,309 as of June 30, 2022 and December 31, 2021,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5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changes in fair value of the Company’s financial liabilities which have been classified as Level 3 in the fair value hierarchy: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7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2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r>
      <w:tr>
        <w:trPr>
          <w:trHeight w:val="27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w:t>
      </w:r>
      <w:r>
        <w:rPr>
          <w:rFonts w:ascii="Times New Roman" w:cs="Times New Roman" w:eastAsia="Times New Roman" w:hAnsi="Times New Roman"/>
          <w:sz w:val="18"/>
          <w:szCs w:val="18"/>
          <w:color w:val="auto"/>
        </w:rPr>
        <w:t>— In the normal course of business, the Company enters into various purchase commitments for goods and services.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 for services related to the cloud provisioning of the Company’s software solutions was $33,226 through May 2023. The Company expects to fully consume its contractual commitment in the ordinary course of operations.</w:t>
      </w:r>
    </w:p>
    <w:p>
      <w:pPr>
        <w:spacing w:after="0" w:line="194"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w:t>
      </w:r>
      <w:r>
        <w:rPr>
          <w:rFonts w:ascii="Times New Roman" w:cs="Times New Roman" w:eastAsia="Times New Roman" w:hAnsi="Times New Roman"/>
          <w:sz w:val="18"/>
          <w:szCs w:val="18"/>
          <w:color w:val="auto"/>
        </w:rPr>
        <w:t>— The Company leases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automobiles under operating leases having initial or remaining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terms in excess of one year (see Note 8).</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 From time to time, the Company is involved in certain legal actions arising in the ordinary course of business. In management’s opinion,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upon the advice of counsel, the outcome of such actions is not expected to have a material adverse effect on the Company’s future financial position,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20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Revenues by geographic region are presented in Note 3.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net of depreciation and amortization by geographic region (see Notes 5, 6, and 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10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179,628</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w:t>
            </w: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44,730</w:t>
            </w: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177,180</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184,245</w:t>
            </w: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390,985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328,475</w:t>
            </w:r>
          </w:p>
        </w:tc>
      </w:tr>
      <w:tr>
        <w:trPr>
          <w:trHeight w:val="21"/>
        </w:trPr>
        <w:tc>
          <w:tcPr>
            <w:tcW w:w="3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4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13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U.S., Canada, and Latin America (including the Caribbean).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(see Note 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 (see Note 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(loss) gain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7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 (see Note 5)</w:t>
            </w:r>
          </w:p>
        </w:tc>
        <w:tc>
          <w:tcPr>
            <w:tcW w:w="300" w:type="dxa"/>
            <w:vAlign w:val="bottom"/>
          </w:tcPr>
          <w:p>
            <w:pPr>
              <w:spacing w:after="0"/>
              <w:rPr>
                <w:sz w:val="23"/>
                <w:szCs w:val="2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0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40" w:hanging="332"/>
        <w:spacing w:after="0" w:line="261"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gain is primarily attributable to foreign currency translation derived primarily from U.S. Dollar denominated cash and cash equivalents, account receivables, customer deposits, and intercompany balances held by foreign subsidiaries. Intercompany finance transactions denominated in U.S. Dollars resulted in unrealized foreign exchange (losses) gains of $(5,799) and $963 for the three months ended June 30, 2022 and 2021, respectively, $(6,563) and $1,443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Note 22: Net Income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June 30, 2022 and 2021, there were 356,946 and 99,808 participating securities outstanding,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For the Company’s diluted </w:t>
      </w:r>
      <w:r>
        <w:rPr>
          <w:rFonts w:ascii="Times New Roman" w:cs="Times New Roman" w:eastAsia="Times New Roman" w:hAnsi="Times New Roman"/>
          <w:sz w:val="18"/>
          <w:szCs w:val="18"/>
          <w:color w:val="000000"/>
        </w:rPr>
        <w:t>net income per share</w:t>
      </w:r>
      <w:r>
        <w:rPr>
          <w:rFonts w:ascii="Times New Roman" w:cs="Times New Roman" w:eastAsia="Times New Roman" w:hAnsi="Times New Roman"/>
          <w:sz w:val="18"/>
          <w:szCs w:val="18"/>
          <w:color w:val="212529"/>
        </w:rPr>
        <w:t xml:space="preserve"> numerator, interest expense, net of tax, attributable to the conversion of the </w:t>
      </w:r>
      <w:r>
        <w:rPr>
          <w:rFonts w:ascii="Times New Roman" w:cs="Times New Roman" w:eastAsia="Times New Roman" w:hAnsi="Times New Roman"/>
          <w:sz w:val="18"/>
          <w:szCs w:val="18"/>
          <w:color w:val="000000"/>
        </w:rPr>
        <w:t>convertible senior notes</w:t>
      </w:r>
      <w:r>
        <w:rPr>
          <w:rFonts w:ascii="Times New Roman" w:cs="Times New Roman" w:eastAsia="Times New Roman" w:hAnsi="Times New Roman"/>
          <w:sz w:val="18"/>
          <w:szCs w:val="18"/>
          <w:color w:val="212529"/>
        </w:rPr>
        <w:t xml:space="preserve"> is added back to basic net income attributable to common stockholders. For the Company’s diluted </w:t>
      </w:r>
      <w:r>
        <w:rPr>
          <w:rFonts w:ascii="Times New Roman" w:cs="Times New Roman" w:eastAsia="Times New Roman" w:hAnsi="Times New Roman"/>
          <w:sz w:val="18"/>
          <w:szCs w:val="18"/>
          <w:color w:val="000000"/>
        </w:rPr>
        <w:t>net income per share</w:t>
      </w:r>
      <w:r>
        <w:rPr>
          <w:rFonts w:ascii="Times New Roman" w:cs="Times New Roman" w:eastAsia="Times New Roman" w:hAnsi="Times New Roman"/>
          <w:sz w:val="18"/>
          <w:szCs w:val="18"/>
          <w:color w:val="212529"/>
        </w:rPr>
        <w:t xml:space="preserve"> denominator, the basic weighted average number of shares is adjusted by the effect of dilutive securities, including awards under the Company’s equity compensation plans and ESPP, and by the dilutive </w:t>
      </w:r>
      <w:r>
        <w:rPr>
          <w:rFonts w:ascii="Times New Roman" w:cs="Times New Roman" w:eastAsia="Times New Roman" w:hAnsi="Times New Roman"/>
          <w:sz w:val="18"/>
          <w:szCs w:val="18"/>
          <w:color w:val="000000"/>
        </w:rPr>
        <w:t>effect of the assumed conversion of the convertible senior notes.</w:t>
      </w:r>
      <w:r>
        <w:rPr>
          <w:rFonts w:ascii="Times New Roman" w:cs="Times New Roman" w:eastAsia="Times New Roman" w:hAnsi="Times New Roman"/>
          <w:sz w:val="18"/>
          <w:szCs w:val="18"/>
          <w:color w:val="212529"/>
        </w:rPr>
        <w:t xml:space="preserve"> Diluted </w:t>
      </w:r>
      <w:r>
        <w:rPr>
          <w:rFonts w:ascii="Times New Roman" w:cs="Times New Roman" w:eastAsia="Times New Roman" w:hAnsi="Times New Roman"/>
          <w:sz w:val="18"/>
          <w:szCs w:val="18"/>
          <w:color w:val="000000"/>
        </w:rPr>
        <w:t>net income per share</w:t>
      </w:r>
      <w:r>
        <w:rPr>
          <w:rFonts w:ascii="Times New Roman" w:cs="Times New Roman" w:eastAsia="Times New Roman" w:hAnsi="Times New Roman"/>
          <w:sz w:val="18"/>
          <w:szCs w:val="18"/>
          <w:color w:val="212529"/>
        </w:rPr>
        <w:t xml:space="preserve"> attributable to common stockholders is computed by dividing diluted net income attributable to common stockholders by the weighted average number of fully diluted common shares.</w:t>
      </w:r>
    </w:p>
    <w:p>
      <w:pPr>
        <w:spacing w:after="0" w:line="183"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details of basic and diluted net income per share are as follows</w:t>
      </w:r>
      <w:r>
        <w:rPr>
          <w:rFonts w:ascii="Times New Roman" w:cs="Times New Roman" w:eastAsia="Times New Roman" w:hAnsi="Times New Roman"/>
          <w:sz w:val="18"/>
          <w:szCs w:val="18"/>
          <w:color w:val="212529"/>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Pr>
          <w:p>
            <w:pPr>
              <w:spacing w:after="0"/>
              <w:rPr>
                <w:sz w:val="18"/>
                <w:szCs w:val="18"/>
                <w:color w:val="auto"/>
              </w:rPr>
            </w:pPr>
          </w:p>
        </w:tc>
      </w:tr>
      <w:tr>
        <w:trPr>
          <w:trHeight w:val="219"/>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4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20" w:type="dxa"/>
            <w:vAlign w:val="bottom"/>
          </w:tcPr>
          <w:p>
            <w:pPr>
              <w:spacing w:after="0"/>
              <w:rPr>
                <w:sz w:val="23"/>
                <w:szCs w:val="23"/>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102,633</w:t>
            </w:r>
          </w:p>
        </w:tc>
      </w:tr>
      <w:tr>
        <w:trPr>
          <w:trHeight w:val="225"/>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participating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5"/>
        </w:trPr>
        <w:tc>
          <w:tcPr>
            <w:tcW w:w="43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attributable to Class A and Class B</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1"/>
        </w:trPr>
        <w:tc>
          <w:tcPr>
            <w:tcW w:w="4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112,041</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102,630</w:t>
            </w:r>
          </w:p>
        </w:tc>
      </w:tr>
      <w:tr>
        <w:trPr>
          <w:trHeight w:val="225"/>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 of tax, attributable to</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conversion of convertible senior notes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05"/>
        </w:trPr>
        <w:tc>
          <w:tcPr>
            <w:tcW w:w="43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attributable to Class A and Class B</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46,465</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115,441</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104,060</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308,244,778</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304,066,038</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308,512,924</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303,311,423</w:t>
            </w:r>
          </w:p>
        </w:tc>
      </w:tr>
      <w:tr>
        <w:trPr>
          <w:trHeight w:val="225"/>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restricted stock,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1"/>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RSUs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6,167,330</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9,389,339</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5,854,791</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10,388,725</w:t>
            </w:r>
          </w:p>
        </w:tc>
      </w:tr>
      <w:tr>
        <w:trPr>
          <w:trHeight w:val="27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ESPP</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195,485</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110,355</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173,097</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112,360</w:t>
            </w:r>
          </w:p>
        </w:tc>
      </w:tr>
      <w:tr>
        <w:trPr>
          <w:trHeight w:val="225"/>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assumed conversion of convertible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1"/>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17,667,623</w:t>
            </w:r>
          </w:p>
        </w:tc>
        <w:tc>
          <w:tcPr>
            <w:tcW w:w="2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10,912,354</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17,667,623</w:t>
            </w: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9,281,537</w:t>
            </w:r>
          </w:p>
        </w:tc>
      </w:tr>
      <w:tr>
        <w:trPr>
          <w:trHeight w:val="248"/>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332,275,216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324,478,086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332,208,435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323,094,045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2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r>
      <w:tr>
        <w:trPr>
          <w:trHeight w:val="20"/>
        </w:trPr>
        <w:tc>
          <w:tcPr>
            <w:tcW w:w="4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35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360" w:type="dxa"/>
            <w:vAlign w:val="bottom"/>
            <w:gridSpan w:val="3"/>
          </w:tcPr>
          <w:p>
            <w:pPr>
              <w:jc w:val="center"/>
              <w:ind w:left="87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8"/>
                <w:szCs w:val="18"/>
                <w:color w:val="auto"/>
              </w:rPr>
            </w:pPr>
          </w:p>
        </w:tc>
      </w:tr>
      <w:tr>
        <w:trPr>
          <w:trHeight w:val="219"/>
        </w:trPr>
        <w:tc>
          <w:tcPr>
            <w:tcW w:w="4320" w:type="dxa"/>
            <w:vAlign w:val="bottom"/>
          </w:tcPr>
          <w:p>
            <w:pPr>
              <w:spacing w:after="0"/>
              <w:rPr>
                <w:sz w:val="19"/>
                <w:szCs w:val="19"/>
                <w:color w:val="auto"/>
              </w:rPr>
            </w:pPr>
          </w:p>
        </w:tc>
        <w:tc>
          <w:tcPr>
            <w:tcW w:w="2200" w:type="dxa"/>
            <w:vAlign w:val="bottom"/>
            <w:tcBorders>
              <w:bottom w:val="single" w:sz="8" w:color="auto"/>
            </w:tcBorders>
            <w:gridSpan w:val="3"/>
          </w:tcPr>
          <w:p>
            <w:pPr>
              <w:jc w:val="center"/>
              <w:ind w:left="10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Borders>
              <w:bottom w:val="single" w:sz="8" w:color="auto"/>
            </w:tcBorders>
            <w:gridSpan w:val="3"/>
          </w:tcPr>
          <w:p>
            <w:pPr>
              <w:jc w:val="center"/>
              <w:ind w:left="8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1"/>
        </w:trPr>
        <w:tc>
          <w:tcPr>
            <w:tcW w:w="43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223,731</w:t>
            </w:r>
          </w:p>
        </w:tc>
        <w:tc>
          <w:tcPr>
            <w:tcW w:w="2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495,368</w:t>
            </w:r>
          </w:p>
        </w:tc>
        <w:tc>
          <w:tcPr>
            <w:tcW w:w="2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223,731</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495,368</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223,731</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495,368</w:t>
            </w:r>
          </w:p>
        </w:tc>
        <w:tc>
          <w:tcPr>
            <w:tcW w:w="2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223,731</w:t>
            </w:r>
          </w:p>
        </w:tc>
        <w:tc>
          <w:tcPr>
            <w:tcW w:w="2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495,368</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with our audited consolidated financial statements and notes thereto included in Part II, Item 8 of our 2021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on file with the United States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geoprofessional, and plant engineering practitioners, their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of infrastructure assets.</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servers,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cloud, and hybrid environments. Our users engineer, construct, and operate projects and assets across the following infrastructure sectors:</w:t>
      </w:r>
    </w:p>
    <w:p>
      <w:pPr>
        <w:spacing w:after="0" w:line="199" w:lineRule="exact"/>
        <w:rPr>
          <w:sz w:val="20"/>
          <w:szCs w:val="20"/>
          <w:color w:val="auto"/>
        </w:rPr>
      </w:pPr>
    </w:p>
    <w:p>
      <w:pPr>
        <w:jc w:val="both"/>
        <w:ind w:left="820" w:hanging="245"/>
        <w:spacing w:after="0" w:line="26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bridges, tunnels, airports, ports, and federal, state, and municipal agencies)/</w:t>
      </w:r>
      <w:r>
        <w:rPr>
          <w:rFonts w:ascii="Times New Roman" w:cs="Times New Roman" w:eastAsia="Times New Roman" w:hAnsi="Times New Roman"/>
          <w:sz w:val="18"/>
          <w:szCs w:val="18"/>
          <w:i w:val="1"/>
          <w:iCs w:val="1"/>
          <w:color w:val="auto"/>
        </w:rPr>
        <w:t xml:space="preserve">utilities </w:t>
      </w:r>
      <w:r>
        <w:rPr>
          <w:rFonts w:ascii="Times New Roman" w:cs="Times New Roman" w:eastAsia="Times New Roman" w:hAnsi="Times New Roman"/>
          <w:sz w:val="18"/>
          <w:szCs w:val="18"/>
          <w:color w:val="auto"/>
        </w:rPr>
        <w:t>(including networks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electricity, gas, communications, and water, wastewater, and drainage). We estimate that this sector represents 49% of the net infrastructure asset value of the global top 500 infrastructure owners based on the 2021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179"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oil and gas “downstream,” and power generation). We estimate that this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18% of the global top 500 infrastructure owners’ net infrastructure asset value;</w:t>
      </w:r>
    </w:p>
    <w:p>
      <w:pPr>
        <w:spacing w:after="0" w:line="158"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(including mining, oil and gas “upstream,” offshore, pipelines, environmental management, and renewable energy). We estimate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sector represents 22% of the global top 500 infrastructure owners’ net infrastructure asset value; and</w:t>
      </w:r>
    </w:p>
    <w:p>
      <w:pPr>
        <w:spacing w:after="0" w:line="158" w:lineRule="exact"/>
        <w:rPr>
          <w:rFonts w:ascii="Times New Roman" w:cs="Times New Roman" w:eastAsia="Times New Roman" w:hAnsi="Times New Roman"/>
          <w:sz w:val="18"/>
          <w:szCs w:val="18"/>
          <w:color w:val="auto"/>
        </w:rPr>
      </w:pPr>
    </w:p>
    <w:p>
      <w:pPr>
        <w:ind w:left="820" w:hanging="245"/>
        <w:spacing w:after="0" w:line="284"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retail facilities, hospitals, and campuses). We estimate that this sector represents 11%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top 500 infrastructure owners’ net infrastructure asset value.</w:t>
      </w:r>
    </w:p>
    <w:p>
      <w:pPr>
        <w:spacing w:after="0" w:line="16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engineering applications and geoprofessional applications support the breadth of engineering and geoprofessional disciplines and are primarily desktop applications for professional practitioners. Our project delivery and asset performance Enterprise Systems are provided via cloud and hybrid environments, developed respectively to extend enterprise collaboration during project delivery, and to manage and leverage engineering information during operations and maintenance. Our Industry Solutions solve domain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problems for owners of infrastructure assets, and the project delivery ecosystems that support these owners. Our cloud-native iTwin Platform solutions enable digital twin workflows, which can span project and asset lifecycles.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26" w:lineRule="exact"/>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priorities, input from product managers, and user and sales force feedback.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2021 total revenues.</w:t>
      </w:r>
    </w:p>
    <w:p>
      <w:pPr>
        <w:spacing w:after="0" w:line="22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sources of revenue growth, in order of magnitude and excluding the impact from acquisitions, come from additional subscriptions revenue growth from existing accounts using the same products, additional subscriptions revenue growth from existing accounts using new products, and subscriptions revenue growth from new accounts. For the year ended December 31, 2021, subscriptions represented 84% of our total revenues, and together with certain services revenues that are recurring in nature and represented 2% of our total revenues, brought the proportion of our recurring revenues to 86% of our total revenues. The remaining 14% of our revenues were generated from the sale of perpetual licenses and the delivery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We have a highly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diversified account base, with our largest account representing no more than 2.5% of our total revenues in 2021. Our 2021 total revenues were also diversified by account type, size, and geography. Additionally, we believe that we have a loyal account base, with over 70% of our 2021 total revenues from organizations that have been our accounts for over ten years. Between 2001 and 2021, our total revenues had an approximately 8% compound annual growth 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subscriptions versus longer term annual subscriptions,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arrangements versus variable or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table below,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140335</wp:posOffset>
            </wp:positionV>
            <wp:extent cx="5349240" cy="2434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 accompanies a new or previously purchased perpetual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We believe that the SELECT benefits summarized below support our favorable rates of account retention and growth:</w:t>
      </w:r>
    </w:p>
    <w:p>
      <w:pPr>
        <w:spacing w:after="0" w:line="160" w:lineRule="exact"/>
        <w:rPr>
          <w:sz w:val="20"/>
          <w:szCs w:val="20"/>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196" w:lineRule="exact"/>
        <w:rPr>
          <w:rFonts w:ascii="Times New Roman" w:cs="Times New Roman" w:eastAsia="Times New Roman" w:hAnsi="Times New Roman"/>
          <w:sz w:val="18"/>
          <w:szCs w:val="18"/>
          <w:color w:val="auto"/>
        </w:rPr>
      </w:pPr>
    </w:p>
    <w:p>
      <w:pPr>
        <w:ind w:left="820" w:hanging="245"/>
        <w:spacing w:after="0" w:line="207" w:lineRule="exact"/>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and mobility advantages; and</w:t>
      </w:r>
    </w:p>
    <w:p>
      <w:pPr>
        <w:spacing w:after="0" w:line="253" w:lineRule="exact"/>
        <w:rPr>
          <w:rFonts w:ascii="Times New Roman" w:cs="Times New Roman" w:eastAsia="Times New Roman" w:hAnsi="Times New Roman"/>
          <w:sz w:val="18"/>
          <w:szCs w:val="18"/>
          <w:color w:val="auto"/>
        </w:rPr>
      </w:pPr>
    </w:p>
    <w:p>
      <w:pPr>
        <w:ind w:left="820" w:hanging="245"/>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entire application portfolio with usage of licenses not previously purchased monetized quarterly in arrears based on consumption.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Term License Subscriptions” below.</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largest accounts with complete and unlimited global access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portfolio of solutions.</w:t>
      </w:r>
    </w:p>
    <w:p>
      <w:pPr>
        <w:spacing w:after="0" w:line="158" w:lineRule="exact"/>
        <w:rPr>
          <w:sz w:val="20"/>
          <w:szCs w:val="20"/>
          <w:color w:val="auto"/>
        </w:rPr>
      </w:pPr>
    </w:p>
    <w:p>
      <w:pPr>
        <w:jc w:val="both"/>
        <w:ind w:left="820" w:hanging="245"/>
        <w:spacing w:after="0" w:line="221" w:lineRule="exact"/>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Our ELS offering provides access to our comprehensive portfolio of solutions for a fixed annual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 The majority of our ELS subscribers were historically SELECT subscribers that have grown into a position to take full advantage of our ELS offering.</w:t>
      </w:r>
    </w:p>
    <w:p>
      <w:pPr>
        <w:spacing w:after="0" w:line="196" w:lineRule="exact"/>
        <w:rPr>
          <w:rFonts w:ascii="Times New Roman" w:cs="Times New Roman" w:eastAsia="Times New Roman" w:hAnsi="Times New Roman"/>
          <w:sz w:val="18"/>
          <w:szCs w:val="18"/>
          <w:color w:val="auto"/>
        </w:rPr>
      </w:pPr>
    </w:p>
    <w:p>
      <w:pPr>
        <w:jc w:val="both"/>
        <w:ind w:left="820" w:hanging="245"/>
        <w:spacing w:after="0" w:line="255"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participating accounts have unrestricted access to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portfolio, similar to ELS, however they are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Blueprints, which are designed to achieve business outcomes through more efficient and effective use of our software. We are completing efforts to transition ELS subscribers to E365 subscriptions, primarily to simplify pricing, more closely align consumption to monetization, and to establish Success Blueprints as recurring to ensure better business outcomes for our users. In transitioning subscribers to E365, we recognize a greater proportion of our revenues on a quarterly basis rather than substantially upfront.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Key Factors Impacting Comparability and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 named user access to specific products and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Virtuoso subscriptions sold via our Virtuosity eStore for practitioner licenses. Virtuoso subscriptions are bundles with customizable training and expert consultation administered through “keys” or credits. ATL are also used to monetize site or enterprise wide access for certain of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solutions within given usage bands.</w:t>
      </w:r>
    </w:p>
    <w:p>
      <w:pPr>
        <w:spacing w:after="0" w:line="180" w:lineRule="exact"/>
        <w:rPr>
          <w:sz w:val="20"/>
          <w:szCs w:val="20"/>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 quarterly in arrears for licenses they have used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accounts to match usage to ongoing project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4" w:name="page45"/>
    <w:bookmarkEnd w:id="4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 subscriptions, except for the term of the license, and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they are monetized. MTL subscriptions require a Cloud Services Subscription, which is discussed below.</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entitles our users to certain functionality of our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Cloud Services Subscription (“CSS”)</w:t>
      </w:r>
      <w:r>
        <w:rPr>
          <w:rFonts w:ascii="Times New Roman" w:cs="Times New Roman" w:eastAsia="Times New Roman" w:hAnsi="Times New Roman"/>
          <w:sz w:val="18"/>
          <w:szCs w:val="18"/>
          <w:color w:val="auto"/>
        </w:rPr>
        <w:t>. CSS is designed to streamline the procurement, administration, and payment process for us and our accounts. A CSS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upfront annual estimation of MTL, Visa and Passport consumption, and any Success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Certain of our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arrangements, including our Success Services offerings, are structured as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Success Services are standard service offerings that provide a level of dedicated professional services above the standard technical support offered to all accounts as part of their SELECT or enterprise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Annualized recurring revenues (“ARR”)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Twelve-months ended constant currency: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ARR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 retention 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Recurring revenues dollar-based net retention rate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971,876</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882,415</w:t>
            </w:r>
          </w:p>
        </w:tc>
      </w:tr>
      <w:tr>
        <w:trPr>
          <w:trHeight w:val="23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930,798</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747,159</w:t>
            </w:r>
          </w:p>
        </w:tc>
      </w:tr>
      <w:tr>
        <w:trPr>
          <w:trHeight w:val="499"/>
        </w:trPr>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0"/>
        </w:trPr>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00" w:lineRule="exact"/>
        <w:rPr>
          <w:sz w:val="20"/>
          <w:szCs w:val="20"/>
          <w:color w:val="auto"/>
        </w:rPr>
      </w:pPr>
    </w:p>
    <w:p>
      <w:pPr>
        <w:sectPr>
          <w:pgSz w:w="11900" w:h="16838" w:orient="portrait"/>
          <w:cols w:equalWidth="0" w:num="2">
            <w:col w:w="7000" w:space="720"/>
            <w:col w:w="3520"/>
          </w:cols>
          <w:pgMar w:left="320" w:top="14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45" w:name="page46"/>
    <w:bookmarkEnd w:id="45"/>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ARR. </w:t>
      </w:r>
      <w:r>
        <w:rPr>
          <w:rFonts w:ascii="Times New Roman" w:cs="Times New Roman" w:eastAsia="Times New Roman" w:hAnsi="Times New Roman"/>
          <w:sz w:val="18"/>
          <w:szCs w:val="18"/>
          <w:color w:val="auto"/>
        </w:rPr>
        <w:t>Our ARR is defined as the sum of the annualized value of our portfolio of contracts that produce recurring revenues as of the last day of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40% and 36% as of June 30, 2022 and 2021, respectively. Within our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the continuous uptake of our E365 subscription offering has increased daily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representing 32% of total ARR as of June 30, 2022. We believe that ARR is an important metric indicating the scale and growth of our business. Furthermore, we believe ARR, considered in connection with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w:t>
      </w:r>
    </w:p>
    <w:p>
      <w:pPr>
        <w:spacing w:after="0" w:line="176"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In March 2022, in response to the Russia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Ukraine war, we announced a pause of sales in Russia and Belarus, in addition to our strict compliance with applicable sanctions, regimes, and other regulatory restrictions on business activities in those countries. As a result of the conflict, we deemed our overall business recurrence in the affected countries to have been reduced by approximately 50%, and accordingly, reduced our related ARR by $5,190 as of March 31, 2022. During the second quarter of 2022, the marked shifts in the Russian business environment and economic outlook have led us to conclude it is no longer viable for us to continue operations in Russia. Accordingly, we have made the decision to wind down business and exit the Russian market, which resulted in a further reduction in our ARR by $6,000.</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months recurring revenues. </w:t>
      </w: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We define recurring revenues as subscriptions revenues that recur monthly, quarterly, or annually with specific or automatic renewal clauses and services revenues in which the underlying contract is based on a fixed fee and contains automatic annual renewal provisions.</w:t>
      </w:r>
    </w:p>
    <w:p>
      <w:pPr>
        <w:spacing w:after="0" w:line="171"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We believe that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time period. We believe that we will continue to experience favorable growth in recurring revenues primarily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for the periods ended June 30, 2022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$183,639.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including the favorable impact from our platform acquisitions of Power Line Systems and Seequent Holdings Limited (“Seequent”). For the twelve months ended June 30, 2022, 88% of our revenues were recurring revenues.</w:t>
      </w:r>
    </w:p>
    <w:p>
      <w:pPr>
        <w:spacing w:after="0" w:line="17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i w:val="1"/>
          <w:iCs w:val="1"/>
          <w:color w:val="auto"/>
        </w:rPr>
        <w:t>Constant currency metrics</w:t>
      </w:r>
      <w:r>
        <w:rPr>
          <w:rFonts w:ascii="Times New Roman" w:cs="Times New Roman" w:eastAsia="Times New Roman" w:hAnsi="Times New Roman"/>
          <w:sz w:val="18"/>
          <w:szCs w:val="18"/>
          <w:color w:val="auto"/>
        </w:rPr>
        <w:t>. 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 ARR growth rate was favorably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2.5% due to the ARR onboarding from our platform acquisition of Power Line Systems during the twelve months ended June 30, 2022. We believe that ARR growth is an important metric indicating the scale and growth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6" w:name="page47"/>
    <w:bookmarkEnd w:id="46"/>
    <w:p>
      <w:pPr>
        <w:jc w:val="both"/>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 average currency exchange rates for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5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based net retention rate. </w:t>
      </w:r>
      <w:r>
        <w:rPr>
          <w:rFonts w:ascii="Times New Roman" w:cs="Times New Roman" w:eastAsia="Times New Roman" w:hAnsi="Times New Roman"/>
          <w:sz w:val="18"/>
          <w:szCs w:val="18"/>
          <w:color w:val="auto"/>
        </w:rPr>
        <w:t>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We believe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indicator of our success in growing our revenues within our existing accounts. Given that recurring revenues represented 88% of our total revenues for the twelve months ended June 30, 2022, this metric helps explain our revenue performance, excluding the impact from acquisitions, as primarily growth into existing accounts. We believe that our consistent and high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illustrates our ability to consistently retain accounts and grow them.</w:t>
      </w:r>
    </w:p>
    <w:p>
      <w:pPr>
        <w:spacing w:after="0" w:line="1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metrics.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152,310</w:t>
            </w: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138,593</w:t>
            </w:r>
          </w:p>
        </w:tc>
      </w:tr>
    </w:tbl>
    <w:p>
      <w:pPr>
        <w:spacing w:after="0" w:line="285"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define Adjusted EBITDA as net income adjusted for interest expense, net, provision (benefit)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(income) relating to deferred compensation plan liabilities, acquisition expenses, realignment expenses,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expense, net, and (income) loss from investment accounted for using the equity method, net of tax.</w:t>
      </w:r>
    </w:p>
    <w:p>
      <w:pPr>
        <w:spacing w:after="0" w:line="17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We define Adjusted Net Income as net income adjusted for the following: amortization of purchased intangibles and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(income) relating to deferred compensation plan liabilities, acquisition expenses, realignment expenses,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expense, net, the tax effect of the above adjustments to net income, and (income) loss from investment accounted for using the equity method, net of tax. The income tax effect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was determined using the applicable rates in the taxing jurisdictions in which income or expense occurred, and represent both current and deferred income tax expense or benefit based on the nature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including the tax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47" w:name="page48"/>
    <w:bookmarkEnd w:id="47"/>
    <w:p>
      <w:pPr>
        <w:jc w:val="both"/>
        <w:spacing w:after="0" w:line="218" w:lineRule="exact"/>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 During the third quarter of 2021, we modified our definitions of Adjusted EBITDA and Adjusted Net Income to adjust for expense (income) relating to deferred compensation plan liabilities and amounts for all periods herein reflect application of the modified definition.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net income to Adjusted EBITDA: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w:t>
            </w: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7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86,521</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Reconciliation of net income to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 adjustments, prior to income taxes:</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Amortization of purchased intangibles and developed technologies </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(2)</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(6)</w:t>
      </w:r>
    </w:p>
    <w:p>
      <w:pPr>
        <w:spacing w:after="0" w:line="17" w:lineRule="exact"/>
        <w:rPr>
          <w:sz w:val="20"/>
          <w:szCs w:val="20"/>
          <w:color w:val="auto"/>
        </w:rPr>
      </w:pPr>
    </w:p>
    <w:p>
      <w:pPr>
        <w:ind w:left="20" w:right="1540"/>
        <w:spacing w:after="0" w:line="262"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p>
      <w:pPr>
        <w:spacing w:after="0" w:line="63"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Adjusted Net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903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6"/>
        </w:trPr>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12"/>
        </w:trPr>
        <w:tc>
          <w:tcPr>
            <w:tcW w:w="108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31"/>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55,673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102,633</w:t>
            </w:r>
          </w:p>
        </w:tc>
      </w:tr>
      <w:tr>
        <w:trPr>
          <w:trHeight w:val="495"/>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13,671</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17,395</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w:t>
            </w:r>
          </w:p>
        </w:tc>
      </w:tr>
      <w:tr>
        <w:trPr>
          <w:trHeight w:val="270"/>
        </w:trPr>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(12,159)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3,856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3,194</w:t>
            </w:r>
          </w:p>
        </w:tc>
        <w:tc>
          <w:tcPr>
            <w:tcW w:w="32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(3,497)</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18"/>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22,460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43,929</w:t>
            </w:r>
          </w:p>
        </w:tc>
      </w:tr>
      <w:tr>
        <w:trPr>
          <w:trHeight w:val="234"/>
        </w:trPr>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(4,918)</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70"/>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23"/>
        </w:trPr>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73,808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153,364</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138,593</w:t>
            </w:r>
          </w:p>
        </w:tc>
      </w:tr>
      <w:tr>
        <w:trPr>
          <w:trHeight w:val="20"/>
        </w:trPr>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-1687830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-1344930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-1002030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-359410</wp:posOffset>
            </wp:positionV>
            <wp:extent cx="7132320" cy="360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-659130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-1988185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-2133600</wp:posOffset>
            </wp:positionV>
            <wp:extent cx="18256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380"/>
            <w:col w:w="5540"/>
          </w:cols>
          <w:pgMar w:left="320" w:top="1417" w:right="339" w:bottom="1440" w:gutter="0" w:footer="0" w:header="0"/>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223" w:lineRule="exact"/>
        <w:rPr>
          <w:sz w:val="20"/>
          <w:szCs w:val="20"/>
          <w:color w:val="auto"/>
        </w:rPr>
      </w:pPr>
    </w:p>
    <w:p>
      <w:pPr>
        <w:jc w:val="both"/>
        <w:ind w:left="340" w:hanging="332"/>
        <w:spacing w:after="0" w:line="220" w:lineRule="exact"/>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purchased intangibles and developed technologies</w:t>
      </w:r>
      <w:r>
        <w:rPr>
          <w:rFonts w:ascii="Times New Roman" w:cs="Times New Roman" w:eastAsia="Times New Roman" w:hAnsi="Times New Roman"/>
          <w:sz w:val="18"/>
          <w:szCs w:val="18"/>
          <w:color w:val="auto"/>
        </w:rPr>
        <w:t>. Amortization of purchased intangibles varies in amount and frequency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impacted by the timing and size of our acquisitions. Management finds it useful to exclude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169" w:lineRule="exact"/>
        <w:rPr>
          <w:rFonts w:ascii="Times New Roman" w:cs="Times New Roman" w:eastAsia="Times New Roman" w:hAnsi="Times New Roman"/>
          <w:sz w:val="18"/>
          <w:szCs w:val="18"/>
          <w:color w:val="auto"/>
        </w:rPr>
      </w:pPr>
    </w:p>
    <w:p>
      <w:pPr>
        <w:jc w:val="both"/>
        <w:ind w:left="340" w:hanging="332"/>
        <w:spacing w:after="0" w:line="224" w:lineRule="exact"/>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compensation</w:t>
      </w:r>
      <w:r>
        <w:rPr>
          <w:rFonts w:ascii="Times New Roman" w:cs="Times New Roman" w:eastAsia="Times New Roman" w:hAnsi="Times New Roman"/>
          <w:sz w:val="18"/>
          <w:szCs w:val="18"/>
          <w:color w:val="auto"/>
        </w:rPr>
        <w:t>. We exclude certain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from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primarily because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charges to assess the appropriate level of various operating expenses to assist in budgeting, planning, and forecasting future periods. Moreover, because of the variety of award types and subjective assumptions that companies can use under Financial Accounting Standards Board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believe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allows investors to make meaningful comparisons between our recurring core business results of operations and those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9" w:name="page50"/>
    <w:bookmarkEnd w:id="49"/>
    <w:p>
      <w:pPr>
        <w:jc w:val="both"/>
        <w:ind w:left="340" w:hanging="332"/>
        <w:spacing w:after="0" w:line="219" w:lineRule="exact"/>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In August 2021, our board of directors approved an amendment to the amended and restated Bentley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Nonqualified Deferred Compensation Plan (the “DCP”), which offered to certain active executives in the DCP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election to reallocate a limited portion of their DCP holdings from phantom shares of the Company’s Class B Common Stock into other phantom investment funds. For further discussion of the aforementioned DCP reallocation, see Note 12 to our consolidated financial statements included in Part II, Item 8 of our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in the consolidated statements of operations. We exclude </w:t>
      </w: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xml:space="preserve"> expense (income) because it is not reflective of our ongoing business and results of operation. We believe it is useful for investors to understand the effects of this item on our total operating expenses.</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expenses</w:t>
      </w:r>
      <w:r>
        <w:rPr>
          <w:rFonts w:ascii="Times New Roman" w:cs="Times New Roman" w:eastAsia="Times New Roman" w:hAnsi="Times New Roman"/>
          <w:sz w:val="18"/>
          <w:szCs w:val="18"/>
          <w:color w:val="auto"/>
        </w:rPr>
        <w:t>. We incur expenses for professional services rendered in connection with business combinations, which are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presentation of general and administrative expense. Also included in our acquisition expenses are retention incentives paid to executives of the acquired companies. For the three and six months ended June 30, 2022, $26 and $9,799, respectively, of our acquisition expenses related to our platform acquisition of Power Line Systems. For the three and six months ended June 30, 2021, $9,180 and $15,896, respectively, of our acquisition expenses related to our platform acquisition of Seequent. We exclude these acquisition expenses when we evaluate our continuing operational performance as we would not have otherwise incurred these expenses in the periods presented as part of our continuing operations.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Realignment expenses</w:t>
      </w:r>
      <w:r>
        <w:rPr>
          <w:rFonts w:ascii="Times New Roman" w:cs="Times New Roman" w:eastAsia="Times New Roman" w:hAnsi="Times New Roman"/>
          <w:sz w:val="18"/>
          <w:szCs w:val="18"/>
          <w:color w:val="auto"/>
        </w:rPr>
        <w:t>. During the second quarter of 2022, the marked shifts in the Russian business environment and economic outlook have led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 it is no longer viable for us to continue operations in Russia. Accordingly, we made the decision to wind down business and exit the Russian market. As a result, we incurred exit costs, which are comprised of termination benefits for colleagues whose positions were eliminated and asset impairments (“Russian market exit costs”).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 table below contains the details of</w:t>
      </w:r>
      <w:r>
        <w:rPr>
          <w:rFonts w:ascii="Times New Roman" w:cs="Times New Roman" w:eastAsia="Times New Roman" w:hAnsi="Times New Roman"/>
          <w:sz w:val="18"/>
          <w:szCs w:val="18"/>
          <w:i w:val="1"/>
          <w:iCs w:val="1"/>
          <w:color w:val="auto"/>
        </w:rPr>
        <w:t xml:space="preserve"> Other (income) expense, net</w:t>
      </w:r>
      <w:r>
        <w:rPr>
          <w:rFonts w:ascii="Times New Roman" w:cs="Times New Roman" w:eastAsia="Times New Roman" w:hAnsi="Times New Roman"/>
          <w:sz w:val="18"/>
          <w:szCs w:val="18"/>
          <w:color w:val="auto"/>
        </w:rPr>
        <w:t>. We exclude these items because they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reflective of ongoing business and results of operations. We believe it is useful for investors to understand the effects of these items on our results of operations.</w:t>
      </w: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80" w:type="dxa"/>
            <w:vAlign w:val="bottom"/>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2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1"/>
        </w:trPr>
        <w:tc>
          <w:tcPr>
            <w:tcW w:w="29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26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70"/>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loss (gain)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7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4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consideration</w:t>
            </w: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90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117" w:lineRule="exact"/>
        <w:rPr>
          <w:sz w:val="20"/>
          <w:szCs w:val="20"/>
          <w:color w:val="auto"/>
        </w:rPr>
      </w:pPr>
    </w:p>
    <w:p>
      <w:pPr>
        <w:jc w:val="both"/>
        <w:ind w:left="660" w:hanging="328"/>
        <w:spacing w:after="0" w:line="261"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(gain) is primarily attributable to foreign currency translation derived primarily from United States (“U.S.”) Dollar denominated cash and cash equivalents, account receivables, customer deposits, and intercompany balances held by foreign subsidiaries. Intercompany finance transactions denominated in U.S. Dollars resulted in unrealized foreign exchange losses (gains) of $5,799 and $(963) for the three months ended June 30, 2022 and 2021, respectively, $6,563 and $(1,443)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businesses. As a public company, we have been able to make platform acquisitions which appreciably increase our scale and/or the scope of our platform capabilities. Our relatively numerous and frequent programmatic acquisitions, which most often “fill white space” within our ecosystem and add their particular value principally by virtue of our existing platform comprehensiveness, and accordingly we consider this programmatic aspect of our growth as characteristically within our mainstream business performance (unlike platform acquisitions).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completed two and eight acquisitions for the six months ended June 30, 2022 and 2021, respectively. Our three and six months ended June 30, 2022 consolidated financial statements were meaningfully impacted by our platform acquisition of Power Line Systems, which was completed on January 31, 2022 for $695,968 in cash, net of cash acquired. Our three and six months ended June 30, 2022 and 2021 consolidated financial statements were meaningfully impacted by our platform acquisition of Seequent, which was completed on June 17, 2021 for $883,336 in cash, net of cash acquired, plus 3,141,342 shares of our Class B Common Stock. For the three and six months ended June 30, 2022, $26 and $9,799, respectively, of our acquisition expenses related to the acquisition of Power Line Systems. For the three and six months ended June 30, 2021, $9,180 and $15,896, respectively, of our acquisition expenses related to the acquisition of Seequent.</w:t>
      </w:r>
    </w:p>
    <w:p>
      <w:pPr>
        <w:spacing w:after="0" w:line="187"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i w:val="1"/>
          <w:iCs w:val="1"/>
          <w:color w:val="auto"/>
        </w:rPr>
        <w:t>BSY Stock Repurchase Program</w:t>
      </w:r>
      <w:r>
        <w:rPr>
          <w:rFonts w:ascii="Times New Roman" w:cs="Times New Roman" w:eastAsia="Times New Roman" w:hAnsi="Times New Roman"/>
          <w:sz w:val="18"/>
          <w:szCs w:val="18"/>
          <w:color w:val="auto"/>
        </w:rPr>
        <w:t>. On May 11, 2022, we announced that our board of directors approved the BSY Stock Repurchase Program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authorizing us to repurchase up to $200,000 of our Class B Common Stock through June 30, 2024. The Repurchase Program is used to offset dilution from the issuance of our Class B Common Stock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For the six months ended June 30, 2022, we repurchased 463,001 shares for $13,242.</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Impact of foreign currency</w:t>
      </w:r>
      <w:r>
        <w:rPr>
          <w:rFonts w:ascii="Times New Roman" w:cs="Times New Roman" w:eastAsia="Times New Roman" w:hAnsi="Times New Roman"/>
          <w:sz w:val="18"/>
          <w:szCs w:val="18"/>
          <w:color w:val="auto"/>
        </w:rPr>
        <w:t>. A portion of our total revenues and operating expenses were derived from outside the U.S. and as such, were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foreign currencies, including most significantly: Euros, British Pounds, Australian Dollars, Canadian Dollars, Chinese Yuan Renminbi, and New Zealand Dollars. Our financial results are therefore affected by changes in foreign currency rates. In 2021, 47% of our total revenues were denominated in various foreign currencies. Correspondingly, in 2021, 42% of our total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8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selected consolidated statements of operations data for each of the periods indicated are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232,191</w:t>
            </w:r>
          </w:p>
        </w:tc>
        <w:tc>
          <w:tcPr>
            <w:tcW w:w="2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186,442</w:t>
            </w:r>
          </w:p>
        </w:tc>
        <w:tc>
          <w:tcPr>
            <w:tcW w:w="2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473,424</w:t>
            </w:r>
          </w:p>
        </w:tc>
        <w:tc>
          <w:tcPr>
            <w:tcW w:w="24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374,567</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495,177</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396,074</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445,926</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58,826</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53,451</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115,479</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208,591</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170,470</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428,323</w:t>
            </w:r>
          </w:p>
        </w:tc>
        <w:tc>
          <w:tcPr>
            <w:tcW w:w="24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343,186</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 (income):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52,776</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126,139</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100,579</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95,562</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70,454</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91,187</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74,904</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2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316,014</w:t>
            </w:r>
          </w:p>
        </w:tc>
        <w:tc>
          <w:tcPr>
            <w:tcW w:w="2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254,326</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33,213</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112,309</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0" w:type="dxa"/>
            <w:vAlign w:val="bottom"/>
          </w:tcPr>
          <w:p>
            <w:pPr>
              <w:spacing w:after="0"/>
              <w:rPr>
                <w:sz w:val="1"/>
                <w:szCs w:val="1"/>
                <w:color w:val="auto"/>
              </w:rPr>
            </w:pPr>
          </w:p>
        </w:tc>
      </w:tr>
      <w:tr>
        <w:trPr>
          <w:trHeight w:val="250"/>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111,783</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0" w:type="dxa"/>
            <w:vAlign w:val="bottom"/>
          </w:tcPr>
          <w:p>
            <w:pPr>
              <w:spacing w:after="0"/>
              <w:rPr>
                <w:sz w:val="1"/>
                <w:szCs w:val="1"/>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method, net of tax</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Net income attributable to Class A and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Class B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112,041</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308,244,778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304,066,038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308,512,924</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303,311,423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332,275,216</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324,478,086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332,208,435</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323,094,045</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2" w:name="page53"/>
    <w:bookmarkEnd w:id="52"/>
    <w:p>
      <w:pPr>
        <w:jc w:val="both"/>
        <w:spacing w:after="0" w:line="228"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232,191</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186,442</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98,857</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495,177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396,074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revenues for the three and six months ended June 30, 2022 was primarily driven by the impact from acquisitions in subscriptions revenues and improvements in our business performance, partially offset by the overall negative foreign currency effects due to a stronger U.S. Dollar relative to our other currencies. We define business performance as our organic growth results inclusive of the impact from certain programmatic acquisitions, which generally are immaterial, individually and in the aggregate.</w:t>
      </w:r>
    </w:p>
    <w:p>
      <w:pPr>
        <w:spacing w:after="0" w:line="178" w:lineRule="exact"/>
        <w:rPr>
          <w:sz w:val="20"/>
          <w:szCs w:val="20"/>
          <w:color w:val="auto"/>
        </w:rPr>
      </w:pPr>
    </w:p>
    <w:p>
      <w:pPr>
        <w:ind w:left="820" w:hanging="245"/>
        <w:spacing w:after="0" w:line="284" w:lineRule="auto"/>
        <w:tabs>
          <w:tab w:leader="none" w:pos="81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three months ended June 30, 2022, the increase in subscriptions revenues was primarily driven by the impact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approximately $31,700 and improvements in our business performance, on a constant currency basis, of approximately $25,000.</w:t>
      </w:r>
    </w:p>
    <w:p>
      <w:pPr>
        <w:spacing w:after="0" w:line="160" w:lineRule="exact"/>
        <w:rPr>
          <w:rFonts w:ascii="Times New Roman" w:cs="Times New Roman" w:eastAsia="Times New Roman" w:hAnsi="Times New Roman"/>
          <w:sz w:val="18"/>
          <w:szCs w:val="18"/>
          <w:i w:val="1"/>
          <w:iCs w:val="1"/>
          <w:color w:val="auto"/>
        </w:rPr>
      </w:pPr>
    </w:p>
    <w:p>
      <w:pPr>
        <w:ind w:left="8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six months ended June 30, 2022, the increase in subscriptions revenues was primarily driven by the impact from acquisitions of approximately $74,500 and improvements in our business performance, on a constant currency basis, of approximately $41,300.</w:t>
      </w:r>
    </w:p>
    <w:p>
      <w:pPr>
        <w:spacing w:after="0" w:line="161" w:lineRule="exact"/>
        <w:rPr>
          <w:rFonts w:ascii="Times New Roman" w:cs="Times New Roman" w:eastAsia="Times New Roman" w:hAnsi="Times New Roman"/>
          <w:sz w:val="18"/>
          <w:szCs w:val="18"/>
          <w:i w:val="1"/>
          <w:iCs w:val="1"/>
          <w:color w:val="auto"/>
        </w:rPr>
      </w:pPr>
    </w:p>
    <w:p>
      <w:pPr>
        <w:jc w:val="both"/>
        <w:ind w:left="8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both the three and six months ended June 30, 2022, the acquisitions impact relates to our platform acquisitions of Seequent and Power Line Systems and is inclusive of their organic performance. The improvements in business performance, on a constant currency basis, was primarily driven by expansion within our existing accounts, and growth of 3% attributable to new accounts exclusive of acquisitions, most notability smaller- and medium-sized accounts. Improvements in business performance for the three and six months ended June 30, 2022 were led by our structural and civil engineering applications and our Enterprise Systems for project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3" w:name="page54"/>
    <w:bookmarkEnd w:id="53"/>
    <w:p>
      <w:pPr>
        <w:ind w:left="820" w:hanging="245"/>
        <w:spacing w:after="0" w:line="284" w:lineRule="auto"/>
        <w:tabs>
          <w:tab w:leader="none" w:pos="81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three and six months ended June 30, 2022, the increase in perpetual licenses revenues was primarily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from our Seequent platform acquisition of approximately $900 and $1,800, respectively.</w:t>
      </w:r>
    </w:p>
    <w:p>
      <w:pPr>
        <w:spacing w:after="0" w:line="158" w:lineRule="exact"/>
        <w:rPr>
          <w:rFonts w:ascii="Times New Roman" w:cs="Times New Roman" w:eastAsia="Times New Roman" w:hAnsi="Times New Roman"/>
          <w:sz w:val="18"/>
          <w:szCs w:val="18"/>
          <w:i w:val="1"/>
          <w:iCs w:val="1"/>
          <w:color w:val="auto"/>
        </w:rPr>
      </w:pPr>
    </w:p>
    <w:p>
      <w:pPr>
        <w:ind w:left="820" w:hanging="245"/>
        <w:spacing w:after="0" w:line="284" w:lineRule="auto"/>
        <w:tabs>
          <w:tab w:leader="none" w:pos="81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three and six months ended June 30, 2022, the decrease in services revenues was primarily driven by a reduction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on a constant currency basis, of approximately $1,200 and $900, respectively.</w:t>
      </w:r>
    </w:p>
    <w:p>
      <w:pPr>
        <w:spacing w:after="0" w:line="160" w:lineRule="exact"/>
        <w:rPr>
          <w:rFonts w:ascii="Times New Roman" w:cs="Times New Roman" w:eastAsia="Times New Roman" w:hAnsi="Times New Roman"/>
          <w:sz w:val="18"/>
          <w:szCs w:val="18"/>
          <w:i w:val="1"/>
          <w:iCs w:val="1"/>
          <w:color w:val="auto"/>
        </w:rPr>
      </w:pPr>
    </w:p>
    <w:p>
      <w:pPr>
        <w:jc w:val="both"/>
        <w:ind w:left="8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months ended June 30, 2022, the reduction in constant currency business performance was impacted by the ongoing transition of historically classified services revenues into subscriptions revenues for accounts converting to our E365 subscription offering with embedded Success Services and a reduction in Maximo digital integrator services, driven by project and contracting delays primarily related to acquisition integrations, partially offset by favorable contributions of our asset performance digital integrator services of approximately $1,100.</w:t>
      </w:r>
    </w:p>
    <w:p>
      <w:pPr>
        <w:spacing w:after="0" w:line="180"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the reduction in constant currency business performance was impacted by the ongoing transition of historically classified services revenues into subscriptions revenues for accounts converting to our E365 subscription offering with embedded Success Services, partially offset by favorable contributions of Maximo and asset performance digital integrator services of approximately $2,300.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144,359</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74,800</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2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223,921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298,619</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543,802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4" w:name="page55"/>
    <w:bookmarkEnd w:id="54"/>
    <w:p>
      <w:pPr>
        <w:jc w:val="both"/>
        <w:ind w:left="245" w:hanging="245"/>
        <w:spacing w:after="0" w:line="267" w:lineRule="auto"/>
        <w:tabs>
          <w:tab w:leader="none" w:pos="2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For the three months ended June 30, 2022, the increase in revenues from the Americas was primarily driven by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subscriptions revenues from our Seequent and Power Line Systems platform acquisitions of approximately $17,600 and improvements in our Americas business performance, on a constant currency basis, of approximately $14,100.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six months ended June 30, 2022, the increase in revenues from the Americas was primarily driven by an increase in subscriptions revenues from our Seequent and Power Line Systems platform acquisitions of approximately $46,800 and improvements in our Americas business performance, on a constant currency basis, of approximately $30,200.</w:t>
      </w:r>
    </w:p>
    <w:p>
      <w:pPr>
        <w:spacing w:after="0" w:line="121" w:lineRule="exact"/>
        <w:rPr>
          <w:rFonts w:ascii="Times New Roman" w:cs="Times New Roman" w:eastAsia="Times New Roman" w:hAnsi="Times New Roman"/>
          <w:sz w:val="18"/>
          <w:szCs w:val="18"/>
          <w:i w:val="1"/>
          <w:iCs w:val="1"/>
          <w:color w:val="auto"/>
        </w:rPr>
      </w:pPr>
    </w:p>
    <w:p>
      <w:pPr>
        <w:ind w:left="245"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for the three and six months ended June 30, 2022 were primarily due to expansion of our recurring subscriptions revenues from existing accounts in the U.S.</w:t>
      </w:r>
    </w:p>
    <w:p>
      <w:pPr>
        <w:spacing w:after="0" w:line="105" w:lineRule="exact"/>
        <w:rPr>
          <w:rFonts w:ascii="Times New Roman" w:cs="Times New Roman" w:eastAsia="Times New Roman" w:hAnsi="Times New Roman"/>
          <w:sz w:val="18"/>
          <w:szCs w:val="18"/>
          <w:i w:val="1"/>
          <w:iCs w:val="1"/>
          <w:color w:val="auto"/>
        </w:rPr>
      </w:pPr>
    </w:p>
    <w:p>
      <w:pPr>
        <w:jc w:val="both"/>
        <w:ind w:left="245" w:hanging="245"/>
        <w:spacing w:after="0" w:line="267" w:lineRule="auto"/>
        <w:tabs>
          <w:tab w:leader="none" w:pos="2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EMEA. </w:t>
      </w:r>
      <w:r>
        <w:rPr>
          <w:rFonts w:ascii="Times New Roman" w:cs="Times New Roman" w:eastAsia="Times New Roman" w:hAnsi="Times New Roman"/>
          <w:sz w:val="18"/>
          <w:szCs w:val="18"/>
          <w:color w:val="auto"/>
        </w:rPr>
        <w:t>For the three months ended June 30, 2022, the increase in revenues from EMEA was primarily driven by improvements in our EMEA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performance, on a constant currency basis, of approximately $7,500 and an increase in subscriptions revenues from our Seequent platform acquisition of approximately $4,300.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six months ended June 30, 2022, the increase in revenues from EMEA was primarily driven by an increase in subscriptions revenues from our Seequent platform acquisition of approximately $12,800 and improvements in our EMEA business performance, on a constant currency basis, of approximately $6,800.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for the three and six months ended June 30, 2022 were primarily due to expansion of our recurring subscriptions revenues from existing accounts in the United Kingdom, the Middle East and Africa, and the Netherlands, partially offset by reductions in Russia.</w:t>
      </w:r>
    </w:p>
    <w:p>
      <w:pPr>
        <w:spacing w:after="0" w:line="173" w:lineRule="exact"/>
        <w:rPr>
          <w:rFonts w:ascii="Times New Roman" w:cs="Times New Roman" w:eastAsia="Times New Roman" w:hAnsi="Times New Roman"/>
          <w:sz w:val="18"/>
          <w:szCs w:val="18"/>
          <w:i w:val="1"/>
          <w:iCs w:val="1"/>
          <w:color w:val="auto"/>
        </w:rPr>
      </w:pPr>
    </w:p>
    <w:p>
      <w:pPr>
        <w:jc w:val="both"/>
        <w:ind w:left="245" w:hanging="245"/>
        <w:spacing w:after="0" w:line="267" w:lineRule="auto"/>
        <w:tabs>
          <w:tab w:leader="none" w:pos="2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three months ended June 30, 2022, the increase in revenues from APAC was primarily driven by an increase in subscriptions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our Seequent platform acquisition of approximately $7,400 and improvements in our APAC business performance, on a constant currency basis, of approximately $2,200.</w:t>
      </w:r>
    </w:p>
    <w:p>
      <w:pPr>
        <w:spacing w:after="0" w:line="175" w:lineRule="exact"/>
        <w:rPr>
          <w:rFonts w:ascii="Times New Roman" w:cs="Times New Roman" w:eastAsia="Times New Roman" w:hAnsi="Times New Roman"/>
          <w:sz w:val="18"/>
          <w:szCs w:val="18"/>
          <w:i w:val="1"/>
          <w:iCs w:val="1"/>
          <w:color w:val="auto"/>
        </w:rPr>
      </w:pPr>
    </w:p>
    <w:p>
      <w:pPr>
        <w:jc w:val="both"/>
        <w:ind w:left="245"/>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six months ended June 30, 2022, the increase in revenues from APAC was primarily driven by an increase in subscriptions revenues from our Seequent platform acquisition of approximately $12,600 and improvements in our APAC business performance, on a constant currency basis, of approximately $3,200.</w:t>
      </w:r>
    </w:p>
    <w:p>
      <w:pPr>
        <w:spacing w:after="0" w:line="175" w:lineRule="exact"/>
        <w:rPr>
          <w:rFonts w:ascii="Times New Roman" w:cs="Times New Roman" w:eastAsia="Times New Roman" w:hAnsi="Times New Roman"/>
          <w:sz w:val="18"/>
          <w:szCs w:val="18"/>
          <w:i w:val="1"/>
          <w:iCs w:val="1"/>
          <w:color w:val="auto"/>
        </w:rPr>
      </w:pPr>
    </w:p>
    <w:p>
      <w:pPr>
        <w:ind w:left="245"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improvements in business performance for the three and six months ended June 30, 2022 were primarily due to expansion of our recurring subscriptions revenues from existing accounts in India, Australia, and Southeast Asia, partially offset by reductions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4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4"/>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36,806</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rPr>
              <w:t>22,888</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36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59,694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4"/>
          </w:tcPr>
          <w:p>
            <w:pPr>
              <w:jc w:val="center"/>
              <w:ind w:left="1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70,533</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gridSpan w:val="2"/>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44,946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115,479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For the three months ended June 30, 2022, on a constant currency basis, cost of subscriptions and licenses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$4,400, mainly due to our platform acquisition of Seequent and annual salary adjustments, and an increase in amortization expense for software and technology of approximately $2,400.</w:t>
      </w:r>
    </w:p>
    <w:p>
      <w:pPr>
        <w:spacing w:after="0" w:line="19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For the six months ended June 30, 2022, on a constant currency basis, cost of subscriptions and licenses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$7,200, mainly due to our platform acquisition of Seequent and annual salary adjustments, and an increase in amortization expense for software and technology of approximately $4,300.</w:t>
      </w:r>
    </w:p>
    <w:p>
      <w:pPr>
        <w:spacing w:after="0" w:line="197"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For the three months ended June 30, 2022, on a constant currency basis, cost of services increased primarily due to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$1,200, mainly due to digital integrator business acquisitions and annual salary adjustments, partially offset by a decrease in facility-related costs of approximately $500.</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For the six months ended June 30, 2022, on a constant currency basis, cost of services increased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$3,700, mainly due to digital integrator business acquisitions and annual salary adjustments, partially offset by a decrease in facility-related costs of approximately $800.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Operating Expense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52,776</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143.5 %</w:t>
            </w:r>
          </w:p>
        </w:tc>
      </w:tr>
      <w:tr>
        <w:trPr>
          <w:trHeight w:val="223"/>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1"/>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4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Not meaningful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3"/>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2"/>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3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gridSpan w:val="2"/>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126,139</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100,579</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25,560</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95,562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25,108</w:t>
            </w:r>
          </w:p>
        </w:tc>
        <w:tc>
          <w:tcPr>
            <w:tcW w:w="4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91,187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74,904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16,283</w:t>
            </w:r>
          </w:p>
        </w:tc>
        <w:tc>
          <w:tcPr>
            <w:tcW w:w="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left="271"/>
              <w:spacing w:after="0"/>
              <w:rPr>
                <w:sz w:val="20"/>
                <w:szCs w:val="20"/>
                <w:color w:val="auto"/>
              </w:rPr>
            </w:pPr>
            <w:r>
              <w:rPr>
                <w:rFonts w:ascii="Times New Roman" w:cs="Times New Roman" w:eastAsia="Times New Roman" w:hAnsi="Times New Roman"/>
                <w:sz w:val="18"/>
                <w:szCs w:val="18"/>
                <w:color w:val="auto"/>
                <w:w w:val="97"/>
              </w:rPr>
              <w:t>(17,659)</w:t>
            </w:r>
          </w:p>
        </w:tc>
        <w:tc>
          <w:tcPr>
            <w:tcW w:w="40" w:type="dxa"/>
            <w:vAlign w:val="bottom"/>
          </w:tcPr>
          <w:p>
            <w:pPr>
              <w:spacing w:after="0"/>
              <w:rPr>
                <w:sz w:val="19"/>
                <w:szCs w:val="19"/>
                <w:color w:val="auto"/>
              </w:rPr>
            </w:pPr>
          </w:p>
        </w:tc>
        <w:tc>
          <w:tcPr>
            <w:tcW w:w="120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rPr>
              <w:t>12,396</w:t>
            </w:r>
          </w:p>
        </w:tc>
        <w:tc>
          <w:tcPr>
            <w:tcW w:w="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154.4 %</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166.0 %</w:t>
            </w:r>
          </w:p>
        </w:tc>
      </w:tr>
      <w:tr>
        <w:trPr>
          <w:trHeight w:val="223"/>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316,014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254,326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61,688</w:t>
            </w:r>
          </w:p>
        </w:tc>
        <w:tc>
          <w:tcPr>
            <w:tcW w:w="4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0"/>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3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For the three months ended June 30, 2022, on a constant currency basis, research and development expenses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headcount-related costs of approximately $13,300, mainly due to our platform acquisition of Seequent and annual salary adjustments.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on a constant currency basis, research and development expenses increased primarily due to an increase in headcount-related costs of approximately $26,600, mainly due to our platform acquisition of Seequent and annual salary adjustments.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For the three months ended June 30, 2022, on a constant currency basis, selling and marketing expenses increased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headcount-related costs of approximately $12,100, mainly due to our platform acquisition of Seequent, annual salary adjustments, and approximately $800 of termination benefits for our colleagues whose positions were eliminated related to our Russian market exit costs. On a constant currency basis, selling and marketing expenses also increased due to an increase in promotional costs of approximately $1,300 and approximately $1,100 of asset impairments related to our Russian market exit costs.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on a constant currency basis, selling and marketing expenses increased primarily due to an increase in headcount-related costs of approximately $23,700, mainly due to our platform acquisition of Seequent, annual salary adjustments, and approximately $800 of termination benefits for our colleagues whose positions were eliminated related to our Russian market exit costs. On a constant currency basis, selling and marketing expenses also increased due to an increase in promotional costs of approximately $2,700 and approximately $1,100 of asset impairments related to our Russian market exit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7" w:name="page58"/>
    <w:bookmarkEnd w:id="57"/>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For the three months ended June 30, 2022, on a constant currency basis, general and administrative expenses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acquisition expenses of approximately $9,500, mainly due to expenses of $9,180 related to our platform acquisition of Seequent for the three months ended June 30, 2021. Partially offsetting this decrease is an increase in headcount-related costs of approximately $6,300, an increase in third party subscription software and facilities costs of approximately $1,600, and approximately $1,100 of asset impairments related to our Russian market exit costs. The approximate $6,300 increase in headcount-related costs was primarily comprised of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$3,600 and an increase in salaries costs of approximately $2,300, mainly due to our platform acquisition of Seequent and annual salary adjustments.</w:t>
      </w:r>
    </w:p>
    <w:p>
      <w:pPr>
        <w:spacing w:after="0" w:line="20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For the six months ended June 30, 2022, on a constant currency basis, general and administrative expenses increased primarily due to an increase headcount-related costs of approximately $16,800, an increase in third party subscription software and facilities costs of approximately $3,800, and approximately $1,100 of asset impairments related to our Russian market exit costs. The approximate $16,800 increase in headcount-related costs was primarily comprised of an increase in salaries costs of approximately $8,300, mainly due to our platform acquisition of Seequent and annual salary adjustments, and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$7,100. Partially offsetting these increases were lower acquisition expenses of approximately $5,800, primarily due to expenses of $9,799 related to the acquisition of Power Line Systems for the six months ended June 30, 2022 as compared to expenses of $15,896 related to the acquisition of Seequent for the six months ended June 30, 2021.</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For the three months ended June 30, 2022, deferred compensation plan income was $12,159 as compared to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 expense of $195 for the three months ended June 30, 2021. For the six months ended June 30, 2022, deferred compensation plan income was $17,297 as compared to deferred compensation plan expense of $362 for the six months ended June 30, 2021. These amounts were attributable to the marked to market impact on deferred compensation plan liability balances period over period.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For the three and six months ended June 30, 2022, on a constant currency basis, amortization of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increased primarily due to amortization from recently acquired purchased intangibles.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2"/>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coupon interest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8" w:name="page59"/>
    <w:bookmarkEnd w:id="5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interest expense, net increased primarily due to a higher outstanding average balance combined with a higher average interest rate under the revolving loan facility, interest expense on the term loan, which we entered into on December 22, 2021, and higher interest expense and amortization of deferred debt issuance costs in connection with the convertible senior notes issued on June 28,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6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240" w:type="dxa"/>
            <w:vAlign w:val="bottom"/>
          </w:tcPr>
          <w:p>
            <w:pPr>
              <w:spacing w:after="0"/>
              <w:rPr>
                <w:sz w:val="23"/>
                <w:szCs w:val="23"/>
                <w:color w:val="auto"/>
              </w:rPr>
            </w:pP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(5,926)</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26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70"/>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(loss) gain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(4,717)</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70"/>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aircraft</w:t>
            </w:r>
          </w:p>
        </w:tc>
        <w:tc>
          <w:tcPr>
            <w:tcW w:w="88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3"/>
                <w:szCs w:val="2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8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(3,777)</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17" w:lineRule="exact"/>
        <w:rPr>
          <w:sz w:val="20"/>
          <w:szCs w:val="20"/>
          <w:color w:val="auto"/>
        </w:rPr>
      </w:pPr>
    </w:p>
    <w:p>
      <w:pPr>
        <w:jc w:val="both"/>
        <w:ind w:left="340" w:hanging="332"/>
        <w:spacing w:after="0" w:line="261"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gain is primarily attributable to foreign currency translation derived primarily from U.S. Dollar denominated cash and cash equivalents, account receivables, customer deposits, and intercompany balances held by foreign subsidiaries. Intercompany finance transactions denominated in U.S. Dollars resulted in unrealized foreign exchange (losses) gains of $(5,799) and $963 for the three months ended June 30, 2022 and 2021, respectively, $(6,563) and $1,443 for the six months ended June 30,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8"/>
                <w:szCs w:val="18"/>
                <w:color w:val="auto"/>
              </w:rPr>
            </w:pPr>
          </w:p>
        </w:tc>
      </w:tr>
      <w:tr>
        <w:trPr>
          <w:trHeight w:val="219"/>
        </w:trPr>
        <w:tc>
          <w:tcPr>
            <w:tcW w:w="4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00" w:type="dxa"/>
            <w:vAlign w:val="bottom"/>
            <w:tcBorders>
              <w:bottom w:val="single" w:sz="8" w:color="auto"/>
            </w:tcBorders>
          </w:tcPr>
          <w:p>
            <w:pPr>
              <w:spacing w:after="0"/>
              <w:rPr>
                <w:sz w:val="19"/>
                <w:szCs w:val="19"/>
                <w:color w:val="auto"/>
              </w:rPr>
            </w:pPr>
          </w:p>
        </w:tc>
      </w:tr>
      <w:tr>
        <w:trPr>
          <w:trHeight w:val="211"/>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26,983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94,793</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Benefit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7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9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(10,115)</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9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the three and six months ended June 30, 2022, the effective tax rate was higher primarily due to the decrease in discrete tax benefits recognized in the respective periods. For the three months ended June 30, 2022 and 2021, we recorded discrete tax benefits of $19,024 and $28,967, respectively, and $31,752 and $36,452 for the six months ended June 30, 2022 and 2021,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55,673</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102,633</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net income increased by $10,046, or 22.0%, compared to the three months ended June 30, 2021. For the six months ended June 30, 2022, net income increased by $9,428, or 9.2%, compared to the six months ended June 30, 2021. Net income as a percentage of total revenues was 20.8% and 20.4% for the three months ended June 30, 2022 and 2021, respectively, and 20.6% and 23.0% for the six months ended June 30, 2022 and 2021. The changes are due to the factors described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86,521</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152,310</w:t>
            </w:r>
          </w:p>
        </w:tc>
      </w:tr>
      <w:tr>
        <w:trPr>
          <w:trHeight w:val="27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153,364</w:t>
            </w:r>
          </w:p>
        </w:tc>
        <w:tc>
          <w:tcPr>
            <w:tcW w:w="2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138,593</w:t>
            </w:r>
          </w:p>
        </w:tc>
      </w:tr>
    </w:tbl>
    <w:p>
      <w:pPr>
        <w:spacing w:after="0" w:line="2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2022, Adjusted EBITDA increased by $17,187 and $31,827 compared to the three and six months ended June 30, 2021, respectively. For the three months ended June 30, 2022 and 2021, Adjusted EBITDA as a percentage of total revenues was 32.2% and 31.0%, respectively. For the six months ended June 30, 2022 and 2021, Adjusted EBITDA as a percentage of total revenues was 33.9% and 34.2%, respectively.</w:t>
      </w:r>
    </w:p>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Adjusted Net Income decreased by $655, compared to the three months ended June 30, 2021. For the three months ended June 30, 2022 and 2021, Adjusted Net Income as a percentage of total revenues was 27.5% and 33.3%, respectively. For the six months ended June 30, 2022, Adjusted Net Income increased by $14,771 compared to the six months ended June 30, 2021. For the six months ended June 30, 2022 and 2021, Adjusted Net Income as a percentage of total revenues was 28.2% and 31.1%, respectively.</w:t>
      </w:r>
    </w:p>
    <w:p>
      <w:pPr>
        <w:spacing w:after="0" w:line="15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For additional information, including the limitations of using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reconciliations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 most directly comparable financial measures stated in accordance with U.S. GAAP, see the section 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primary source of operating cash is from the sale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service our debt obligations, to pay quarterly dividends, to repurchase our Class B Common Stock (discussed further below), and for capital expenditures in support of our operations. We also use cash to fund our acquisitions of software assets and businesses, and other investment activities of </w:t>
      </w:r>
      <w:r>
        <w:rPr>
          <w:rFonts w:ascii="Times New Roman" w:cs="Times New Roman" w:eastAsia="Times New Roman" w:hAnsi="Times New Roman"/>
          <w:sz w:val="18"/>
          <w:szCs w:val="18"/>
          <w:i w:val="1"/>
          <w:iCs w:val="1"/>
          <w:color w:val="auto"/>
        </w:rPr>
        <w:t>BSY Investments</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i w:val="1"/>
          <w:iCs w:val="1"/>
          <w:color w:val="auto"/>
        </w:rPr>
        <w:t>iTwin Ventures</w:t>
      </w:r>
      <w:r>
        <w:rPr>
          <w:rFonts w:ascii="Times New Roman" w:cs="Times New Roman" w:eastAsia="Times New Roman" w:hAnsi="Times New Roman"/>
          <w:sz w:val="18"/>
          <w:szCs w:val="18"/>
          <w:color w:val="auto"/>
        </w:rPr>
        <w:t xml:space="preserve"> for which, over a period of approximately 5 years, we expect to invest up to $100 million of corporate venture capital funding for seed, early, and growth stage technology companies with promising and emerging opportunities for infrastructure digital twin solutions strategically relevant to our business. In connection with the acquisition of Power Line Systems in January 2022, we used available cash and borrowings under our Credit Facility (described below) to fund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0" w:name="page61"/>
    <w:bookmarkEnd w:id="60"/>
    <w:p>
      <w:pPr>
        <w:jc w:val="both"/>
        <w:spacing w:after="0" w:line="218" w:lineRule="exact"/>
        <w:rPr>
          <w:sz w:val="20"/>
          <w:szCs w:val="20"/>
          <w:color w:val="auto"/>
        </w:rPr>
      </w:pPr>
      <w:r>
        <w:rPr>
          <w:rFonts w:ascii="Times New Roman" w:cs="Times New Roman" w:eastAsia="Times New Roman" w:hAnsi="Times New Roman"/>
          <w:sz w:val="18"/>
          <w:szCs w:val="18"/>
          <w:color w:val="auto"/>
        </w:rPr>
        <w:t>On May 11, 2022, we announced that our board of directors approved the Repurchase Program authorizing us to repurchase up to $200,000 of our Class B Common Stock through June 30, 2024. The Repurchase Program is used to offset dilution from the issuance of our Class B Common Stock under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plans to enhance stockholder value. The shares proposed to be acquired in the Repurchase Program may be repurchased from time to time in open market transactions, through privately negotiated transactions, or by other means in accordance with federal securities laws. We intend to fund repurchases from available working capital and cash provided by operating activities. The timing, as well as the number and value of shares repurchased under the Repurchase Program, will be determined at our discretion and will depend on a variety of factors, including management’s assessment of the intrinsic value of our shares, the market price of our Class B Common Stock, general market and economic conditions, available liquidity, compliance with our debt and other agreements, and applicable legal requirements. The exact number of shares to be repurchased by us is not guaranteed, and the Repurchase Program may be suspended, modified, or discontinued at any time without prior notice. For the six months ended June 30, 2022, we repurchased 463,001 shares for $13,242.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2022, we exercised our right to require that certain equity awardees receive gross quantities of shares of our Class B Common Stock, most meaningfully for the issuance of shares in connection with our Executive Bonus Plan incentive compensation and distributions from the DCP, and promptly reimburse to us the cash required for their tax withholding amounts. Historically, these shares were issued on a net basis, holding back shares in consideration of remitting withholding taxes on behalf of equity awardees, thereby requiring us to remit cash for the tax withholdings.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U.S. As of June 30, 2022 and December 31, 2021, 87% and 48%, respectively, of our total cash and cash equivalents were located outside of the U.S. During the three and six months ended June 30, 2022, we repatriated $50,000 and $150,000, respectively, of undistributed previously taxed earnings generated by our foreign subsidiaries to the U.S. The repatriations were used to fund the acquisition of Power Line Systems. We expect to meet our U.S. liquidity needs through ongoing cash flows or external borrowings including available liquidity under the Credit Facility.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Our domestic and foreign holdings of cash and cash equivalents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domestically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 foreign subsidiaries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159,070</w:t>
            </w:r>
          </w:p>
        </w:tc>
      </w:tr>
      <w:tr>
        <w:trPr>
          <w:trHeight w:val="248"/>
        </w:trPr>
        <w:tc>
          <w:tcPr>
            <w:tcW w:w="7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Credit Facility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amended and restated Credit Agreement, which provides for an $850,000 senior secured revolving loan facility with a maturity date of November 15, 2025 and a $200,000 senior secured term loan as described further below (the “Credit Facility”).</w:t>
      </w:r>
    </w:p>
    <w:p>
      <w:pPr>
        <w:spacing w:after="0" w:line="16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Our $200,000 senior secured term loan has a maturity of November 15, 2025 (the “2021 Term Loan”). The 2021 Term Loan requires principal repayment at the end of each calendar quarter. Beginning with March 31, 2022 and ending with December 31, 2023, we are required to repay $1,250 per quarter. Beginning with March 31, 2024 and ending with the last such date prior to the maturity date, we are required to repay $2,500 per quarter. We incurred $540 of debt issuance costs related to the 2021 Term Loan. We used borrowings under the 2021 Term Loan to pay down borrowings under the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revolving loan facility under the Credit Facility.</w:t>
      </w:r>
    </w:p>
    <w:p>
      <w:pPr>
        <w:spacing w:after="0" w:line="17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the senior secured revolving loan facility, the Credit Facility also provides up to $50,000 of letters of credit and other borrowings subject to availability, including a $85,000 U.S. Dollar swingline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$200,000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We had $150 of letters of credit and surety bonds outstanding as of June 30, 2022 and December 31, 2021. As of June 30, 2022 and December 31, 2021, we had $455,976 and $849,850, respectively, available under the Credit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net leverage ratios. As of June 30, 2022 and December 31, 2021, we were in compliance with all covenants in our Credit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has a termination date of April 2, 2030. Under the terms of the interest rate swap, we fixed our London Interbank Offered Rate borrowing rate at 0.73% on a notional amount of $200,000. The interest rate swap is not designated as a hedging instrument for accounting purposes. We account for the interest rate swap as either an asset or a liability in the consolidated balance sheets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As of June 30, 2022 and December 31, 2021, we recorded a swap related asset at fair value of $29,607 and $10,117, respectively,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under the Credit Facility was 2.89% and 2.11% for the three months ended June 30, 2022 and 2021, respectively, and 2.62% and 2.18% for the six months ended June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2027 Notes. </w:t>
      </w:r>
      <w:r>
        <w:rPr>
          <w:rFonts w:ascii="Times New Roman" w:cs="Times New Roman" w:eastAsia="Times New Roman" w:hAnsi="Times New Roman"/>
          <w:sz w:val="18"/>
          <w:szCs w:val="18"/>
          <w:color w:val="auto"/>
        </w:rPr>
        <w:t>On June 28, 2021, we completed a private offering of $575,000 of 0.375% convertible senior notes due 2027 (the “2027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Notes were issued pursuant to an indenture, dated as of June 28, 2021, between the Company and Wilmington Trust, National Association, as trustee (the “2027 Indenture”). Interest will accrue from June 28,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the payment of initial purchasers’ discounts and commissions, professional fees, and other expenses (“transaction costs”).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Notes were accounted for as debt, with no bifurcation of the embedded conversion feature. Transaction costs were recorded as a direct deduction from the related debt liability in the consolidated balance sheet and are amortized to interest expense over the term of the 2027 Notes. The effective interest rate for the 2027 Notes is 0.864%.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none of the conditions of the 2027 Notes to early convert has been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2027 Notes contain both affirmative and negative covenants. As of June 30, 2022, we were in compliance with all covenants in the 2027 Notes.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Capped Call Options. </w:t>
      </w:r>
      <w:r>
        <w:rPr>
          <w:rFonts w:ascii="Times New Roman" w:cs="Times New Roman" w:eastAsia="Times New Roman" w:hAnsi="Times New Roman"/>
          <w:sz w:val="18"/>
          <w:szCs w:val="18"/>
          <w:color w:val="auto"/>
        </w:rPr>
        <w:t>In connection with the pricing of the 2027 Notes, we entered into capped call options with certain of the initial purchasers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affiliates and certain other financial institutions. We incurred $50 of expenses in connection with the capped call options.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8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2026 Notes. </w:t>
      </w:r>
      <w:r>
        <w:rPr>
          <w:rFonts w:ascii="Times New Roman" w:cs="Times New Roman" w:eastAsia="Times New Roman" w:hAnsi="Times New Roman"/>
          <w:sz w:val="18"/>
          <w:szCs w:val="18"/>
          <w:color w:val="auto"/>
        </w:rPr>
        <w:t>On January 26, 2021, we completed a private offering of $690,000 of 0.125% convertible senior notes due 2026 (the “2026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Notes were issued pursuant to an indenture, dated as of January 26, 2021, between the Company and Wilmington Trust, National Association, as trustee (the “2026 Indenture”). Interest will accrue from January 26, 2021 and will be payable semi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8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were accounted for as debt, with no bifurcation of the embedded conversion feature. Transaction costs were recorded as a direct deduction from the related debt liability in the consolidated balance sheet and are amortized to interest expense over the term of the 2026 Notes. The effective interest rate for the 2026 Notes is 0.658%.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none of the conditions of the 2026 Notes to early convert has been met.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Notes contain both affirmative and negative covenants. As of June 30, 2022, we were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Capped Call Options</w:t>
      </w:r>
      <w:r>
        <w:rPr>
          <w:rFonts w:ascii="Times New Roman" w:cs="Times New Roman" w:eastAsia="Times New Roman" w:hAnsi="Times New Roman"/>
          <w:sz w:val="18"/>
          <w:szCs w:val="18"/>
          <w:color w:val="auto"/>
        </w:rPr>
        <w:t>. In connection with the pricing of the 2026 Notes, we entered into capped call options with certain of the initial purchasers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in the consolidated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for the six months ended June 30, 2022 and 2021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168,730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149,022</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rPr>
              <w:t>(723,967)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(1,008,001)</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325,773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866,510</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Net cash provided by operating activities was $168,730 for the six months ended June 30, 2022. Compared to the same period in the prior year, net cash provided by operating activities was higher by $19,708 due to a net increase in net cash flows from the change in operating assets and liabilities of $18,515 and an increase in net income of $9,428, partially offset by a net decrease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$8,235. The net increase in cash flows from the change in operating assets and liabilities was primarily related to a decrease related to tax prepayments, and an increase in accounts receivable due to revenue growth and the timing of collections from accounts, partially offset by lower incremental CSS deposits period over period.</w:t>
      </w:r>
    </w:p>
    <w:p>
      <w:pPr>
        <w:spacing w:after="0" w:line="201"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For the six months ended June 30, 2021, net cash provided by operating activities was $149,022 due to net income of $102,633 increased by $35,649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and $10,740 from changes in operating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$723,967 for the six months ended June 30, 2022 primarily due to $714,197 in acquisition related payments, net of cash acquired, to complete two acquisitions.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$1,008,001 primarily due to $1,002,551 in acquisition related payments, net of cash acquired, to complete eight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$325,773 for the six months ended June 30, 2022 primarily due to an increase in net borrowings under the Credit Facility of $391,374, partially offset by net payments for shares acquired of $53,762, including shares repurchased under the Repurchase Program, and payments of dividends of $17,163.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was $866,510 primarily due to the net proceeds from the convertible senior notes of $1,233,377, partially offset by a decrease in net borrowings under the Credit Facility of $209,613, net payments for shares acquired of $87,836, and the purchase of capped call options of $51,555.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There have been no significant changes in our market risk exposure as described in Part II, Item 7A. Quantitative and Qualitative Disclosures About Market Risk in our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file with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20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2022, our disclosure controls and procedures were effective at the reasonable assurance level.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risk factors described in Part I, Item 1A. Risk Factors in our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file with the SEC, which could materially affect our business, financial condition or future results. Additional risks and uncertainties not currently known to us or that we currently deem to be immaterial may also materially adversely affect our business, financial condition, or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April 1, 2022 to June 30, 2022, we issued 2,616,044 shares of our Class B Common Stock in connection with distributions from our amended and restated Bentley Systems, Incorporated Nonqualified Deferred Compensation Plan.</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From April 1, 2022 to June 30, 2022, we issued 35,323 shares of our Class B Common Stock pursuant to exercised options, which were issued to certain selling shareholder entities in connection with an acquisition completed in March 2018.</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 None of the foregoing transactions involved any underwriters, underwriting discounts or commissions, or any public offering. The issuances of these securities were made without any general solicitation or advertising.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Class B Common Stock we repurchased during the three months ended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Announced Plan </w:t>
            </w:r>
            <w:r>
              <w:rPr>
                <w:rFonts w:ascii="Times New Roman" w:cs="Times New Roman" w:eastAsia="Times New Roman" w:hAnsi="Times New Roman"/>
                <w:sz w:val="18"/>
                <w:szCs w:val="18"/>
                <w:b w:val="1"/>
                <w:bCs w:val="1"/>
                <w:color w:val="auto"/>
                <w:w w:val="99"/>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 xml:space="preserve">Under the Plan </w:t>
            </w:r>
            <w:r>
              <w:rPr>
                <w:rFonts w:ascii="Times New Roman" w:cs="Times New Roman" w:eastAsia="Times New Roman" w:hAnsi="Times New Roman"/>
                <w:sz w:val="18"/>
                <w:szCs w:val="18"/>
                <w:b w:val="1"/>
                <w:bCs w:val="1"/>
                <w:color w:val="auto"/>
                <w:w w:val="99"/>
                <w:vertAlign w:val="superscript"/>
              </w:rPr>
              <w:t>(2)</w:t>
            </w: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to April 30, 2022</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May 1, 2022 to May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186,767,654</w:t>
            </w:r>
          </w:p>
        </w:tc>
      </w:tr>
      <w:tr>
        <w:trPr>
          <w:trHeight w:val="21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to June 30, 2022</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186,767,654</w:t>
            </w:r>
          </w:p>
        </w:tc>
      </w:tr>
      <w:tr>
        <w:trPr>
          <w:trHeight w:val="207"/>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0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463,001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88" w:lineRule="exact"/>
        <w:rPr>
          <w:sz w:val="20"/>
          <w:szCs w:val="20"/>
          <w:color w:val="auto"/>
        </w:rPr>
      </w:pPr>
    </w:p>
    <w:p>
      <w:pPr>
        <w:ind w:left="320" w:hanging="312"/>
        <w:spacing w:after="0" w:line="207" w:lineRule="exact"/>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purchased in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transactions under the BSY Stock Repurchase Program approved by our board of directors.</w:t>
      </w:r>
    </w:p>
    <w:p>
      <w:pPr>
        <w:spacing w:after="0" w:line="14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correspond to the plan publicly announced and approved by our board of directors in May 2022 that authorizes the repurchase up to $200 million of our Class B Common Stock through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4"/>
            <w:vMerge w:val="restart"/>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11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CFO pursuant to Rule 13a-14(a) and Rule 15d-14(a) of the Securities Exchange Act of 1934, as amended</w:t>
            </w:r>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CEO and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24" w:lineRule="exact"/>
        <w:rPr>
          <w:rFonts w:ascii="Times New Roman" w:cs="Times New Roman" w:eastAsia="Times New Roman" w:hAnsi="Times New Roman"/>
          <w:sz w:val="18"/>
          <w:szCs w:val="18"/>
          <w:color w:val="auto"/>
        </w:rPr>
      </w:pPr>
    </w:p>
    <w:p>
      <w:pPr>
        <w:ind w:left="480" w:hanging="445"/>
        <w:spacing w:after="0" w:line="23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 attached as Exhibit 32.1 that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59" w:lineRule="exact"/>
        <w:rPr>
          <w:sz w:val="20"/>
          <w:szCs w:val="20"/>
          <w:color w:val="auto"/>
        </w:rPr>
      </w:pPr>
    </w:p>
    <w:p>
      <w:pPr>
        <w:ind w:left="20"/>
        <w:spacing w:after="0"/>
        <w:tabs>
          <w:tab w:leader="none" w:pos="4240" w:val="left"/>
          <w:tab w:leader="none" w:pos="7460" w:val="left"/>
        </w:tabs>
        <w:rPr>
          <w:sz w:val="20"/>
          <w:szCs w:val="20"/>
          <w:color w:val="auto"/>
        </w:rPr>
      </w:pPr>
      <w:r>
        <w:rPr>
          <w:rFonts w:ascii="Times New Roman" w:cs="Times New Roman" w:eastAsia="Times New Roman" w:hAnsi="Times New Roman"/>
          <w:sz w:val="35"/>
          <w:szCs w:val="35"/>
          <w:color w:val="auto"/>
          <w:vertAlign w:val="superscript"/>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jc w:val="center"/>
        <w:ind w:left="5120"/>
        <w:spacing w:after="0"/>
        <w:rPr>
          <w:sz w:val="20"/>
          <w:szCs w:val="20"/>
          <w:color w:val="auto"/>
        </w:rPr>
      </w:pPr>
      <w:r>
        <w:rPr>
          <w:rFonts w:ascii="Times New Roman" w:cs="Times New Roman" w:eastAsia="Times New Roman" w:hAnsi="Times New Roman"/>
          <w:sz w:val="18"/>
          <w:szCs w:val="18"/>
          <w:color w:val="auto"/>
        </w:rPr>
        <w:t>Werner Andre</w:t>
      </w:r>
    </w:p>
    <w:p>
      <w:pPr>
        <w:spacing w:after="0" w:line="7"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23"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Bentley, certify that:</w:t>
      </w:r>
    </w:p>
    <w:p>
      <w:pPr>
        <w:spacing w:after="0" w:line="169" w:lineRule="exact"/>
        <w:rPr>
          <w:sz w:val="20"/>
          <w:szCs w:val="20"/>
          <w:color w:val="auto"/>
        </w:rPr>
      </w:pPr>
    </w:p>
    <w:p>
      <w:pPr>
        <w:ind w:left="340" w:hanging="332"/>
        <w:spacing w:after="0" w:line="207"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Werner Andre, certify that:</w:t>
      </w:r>
    </w:p>
    <w:p>
      <w:pPr>
        <w:spacing w:after="0" w:line="169" w:lineRule="exact"/>
        <w:rPr>
          <w:sz w:val="20"/>
          <w:szCs w:val="20"/>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 connection with the Quarterly Report of Bentley Systems, Incorporated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June 30, 2022,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2"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140" w:firstLine="332"/>
        <w:spacing w:after="0" w:line="485" w:lineRule="auto"/>
        <w:tabs>
          <w:tab w:leader="none" w:pos="6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9, 2022</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686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3"/>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lvl w:ilvl="1">
      <w:lvlJc w:val="left"/>
      <w:lvlText w:val="%2"/>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2022-08-09T17:16:34Z</dcterms:created>
  <dcterms:modified xsi:type="dcterms:W3CDTF">2022-08-09T17:16:34Z</dcterms:modified>
</cp:coreProperties>
</file>