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39"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6"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September 30, 2023</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72" w:right="339" w:bottom="1440" w:gutter="0" w:footer="0" w:header="0"/>
        </w:sectPr>
      </w:pPr>
    </w:p>
    <w:p>
      <w:pPr>
        <w:spacing w:after="0" w:line="67"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72" w:right="339" w:bottom="1440" w:gutter="0" w:footer="0" w:header="0"/>
          <w:type w:val="continuous"/>
        </w:sectPr>
      </w:pPr>
    </w:p>
    <w:p>
      <w:pPr>
        <w:spacing w:after="0" w:line="205"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BENTLEY SYSTEMS, INCORPORATED</w:t>
      </w:r>
    </w:p>
    <w:p>
      <w:pPr>
        <w:spacing w:after="0" w:line="53"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1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72" w:right="339" w:bottom="1440" w:gutter="0" w:footer="0" w:header="0"/>
          <w:type w:val="continuous"/>
        </w:sectPr>
      </w:pPr>
    </w:p>
    <w:p>
      <w:pPr>
        <w:spacing w:after="0" w:line="277"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72"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2" w:lineRule="exact"/>
        <w:rPr>
          <w:sz w:val="24"/>
          <w:szCs w:val="24"/>
          <w:color w:val="auto"/>
        </w:rPr>
      </w:pPr>
    </w:p>
    <w:p>
      <w:pPr>
        <w:sectPr>
          <w:pgSz w:w="11900" w:h="16838" w:orient="portrait"/>
          <w:cols w:equalWidth="0" w:num="2">
            <w:col w:w="6940" w:space="720"/>
            <w:col w:w="3580"/>
          </w:cols>
          <w:pgMar w:left="320" w:top="1372"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72"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52" w:lineRule="exact"/>
        <w:rPr>
          <w:sz w:val="24"/>
          <w:szCs w:val="24"/>
          <w:color w:val="auto"/>
        </w:rPr>
      </w:pPr>
    </w:p>
    <w:p>
      <w:pPr>
        <w:sectPr>
          <w:pgSz w:w="11900" w:h="16838" w:orient="portrait"/>
          <w:cols w:equalWidth="0" w:num="2">
            <w:col w:w="7660" w:space="720"/>
            <w:col w:w="2860"/>
          </w:cols>
          <w:pgMar w:left="320" w:top="1372"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6"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39"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9"/>
        </w:trPr>
        <w:tc>
          <w:tcPr>
            <w:tcW w:w="62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Title of each class</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Trading Symbol</w:t>
            </w:r>
          </w:p>
        </w:tc>
        <w:tc>
          <w:tcPr>
            <w:tcW w:w="336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5"/>
        </w:trPr>
        <w:tc>
          <w:tcPr>
            <w:tcW w:w="6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31" w:lineRule="exact"/>
        <w:rPr>
          <w:sz w:val="24"/>
          <w:szCs w:val="24"/>
          <w:color w:val="auto"/>
        </w:rPr>
      </w:pPr>
    </w:p>
    <w:p>
      <w:pPr>
        <w:ind w:right="20" w:firstLine="324"/>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ind w:firstLine="324"/>
        <w:spacing w:after="0" w:line="191"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240"/>
          </w:cols>
          <w:pgMar w:left="320" w:top="1372" w:right="339" w:bottom="1440" w:gutter="0" w:footer="0" w:header="0"/>
          <w:type w:val="continuous"/>
        </w:sectPr>
      </w:pPr>
    </w:p>
    <w:p>
      <w:pPr>
        <w:spacing w:after="0" w:line="13" w:lineRule="exact"/>
        <w:rPr>
          <w:sz w:val="24"/>
          <w:szCs w:val="24"/>
          <w:color w:val="auto"/>
        </w:rPr>
      </w:pPr>
    </w:p>
    <w:p>
      <w:pPr>
        <w:ind w:left="11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92" w:lineRule="exact"/>
        <w:rPr>
          <w:sz w:val="24"/>
          <w:szCs w:val="24"/>
          <w:color w:val="auto"/>
        </w:rPr>
      </w:pPr>
    </w:p>
    <w:p>
      <w:pPr>
        <w:sectPr>
          <w:pgSz w:w="11900" w:h="16838" w:orient="portrait"/>
          <w:cols w:equalWidth="0" w:num="2">
            <w:col w:w="7300" w:space="720"/>
            <w:col w:w="3220"/>
          </w:cols>
          <w:pgMar w:left="320" w:top="1372" w:right="339" w:bottom="1440" w:gutter="0" w:footer="0" w:header="0"/>
          <w:type w:val="continuous"/>
        </w:sectPr>
      </w:pPr>
    </w:p>
    <w:p>
      <w:pPr>
        <w:ind w:left="1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7300" w:space="720"/>
            <w:col w:w="3220"/>
          </w:cols>
          <w:pgMar w:left="320" w:top="1372" w:right="339" w:bottom="1440" w:gutter="0" w:footer="0" w:header="0"/>
          <w:type w:val="continuous"/>
        </w:sectPr>
      </w:pPr>
    </w:p>
    <w:p>
      <w:pPr>
        <w:ind w:left="80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1372" w:right="339" w:bottom="1440" w:gutter="0" w:footer="0" w:header="0"/>
          <w:type w:val="continuous"/>
        </w:sectPr>
      </w:pPr>
    </w:p>
    <w:p>
      <w:pPr>
        <w:spacing w:after="0" w:line="157" w:lineRule="exact"/>
        <w:rPr>
          <w:sz w:val="24"/>
          <w:szCs w:val="24"/>
          <w:color w:val="auto"/>
        </w:rPr>
      </w:pPr>
    </w:p>
    <w:p>
      <w:pPr>
        <w:ind w:firstLine="324"/>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4"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October 31, 2023, the registrant had 11,567,627 shares of Class A and 284,354,543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line="19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gridSpan w:val="3"/>
          </w:tcPr>
          <w:p>
            <w:pPr>
              <w:ind w:left="14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0"/>
        </w:trPr>
        <w:tc>
          <w:tcPr>
            <w:tcW w:w="4160" w:type="dxa"/>
            <w:vAlign w:val="bottom"/>
            <w:gridSpan w:val="18"/>
          </w:tcPr>
          <w:p>
            <w:pPr>
              <w:spacing w:after="0" w:line="190" w:lineRule="exact"/>
              <w:rPr>
                <w:sz w:val="20"/>
                <w:szCs w:val="20"/>
                <w:color w:val="auto"/>
              </w:rPr>
            </w:pPr>
            <w:r>
              <w:rPr>
                <w:rFonts w:ascii="Arial" w:cs="Arial" w:eastAsia="Arial" w:hAnsi="Arial"/>
                <w:sz w:val="18"/>
                <w:szCs w:val="18"/>
                <w:color w:val="0000FF"/>
                <w:w w:val="91"/>
              </w:rPr>
              <w:t>Cautionary Note Regarding Forward-Looking Statements</w:t>
            </w:r>
          </w:p>
        </w:tc>
        <w:tc>
          <w:tcPr>
            <w:tcW w:w="5120" w:type="dxa"/>
            <w:vAlign w:val="bottom"/>
            <w:gridSpan w:val="4"/>
          </w:tcPr>
          <w:p>
            <w:pPr>
              <w:spacing w:after="0"/>
              <w:rPr>
                <w:sz w:val="16"/>
                <w:szCs w:val="16"/>
                <w:color w:val="auto"/>
              </w:rPr>
            </w:pPr>
          </w:p>
        </w:tc>
        <w:tc>
          <w:tcPr>
            <w:tcW w:w="1660" w:type="dxa"/>
            <w:vAlign w:val="bottom"/>
            <w:gridSpan w:val="2"/>
          </w:tcPr>
          <w:p>
            <w:pPr>
              <w:jc w:val="center"/>
              <w:ind w:left="1410"/>
              <w:spacing w:after="0" w:line="190"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416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PART I. FINANCIAL INFORMATION</w:t>
            </w:r>
          </w:p>
        </w:tc>
        <w:tc>
          <w:tcPr>
            <w:tcW w:w="5120" w:type="dxa"/>
            <w:vAlign w:val="bottom"/>
            <w:gridSpan w:val="4"/>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Item 1. Unaudited Consolidated Financial Statements</w:t>
            </w:r>
          </w:p>
        </w:tc>
        <w:tc>
          <w:tcPr>
            <w:tcW w:w="5260" w:type="dxa"/>
            <w:vAlign w:val="bottom"/>
            <w:gridSpan w:val="6"/>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87"/>
              </w:rPr>
              <w:t>Consolidated Balance Sheets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2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60" w:type="dxa"/>
            <w:vAlign w:val="bottom"/>
            <w:gridSpan w:val="2"/>
          </w:tcPr>
          <w:p>
            <w:pPr>
              <w:jc w:val="center"/>
              <w:ind w:left="141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10"/>
            <w:vMerge w:val="restart"/>
          </w:tcPr>
          <w:p>
            <w:pPr>
              <w:ind w:left="20"/>
              <w:spacing w:after="0"/>
              <w:rPr>
                <w:sz w:val="20"/>
                <w:szCs w:val="20"/>
                <w:color w:val="auto"/>
              </w:rPr>
            </w:pPr>
            <w:r>
              <w:rPr>
                <w:rFonts w:ascii="Arial" w:cs="Arial" w:eastAsia="Arial" w:hAnsi="Arial"/>
                <w:sz w:val="18"/>
                <w:szCs w:val="18"/>
                <w:color w:val="0000FF"/>
                <w:w w:val="88"/>
              </w:rPr>
              <w:t>Consolidated Statements of Operations</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Borders>
              <w:bottom w:val="single" w:sz="8" w:color="0000FF"/>
            </w:tcBorders>
            <w:gridSpan w:val="10"/>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left="141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15"/>
            <w:vMerge w:val="restart"/>
          </w:tcPr>
          <w:p>
            <w:pPr>
              <w:ind w:left="20"/>
              <w:spacing w:after="0"/>
              <w:rPr>
                <w:sz w:val="20"/>
                <w:szCs w:val="20"/>
                <w:color w:val="auto"/>
              </w:rPr>
            </w:pPr>
            <w:r>
              <w:rPr>
                <w:rFonts w:ascii="Arial" w:cs="Arial" w:eastAsia="Arial" w:hAnsi="Arial"/>
                <w:sz w:val="18"/>
                <w:szCs w:val="18"/>
                <w:color w:val="0000FF"/>
                <w:w w:val="88"/>
              </w:rPr>
              <w:t>Consolidated Statements of Comprehensive Income</w:t>
            </w:r>
          </w:p>
        </w:tc>
        <w:tc>
          <w:tcPr>
            <w:tcW w:w="1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Borders>
              <w:bottom w:val="single" w:sz="8" w:color="0000FF"/>
            </w:tcBorders>
            <w:gridSpan w:val="15"/>
            <w:vMerge w:val="continue"/>
          </w:tcPr>
          <w:p>
            <w:pPr>
              <w:spacing w:after="0"/>
              <w:rPr>
                <w:sz w:val="18"/>
                <w:szCs w:val="18"/>
                <w:color w:val="auto"/>
              </w:rPr>
            </w:pPr>
          </w:p>
        </w:tc>
        <w:tc>
          <w:tcPr>
            <w:tcW w:w="102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left="141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gridSpan w:val="13"/>
            <w:vMerge w:val="restart"/>
          </w:tcPr>
          <w:p>
            <w:pPr>
              <w:ind w:left="20"/>
              <w:spacing w:after="0"/>
              <w:rPr>
                <w:sz w:val="20"/>
                <w:szCs w:val="20"/>
                <w:color w:val="auto"/>
              </w:rPr>
            </w:pPr>
            <w:r>
              <w:rPr>
                <w:rFonts w:ascii="Arial" w:cs="Arial" w:eastAsia="Arial" w:hAnsi="Arial"/>
                <w:sz w:val="18"/>
                <w:szCs w:val="18"/>
                <w:color w:val="0000FF"/>
                <w:w w:val="90"/>
              </w:rPr>
              <w:t>Consolidated Statements of Stockholders’ Equity</w:t>
            </w: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Borders>
              <w:bottom w:val="single" w:sz="8" w:color="0000FF"/>
            </w:tcBorders>
            <w:gridSpan w:val="13"/>
            <w:vMerge w:val="continue"/>
          </w:tcPr>
          <w:p>
            <w:pPr>
              <w:spacing w:after="0"/>
              <w:rPr>
                <w:sz w:val="18"/>
                <w:szCs w:val="18"/>
                <w:color w:val="auto"/>
              </w:rPr>
            </w:pPr>
          </w:p>
        </w:tc>
        <w:tc>
          <w:tcPr>
            <w:tcW w:w="1200" w:type="dxa"/>
            <w:vAlign w:val="bottom"/>
            <w:gridSpan w:val="4"/>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left="1410"/>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11"/>
            <w:vMerge w:val="restart"/>
          </w:tcPr>
          <w:p>
            <w:pPr>
              <w:ind w:left="20"/>
              <w:spacing w:after="0"/>
              <w:rPr>
                <w:sz w:val="20"/>
                <w:szCs w:val="20"/>
                <w:color w:val="auto"/>
              </w:rPr>
            </w:pPr>
            <w:r>
              <w:rPr>
                <w:rFonts w:ascii="Arial" w:cs="Arial" w:eastAsia="Arial" w:hAnsi="Arial"/>
                <w:sz w:val="18"/>
                <w:szCs w:val="18"/>
                <w:color w:val="0000FF"/>
                <w:w w:val="88"/>
              </w:rPr>
              <w:t>Consolidated Statements of Cash Flows</w:t>
            </w:r>
          </w:p>
        </w:tc>
        <w:tc>
          <w:tcPr>
            <w:tcW w:w="2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bottom w:val="single" w:sz="8" w:color="0000FF"/>
            </w:tcBorders>
            <w:gridSpan w:val="11"/>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5"/>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left="1410"/>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2"/>
            <w:vMerge w:val="restart"/>
          </w:tcPr>
          <w:p>
            <w:pPr>
              <w:ind w:left="20"/>
              <w:spacing w:after="0"/>
              <w:rPr>
                <w:sz w:val="20"/>
                <w:szCs w:val="20"/>
                <w:color w:val="auto"/>
              </w:rPr>
            </w:pPr>
            <w:r>
              <w:rPr>
                <w:rFonts w:ascii="Arial" w:cs="Arial" w:eastAsia="Arial" w:hAnsi="Arial"/>
                <w:sz w:val="18"/>
                <w:szCs w:val="18"/>
                <w:color w:val="0000FF"/>
                <w:w w:val="89"/>
              </w:rPr>
              <w:t>Notes to Consolidated Financial Statements</w:t>
            </w:r>
          </w:p>
        </w:tc>
        <w:tc>
          <w:tcPr>
            <w:tcW w:w="160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12"/>
            <w:vMerge w:val="continue"/>
          </w:tcPr>
          <w:p>
            <w:pPr>
              <w:spacing w:after="0"/>
              <w:rPr>
                <w:sz w:val="18"/>
                <w:szCs w:val="18"/>
                <w:color w:val="auto"/>
              </w:rPr>
            </w:pPr>
          </w:p>
        </w:tc>
        <w:tc>
          <w:tcPr>
            <w:tcW w:w="1600" w:type="dxa"/>
            <w:vAlign w:val="bottom"/>
            <w:gridSpan w:val="5"/>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ind w:left="1390"/>
              <w:spacing w:after="0"/>
              <w:rPr>
                <w:sz w:val="20"/>
                <w:szCs w:val="20"/>
                <w:color w:val="auto"/>
              </w:rPr>
            </w:pPr>
            <w:r>
              <w:rPr>
                <w:rFonts w:ascii="Arial" w:cs="Arial" w:eastAsia="Arial" w:hAnsi="Arial"/>
                <w:sz w:val="18"/>
                <w:szCs w:val="18"/>
                <w:color w:val="0000FF"/>
                <w:w w:val="89"/>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9"/>
            <w:vMerge w:val="restart"/>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9"/>
            <w:vMerge w:val="continue"/>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8"/>
            <w:vMerge w:val="restart"/>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8"/>
            <w:vMerge w:val="continue"/>
          </w:tcPr>
          <w:p>
            <w:pPr>
              <w:spacing w:after="0"/>
              <w:rPr>
                <w:sz w:val="18"/>
                <w:szCs w:val="18"/>
                <w:color w:val="auto"/>
              </w:rPr>
            </w:pPr>
          </w:p>
        </w:tc>
        <w:tc>
          <w:tcPr>
            <w:tcW w:w="280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40" w:type="dxa"/>
            <w:vAlign w:val="bottom"/>
            <w:gridSpan w:val="8"/>
            <w:vMerge w:val="restart"/>
          </w:tcPr>
          <w:p>
            <w:pPr>
              <w:spacing w:after="0"/>
              <w:rPr>
                <w:sz w:val="20"/>
                <w:szCs w:val="20"/>
                <w:color w:val="auto"/>
              </w:rPr>
            </w:pPr>
            <w:r>
              <w:rPr>
                <w:rFonts w:ascii="Arial" w:cs="Arial" w:eastAsia="Arial" w:hAnsi="Arial"/>
                <w:sz w:val="18"/>
                <w:szCs w:val="18"/>
                <w:color w:val="0000FF"/>
                <w:w w:val="89"/>
              </w:rPr>
              <w:t>Item 4. Controls and Procedures</w:t>
            </w:r>
          </w:p>
        </w:tc>
        <w:tc>
          <w:tcPr>
            <w:tcW w:w="80" w:type="dxa"/>
            <w:vAlign w:val="bottom"/>
          </w:tcPr>
          <w:p>
            <w:pPr>
              <w:spacing w:after="0" w:line="20" w:lineRule="exact"/>
              <w:rPr>
                <w:sz w:val="1"/>
                <w:szCs w:val="1"/>
                <w:color w:val="auto"/>
              </w:rPr>
            </w:pPr>
          </w:p>
        </w:tc>
        <w:tc>
          <w:tcPr>
            <w:tcW w:w="5300" w:type="dxa"/>
            <w:vAlign w:val="bottom"/>
            <w:gridSpan w:val="1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340" w:type="dxa"/>
            <w:vAlign w:val="bottom"/>
            <w:tcBorders>
              <w:bottom w:val="single" w:sz="8" w:color="0000FF"/>
            </w:tcBorders>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5300" w:type="dxa"/>
            <w:vAlign w:val="bottom"/>
            <w:gridSpan w:val="11"/>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2580" w:type="dxa"/>
            <w:vAlign w:val="bottom"/>
            <w:gridSpan w:val="10"/>
            <w:vMerge w:val="restart"/>
          </w:tcPr>
          <w:p>
            <w:pPr>
              <w:spacing w:after="0"/>
              <w:rPr>
                <w:sz w:val="20"/>
                <w:szCs w:val="20"/>
                <w:color w:val="auto"/>
              </w:rPr>
            </w:pPr>
            <w:r>
              <w:rPr>
                <w:rFonts w:ascii="Arial" w:cs="Arial" w:eastAsia="Arial" w:hAnsi="Arial"/>
                <w:sz w:val="18"/>
                <w:szCs w:val="18"/>
                <w:color w:val="0000FF"/>
                <w:w w:val="95"/>
              </w:rPr>
              <w:t>PART II. OTHER INFORMATION</w:t>
            </w:r>
          </w:p>
        </w:tc>
        <w:tc>
          <w:tcPr>
            <w:tcW w:w="6700" w:type="dxa"/>
            <w:vAlign w:val="bottom"/>
            <w:gridSpan w:val="12"/>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580" w:type="dxa"/>
            <w:vAlign w:val="bottom"/>
            <w:tcBorders>
              <w:bottom w:val="single" w:sz="8" w:color="0000FF"/>
            </w:tcBorders>
            <w:gridSpan w:val="10"/>
            <w:vMerge w:val="continue"/>
          </w:tcPr>
          <w:p>
            <w:pPr>
              <w:spacing w:after="0"/>
              <w:rPr>
                <w:sz w:val="24"/>
                <w:szCs w:val="24"/>
                <w:color w:val="auto"/>
              </w:rPr>
            </w:pPr>
          </w:p>
        </w:tc>
        <w:tc>
          <w:tcPr>
            <w:tcW w:w="6700" w:type="dxa"/>
            <w:vAlign w:val="bottom"/>
            <w:gridSpan w:val="1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5820" w:type="dxa"/>
            <w:vAlign w:val="bottom"/>
            <w:gridSpan w:val="14"/>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4"/>
            <w:vMerge w:val="restart"/>
          </w:tcPr>
          <w:p>
            <w:pPr>
              <w:spacing w:after="0"/>
              <w:rPr>
                <w:sz w:val="20"/>
                <w:szCs w:val="20"/>
                <w:color w:val="auto"/>
              </w:rPr>
            </w:pPr>
            <w:r>
              <w:rPr>
                <w:rFonts w:ascii="Arial" w:cs="Arial" w:eastAsia="Arial" w:hAnsi="Arial"/>
                <w:sz w:val="18"/>
                <w:szCs w:val="18"/>
                <w:color w:val="0000FF"/>
                <w:w w:val="91"/>
              </w:rPr>
              <w:t>Item 1A. Risk Factors</w:t>
            </w:r>
          </w:p>
        </w:tc>
        <w:tc>
          <w:tcPr>
            <w:tcW w:w="280" w:type="dxa"/>
            <w:vAlign w:val="bottom"/>
          </w:tcPr>
          <w:p>
            <w:pPr>
              <w:spacing w:after="0" w:line="20" w:lineRule="exact"/>
              <w:rPr>
                <w:sz w:val="1"/>
                <w:szCs w:val="1"/>
                <w:color w:val="auto"/>
              </w:rPr>
            </w:pPr>
          </w:p>
        </w:tc>
        <w:tc>
          <w:tcPr>
            <w:tcW w:w="584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gridSpan w:val="15"/>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40" w:type="dxa"/>
            <w:vAlign w:val="bottom"/>
            <w:gridSpan w:val="1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60" w:type="dxa"/>
            <w:vAlign w:val="bottom"/>
          </w:tcPr>
          <w:p>
            <w:pPr>
              <w:spacing w:after="0"/>
              <w:rPr>
                <w:sz w:val="22"/>
                <w:szCs w:val="22"/>
                <w:color w:val="auto"/>
              </w:rPr>
            </w:pPr>
          </w:p>
        </w:tc>
        <w:tc>
          <w:tcPr>
            <w:tcW w:w="77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Item 2. Unregistered Sales of Equity Securities, Use of Proceeds, and Issuer Purchases of Equity Securities</w:t>
            </w:r>
          </w:p>
        </w:tc>
        <w:tc>
          <w:tcPr>
            <w:tcW w:w="1400" w:type="dxa"/>
            <w:vAlign w:val="bottom"/>
          </w:tcPr>
          <w:p>
            <w:pPr>
              <w:spacing w:after="0"/>
              <w:rPr>
                <w:sz w:val="22"/>
                <w:szCs w:val="22"/>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8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Item 5. Other Information</w:t>
            </w:r>
          </w:p>
        </w:tc>
        <w:tc>
          <w:tcPr>
            <w:tcW w:w="7240" w:type="dxa"/>
            <w:vAlign w:val="bottom"/>
            <w:gridSpan w:val="16"/>
          </w:tcPr>
          <w:p>
            <w:pPr>
              <w:spacing w:after="0"/>
              <w:rPr>
                <w:sz w:val="22"/>
                <w:szCs w:val="22"/>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60" w:type="dxa"/>
            <w:vAlign w:val="bottom"/>
            <w:gridSpan w:val="3"/>
            <w:vMerge w:val="restart"/>
          </w:tcPr>
          <w:p>
            <w:pPr>
              <w:spacing w:after="0"/>
              <w:rPr>
                <w:sz w:val="20"/>
                <w:szCs w:val="20"/>
                <w:color w:val="auto"/>
              </w:rPr>
            </w:pPr>
            <w:r>
              <w:rPr>
                <w:rFonts w:ascii="Arial" w:cs="Arial" w:eastAsia="Arial" w:hAnsi="Arial"/>
                <w:sz w:val="18"/>
                <w:szCs w:val="18"/>
                <w:color w:val="0000FF"/>
                <w:w w:val="92"/>
              </w:rPr>
              <w:t>Item 6. Exhibits</w:t>
            </w:r>
          </w:p>
        </w:tc>
        <w:tc>
          <w:tcPr>
            <w:tcW w:w="7960" w:type="dxa"/>
            <w:vAlign w:val="bottom"/>
            <w:gridSpan w:val="1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160" w:type="dxa"/>
            <w:vAlign w:val="bottom"/>
            <w:tcBorders>
              <w:bottom w:val="single" w:sz="8" w:color="0000FF"/>
            </w:tcBorders>
            <w:gridSpan w:val="3"/>
            <w:vMerge w:val="continue"/>
          </w:tcPr>
          <w:p>
            <w:pPr>
              <w:spacing w:after="0"/>
              <w:rPr>
                <w:sz w:val="18"/>
                <w:szCs w:val="18"/>
                <w:color w:val="auto"/>
              </w:rPr>
            </w:pPr>
          </w:p>
        </w:tc>
        <w:tc>
          <w:tcPr>
            <w:tcW w:w="7960" w:type="dxa"/>
            <w:vAlign w:val="bottom"/>
            <w:gridSpan w:val="18"/>
          </w:tcPr>
          <w:p>
            <w:pPr>
              <w:spacing w:after="0"/>
              <w:rPr>
                <w:sz w:val="18"/>
                <w:szCs w:val="18"/>
                <w:color w:val="auto"/>
              </w:rPr>
            </w:pP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8280" w:type="dxa"/>
            <w:vAlign w:val="bottom"/>
            <w:gridSpan w:val="19"/>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280" w:type="dxa"/>
            <w:vAlign w:val="bottom"/>
            <w:gridSpan w:val="22"/>
          </w:tcPr>
          <w:p>
            <w:pPr>
              <w:spacing w:after="0"/>
              <w:rPr>
                <w:sz w:val="20"/>
                <w:szCs w:val="20"/>
                <w:color w:val="auto"/>
              </w:rPr>
            </w:pPr>
            <w:r>
              <w:rPr>
                <w:rFonts w:ascii="Arial" w:cs="Arial" w:eastAsia="Arial" w:hAnsi="Arial"/>
                <w:sz w:val="18"/>
                <w:szCs w:val="18"/>
                <w:color w:val="0000FF"/>
              </w:rPr>
              <w:t>SIGNATURE</w:t>
            </w:r>
          </w:p>
        </w:tc>
        <w:tc>
          <w:tcPr>
            <w:tcW w:w="1760" w:type="dxa"/>
            <w:vAlign w:val="bottom"/>
            <w:gridSpan w:val="3"/>
          </w:tcPr>
          <w:p>
            <w:pPr>
              <w:jc w:val="center"/>
              <w:ind w:left="129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bookmarkStart w:id="2" w:name="page3"/>
    <w:bookmarkEnd w:id="2"/>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All statements contained in this report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have based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business operations and objectives, and financial needs.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may make. In light of these risks, uncertainties, and assumptions, the future events and trends discussed in this report may not occur and actual results could differ materially and adversely from those anticipated or implied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well as our report as a whole, are subject to risks and uncertainties.</w:t>
      </w:r>
    </w:p>
    <w:p>
      <w:pPr>
        <w:spacing w:after="0" w:line="20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discuss many of these risks in this report in greater detail in the section titled “Risk Factors” and elsewhere in this report. You should not rely upon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predictions of future events.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Although we believe that the expectations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after the date of this report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2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BENTLEY SYSTEMS, INCORPORATED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(unaudited)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7520" w:type="dxa"/>
            <w:vAlign w:val="bottom"/>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71,684</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243,488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296,376</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doubtful accounts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Prepaid income taxes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25,972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18,406</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46,128</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38,732</w:t>
            </w:r>
          </w:p>
        </w:tc>
      </w:tr>
      <w:tr>
        <w:trPr>
          <w:trHeight w:val="213"/>
        </w:trPr>
        <w:tc>
          <w:tcPr>
            <w:tcW w:w="75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374,239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415,895</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32,251</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41,434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40,249</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259,979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292,271</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2,251,312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2,237,184</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61,664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52,636</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77,574</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72,249</w:t>
            </w:r>
          </w:p>
        </w:tc>
      </w:tr>
      <w:tr>
        <w:trPr>
          <w:trHeight w:val="207"/>
        </w:trPr>
        <w:tc>
          <w:tcPr>
            <w:tcW w:w="75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3,134,843</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3,165,005</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20" w:type="dxa"/>
            <w:vAlign w:val="bottom"/>
            <w:shd w:val="clear" w:color="auto" w:fill="CCEEFF"/>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Accruals and other current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403,428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362,048</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211,815</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226,955</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14,672</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w:t>
            </w:r>
          </w:p>
        </w:tc>
      </w:tr>
      <w:tr>
        <w:trPr>
          <w:trHeight w:val="237"/>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r>
      <w:tr>
        <w:trPr>
          <w:trHeight w:val="230"/>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680,691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628,358</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1,580,752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1,775,696</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79,537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77,014</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31,355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27,670</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16,118</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43,530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51,235</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w:t>
            </w:r>
          </w:p>
        </w:tc>
      </w:tr>
      <w:tr>
        <w:trPr>
          <w:trHeight w:val="23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7,355</w:t>
            </w: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2,442,682</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2,591,551</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0"/>
        </w:trPr>
        <w:tc>
          <w:tcPr>
            <w:tcW w:w="7520" w:type="dxa"/>
            <w:vAlign w:val="bottom"/>
          </w:tcPr>
          <w:p>
            <w:pPr>
              <w:ind w:left="180"/>
              <w:spacing w:after="0"/>
              <w:rPr>
                <w:sz w:val="20"/>
                <w:szCs w:val="20"/>
                <w:color w:val="auto"/>
              </w:rPr>
            </w:pPr>
            <w:r>
              <w:rPr>
                <w:rFonts w:ascii="Arial" w:cs="Arial" w:eastAsia="Arial" w:hAnsi="Arial"/>
                <w:sz w:val="16"/>
                <w:szCs w:val="16"/>
                <w:color w:val="auto"/>
              </w:rPr>
              <w:t>Preferred stock, $0.01 par value, authorized 100,000,000 shares; none issued or outstanding as of</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7520" w:type="dxa"/>
            <w:vAlign w:val="bottom"/>
          </w:tcPr>
          <w:p>
            <w:pPr>
              <w:ind w:left="340"/>
              <w:spacing w:after="0"/>
              <w:rPr>
                <w:sz w:val="20"/>
                <w:szCs w:val="20"/>
                <w:color w:val="auto"/>
              </w:rPr>
            </w:pPr>
            <w:r>
              <w:rPr>
                <w:rFonts w:ascii="Arial" w:cs="Arial" w:eastAsia="Arial" w:hAnsi="Arial"/>
                <w:sz w:val="16"/>
                <w:szCs w:val="16"/>
                <w:color w:val="auto"/>
              </w:rPr>
              <w:t>September 30, 2023 and December 31, 2022</w:t>
            </w:r>
          </w:p>
        </w:tc>
        <w:tc>
          <w:tcPr>
            <w:tcW w:w="18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Class A Common Stock, $0.01 par value, authorized 100,000,000 shares; issued and outstanding 11,567,627</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89"/>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and 11,601,757 shares as of September 30, 2023 and December 31, 2022, respectively, and Class B</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3"/>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Common Stock, $0.01 par value, authorized 1,800,000,000 shares; issued and outstanding 283,676,579 and</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6"/>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277,412,730 shares as of September 30, 2023 and December 31, 2022, respectively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1,108,816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1,030,466</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(95,128)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(89,740)</w:t>
            </w:r>
          </w:p>
        </w:tc>
      </w:tr>
      <w:tr>
        <w:trPr>
          <w:trHeight w:val="233"/>
        </w:trPr>
        <w:tc>
          <w:tcPr>
            <w:tcW w:w="752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(325,183)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(370,866)</w:t>
            </w:r>
          </w:p>
        </w:tc>
      </w:tr>
      <w:tr>
        <w:trPr>
          <w:trHeight w:val="25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16"/>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692,161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573,454</w:t>
            </w:r>
          </w:p>
        </w:tc>
      </w:tr>
      <w:tr>
        <w:trPr>
          <w:trHeight w:val="238"/>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3,134,843</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3,165,005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823" w:right="359" w:bottom="103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035" w:gutter="0" w:footer="0" w:header="0"/>
          <w:type w:val="continuous"/>
        </w:sectPr>
      </w:pPr>
    </w:p>
    <w:bookmarkStart w:id="4" w:name="page5"/>
    <w:bookmarkEnd w:id="4"/>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4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270,751</w:t>
            </w:r>
          </w:p>
        </w:tc>
        <w:tc>
          <w:tcPr>
            <w:tcW w:w="26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235,307</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807,839</w:t>
            </w:r>
          </w:p>
        </w:tc>
        <w:tc>
          <w:tcPr>
            <w:tcW w:w="24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708,731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31,213</w:t>
            </w:r>
          </w:p>
        </w:tc>
        <w:tc>
          <w:tcPr>
            <w:tcW w:w="0" w:type="dxa"/>
            <w:vAlign w:val="bottom"/>
          </w:tcPr>
          <w:p>
            <w:pPr>
              <w:spacing w:after="0"/>
              <w:rPr>
                <w:sz w:val="1"/>
                <w:szCs w:val="1"/>
                <w:color w:val="auto"/>
              </w:rPr>
            </w:pPr>
          </w:p>
        </w:tc>
      </w:tr>
      <w:tr>
        <w:trPr>
          <w:trHeight w:val="250"/>
        </w:trPr>
        <w:tc>
          <w:tcPr>
            <w:tcW w:w="492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282,638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244,767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840,991</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739,944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76,781</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72,190</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306,612</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268,332</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917,772</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812,134</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42,088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37,371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124,175</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22,588</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74,111</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64,676</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59,183</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198,286</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241,936</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209,149</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719,486</w:t>
            </w:r>
          </w:p>
        </w:tc>
        <w:tc>
          <w:tcPr>
            <w:tcW w:w="2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637,472</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203,382</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189,966</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53,757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46,114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160,262</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141,676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128,743</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128,981</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168,257</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153,605</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526,717</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469,619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73,679</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192,769</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(30,623)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0" w:type="dxa"/>
            <w:vAlign w:val="bottom"/>
          </w:tcPr>
          <w:p>
            <w:pPr>
              <w:spacing w:after="0"/>
              <w:rPr>
                <w:sz w:val="1"/>
                <w:szCs w:val="1"/>
                <w:color w:val="auto"/>
              </w:rPr>
            </w:pPr>
          </w:p>
        </w:tc>
      </w:tr>
      <w:tr>
        <w:trPr>
          <w:trHeight w:val="250"/>
        </w:trPr>
        <w:tc>
          <w:tcPr>
            <w:tcW w:w="49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69,585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47,342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169,353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159,125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w w:val="98"/>
              </w:rPr>
              <w:t>Loss from investments accounted for using the equity method,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53,027</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147,202</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313,069,132</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310,116,104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311,915,808</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308,959,801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332,825,186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325,170,383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332,144,893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332,077,834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68"/>
        </w:trPr>
        <w:tc>
          <w:tcPr>
            <w:tcW w:w="4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r>
      <w:tr>
        <w:trPr>
          <w:trHeight w:val="243"/>
        </w:trPr>
        <w:tc>
          <w:tcPr>
            <w:tcW w:w="4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2022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2022</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149,058</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29"/>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Actuarial (loss) gain on retirement plan, net of tax effect of $(8), $(5), $(15),</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and $(15), respectively</w:t>
            </w:r>
          </w:p>
        </w:tc>
        <w:tc>
          <w:tcPr>
            <w:tcW w:w="1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net of taxes</w:t>
            </w:r>
          </w:p>
        </w:tc>
        <w:tc>
          <w:tcPr>
            <w:tcW w:w="15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5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45,727</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141,814</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138,903</w:t>
            </w:r>
          </w:p>
        </w:tc>
      </w:tr>
      <w:tr>
        <w:trPr>
          <w:trHeight w:val="21"/>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7"/>
              </w:rPr>
              <w:t>Three Months Ended September 30, 2023</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4"/>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560" w:type="dxa"/>
            <w:vAlign w:val="bottom"/>
            <w:gridSpan w:val="3"/>
          </w:tcPr>
          <w:p>
            <w:pPr>
              <w:jc w:val="center"/>
              <w:ind w:left="330"/>
              <w:spacing w:after="0"/>
              <w:rPr>
                <w:sz w:val="20"/>
                <w:szCs w:val="20"/>
                <w:color w:val="auto"/>
              </w:rPr>
            </w:pPr>
            <w:r>
              <w:rPr>
                <w:rFonts w:ascii="Arial" w:cs="Arial" w:eastAsia="Arial" w:hAnsi="Arial"/>
                <w:sz w:val="13"/>
                <w:szCs w:val="13"/>
                <w:b w:val="1"/>
                <w:bCs w:val="1"/>
                <w:color w:val="auto"/>
                <w:w w:val="85"/>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34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3"/>
                <w:szCs w:val="13"/>
                <w:b w:val="1"/>
                <w:bCs w:val="1"/>
                <w:color w:val="auto"/>
                <w:w w:val="88"/>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34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June 30, 2023</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294,712,983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2,947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1,085,066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(357,117)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643,772</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53,027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53,027</w:t>
            </w:r>
          </w:p>
        </w:tc>
      </w:tr>
      <w:tr>
        <w:trPr>
          <w:trHeight w:val="26"/>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(7,300)</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Dividends declared</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(14,768)</w:t>
            </w:r>
          </w:p>
        </w:tc>
      </w:tr>
      <w:tr>
        <w:trPr>
          <w:trHeight w:val="26"/>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in connection with deferred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compensation plan,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63,267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r>
      <w:tr>
        <w:trPr>
          <w:trHeight w:val="184"/>
        </w:trPr>
        <w:tc>
          <w:tcPr>
            <w:tcW w:w="3400" w:type="dxa"/>
            <w:vAlign w:val="bottom"/>
          </w:tcPr>
          <w:p>
            <w:pPr>
              <w:ind w:left="160"/>
              <w:spacing w:after="0"/>
              <w:rPr>
                <w:sz w:val="20"/>
                <w:szCs w:val="20"/>
                <w:color w:val="auto"/>
              </w:rPr>
            </w:pPr>
            <w:r>
              <w:rPr>
                <w:rFonts w:ascii="Arial" w:cs="Arial" w:eastAsia="Arial" w:hAnsi="Arial"/>
                <w:sz w:val="14"/>
                <w:szCs w:val="14"/>
                <w:color w:val="auto"/>
              </w:rPr>
              <w:t>Deferred compensation plan elective participant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400" w:type="dxa"/>
            <w:vAlign w:val="bottom"/>
          </w:tcPr>
          <w:p>
            <w:pPr>
              <w:ind w:left="340"/>
              <w:spacing w:after="0"/>
              <w:rPr>
                <w:sz w:val="20"/>
                <w:szCs w:val="20"/>
                <w:color w:val="auto"/>
              </w:rPr>
            </w:pPr>
            <w:r>
              <w:rPr>
                <w:rFonts w:ascii="Arial" w:cs="Arial" w:eastAsia="Arial" w:hAnsi="Arial"/>
                <w:sz w:val="14"/>
                <w:szCs w:val="14"/>
                <w:color w:val="auto"/>
              </w:rPr>
              <w:t>deferrals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6"/>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Shares issued in connection with executive bonus plan,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34,313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3,251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r>
      <w:tr>
        <w:trPr>
          <w:trHeight w:val="184"/>
        </w:trPr>
        <w:tc>
          <w:tcPr>
            <w:tcW w:w="3400" w:type="dxa"/>
            <w:vAlign w:val="bottom"/>
          </w:tcPr>
          <w:p>
            <w:pPr>
              <w:ind w:left="160"/>
              <w:spacing w:after="0"/>
              <w:rPr>
                <w:sz w:val="20"/>
                <w:szCs w:val="20"/>
                <w:color w:val="auto"/>
              </w:rPr>
            </w:pPr>
            <w:r>
              <w:rPr>
                <w:rFonts w:ascii="Arial" w:cs="Arial" w:eastAsia="Arial" w:hAnsi="Arial"/>
                <w:sz w:val="14"/>
                <w:szCs w:val="14"/>
                <w:color w:val="auto"/>
              </w:rPr>
              <w:t>Shares issued and repurchased in connection with</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400" w:type="dxa"/>
            <w:vAlign w:val="bottom"/>
          </w:tcPr>
          <w:p>
            <w:pPr>
              <w:ind w:left="340"/>
              <w:spacing w:after="0"/>
              <w:rPr>
                <w:sz w:val="20"/>
                <w:szCs w:val="20"/>
                <w:color w:val="auto"/>
              </w:rPr>
            </w:pPr>
            <w:r>
              <w:rPr>
                <w:rFonts w:ascii="Arial" w:cs="Arial" w:eastAsia="Arial" w:hAnsi="Arial"/>
                <w:sz w:val="14"/>
                <w:szCs w:val="14"/>
                <w:color w:val="auto"/>
              </w:rPr>
              <w:t>employee stock purchase plan, net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162,459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4,808</w:t>
            </w:r>
          </w:p>
        </w:tc>
      </w:tr>
      <w:tr>
        <w:trPr>
          <w:trHeight w:val="26"/>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 option exercises,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185,255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14,122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14,122</w:t>
            </w:r>
          </w:p>
        </w:tc>
      </w:tr>
      <w:tr>
        <w:trPr>
          <w:trHeight w:val="26"/>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Shares related to restricted stock,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85,929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r>
      <w:tr>
        <w:trPr>
          <w:trHeight w:val="196"/>
        </w:trPr>
        <w:tc>
          <w:tcPr>
            <w:tcW w:w="3400" w:type="dxa"/>
            <w:vAlign w:val="bottom"/>
          </w:tcPr>
          <w:p>
            <w:pPr>
              <w:spacing w:after="0"/>
              <w:rPr>
                <w:sz w:val="20"/>
                <w:szCs w:val="20"/>
                <w:color w:val="auto"/>
              </w:rPr>
            </w:pPr>
            <w:r>
              <w:rPr>
                <w:rFonts w:ascii="Arial" w:cs="Arial" w:eastAsia="Arial" w:hAnsi="Arial"/>
                <w:sz w:val="14"/>
                <w:szCs w:val="14"/>
                <w:color w:val="auto"/>
              </w:rPr>
              <w:t>Balance, September 30, 2023</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295,244,206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2,952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1,108,816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(95,128)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(325,183)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692,161</w:t>
            </w:r>
          </w:p>
        </w:tc>
      </w:tr>
      <w:tr>
        <w:trPr>
          <w:trHeight w:val="20"/>
        </w:trPr>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3"/>
        </w:trPr>
        <w:tc>
          <w:tcPr>
            <w:tcW w:w="3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3"/>
                <w:szCs w:val="13"/>
                <w:b w:val="1"/>
                <w:bCs w:val="1"/>
                <w:color w:val="auto"/>
                <w:w w:val="87"/>
              </w:rPr>
              <w:t>Nine Months Ended September 30, 2023</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4"/>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560" w:type="dxa"/>
            <w:vAlign w:val="bottom"/>
            <w:gridSpan w:val="3"/>
          </w:tcPr>
          <w:p>
            <w:pPr>
              <w:jc w:val="center"/>
              <w:ind w:left="330"/>
              <w:spacing w:after="0"/>
              <w:rPr>
                <w:sz w:val="20"/>
                <w:szCs w:val="20"/>
                <w:color w:val="auto"/>
              </w:rPr>
            </w:pPr>
            <w:r>
              <w:rPr>
                <w:rFonts w:ascii="Arial" w:cs="Arial" w:eastAsia="Arial" w:hAnsi="Arial"/>
                <w:sz w:val="13"/>
                <w:szCs w:val="13"/>
                <w:b w:val="1"/>
                <w:bCs w:val="1"/>
                <w:color w:val="auto"/>
                <w:w w:val="85"/>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34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3"/>
                <w:szCs w:val="13"/>
                <w:b w:val="1"/>
                <w:bCs w:val="1"/>
                <w:color w:val="auto"/>
                <w:w w:val="88"/>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34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2022</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289,014,487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1,030,466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(370,866)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573,454</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147,202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147,202</w:t>
            </w:r>
          </w:p>
        </w:tc>
      </w:tr>
      <w:tr>
        <w:trPr>
          <w:trHeight w:val="25"/>
        </w:trPr>
        <w:tc>
          <w:tcPr>
            <w:tcW w:w="3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(5,388)</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Dividends declared</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(43,992)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(43,992)</w:t>
            </w:r>
          </w:p>
        </w:tc>
      </w:tr>
      <w:tr>
        <w:trPr>
          <w:trHeight w:val="25"/>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in connection with deferred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compensation plan,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2,845,448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(38,456)</w:t>
            </w:r>
          </w:p>
        </w:tc>
      </w:tr>
      <w:tr>
        <w:trPr>
          <w:trHeight w:val="184"/>
        </w:trPr>
        <w:tc>
          <w:tcPr>
            <w:tcW w:w="3400" w:type="dxa"/>
            <w:vAlign w:val="bottom"/>
          </w:tcPr>
          <w:p>
            <w:pPr>
              <w:ind w:left="160"/>
              <w:spacing w:after="0"/>
              <w:rPr>
                <w:sz w:val="20"/>
                <w:szCs w:val="20"/>
                <w:color w:val="auto"/>
              </w:rPr>
            </w:pPr>
            <w:r>
              <w:rPr>
                <w:rFonts w:ascii="Arial" w:cs="Arial" w:eastAsia="Arial" w:hAnsi="Arial"/>
                <w:sz w:val="14"/>
                <w:szCs w:val="14"/>
                <w:color w:val="auto"/>
              </w:rPr>
              <w:t>Deferred compensation plan elective participant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400" w:type="dxa"/>
            <w:vAlign w:val="bottom"/>
          </w:tcPr>
          <w:p>
            <w:pPr>
              <w:ind w:left="340"/>
              <w:spacing w:after="0"/>
              <w:rPr>
                <w:sz w:val="20"/>
                <w:szCs w:val="20"/>
                <w:color w:val="auto"/>
              </w:rPr>
            </w:pPr>
            <w:r>
              <w:rPr>
                <w:rFonts w:ascii="Arial" w:cs="Arial" w:eastAsia="Arial" w:hAnsi="Arial"/>
                <w:sz w:val="14"/>
                <w:szCs w:val="14"/>
                <w:color w:val="auto"/>
              </w:rPr>
              <w:t>deferrals</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1,712</w:t>
            </w:r>
          </w:p>
        </w:tc>
      </w:tr>
      <w:tr>
        <w:trPr>
          <w:trHeight w:val="25"/>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Shares issued in connection with executive bonus plan,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171,510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13,055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7,301</w:t>
            </w:r>
          </w:p>
        </w:tc>
      </w:tr>
      <w:tr>
        <w:trPr>
          <w:trHeight w:val="184"/>
        </w:trPr>
        <w:tc>
          <w:tcPr>
            <w:tcW w:w="3400" w:type="dxa"/>
            <w:vAlign w:val="bottom"/>
          </w:tcPr>
          <w:p>
            <w:pPr>
              <w:ind w:left="160"/>
              <w:spacing w:after="0"/>
              <w:rPr>
                <w:sz w:val="20"/>
                <w:szCs w:val="20"/>
                <w:color w:val="auto"/>
              </w:rPr>
            </w:pPr>
            <w:r>
              <w:rPr>
                <w:rFonts w:ascii="Arial" w:cs="Arial" w:eastAsia="Arial" w:hAnsi="Arial"/>
                <w:sz w:val="14"/>
                <w:szCs w:val="14"/>
                <w:color w:val="auto"/>
              </w:rPr>
              <w:t>Shares issued in connection with employee stock</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400" w:type="dxa"/>
            <w:vAlign w:val="bottom"/>
          </w:tcPr>
          <w:p>
            <w:pPr>
              <w:ind w:left="340"/>
              <w:spacing w:after="0"/>
              <w:rPr>
                <w:sz w:val="20"/>
                <w:szCs w:val="20"/>
                <w:color w:val="auto"/>
              </w:rPr>
            </w:pPr>
            <w:r>
              <w:rPr>
                <w:rFonts w:ascii="Arial" w:cs="Arial" w:eastAsia="Arial" w:hAnsi="Arial"/>
                <w:sz w:val="14"/>
                <w:szCs w:val="14"/>
                <w:color w:val="auto"/>
              </w:rPr>
              <w:t>purchase plan, net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315,840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9,985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9,143</w:t>
            </w:r>
          </w:p>
        </w:tc>
      </w:tr>
      <w:tr>
        <w:trPr>
          <w:trHeight w:val="25"/>
        </w:trPr>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 option exercises,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2,422,082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10,566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4,182</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Shares issued for stock grants, net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12,639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5"/>
        </w:trPr>
        <w:tc>
          <w:tcPr>
            <w:tcW w:w="3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42,465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42,465</w:t>
            </w:r>
          </w:p>
        </w:tc>
      </w:tr>
      <w:tr>
        <w:trPr>
          <w:trHeight w:val="204"/>
        </w:trPr>
        <w:tc>
          <w:tcPr>
            <w:tcW w:w="3400" w:type="dxa"/>
            <w:vAlign w:val="bottom"/>
          </w:tcPr>
          <w:p>
            <w:pPr>
              <w:ind w:left="160"/>
              <w:spacing w:after="0"/>
              <w:rPr>
                <w:sz w:val="20"/>
                <w:szCs w:val="20"/>
                <w:color w:val="auto"/>
              </w:rPr>
            </w:pPr>
            <w:r>
              <w:rPr>
                <w:rFonts w:ascii="Arial" w:cs="Arial" w:eastAsia="Arial" w:hAnsi="Arial"/>
                <w:sz w:val="14"/>
                <w:szCs w:val="14"/>
                <w:color w:val="auto"/>
              </w:rPr>
              <w:t>Shares related to restricted stock, net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462,200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(6,062)</w:t>
            </w:r>
          </w:p>
        </w:tc>
      </w:tr>
      <w:tr>
        <w:trPr>
          <w:trHeight w:val="25"/>
        </w:trPr>
        <w:tc>
          <w:tcPr>
            <w:tcW w:w="3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September 30, 2023</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295,244,206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2,952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1,108,816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692,161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7" w:right="359" w:bottom="1440" w:gutter="0" w:footer="0" w:header="0"/>
        </w:sectPr>
      </w:pPr>
    </w:p>
    <w:bookmarkStart w:id="7" w:name="page8"/>
    <w:bookmarkEnd w:id="7"/>
    <w:p>
      <w:pPr>
        <w:jc w:val="center"/>
        <w:ind w:right="-339"/>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8"/>
              </w:rPr>
              <w:t>Three Months Ended September 30, 2022</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4"/>
        </w:trPr>
        <w:tc>
          <w:tcPr>
            <w:tcW w:w="4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2120" w:type="dxa"/>
            <w:vAlign w:val="bottom"/>
            <w:gridSpan w:val="5"/>
          </w:tcPr>
          <w:p>
            <w:pPr>
              <w:ind w:left="480"/>
              <w:spacing w:after="0"/>
              <w:rPr>
                <w:sz w:val="20"/>
                <w:szCs w:val="20"/>
                <w:color w:val="auto"/>
              </w:rPr>
            </w:pPr>
            <w:r>
              <w:rPr>
                <w:rFonts w:ascii="Arial" w:cs="Arial" w:eastAsia="Arial" w:hAnsi="Arial"/>
                <w:sz w:val="13"/>
                <w:szCs w:val="13"/>
                <w:b w:val="1"/>
                <w:bCs w:val="1"/>
                <w:color w:val="auto"/>
              </w:rPr>
              <w:t>Class A and Class B</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4420" w:type="dxa"/>
            <w:vAlign w:val="bottom"/>
          </w:tcPr>
          <w:p>
            <w:pPr>
              <w:spacing w:after="0"/>
              <w:rPr>
                <w:sz w:val="16"/>
                <w:szCs w:val="16"/>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4420" w:type="dxa"/>
            <w:vAlign w:val="bottom"/>
          </w:tcPr>
          <w:p>
            <w:pPr>
              <w:spacing w:after="0"/>
              <w:rPr>
                <w:sz w:val="14"/>
                <w:szCs w:val="14"/>
                <w:color w:val="auto"/>
              </w:rPr>
            </w:pPr>
          </w:p>
        </w:tc>
        <w:tc>
          <w:tcPr>
            <w:tcW w:w="1180" w:type="dxa"/>
            <w:vAlign w:val="bottom"/>
            <w:tcBorders>
              <w:top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288,154,159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981,203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(397,961)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496,993</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36,997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36,997</w:t>
            </w:r>
          </w:p>
        </w:tc>
      </w:tr>
      <w:tr>
        <w:trPr>
          <w:trHeight w:val="26"/>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(12,798)</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(8,592)</w:t>
            </w:r>
          </w:p>
        </w:tc>
      </w:tr>
      <w:tr>
        <w:trPr>
          <w:trHeight w:val="26"/>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deferred compensation plan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1,586</w:t>
            </w:r>
          </w:p>
        </w:tc>
      </w:tr>
      <w:tr>
        <w:trPr>
          <w:trHeight w:val="26"/>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executive bonus plan,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125,195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4,417</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w w:val="99"/>
              </w:rPr>
              <w:t>Shares issued in connection with employee stock purchase plan, net</w:t>
            </w:r>
          </w:p>
        </w:tc>
        <w:tc>
          <w:tcPr>
            <w:tcW w:w="1060" w:type="dxa"/>
            <w:vAlign w:val="bottom"/>
          </w:tcPr>
          <w:p>
            <w:pPr>
              <w:jc w:val="right"/>
              <w:spacing w:after="0"/>
              <w:rPr>
                <w:sz w:val="20"/>
                <w:szCs w:val="20"/>
                <w:color w:val="auto"/>
              </w:rPr>
            </w:pPr>
            <w:r>
              <w:rPr>
                <w:rFonts w:ascii="Arial" w:cs="Arial" w:eastAsia="Arial" w:hAnsi="Arial"/>
                <w:sz w:val="14"/>
                <w:szCs w:val="14"/>
                <w:color w:val="auto"/>
              </w:rPr>
              <w:t>197,657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5,572</w:t>
            </w:r>
          </w:p>
        </w:tc>
      </w:tr>
      <w:tr>
        <w:trPr>
          <w:trHeight w:val="26"/>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218,018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11,158</w:t>
            </w:r>
          </w:p>
        </w:tc>
      </w:tr>
      <w:tr>
        <w:trPr>
          <w:trHeight w:val="26"/>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Repurchases of Class B Common Stock under approved program</w:t>
            </w:r>
          </w:p>
        </w:tc>
        <w:tc>
          <w:tcPr>
            <w:tcW w:w="1060" w:type="dxa"/>
            <w:vAlign w:val="bottom"/>
          </w:tcPr>
          <w:p>
            <w:pPr>
              <w:ind w:left="480"/>
              <w:spacing w:after="0"/>
              <w:rPr>
                <w:sz w:val="20"/>
                <w:szCs w:val="20"/>
                <w:color w:val="auto"/>
              </w:rPr>
            </w:pPr>
            <w:r>
              <w:rPr>
                <w:rFonts w:ascii="Arial" w:cs="Arial" w:eastAsia="Arial" w:hAnsi="Arial"/>
                <w:sz w:val="14"/>
                <w:szCs w:val="14"/>
                <w:color w:val="auto"/>
                <w:w w:val="93"/>
              </w:rPr>
              <w:t>(433,125)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(15,008)</w:t>
            </w:r>
          </w:p>
        </w:tc>
      </w:tr>
      <w:tr>
        <w:trPr>
          <w:trHeight w:val="26"/>
        </w:trPr>
        <w:tc>
          <w:tcPr>
            <w:tcW w:w="4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288,417,765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1,005,075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(385,831)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520,199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44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Nine Months Ended September 30, 2022</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4"/>
        </w:trPr>
        <w:tc>
          <w:tcPr>
            <w:tcW w:w="4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2120" w:type="dxa"/>
            <w:vAlign w:val="bottom"/>
            <w:gridSpan w:val="5"/>
          </w:tcPr>
          <w:p>
            <w:pPr>
              <w:ind w:left="480"/>
              <w:spacing w:after="0"/>
              <w:rPr>
                <w:sz w:val="20"/>
                <w:szCs w:val="20"/>
                <w:color w:val="auto"/>
              </w:rPr>
            </w:pPr>
            <w:r>
              <w:rPr>
                <w:rFonts w:ascii="Arial" w:cs="Arial" w:eastAsia="Arial" w:hAnsi="Arial"/>
                <w:sz w:val="13"/>
                <w:szCs w:val="13"/>
                <w:b w:val="1"/>
                <w:bCs w:val="1"/>
                <w:color w:val="auto"/>
              </w:rPr>
              <w:t>Class A and Class B</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4420" w:type="dxa"/>
            <w:vAlign w:val="bottom"/>
          </w:tcPr>
          <w:p>
            <w:pPr>
              <w:spacing w:after="0"/>
              <w:rPr>
                <w:sz w:val="16"/>
                <w:szCs w:val="16"/>
                <w:color w:val="auto"/>
              </w:rPr>
            </w:pPr>
          </w:p>
        </w:tc>
        <w:tc>
          <w:tcPr>
            <w:tcW w:w="2120" w:type="dxa"/>
            <w:vAlign w:val="bottom"/>
            <w:gridSpan w:val="5"/>
          </w:tcPr>
          <w:p>
            <w:pPr>
              <w:ind w:left="6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4420" w:type="dxa"/>
            <w:vAlign w:val="bottom"/>
          </w:tcPr>
          <w:p>
            <w:pPr>
              <w:spacing w:after="0"/>
              <w:rPr>
                <w:sz w:val="14"/>
                <w:szCs w:val="14"/>
                <w:color w:val="auto"/>
              </w:rPr>
            </w:pPr>
          </w:p>
        </w:tc>
        <w:tc>
          <w:tcPr>
            <w:tcW w:w="1180" w:type="dxa"/>
            <w:vAlign w:val="bottom"/>
            <w:tcBorders>
              <w:top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282,526,719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(439,634)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409,222</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149,058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149,058</w:t>
            </w:r>
          </w:p>
        </w:tc>
      </w:tr>
      <w:tr>
        <w:trPr>
          <w:trHeight w:val="25"/>
        </w:trPr>
        <w:tc>
          <w:tcPr>
            <w:tcW w:w="44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(10,155)</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(25,623)</w:t>
            </w:r>
          </w:p>
        </w:tc>
      </w:tr>
      <w:tr>
        <w:trPr>
          <w:trHeight w:val="25"/>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deferred compensation plan,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3,523,386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(24,246)</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4,694</w:t>
            </w:r>
          </w:p>
        </w:tc>
      </w:tr>
      <w:tr>
        <w:trPr>
          <w:trHeight w:val="25"/>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executive bonus plan,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284,992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11,113</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w w:val="99"/>
              </w:rPr>
              <w:t>Shares issued in connection with employee stock purchase plan, net</w:t>
            </w:r>
          </w:p>
        </w:tc>
        <w:tc>
          <w:tcPr>
            <w:tcW w:w="1060" w:type="dxa"/>
            <w:vAlign w:val="bottom"/>
          </w:tcPr>
          <w:p>
            <w:pPr>
              <w:jc w:val="right"/>
              <w:spacing w:after="0"/>
              <w:rPr>
                <w:sz w:val="20"/>
                <w:szCs w:val="20"/>
                <w:color w:val="auto"/>
              </w:rPr>
            </w:pPr>
            <w:r>
              <w:rPr>
                <w:rFonts w:ascii="Arial" w:cs="Arial" w:eastAsia="Arial" w:hAnsi="Arial"/>
                <w:sz w:val="14"/>
                <w:szCs w:val="14"/>
                <w:color w:val="auto"/>
              </w:rPr>
              <w:t>307,406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10,062</w:t>
            </w:r>
          </w:p>
        </w:tc>
      </w:tr>
      <w:tr>
        <w:trPr>
          <w:trHeight w:val="25"/>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2,272,603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Acquisition option exercises, net</w:t>
            </w:r>
          </w:p>
        </w:tc>
        <w:tc>
          <w:tcPr>
            <w:tcW w:w="1060" w:type="dxa"/>
            <w:vAlign w:val="bottom"/>
          </w:tcPr>
          <w:p>
            <w:pPr>
              <w:jc w:val="right"/>
              <w:spacing w:after="0"/>
              <w:rPr>
                <w:sz w:val="20"/>
                <w:szCs w:val="20"/>
                <w:color w:val="auto"/>
              </w:rPr>
            </w:pPr>
            <w:r>
              <w:rPr>
                <w:rFonts w:ascii="Arial" w:cs="Arial" w:eastAsia="Arial" w:hAnsi="Arial"/>
                <w:sz w:val="14"/>
                <w:szCs w:val="14"/>
                <w:color w:val="auto"/>
              </w:rPr>
              <w:t>185,178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for stock grants,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28,687</w:t>
            </w:r>
          </w:p>
        </w:tc>
      </w:tr>
      <w:tr>
        <w:trPr>
          <w:trHeight w:val="25"/>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199,975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w:t>
            </w:r>
          </w:p>
        </w:tc>
      </w:tr>
      <w:tr>
        <w:trPr>
          <w:trHeight w:val="204"/>
        </w:trPr>
        <w:tc>
          <w:tcPr>
            <w:tcW w:w="4420" w:type="dxa"/>
            <w:vAlign w:val="bottom"/>
          </w:tcPr>
          <w:p>
            <w:pPr>
              <w:ind w:left="180"/>
              <w:spacing w:after="0"/>
              <w:rPr>
                <w:sz w:val="20"/>
                <w:szCs w:val="20"/>
                <w:color w:val="auto"/>
              </w:rPr>
            </w:pPr>
            <w:r>
              <w:rPr>
                <w:rFonts w:ascii="Arial" w:cs="Arial" w:eastAsia="Arial" w:hAnsi="Arial"/>
                <w:sz w:val="14"/>
                <w:szCs w:val="14"/>
                <w:color w:val="auto"/>
              </w:rPr>
              <w:t>Repurchases of Class B Common Stock under approved program</w:t>
            </w:r>
          </w:p>
        </w:tc>
        <w:tc>
          <w:tcPr>
            <w:tcW w:w="1060" w:type="dxa"/>
            <w:vAlign w:val="bottom"/>
          </w:tcPr>
          <w:p>
            <w:pPr>
              <w:ind w:left="480"/>
              <w:spacing w:after="0"/>
              <w:rPr>
                <w:sz w:val="20"/>
                <w:szCs w:val="20"/>
                <w:color w:val="auto"/>
              </w:rPr>
            </w:pPr>
            <w:r>
              <w:rPr>
                <w:rFonts w:ascii="Arial" w:cs="Arial" w:eastAsia="Arial" w:hAnsi="Arial"/>
                <w:sz w:val="14"/>
                <w:szCs w:val="14"/>
                <w:color w:val="auto"/>
                <w:w w:val="93"/>
              </w:rPr>
              <w:t>(896,126)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(28,250)</w:t>
            </w:r>
          </w:p>
        </w:tc>
      </w:tr>
      <w:tr>
        <w:trPr>
          <w:trHeight w:val="25"/>
        </w:trPr>
        <w:tc>
          <w:tcPr>
            <w:tcW w:w="4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288,417,765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1,005,075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(385,831)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520,199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8" w:name="page9"/>
    <w:bookmarkEnd w:id="8"/>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BENTLEY SYSTEMS, INCORPORATED</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Nine Months Ended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20320</wp:posOffset>
            </wp:positionV>
            <wp:extent cx="1808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compensation plan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derivative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aircraft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Repayments of term loan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contingent and non-contingent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63" w:lineRule="exact"/>
        <w:rPr>
          <w:sz w:val="20"/>
          <w:szCs w:val="20"/>
          <w:color w:val="auto"/>
        </w:rPr>
      </w:pPr>
    </w:p>
    <w:p>
      <w:pPr>
        <w:ind w:left="180" w:right="2600"/>
        <w:spacing w:after="0" w:line="313" w:lineRule="auto"/>
        <w:rPr>
          <w:sz w:val="20"/>
          <w:szCs w:val="20"/>
          <w:color w:val="auto"/>
        </w:rPr>
      </w:pPr>
      <w:r>
        <w:rPr>
          <w:rFonts w:ascii="Arial" w:cs="Arial" w:eastAsia="Arial" w:hAnsi="Arial"/>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jc w:val="both"/>
        <w:ind w:left="180" w:right="2800"/>
        <w:spacing w:after="0" w:line="315" w:lineRule="auto"/>
        <w:rPr>
          <w:sz w:val="20"/>
          <w:szCs w:val="20"/>
          <w:color w:val="auto"/>
        </w:rPr>
      </w:pPr>
      <w:r>
        <w:rPr>
          <w:rFonts w:ascii="Arial" w:cs="Arial" w:eastAsia="Arial" w:hAnsi="Arial"/>
          <w:sz w:val="18"/>
          <w:szCs w:val="18"/>
          <w:color w:val="auto"/>
        </w:rPr>
        <w:t>Payments for shares acquired including shares withheld for taxes Repurchases of Class B Common Stock under approved program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147,202</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149,058</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52,787</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53,644</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(13,670)</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56,092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51,359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(21,873)</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(29,318)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14,445</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4,193</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56,065</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12,550</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33,437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28,765</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(17,688)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(26,725)</w:t>
            </w:r>
          </w:p>
        </w:tc>
      </w:tr>
      <w:tr>
        <w:trPr>
          <w:trHeight w:val="270"/>
        </w:trPr>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43"/>
        </w:trPr>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329,643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238,198</w:t>
            </w:r>
          </w:p>
        </w:tc>
      </w:tr>
      <w:tr>
        <w:trPr>
          <w:trHeight w:val="486"/>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(18,906)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(12,982)</w:t>
            </w:r>
          </w:p>
        </w:tc>
      </w:tr>
    </w:tbl>
    <w:p>
      <w:pPr>
        <w:spacing w:after="0" w:line="4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2,380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(23,110)</w:t>
      </w:r>
      <w:r>
        <w:rPr>
          <w:rFonts w:ascii="Arial" w:cs="Arial" w:eastAsia="Arial" w:hAnsi="Arial"/>
          <w:sz w:val="16"/>
          <w:szCs w:val="16"/>
          <w:color w:val="auto"/>
        </w:rPr>
        <w:t>(719,539)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(11,352)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(10,304)</w:t>
            </w:r>
          </w:p>
        </w:tc>
      </w:tr>
      <w:tr>
        <w:trPr>
          <w:trHeight w:val="27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w:t>
            </w:r>
          </w:p>
        </w:tc>
        <w:tc>
          <w:tcPr>
            <w:tcW w:w="2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(740,445)</w:t>
            </w:r>
          </w:p>
        </w:tc>
      </w:tr>
    </w:tbl>
    <w:p>
      <w:pPr>
        <w:spacing w:after="0" w:line="256"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8"/>
          <w:szCs w:val="18"/>
          <w:color w:val="auto"/>
        </w:rPr>
        <w:t>442,566</w:t>
      </w:r>
      <w:r>
        <w:rPr>
          <w:sz w:val="20"/>
          <w:szCs w:val="20"/>
          <w:color w:val="auto"/>
        </w:rPr>
        <w:tab/>
      </w:r>
      <w:r>
        <w:rPr>
          <w:rFonts w:ascii="Arial" w:cs="Arial" w:eastAsia="Arial" w:hAnsi="Arial"/>
          <w:sz w:val="18"/>
          <w:szCs w:val="18"/>
          <w:color w:val="auto"/>
        </w:rPr>
        <w:t>753,376</w:t>
      </w:r>
    </w:p>
    <w:p>
      <w:pPr>
        <w:spacing w:after="0" w:line="63"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7"/>
          <w:szCs w:val="17"/>
          <w:color w:val="auto"/>
        </w:rPr>
        <w:t>(634,718)</w:t>
      </w:r>
      <w:r>
        <w:rPr>
          <w:sz w:val="20"/>
          <w:szCs w:val="20"/>
          <w:color w:val="auto"/>
        </w:rPr>
        <w:tab/>
      </w:r>
      <w:r>
        <w:rPr>
          <w:rFonts w:ascii="Arial" w:cs="Arial" w:eastAsia="Arial" w:hAnsi="Arial"/>
          <w:sz w:val="17"/>
          <w:szCs w:val="17"/>
          <w:color w:val="auto"/>
        </w:rPr>
        <w:t>(408,714)</w:t>
      </w:r>
    </w:p>
    <w:p>
      <w:pPr>
        <w:spacing w:after="0" w:line="75" w:lineRule="exact"/>
        <w:rPr>
          <w:sz w:val="20"/>
          <w:szCs w:val="20"/>
          <w:color w:val="auto"/>
        </w:rPr>
      </w:pPr>
    </w:p>
    <w:p>
      <w:pPr>
        <w:ind w:left="740"/>
        <w:spacing w:after="0"/>
        <w:tabs>
          <w:tab w:leader="none" w:pos="2260" w:val="left"/>
        </w:tabs>
        <w:rPr>
          <w:sz w:val="20"/>
          <w:szCs w:val="20"/>
          <w:color w:val="auto"/>
        </w:rPr>
      </w:pPr>
      <w:r>
        <w:rPr>
          <w:rFonts w:ascii="Arial" w:cs="Arial" w:eastAsia="Arial" w:hAnsi="Arial"/>
          <w:sz w:val="17"/>
          <w:szCs w:val="17"/>
          <w:color w:val="auto"/>
        </w:rPr>
        <w:t>(3,750)</w:t>
      </w:r>
      <w:r>
        <w:rPr>
          <w:sz w:val="20"/>
          <w:szCs w:val="20"/>
          <w:color w:val="auto"/>
        </w:rPr>
        <w:tab/>
      </w:r>
      <w:r>
        <w:rPr>
          <w:rFonts w:ascii="Arial" w:cs="Arial" w:eastAsia="Arial" w:hAnsi="Arial"/>
          <w:sz w:val="17"/>
          <w:szCs w:val="17"/>
          <w:color w:val="auto"/>
        </w:rPr>
        <w:t>(3,750)</w:t>
      </w:r>
    </w:p>
    <w:p>
      <w:pPr>
        <w:spacing w:after="0" w:line="75" w:lineRule="exact"/>
        <w:rPr>
          <w:sz w:val="20"/>
          <w:szCs w:val="20"/>
          <w:color w:val="auto"/>
        </w:rPr>
      </w:pPr>
    </w:p>
    <w:p>
      <w:pPr>
        <w:ind w:left="740"/>
        <w:spacing w:after="0"/>
        <w:tabs>
          <w:tab w:leader="none" w:pos="2260" w:val="left"/>
        </w:tabs>
        <w:rPr>
          <w:sz w:val="20"/>
          <w:szCs w:val="20"/>
          <w:color w:val="auto"/>
        </w:rPr>
      </w:pPr>
      <w:r>
        <w:rPr>
          <w:rFonts w:ascii="Arial" w:cs="Arial" w:eastAsia="Arial" w:hAnsi="Arial"/>
          <w:sz w:val="17"/>
          <w:szCs w:val="17"/>
          <w:color w:val="auto"/>
        </w:rPr>
        <w:t>(3,039)</w:t>
      </w:r>
      <w:r>
        <w:rPr>
          <w:sz w:val="20"/>
          <w:szCs w:val="20"/>
          <w:color w:val="auto"/>
        </w:rPr>
        <w:tab/>
      </w:r>
      <w:r>
        <w:rPr>
          <w:rFonts w:ascii="Arial" w:cs="Arial" w:eastAsia="Arial" w:hAnsi="Arial"/>
          <w:sz w:val="17"/>
          <w:szCs w:val="17"/>
          <w:color w:val="auto"/>
        </w:rPr>
        <w:t>(6,996)</w:t>
      </w:r>
    </w:p>
    <w:p>
      <w:pPr>
        <w:spacing w:after="0" w:line="75"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7"/>
          <w:szCs w:val="17"/>
          <w:color w:val="auto"/>
        </w:rPr>
        <w:t>(43,992)</w:t>
      </w:r>
      <w:r>
        <w:rPr>
          <w:sz w:val="20"/>
          <w:szCs w:val="20"/>
          <w:color w:val="auto"/>
        </w:rPr>
        <w:tab/>
      </w:r>
      <w:r>
        <w:rPr>
          <w:rFonts w:ascii="Arial" w:cs="Arial" w:eastAsia="Arial" w:hAnsi="Arial"/>
          <w:sz w:val="17"/>
          <w:szCs w:val="17"/>
          <w:color w:val="auto"/>
        </w:rPr>
        <w:t>(25,828)</w:t>
      </w:r>
    </w:p>
    <w:p>
      <w:pPr>
        <w:spacing w:after="0" w:line="75"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9,988</w:t>
      </w:r>
      <w:r>
        <w:rPr>
          <w:sz w:val="20"/>
          <w:szCs w:val="20"/>
          <w:color w:val="auto"/>
        </w:rPr>
        <w:tab/>
      </w:r>
      <w:r>
        <w:rPr>
          <w:rFonts w:ascii="Arial" w:cs="Arial" w:eastAsia="Arial" w:hAnsi="Arial"/>
          <w:sz w:val="18"/>
          <w:szCs w:val="18"/>
          <w:color w:val="auto"/>
        </w:rPr>
        <w:t>10,335</w:t>
      </w:r>
    </w:p>
    <w:p>
      <w:pPr>
        <w:spacing w:after="0" w:line="63" w:lineRule="exact"/>
        <w:rPr>
          <w:sz w:val="20"/>
          <w:szCs w:val="20"/>
          <w:color w:val="auto"/>
        </w:rPr>
      </w:pPr>
    </w:p>
    <w:p>
      <w:pPr>
        <w:ind w:left="720"/>
        <w:spacing w:after="0"/>
        <w:tabs>
          <w:tab w:leader="none" w:pos="2340" w:val="left"/>
        </w:tabs>
        <w:rPr>
          <w:sz w:val="20"/>
          <w:szCs w:val="20"/>
          <w:color w:val="auto"/>
        </w:rPr>
      </w:pPr>
      <w:r>
        <w:rPr>
          <w:rFonts w:ascii="Arial" w:cs="Arial" w:eastAsia="Arial" w:hAnsi="Arial"/>
          <w:sz w:val="18"/>
          <w:szCs w:val="18"/>
          <w:color w:val="auto"/>
        </w:rPr>
        <w:t>10,590</w:t>
      </w:r>
      <w:r>
        <w:rPr>
          <w:sz w:val="20"/>
          <w:szCs w:val="20"/>
          <w:color w:val="auto"/>
        </w:rPr>
        <w:tab/>
      </w:r>
      <w:r>
        <w:rPr>
          <w:rFonts w:ascii="Arial" w:cs="Arial" w:eastAsia="Arial" w:hAnsi="Arial"/>
          <w:sz w:val="18"/>
          <w:szCs w:val="18"/>
          <w:color w:val="auto"/>
        </w:rPr>
        <w:t>6,855</w:t>
      </w:r>
    </w:p>
    <w:p>
      <w:pPr>
        <w:spacing w:after="0" w:line="6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7"/>
          <w:szCs w:val="17"/>
          <w:color w:val="auto"/>
        </w:rPr>
        <w:t>(57,527)</w:t>
      </w:r>
      <w:r>
        <w:rPr>
          <w:sz w:val="20"/>
          <w:szCs w:val="20"/>
          <w:color w:val="auto"/>
        </w:rPr>
        <w:tab/>
      </w:r>
      <w:r>
        <w:rPr>
          <w:rFonts w:ascii="Arial" w:cs="Arial" w:eastAsia="Arial" w:hAnsi="Arial"/>
          <w:sz w:val="17"/>
          <w:szCs w:val="17"/>
          <w:color w:val="auto"/>
        </w:rPr>
        <w:t>(42,213)</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(28,250)</w:t>
      </w:r>
    </w:p>
    <w:p>
      <w:pPr>
        <w:spacing w:after="0" w:line="63" w:lineRule="exact"/>
        <w:rPr>
          <w:sz w:val="20"/>
          <w:szCs w:val="20"/>
          <w:color w:val="auto"/>
        </w:rPr>
      </w:pPr>
    </w:p>
    <w:p>
      <w:pPr>
        <w:ind w:left="2420" w:hanging="1549"/>
        <w:spacing w:after="0"/>
        <w:tabs>
          <w:tab w:leader="none" w:pos="2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(123)</w:t>
      </w:r>
    </w:p>
    <w:p>
      <w:pPr>
        <w:spacing w:after="0" w:line="53" w:lineRule="exact"/>
        <w:rPr>
          <w:sz w:val="20"/>
          <w:szCs w:val="20"/>
          <w:color w:val="auto"/>
        </w:rPr>
      </w:pPr>
    </w:p>
    <w:p>
      <w:pPr>
        <w:sectPr>
          <w:pgSz w:w="11900" w:h="16838" w:orient="portrait"/>
          <w:cols w:equalWidth="0" w:num="2">
            <w:col w:w="7680" w:space="720"/>
            <w:col w:w="28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(280,019)</w:t>
            </w:r>
          </w:p>
        </w:tc>
        <w:tc>
          <w:tcPr>
            <w:tcW w:w="2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254,692</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w:t>
            </w:r>
          </w:p>
        </w:tc>
      </w:tr>
      <w:tr>
        <w:trPr>
          <w:trHeight w:val="25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(256,481)</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71,684</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329,337</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66,963</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BENTLEY SYSTEMS, INCORPORATED</w:t>
      </w:r>
    </w:p>
    <w:p>
      <w:pPr>
        <w:spacing w:after="0" w:line="3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Nine Months Ended</w:t>
      </w:r>
    </w:p>
    <w:p>
      <w:pPr>
        <w:spacing w:after="0" w:line="55" w:lineRule="exact"/>
        <w:rPr>
          <w:sz w:val="20"/>
          <w:szCs w:val="20"/>
          <w:color w:val="auto"/>
        </w:rPr>
      </w:pPr>
    </w:p>
    <w:p>
      <w:pPr>
        <w:jc w:val="center"/>
        <w:ind w:left="83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20320</wp:posOffset>
            </wp:positionV>
            <wp:extent cx="1808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paid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15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Cost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non-contingent consideration, net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Share-settled executive bonus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compensation plan elective participant deferrals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48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29,467</w:t>
            </w:r>
          </w:p>
        </w:tc>
        <w:tc>
          <w:tcPr>
            <w:tcW w:w="2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20,696</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29,370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17,647</w:t>
            </w:r>
          </w:p>
        </w:tc>
      </w:tr>
      <w:tr>
        <w:trPr>
          <w:trHeight w:val="499"/>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6,022</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16,310</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4,694</w:t>
            </w:r>
          </w:p>
        </w:tc>
      </w:tr>
    </w:tbl>
    <w:p>
      <w:pPr>
        <w:spacing w:after="0" w:line="200" w:lineRule="exact"/>
        <w:rPr>
          <w:sz w:val="20"/>
          <w:szCs w:val="20"/>
          <w:color w:val="auto"/>
        </w:rPr>
      </w:pPr>
    </w:p>
    <w:p>
      <w:pPr>
        <w:sectPr>
          <w:pgSz w:w="11900" w:h="16838" w:orient="portrait"/>
          <w:cols w:equalWidth="0" w:num="2">
            <w:col w:w="7620" w:space="720"/>
            <w:col w:w="2840"/>
          </w:cols>
          <w:pgMar w:left="360" w:top="1440" w:right="359" w:bottom="1440" w:gutter="0" w:footer="0" w:header="0"/>
          <w:type w:val="continuous"/>
        </w:sectPr>
      </w:pP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type w:val="continuous"/>
        </w:sectPr>
      </w:pPr>
    </w:p>
    <w:bookmarkStart w:id="10" w:name="page11"/>
    <w:bookmarkEnd w:id="10"/>
    <w:p>
      <w:pPr>
        <w:spacing w:after="0" w:line="19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The accompanying unaudited consolidated financial statements include the accounts of Bentley Systems, Incorporated and its wholly-owned subsidiaries (“Bentley Systems, Incorporated” or the “Company”), and have been prepared in accordance with United States generally accepted accounting principles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the Company’s 2022 Annual Report on Form 10</w:t>
      </w:r>
      <w:r>
        <w:rPr>
          <w:rFonts w:ascii="MS PGothic" w:cs="MS PGothic" w:eastAsia="MS PGothic" w:hAnsi="MS PGothic"/>
          <w:sz w:val="17"/>
          <w:szCs w:val="17"/>
          <w:i w:val="1"/>
          <w:iCs w:val="1"/>
          <w:color w:val="auto"/>
        </w:rPr>
        <w:t>‑</w:t>
      </w:r>
      <w:r>
        <w:rPr>
          <w:rFonts w:ascii="Arial" w:cs="Arial" w:eastAsia="Arial" w:hAnsi="Arial"/>
          <w:sz w:val="17"/>
          <w:szCs w:val="17"/>
          <w:color w:val="auto"/>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2022 consolidated balance sheet included herein is derived from the Company’s audited consolidated financial statements.</w:t>
      </w:r>
    </w:p>
    <w:p>
      <w:pPr>
        <w:spacing w:after="0" w:line="2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Certain reclassifications of prior period amounts have been made to conform to the current period presentation. For the three and nine months ended September 30, 2023, payments related to the Company’s interest rate swap were recognized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consolidated statements of operations and the corresponding prior period amounts, which were previously recognized 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were reclassified to conform to the current period presentation. For the three and nine months ended September 30, 2022, the amounts reclassified were not material, and </w:t>
      </w:r>
      <w:r>
        <w:rPr>
          <w:rFonts w:ascii="Arial" w:cs="Arial" w:eastAsia="Arial" w:hAnsi="Arial"/>
          <w:sz w:val="16"/>
          <w:szCs w:val="16"/>
          <w:i w:val="1"/>
          <w:iCs w:val="1"/>
          <w:color w:val="auto"/>
        </w:rPr>
        <w:t>Income before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and</w:t>
      </w:r>
      <w:r>
        <w:rPr>
          <w:rFonts w:ascii="Arial" w:cs="Arial" w:eastAsia="Arial" w:hAnsi="Arial"/>
          <w:sz w:val="16"/>
          <w:szCs w:val="16"/>
          <w:i w:val="1"/>
          <w:iCs w:val="1"/>
          <w:color w:val="auto"/>
        </w:rPr>
        <w:t xml:space="preserve"> Net income </w:t>
      </w:r>
      <w:r>
        <w:rPr>
          <w:rFonts w:ascii="Arial" w:cs="Arial" w:eastAsia="Arial" w:hAnsi="Arial"/>
          <w:sz w:val="16"/>
          <w:szCs w:val="16"/>
          <w:color w:val="auto"/>
        </w:rPr>
        <w:t>in the consolidated statements of operations did not change as a result of these reclassifications.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March 2020, the Financial Accounting Standards Board (“FASB”) issued Accounting Standards Update (“ASU”) No. 2020</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Reform (Topic 848): Facilitation of the Effects of Reference Rate Reform on Financial Reporting </w:t>
      </w:r>
      <w:r>
        <w:rPr>
          <w:rFonts w:ascii="Arial" w:cs="Arial" w:eastAsia="Arial" w:hAnsi="Arial"/>
          <w:sz w:val="16"/>
          <w:szCs w:val="16"/>
          <w:color w:val="auto"/>
        </w:rPr>
        <w:t>(“ASU 2020</w:t>
      </w:r>
      <w:r>
        <w:rPr>
          <w:rFonts w:ascii="MS PGothic" w:cs="MS PGothic" w:eastAsia="MS PGothic" w:hAnsi="MS PGothic"/>
          <w:sz w:val="16"/>
          <w:szCs w:val="16"/>
          <w:color w:val="auto"/>
        </w:rPr>
        <w:t>‑</w:t>
      </w:r>
      <w:r>
        <w:rPr>
          <w:rFonts w:ascii="Arial" w:cs="Arial" w:eastAsia="Arial" w:hAnsi="Arial"/>
          <w:sz w:val="16"/>
          <w:szCs w:val="16"/>
          <w:color w:val="auto"/>
        </w:rPr>
        <w:t>04”), which provides optional expedients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exceptions for applying U.S. GAAP to contracts, hedging relationships, and other transactions affected by reference rate reform if certain criteria are met. ASU 2020</w:t>
      </w:r>
      <w:r>
        <w:rPr>
          <w:rFonts w:ascii="MS PGothic" w:cs="MS PGothic" w:eastAsia="MS PGothic" w:hAnsi="MS PGothic"/>
          <w:sz w:val="16"/>
          <w:szCs w:val="16"/>
          <w:color w:val="auto"/>
        </w:rPr>
        <w:t>‑</w:t>
      </w:r>
      <w:r>
        <w:rPr>
          <w:rFonts w:ascii="Arial" w:cs="Arial" w:eastAsia="Arial" w:hAnsi="Arial"/>
          <w:sz w:val="16"/>
          <w:szCs w:val="16"/>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In December 2022, the FASB issued ASU No. 2022</w:t>
      </w:r>
      <w:r>
        <w:rPr>
          <w:rFonts w:ascii="MS PGothic" w:cs="MS PGothic" w:eastAsia="MS PGothic" w:hAnsi="MS PGothic"/>
          <w:sz w:val="16"/>
          <w:szCs w:val="16"/>
          <w:color w:val="auto"/>
        </w:rPr>
        <w:t>‑</w:t>
      </w:r>
      <w:r>
        <w:rPr>
          <w:rFonts w:ascii="Arial" w:cs="Arial" w:eastAsia="Arial" w:hAnsi="Arial"/>
          <w:sz w:val="16"/>
          <w:szCs w:val="16"/>
          <w:color w:val="auto"/>
        </w:rPr>
        <w:t xml:space="preserve">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provides optional guidance to ease the potential burden in accounting for (or recognizing the effects of) reference rate reform on financial reporting by extending the sunset date of Topic 848 to December 31, 2024. The expedients and exceptions provided by these ASUs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The Company adopted these ASUs during the second quarter of 2023 (see Note 10) and the adoption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revenues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12"/>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111,318</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89,041</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318,896</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252,461</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63,406</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63,609</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190,834</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196,786</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Term license subscriptions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96,027</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82,657</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298,109</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259,484</w:t>
            </w:r>
          </w:p>
        </w:tc>
      </w:tr>
      <w:tr>
        <w:trPr>
          <w:trHeight w:val="250"/>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270,751</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235,307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807,839</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708,731</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Perpetual licenses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33,152</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31,213</w:t>
            </w:r>
          </w:p>
        </w:tc>
      </w:tr>
      <w:tr>
        <w:trPr>
          <w:trHeight w:val="250"/>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282,638</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244,767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840,991</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739,944</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20,368</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64,048</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58,759</w:t>
            </w:r>
          </w:p>
        </w:tc>
      </w:tr>
      <w:tr>
        <w:trPr>
          <w:trHeight w:val="250"/>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76,781</w:t>
            </w:r>
          </w:p>
        </w:tc>
        <w:tc>
          <w:tcPr>
            <w:tcW w:w="2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72,190</w:t>
            </w: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812,134</w:t>
            </w:r>
          </w:p>
        </w:tc>
      </w:tr>
      <w:tr>
        <w:trPr>
          <w:trHeight w:val="20"/>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Enterprise subscriptions includes revenue attributable to Enterprise 365 (“E365”) subscriptions of $107,681 and $80,298 for the three months ended September 30, 2023 and 2022, respectively, and $301,260 and $221,801 for the nine months ended September 30, 2023 and 2022, respectively.</w:t>
      </w:r>
    </w:p>
    <w:p>
      <w:pPr>
        <w:spacing w:after="0" w:line="15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Company recognizes perpetual licenses and the term license component of subscriptions as revenue when either the licenses are delivered or at the start of the subscription term. For the three months ended September 30, 2023 and 2022, the Company recognized $147,340 and $125,140 of license related revenues, respectively, of which $135,453 and $115,680, respectively, were attributable to the term license component of the Company’s subscription</w:t>
      </w:r>
      <w:r>
        <w:rPr>
          <w:rFonts w:ascii="MS PGothic" w:cs="MS PGothic" w:eastAsia="MS PGothic" w:hAnsi="MS PGothic"/>
          <w:sz w:val="18"/>
          <w:szCs w:val="18"/>
          <w:color w:val="auto"/>
        </w:rPr>
        <w:t>‑</w:t>
      </w:r>
      <w:r>
        <w:rPr>
          <w:rFonts w:ascii="Arial" w:cs="Arial" w:eastAsia="Arial" w:hAnsi="Arial"/>
          <w:sz w:val="18"/>
          <w:szCs w:val="18"/>
          <w:color w:val="auto"/>
        </w:rPr>
        <w:t xml:space="preserve">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 For the nine months ended September 30, 2023 and 2022, the Company recognized $444,186 and $380,237 of license related revenues, respectively, of which $411,034 and $349,024, respectively, were attributable to the term license component of the Company’s subscription</w:t>
      </w:r>
      <w:r>
        <w:rPr>
          <w:rFonts w:ascii="MS PGothic" w:cs="MS PGothic" w:eastAsia="MS PGothic" w:hAnsi="MS PGothic"/>
          <w:sz w:val="18"/>
          <w:szCs w:val="18"/>
          <w:color w:val="auto"/>
        </w:rPr>
        <w:t>‑</w:t>
      </w:r>
      <w:r>
        <w:rPr>
          <w:rFonts w:ascii="Arial" w:cs="Arial" w:eastAsia="Arial" w:hAnsi="Arial"/>
          <w:sz w:val="18"/>
          <w:szCs w:val="18"/>
          <w:color w:val="auto"/>
        </w:rPr>
        <w:t xml:space="preserve">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derived 8% and 7% of its total revenues through channel partners for the three months ended September 30, 2023 and 2022, respectively, and 7% of its total revenues through channel partners for the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Revenue from external customers is attributed to individual countries based upon the location of the customer. Revenues by geographic region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1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141,599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489,548</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440,218</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Europe, the Middle East, and Africa (“EMEA”)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86,956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263,232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227,696</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57,289</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164,992</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144,220</w:t>
            </w: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812,134</w:t>
            </w:r>
          </w:p>
        </w:tc>
      </w:tr>
      <w:tr>
        <w:trPr>
          <w:trHeight w:val="21"/>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jc w:val="both"/>
        <w:ind w:left="340" w:right="20" w:hanging="332"/>
        <w:spacing w:after="0" w:line="26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Americas includes the United States (“U.S.”), Canada, and Latin America (including the Caribbean). Revenue attributable to the U.S. totaled $129,510 and $122,372 for the three months ended September 30, 2023 and 2022, respectively, and $384,807 and $346,961 for the nine months ended September 30, 2023 and 2022,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227,004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243,073</w:t>
            </w:r>
          </w:p>
        </w:tc>
      </w:tr>
    </w:tbl>
    <w:p>
      <w:pPr>
        <w:spacing w:after="0" w:line="2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September 30, 2023 and December 31, 2022,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September 30, 2023 or December 31, 2022.</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2023, $183,335 of revenues that were included in the December 31, 2022 deferred revenues balance were recognized. There were additional deferrals of $169,368 for the nine months ended September 30, 2023, which were primarily related to new billings and acquisitions. For the nine months ended September 30, 2022, $174,194 of revenues that were included in the December 31, 2021 deferred revenues balance were recognized. There were additional deferrals of $158,125 for the nine months ended September 30, 2022, which were primarily related to new billings and acquisitions.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of September 30, 2023 and December 31, 2022, the Company has deferred $17,873 and $17,338, respectively, related to portfolio balancing exchange rights which is included in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September 30, 2023, amounts allocated to these remaining performance obligations are $227,004, of which the Company expects to recognize approximately 93%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20" w:type="dxa"/>
            <w:vAlign w:val="bottom"/>
            <w:gridSpan w:val="4"/>
          </w:tcPr>
          <w:p>
            <w:pPr>
              <w:jc w:val="center"/>
              <w:ind w:left="655"/>
              <w:spacing w:after="0"/>
              <w:rPr>
                <w:sz w:val="20"/>
                <w:szCs w:val="20"/>
                <w:color w:val="auto"/>
              </w:rPr>
            </w:pPr>
            <w:r>
              <w:rPr>
                <w:rFonts w:ascii="Arial" w:cs="Arial" w:eastAsia="Arial" w:hAnsi="Arial"/>
                <w:sz w:val="16"/>
                <w:szCs w:val="16"/>
                <w:b w:val="1"/>
                <w:bCs w:val="1"/>
                <w:color w:val="auto"/>
                <w:w w:val="90"/>
              </w:rPr>
              <w:t>Acquisitions Completed during</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60" w:type="dxa"/>
            <w:vAlign w:val="bottom"/>
            <w:gridSpan w:val="3"/>
          </w:tcPr>
          <w:p>
            <w:pPr>
              <w:jc w:val="center"/>
              <w:ind w:right="453"/>
              <w:spacing w:after="0"/>
              <w:rPr>
                <w:sz w:val="20"/>
                <w:szCs w:val="20"/>
                <w:color w:val="auto"/>
              </w:rPr>
            </w:pPr>
            <w:r>
              <w:rPr>
                <w:rFonts w:ascii="Arial" w:cs="Arial" w:eastAsia="Arial" w:hAnsi="Arial"/>
                <w:sz w:val="16"/>
                <w:szCs w:val="16"/>
                <w:b w:val="1"/>
                <w:bCs w:val="1"/>
                <w:color w:val="auto"/>
                <w:w w:val="92"/>
              </w:rPr>
              <w:t>Nine Months Ended</w:t>
            </w:r>
          </w:p>
        </w:tc>
        <w:tc>
          <w:tcPr>
            <w:tcW w:w="7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453"/>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20" w:type="dxa"/>
            <w:vAlign w:val="bottom"/>
          </w:tcPr>
          <w:p>
            <w:pPr>
              <w:spacing w:after="0"/>
              <w:rPr>
                <w:sz w:val="23"/>
                <w:szCs w:val="23"/>
                <w:color w:val="auto"/>
              </w:rPr>
            </w:pPr>
          </w:p>
        </w:tc>
        <w:tc>
          <w:tcPr>
            <w:tcW w:w="7060" w:type="dxa"/>
            <w:vAlign w:val="bottom"/>
            <w:gridSpan w:val="2"/>
          </w:tcPr>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23,375</w:t>
            </w:r>
          </w:p>
        </w:tc>
        <w:tc>
          <w:tcPr>
            <w:tcW w:w="260" w:type="dxa"/>
            <w:vAlign w:val="bottom"/>
          </w:tcPr>
          <w:p>
            <w:pPr>
              <w:spacing w:after="0"/>
              <w:rPr>
                <w:sz w:val="23"/>
                <w:szCs w:val="23"/>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738,810</w:t>
            </w: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1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23,110</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719,539</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the cash paid at closing for the nine months ended September 30, 2023 and 2022, $1,000 and $3,000, respectively, was deposited into an escrow account to secure any potential indemnification and other obligations of the seller.</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31, 2022, the Company completed the acquisition of Power Line Systems (“PLS”), a leader in software for the design of overhead electric power transmission lines and their structures, for $695,968 in cash, net of cash acquired. The operating results of the acquired businesses were not material, individually or in the aggregate, to the Company’s consolidated statements of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720" w:type="dxa"/>
            <w:vAlign w:val="bottom"/>
            <w:tcBorders>
              <w:bottom w:val="single" w:sz="8" w:color="auto"/>
            </w:tcBorders>
            <w:shd w:val="clear" w:color="auto" w:fill="CCEEFF"/>
          </w:tcPr>
          <w:p>
            <w:pPr>
              <w:jc w:val="right"/>
              <w:ind w:right="151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1720" w:type="dxa"/>
            <w:vAlign w:val="bottom"/>
            <w:tcBorders>
              <w:bottom w:val="single" w:sz="8" w:color="auto"/>
            </w:tcBorders>
          </w:tcPr>
          <w:p>
            <w:pPr>
              <w:jc w:val="right"/>
              <w:ind w:right="151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0"/>
        </w:trPr>
        <w:tc>
          <w:tcPr>
            <w:tcW w:w="7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in the process of finalizing the purchase accounting for one acquisition completed during the nine months ended September 30, 2023 and one acquisition completed during the year ended December 31,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Acquisition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three months ended September 30, 2023 and 2022, the Company’s acquisition expenses were insignificant, and for the nine months ended September 30, 2023 and 2022 were $5,803 and $10,824, respectively, which include costs related to legal, accounting, valuation, insurance, general administrative, and other consulting and transaction fees. For the three and nine months ended September 30, 2022, $350 and $10,149, respectively, of the Company’s acquisition expenses related to the acquisition of PLS.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7"/>
                <w:szCs w:val="17"/>
                <w:color w:val="auto"/>
              </w:rPr>
            </w:pPr>
          </w:p>
        </w:tc>
        <w:tc>
          <w:tcPr>
            <w:tcW w:w="1860" w:type="dxa"/>
            <w:vAlign w:val="bottom"/>
          </w:tcPr>
          <w:p>
            <w:pPr>
              <w:jc w:val="right"/>
              <w:ind w:right="551"/>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2023</w:t>
            </w:r>
          </w:p>
        </w:tc>
        <w:tc>
          <w:tcPr>
            <w:tcW w:w="240" w:type="dxa"/>
            <w:vAlign w:val="bottom"/>
          </w:tcPr>
          <w:p>
            <w:pPr>
              <w:spacing w:after="0"/>
              <w:rPr>
                <w:sz w:val="19"/>
                <w:szCs w:val="19"/>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2022</w:t>
            </w:r>
          </w:p>
        </w:tc>
      </w:tr>
      <w:tr>
        <w:trPr>
          <w:trHeight w:val="21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Cash paid at closing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23,375</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763,228</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765,098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20,221</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other current assets</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2,151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w w:val="97"/>
              </w:rPr>
              <w:t>Software and technology (weighted average useful life of 3 and 5 years, respectively)</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10,608</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Customer relationships (weighted average useful life of 6 and 10 years, respectively)</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82,278</w:t>
            </w:r>
          </w:p>
        </w:tc>
      </w:tr>
      <w:tr>
        <w:trPr>
          <w:trHeight w:val="270"/>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Trademarks (weighted average useful life of 5 and 8 years, respectively)</w:t>
            </w: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r>
      <w:tr>
        <w:trPr>
          <w:trHeight w:val="250"/>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131,529</w:t>
            </w:r>
          </w:p>
        </w:tc>
      </w:tr>
      <w:tr>
        <w:trPr>
          <w:trHeight w:val="250"/>
        </w:trPr>
        <w:tc>
          <w:tcPr>
            <w:tcW w:w="678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r>
      <w:tr>
        <w:trPr>
          <w:trHeight w:val="250"/>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106,292</w:t>
            </w:r>
          </w:p>
        </w:tc>
      </w:tr>
      <w:tr>
        <w:trPr>
          <w:trHeight w:val="270"/>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17,511</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658,806</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revenues were determined in accordance with the Company’s revenue recognition policies.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Goodwill recorded in connection with the acquisitions was attributable to synergies expected to arise from cost saving opportunities, as well as future expected cash flows. The Company expects $7,289 of the goodwill recorded relating to the 2023 acquisitions will be deductible for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35,717</w:t>
            </w:r>
          </w:p>
        </w:tc>
      </w:tr>
      <w:tr>
        <w:trPr>
          <w:trHeight w:val="22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54,636</w:t>
            </w: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14,600</w:t>
            </w:r>
          </w:p>
        </w:tc>
      </w:tr>
      <w:tr>
        <w:trPr>
          <w:trHeight w:val="23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Aircraft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3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109,958</w:t>
            </w:r>
          </w:p>
        </w:tc>
      </w:tr>
      <w:tr>
        <w:trPr>
          <w:trHeight w:val="270"/>
        </w:trPr>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(82,413)</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(77,707)</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$3,135 and $2,613 for the three months ended September 30, 2023 and 2022, respectively, and $8,769 and $8,025 for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Equipment Sale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nine months ended September 30, 2022 (see Note 20). Subsequent to the transaction, ongoing operating and fixed costs of the aircraft are shared on a proportional use basis subject to a cost-sharing agreement. Such costs were not material during the nine months ended September 30, 2023 and 2022. The Company determined this transaction was with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4"/>
          </w:tcPr>
          <w:p>
            <w:pPr>
              <w:spacing w:after="0"/>
              <w:rPr>
                <w:sz w:val="20"/>
                <w:szCs w:val="20"/>
                <w:color w:val="auto"/>
              </w:rPr>
            </w:pPr>
            <w:r>
              <w:rPr>
                <w:rFonts w:ascii="Arial" w:cs="Arial" w:eastAsia="Arial" w:hAnsi="Arial"/>
                <w:sz w:val="18"/>
                <w:szCs w:val="18"/>
                <w:b w:val="1"/>
                <w:bCs w:val="1"/>
                <w:color w:val="auto"/>
                <w:w w:val="94"/>
              </w:rPr>
              <w:t>Note 6: Goodwill and Other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gridSpan w:val="6"/>
          </w:tcPr>
          <w:p>
            <w:pPr>
              <w:ind w:left="320"/>
              <w:spacing w:after="0"/>
              <w:rPr>
                <w:sz w:val="20"/>
                <w:szCs w:val="20"/>
                <w:color w:val="auto"/>
              </w:rPr>
            </w:pPr>
            <w:r>
              <w:rPr>
                <w:rFonts w:ascii="Arial" w:cs="Arial" w:eastAsia="Arial" w:hAnsi="Arial"/>
                <w:sz w:val="18"/>
                <w:szCs w:val="18"/>
                <w:color w:val="auto"/>
                <w:w w:val="92"/>
              </w:rPr>
              <w:t>The changes in the carrying amount of goodwill are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Balance, September 30, 2023</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bottom w:val="single" w:sz="8" w:color="CCEEFF"/>
            </w:tcBorders>
            <w:gridSpan w:val="6"/>
            <w:vMerge w:val="restart"/>
          </w:tcPr>
          <w:p>
            <w:pPr>
              <w:ind w:left="320"/>
              <w:spacing w:after="0"/>
              <w:rPr>
                <w:sz w:val="20"/>
                <w:szCs w:val="20"/>
                <w:color w:val="auto"/>
              </w:rPr>
            </w:pPr>
            <w:r>
              <w:rPr>
                <w:rFonts w:ascii="Arial" w:cs="Arial" w:eastAsia="Arial" w:hAnsi="Arial"/>
                <w:sz w:val="18"/>
                <w:szCs w:val="18"/>
                <w:color w:val="auto"/>
                <w:w w:val="93"/>
              </w:rPr>
              <w:t>Details of intangible assets other than goodwill are as follows:</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492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September 30, 2023</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4"/>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9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940" w:type="dxa"/>
            <w:vAlign w:val="bottom"/>
          </w:tcPr>
          <w:p>
            <w:pPr>
              <w:jc w:val="right"/>
              <w:ind w:right="318"/>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88,675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(55,305)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33,370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92,390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(51,938)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40,452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(135,237)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187,986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323,164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208,777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38,531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69,803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Total intangible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482,758</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(222,779)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259,979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485,707</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(193,436)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29,567</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30,869</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27,957</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22,174</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 xml:space="preserve">Through its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initiative, 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contribution of the Thread business resulted in an insignificant gain,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nine months ended September 30, 2023 (see Note 20). In July 2022, the Company acquired an equity interest in Teralytics Holdings AG (“Teralytics”), a global platform company for human mobility analysis.</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During the second quarter of 2023, the Company recognized impairment charges of $7,318 to write-down certain cost method investments to their fair value primarily as a result of the investees’ decline in operating performance and the overall decline in the venture investment valuation environment. The impairment charges were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nine months ended September 30, 2023 (see Note 20).</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third quarter of 2023, the Company recognized gains on investments of $2,360,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three and nine months ended September 30, 2023 (see Note 20).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September 30, 2023, the Company invested a total of $12,591, including $8,928 of cash and non-cash for our investment in Worldsensing. During the nine months ended September 30, 2022, the Company invested a total of $14,921, including $11,130 of cash and non-cash for our investment in Teralytics. As of September 30, 2023, our investment balance in Worldsensing and Teralytics was $8,928 and $7,270, respectively. As of December 31, 2022, our investment balance in Teralytics was $11,130.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party to joint ventures, which are accounted for using the equity method. For the nine months ended September 30, 2023 and 2022, the Company invested $2,261 and $1,700,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operating leases consist of office facilities, office equipment, and automobiles. As of September 30, 2023, the Company’s leases have remaining terms of less than one year to ten years, some of which include one or more options to renew, with renewal terms from one year to five years and some of which include options to terminate the leases from less than one year to five years.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4,703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r>
      <w:tr>
        <w:trPr>
          <w:trHeight w:val="230"/>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1,133</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8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5,445</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5,824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16,955</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19,023</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Operating lease cost includes rent cost related to operating leases for office facilities of $4,180 and $4,553 for the three months ended September 30, 2023 and 2022, respectively, and $12,926 and $15,120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Supplemental operating cash flow and 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ind w:left="640"/>
              <w:spacing w:after="0"/>
              <w:rPr>
                <w:sz w:val="20"/>
                <w:szCs w:val="20"/>
                <w:color w:val="auto"/>
              </w:rPr>
            </w:pPr>
            <w:r>
              <w:rPr>
                <w:rFonts w:ascii="Arial" w:cs="Arial" w:eastAsia="Arial" w:hAnsi="Arial"/>
                <w:sz w:val="16"/>
                <w:szCs w:val="16"/>
                <w:b w:val="1"/>
                <w:bCs w:val="1"/>
                <w:color w:val="auto"/>
                <w:w w:val="93"/>
              </w:rPr>
              <w:t>Nine Months Ended</w:t>
            </w:r>
          </w:p>
        </w:tc>
        <w:tc>
          <w:tcPr>
            <w:tcW w:w="96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9"/>
              </w:rPr>
              <w:t>2022</w:t>
            </w:r>
          </w:p>
        </w:tc>
      </w:tr>
      <w:tr>
        <w:trPr>
          <w:trHeight w:val="25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13,830</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w:t>
            </w:r>
          </w:p>
        </w:tc>
      </w:tr>
      <w:tr>
        <w:trPr>
          <w:trHeight w:val="312"/>
        </w:trPr>
        <w:tc>
          <w:tcPr>
            <w:tcW w:w="7820" w:type="dxa"/>
            <w:vAlign w:val="bottom"/>
          </w:tcPr>
          <w:p>
            <w:pPr>
              <w:ind w:left="20"/>
              <w:spacing w:after="0"/>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14,794</w:t>
            </w:r>
          </w:p>
        </w:tc>
        <w:tc>
          <w:tcPr>
            <w:tcW w:w="26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903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3" w:lineRule="exact"/>
        <w:rPr>
          <w:sz w:val="20"/>
          <w:szCs w:val="20"/>
          <w:color w:val="auto"/>
        </w:rPr>
      </w:pPr>
    </w:p>
    <w:p>
      <w:pPr>
        <w:ind w:left="340" w:hanging="332"/>
        <w:spacing w:after="0" w:line="204" w:lineRule="exact"/>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assets obtained in exchange for new operating lease liabilities does not include the impact from acquisitions of $397 and $1,237 for the nine months ended September 30, 2023 and 2022, respectively.</w:t>
      </w:r>
    </w:p>
    <w:p>
      <w:pPr>
        <w:spacing w:after="0" w:line="19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weighted average remaining lease term for operating leases was 4.7 years and 3.9 years as of September 30, 2023 and December 31, 2022, respectively. The weighted average discount rate was 4.6% and 3.4% as of September 30, 2023 and December 31, 2022, respectively.</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September 30, 2023, the Company had additional minimum operating lease payments of $961 for executed leases that have not yet commenced, primarily for office locations.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Accruals and Other Current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Accruals and other current liabilities consist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 Services Subscription (“CSS”) deposits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269,047</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201,082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36,814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35,493</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40,296</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16,738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13,720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4,984</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Accrued acquisition stay bonus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9,135</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cloud provisioning costs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5,230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403,428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362,048</w:t>
            </w: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Revolving loan facility due November 2025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153,445</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345,597</w:t>
            </w:r>
          </w:p>
        </w:tc>
      </w:tr>
      <w:tr>
        <w:trPr>
          <w:trHeight w:val="27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 due November 2025</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191,250</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Convertible senior notes due January 2026 (the “2026 Notes”)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687,830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687,830</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due July 2027 (the “2027 Notes”)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1,589,502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1,780,696</w:t>
            </w:r>
          </w:p>
        </w:tc>
      </w:tr>
      <w:tr>
        <w:trPr>
          <w:trHeight w:val="270"/>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1,580,752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1,775,696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is party to a Credit Agreement dated December 19, 2017 (as amended from time to time), which provides for an $850,000 senior secured revolving loan facility that matures on November 15, 2025 (the “Credit Facility”). The Credit Facility also provides up to $50,000 of letters of credit and other borrowings subject to availability, including an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Debt issuance costs are amortized to interest expense through the maturity date.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Credit Facility, the Company has a $200,000 senior secured term loan with a maturity of November 15, 2025 (the “Term Loan”). The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$150 of letters of credit and surety bonds outstanding as of September 30, 2023 and December 31, 2022 under the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December 31, 2022, the Company had $696,405 and $504,253, respectively, available under the Credit Facility.</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June 23, 2023, the Company amended the Credit Facility to replace the referenced interest rate based on LIBOR with the Secured Overnight Financing Rate (“SOFR”).</w:t>
      </w:r>
    </w:p>
    <w:p>
      <w:pPr>
        <w:spacing w:after="0" w:line="170"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Revolving loan borrowings under the Credit Facility bear interest at variable rates that reset every one, three, or six months depending on the period selected by the Company. Under the Term SOFR elections, revolving loan borrowings bear an interest rate of the applicable term SOFR rate plus 10 basis points (“bps”), plus a spread ranging from 125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Term SOFR elections, revolving loan borrowings bear a base interest rate of the highest of (i) the prime rate, (ii) the overnight bank funding effective rate plus 50 bps, or (iii) the applicable term SOFR rate plus 10 bps, plus a spread ranging from 25 bps to 125 bps as determined by the Company’s net leverage ratio.</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Swingline borrowings under the Credit Facility bear interest that resets daily. Interest on U.S. dollar swingline borrowings bear an interest rate of the daily simple SOFR rate plus 3.5 bps, plus a spread ranging from 125 bps to 225 bps as determined by the Company’s net leverage ratio. The Company cannot make optional currency swingline borrowings without the consent of the applicable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Term loan borrowings under the Credit Facility bear interest at variable rates that reset every one, three, or six months depending on the period selected by the Company. Under the Term SOFR elections, term loan borrowings bear an interest rate of the applicable term SOFR rate plus 10 bps, plus a spread ranging from 100 bps to 200 bps as determined by the Company’s net leverage ratio. Under the non</w:t>
      </w:r>
      <w:r>
        <w:rPr>
          <w:rFonts w:ascii="MS PGothic" w:cs="MS PGothic" w:eastAsia="MS PGothic" w:hAnsi="MS PGothic"/>
          <w:sz w:val="17"/>
          <w:szCs w:val="17"/>
          <w:color w:val="auto"/>
        </w:rPr>
        <w:t>‑</w:t>
      </w:r>
      <w:r>
        <w:rPr>
          <w:rFonts w:ascii="Arial" w:cs="Arial" w:eastAsia="Arial" w:hAnsi="Arial"/>
          <w:sz w:val="17"/>
          <w:szCs w:val="17"/>
          <w:color w:val="auto"/>
        </w:rPr>
        <w:t>Term SOFR elections, term loan borrowings bear a base interest rate of the highest of (i) the prime rate, (ii) the overnight bank funding effective rate plus 50 bps, or (iii) the applicable term SOFR rate plus 10 bps, plus a spread ranging from 0 bps to 100 bps as determined by the Company’s net leverage ratio.</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a commitment fee for the unused Credit Facility ranges from 20 bps to 30 bps as determined by the Company’s net leverage ratio.</w:t>
      </w:r>
    </w:p>
    <w:p>
      <w:pPr>
        <w:spacing w:after="0" w:line="23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Borrowings under the Credit Facility are guaranteed by all of the Company’s material first tier domestic subsidiaries and are secured by a first priority security interest in substantially all of the Company’s and the guarantors’ U.S. assets and 65% of the stock of their directly owned foreign subsidiaries.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agreement governing the Credit Facility contains customary positive and negative covenants, including restrictions on our ability to pay dividends and make other restricted payments, as well as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 The Credit Facility also contains customary financial covenants, including maximum net leverage ratio. As of September 30, 2023 and December 31, 2022, the Company was in compliance with all covenants in its Credit Facility.</w:t>
      </w:r>
    </w:p>
    <w:p>
      <w:pPr>
        <w:spacing w:after="0" w:line="1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SOFR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is subject to customary breakage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2023 and December 31, 2022, the Company was in compliance with all covenants in the 2026 Notes and 2027 Notes, and none of the conditions of the 2026 Notes or 2027 Notes to early convert had been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Arrangements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records derivative instruments as an asset or liability 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Arial" w:cs="Arial" w:eastAsia="Arial" w:hAnsi="Arial"/>
          <w:sz w:val="17"/>
          <w:szCs w:val="17"/>
          <w:i w:val="1"/>
          <w:iCs w:val="1"/>
          <w:color w:val="auto"/>
        </w:rPr>
        <w:t>Other comprehensive income (loss), net of taxes</w:t>
      </w:r>
      <w:r>
        <w:rPr>
          <w:rFonts w:ascii="Arial" w:cs="Arial" w:eastAsia="Arial" w:hAnsi="Arial"/>
          <w:sz w:val="17"/>
          <w:szCs w:val="17"/>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Effective on April 2, 2020, the Company entered into an interest rate swap with a notional amount of $200,000 and a ten</w:t>
      </w:r>
      <w:r>
        <w:rPr>
          <w:rFonts w:ascii="MS PGothic" w:cs="MS PGothic" w:eastAsia="MS PGothic" w:hAnsi="MS PGothic"/>
          <w:sz w:val="17"/>
          <w:szCs w:val="17"/>
          <w:color w:val="auto"/>
        </w:rPr>
        <w:t>‑</w:t>
      </w:r>
      <w:r>
        <w:rPr>
          <w:rFonts w:ascii="Arial" w:cs="Arial" w:eastAsia="Arial" w:hAnsi="Arial"/>
          <w:sz w:val="17"/>
          <w:szCs w:val="17"/>
          <w:color w:val="auto"/>
        </w:rPr>
        <w:t xml:space="preserve">year term to reduce the interest rate risk associated with the Credit Facility. Effective on June 26, 2023, the Company amended the interest rate swap agreement to replace the LIBOR rate to SOFR under the ISDA Fallback Protocols included within the agreement. Subsequent to the amendment, the Company will continue to pay a fixed interest rate of 72.9 bps, and will receive a floating interest rate equal to daily SOFR plus an ARRC spread adjustment of 11.448 bps.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(see Note 20).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consists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Amortization of deferred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(5,468)</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interest rate on borrowings under the Credit Facility were 7.44% and 4.34% for the three months ended September 30, 2023 and 2022, respectively, and 7.04% and 3.20% for the nine months ended September 30,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2023 and 2022,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$5,081 and $8,454, respectively, and $17,326 and $24,984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(income) expense was $(3,160) and $(4,576) for the three months ended September 30, 2023 and 2022,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$4,763 and $(21,873) for the nine months ended September 30, 2023 and 2022, respectively.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September 30, 2023 and 2022, elective participant deferrals into the Company’s unfunded amended and restated Bentley Systems, Incorporated Nonqualified Deferred Compensation Plan (the “DCP”) were $61 and $1,586, respectively, and $1,712 and $4,694 for the nine months ended September 30, 2023 and 2022, respectively. No discretionary contributions were made to the DCP during the three and nine months ended September 30, 2023 and 2022. As of September 30, 2023 and December 31, 2022, phantom shares of the Company’s Class B Common Stock issuable by the DCP were 17,911,610 and 21,587,831,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79,537</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77,014</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81,719</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BSY Stock Repurchase Program</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11, 2022, the Company announced that its Board of Directors approved the BSY Stock Repurchase Program (the “Repurchase Program”) authorizing the Company to repurchase up to $200,000 of the Company’s Class B Common Stock through June 30, 2024. On December 14, 2022, the Company’s Board of Directors amended the Repurchase Program to allow the Company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notes, general market and economic conditions, available liquidity, compliance with the Company’s debt and other agreements, and applicable legal requirements. The exact number of shares and/or notes to be repurchased by the Company is not guaranteed, and the Repurchase Program may be suspended, modified, or discontinued at any time without prior notice. The Company did not repurchase shares under the Repurchase Program for the nine months ended September 30, 2023. For the nine months ended September 30, 2022, the Company repurchased 896,126 shares for $28,250 under the Repurchase Program. As of September 30, 2023, $169,752 was available under the Company’s Board of Directors authorization for future repurchases of Class B Common Stock and/or outstanding convertible senior notes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Issuances, Sales, and Repurchases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nine months ended September 30, 2023, the Company issued 2,422,082 shares of Class B Common Stock to colleagues who exercised their stock options, net of 234,472 shares withheld at exercise to pay for the cost of the stock options, as well as for $6,408 of applicable income tax withholdings. The Company received $10,590 in proceeds from the exercise of stock options. For the nine months ended September 30, 2022, the Company issued 2,272,603 shares of Class B Common Stock to colleagues who exercised their stock options, net of 362,826 shares withheld at exercise to pay for the cost of the stock options, as well as for $8,459 of applicable income tax withholdings. The Company received $6,855 in proceeds from the exercise of stock options.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2022, the Company issued 185,178 shares of Class B Common Stock related to the exercise of acquisition options, net of 714,822 shares withheld at exercise to pay for the cost of the options. The Company did not receive any proceeds from the exercise of these options.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2023 and 2022, the Company issued 171,510 and 284,992 shares of Class B Common Stock, respectively, in connection with Bonus Plan incentive compensation, net of shares withheld. Of the total 306,824 shares awarded for the nine months ended September 30, 2023, 135,314 shares were sold back to the Company in the same period to pay for applicable income tax withholdings of $5,756. Of the total 409,108 shares awarded for the nine months ended September 30, 2022, 124,116 shares were sold back to the Company in the same period to pay for applicable income tax withholdings of $5,197.</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2023 and 2022, the Company issued 2,845,448 and 3,523,386 shares of Class B Common Stock, respectively, to DCP participants in connection with distributions from the plan. The distribution in shares for the nine months ended September 30, 2023 totaled 3,781,387 shares of which 935,939 shares were sold back to the Company in the same period to pay for applicable income tax withholdings of $38,456. The distribution in shares for the nine months ended September 30, 2022 totaled 4,023,718 shares of which 500,332 shares were sold back to the Company in the same period to pay for applicable income tax withholdings of $24,246.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cash dividends during the periods presented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Dividend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8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Amount</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14,768</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0.05</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8,592</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Employee Stock Purchase Plan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During the nine months ended September 30, 2023, colleagues who elected to participate in the Bentley Systems, Incorporated Global Employee Stock Purchase Plan (the “ESPP”) purchased a total of 315,840 shares of Class B Common Stock, net of shares withheld, resulting in cash proceeds to the Company of $9,988. Of the total 333,324 shares purchased, 17,484 shares were sold back to the Company to pay for applicable income tax withholdings of $845. During the nine months ended September 30, 2022, colleagues who elected to participate in the ESPP purchased a total of 307,406 shares of Class B Common Stock, net of shares withheld, resulting in cash proceeds to the Company of $10,335. Of the total 314,471 shares purchased, 7,065 shares were sold back to the Company to pay for applicable income tax withholdings of $273. As of September 30, 2023 and December 31, 2022, $2,923 and $5,230 of ESPP withholdings via colleague payroll deduction were recorded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 respectively. As of September 30, 2023, shares of Class B Common Stock available for future issuance under the ESPP were 24,272,038.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three months ended September 30, 2023 and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(87,828)</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(7,294)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(89,131)</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(12,809)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(12,793)</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(12,798)</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nine months ended September 30, 2023 and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8"/>
                <w:szCs w:val="18"/>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2"/>
              </w:rPr>
              <w:t>Actuarial (Loss)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center"/>
              <w:ind w:left="16"/>
              <w:spacing w:after="0"/>
              <w:rPr>
                <w:sz w:val="20"/>
                <w:szCs w:val="20"/>
                <w:color w:val="auto"/>
              </w:rPr>
            </w:pPr>
            <w:r>
              <w:rPr>
                <w:rFonts w:ascii="Arial" w:cs="Arial" w:eastAsia="Arial" w:hAnsi="Arial"/>
                <w:sz w:val="16"/>
                <w:szCs w:val="16"/>
                <w:b w:val="1"/>
                <w:bCs w:val="1"/>
                <w:color w:val="auto"/>
                <w:w w:val="90"/>
              </w:rPr>
              <w:t>Gain 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9"/>
                <w:szCs w:val="19"/>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3"/>
              </w:rPr>
              <w:t>Retirement Plan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(89,408)</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Other comprehensive (loss) income, before taxes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(5,416)</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expense</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 income, net of taxes</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(5,416)</w:t>
            </w:r>
          </w:p>
        </w:tc>
        <w:tc>
          <w:tcPr>
            <w:tcW w:w="2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2023</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(94,824)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2"/>
              </w:rPr>
              <w:t>Actuarial (Loss)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center"/>
              <w:ind w:left="16"/>
              <w:spacing w:after="0"/>
              <w:rPr>
                <w:sz w:val="20"/>
                <w:szCs w:val="20"/>
                <w:color w:val="auto"/>
              </w:rPr>
            </w:pPr>
            <w:r>
              <w:rPr>
                <w:rFonts w:ascii="Arial" w:cs="Arial" w:eastAsia="Arial" w:hAnsi="Arial"/>
                <w:sz w:val="16"/>
                <w:szCs w:val="16"/>
                <w:b w:val="1"/>
                <w:bCs w:val="1"/>
                <w:color w:val="auto"/>
                <w:w w:val="90"/>
              </w:rPr>
              <w:t>Gain 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9"/>
                <w:szCs w:val="19"/>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3"/>
              </w:rPr>
              <w:t>Retirement Plan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Other comprehensive (loss) income, before taxes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(10,192)</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expense</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 income, net of taxes</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(10,192)</w:t>
            </w:r>
          </w:p>
        </w:tc>
        <w:tc>
          <w:tcPr>
            <w:tcW w:w="2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(101,059)</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15: Stock-Based Compensation</w:t>
            </w: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gridSpan w:val="2"/>
          </w:tcPr>
          <w:p>
            <w:pPr>
              <w:ind w:left="320"/>
              <w:spacing w:after="0" w:line="207" w:lineRule="exact"/>
              <w:rPr>
                <w:sz w:val="20"/>
                <w:szCs w:val="20"/>
                <w:color w:val="auto"/>
              </w:rPr>
            </w:pPr>
            <w:r>
              <w:rPr>
                <w:rFonts w:ascii="Arial" w:cs="Arial" w:eastAsia="Arial" w:hAnsi="Arial"/>
                <w:sz w:val="18"/>
                <w:szCs w:val="18"/>
                <w:color w:val="auto"/>
                <w:w w:val="90"/>
              </w:rPr>
              <w:t>Total stock</w:t>
            </w:r>
            <w:r>
              <w:rPr>
                <w:rFonts w:ascii="MS PGothic" w:cs="MS PGothic" w:eastAsia="MS PGothic" w:hAnsi="MS PGothic"/>
                <w:sz w:val="18"/>
                <w:szCs w:val="18"/>
                <w:color w:val="auto"/>
                <w:w w:val="90"/>
              </w:rPr>
              <w:t>‑</w:t>
            </w:r>
            <w:r>
              <w:rPr>
                <w:rFonts w:ascii="Arial" w:cs="Arial" w:eastAsia="Arial" w:hAnsi="Arial"/>
                <w:sz w:val="18"/>
                <w:szCs w:val="18"/>
                <w:color w:val="auto"/>
                <w:w w:val="90"/>
              </w:rPr>
              <w:t>based compensation expense consists of the following:</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172"/>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gridSpan w:val="8"/>
          </w:tcPr>
          <w:p>
            <w:pPr>
              <w:jc w:val="center"/>
              <w:ind w:right="46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5"/>
              </w:rPr>
              <w:t>2023</w:t>
            </w: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and restricted stock units (“RSUs”)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41,441</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Bonus Plan expense (see Note 11)</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3,847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7,305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11,729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 expense (see Note 13)</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Stock grants expense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DCP elective participant deferrals expense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(see Note 12)</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stock-based compensation expense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18,504</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DCP elective participant deferrals expense excludes deferred incentive bonus payable pursuant to the Bonus Plan.</w:t>
      </w:r>
    </w:p>
    <w:p>
      <w:pPr>
        <w:spacing w:after="0" w:line="5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As of September 30, 2023 and December 31, 2022, $4,656 and $7,300 remained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18,504</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56,092</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51,359</w:t>
            </w:r>
          </w:p>
        </w:tc>
      </w:tr>
      <w:tr>
        <w:trPr>
          <w:trHeight w:val="21"/>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Arial" w:cs="Arial" w:eastAsia="Arial" w:hAnsi="Arial"/>
          <w:sz w:val="18"/>
          <w:szCs w:val="18"/>
          <w:color w:val="auto"/>
        </w:rPr>
        <w:t>based RSUs,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0"/>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3,794,515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(2,656,554)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September 30,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2023 and 2022, the Company received cash proceeds of $10,590 and $6,855, respectively, related to the exercise of stock options. The total intrinsic value of stock options exercised for the nine months ended September 30, 2023 and 2022 was $102,667 and $89,532,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2023, there was no remaining unrecognized compensation expense related to unvested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including growth in annualized recurring revenues (“ARR”), and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among others. Performance targets are generally set for performance periods of one year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summary of unvested restricted stock and RSU activity and related information under the Company’s applicable equity incentive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Performance-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Based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6"/>
              </w:rPr>
              <w:t>Time-</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7"/>
                <w:szCs w:val="17"/>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Based</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Restricted</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3"/>
              </w:rPr>
              <w:t>Restricted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7"/>
              </w:rPr>
              <w:t>Grant Date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7"/>
                <w:szCs w:val="17"/>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Based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Fair Value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and RSUs</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0"/>
              </w:rPr>
              <w:t>and RSUs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December 31, 2022</w:t>
            </w:r>
          </w:p>
        </w:tc>
        <w:tc>
          <w:tcPr>
            <w:tcW w:w="11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3,068,851</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2,706,078</w:t>
            </w:r>
          </w:p>
        </w:tc>
        <w:tc>
          <w:tcPr>
            <w:tcW w:w="4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w w:val="95"/>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362,773</w:t>
            </w:r>
          </w:p>
        </w:tc>
        <w:tc>
          <w:tcPr>
            <w:tcW w:w="4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w w:val="95"/>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270"/>
        </w:trPr>
        <w:tc>
          <w:tcPr>
            <w:tcW w:w="20" w:type="dxa"/>
            <w:vAlign w:val="bottom"/>
          </w:tcPr>
          <w:p>
            <w:pPr>
              <w:spacing w:after="0"/>
              <w:rPr>
                <w:sz w:val="23"/>
                <w:szCs w:val="23"/>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1,199,644</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(1)</w:t>
            </w:r>
          </w:p>
        </w:tc>
        <w:tc>
          <w:tcPr>
            <w:tcW w:w="1160" w:type="dxa"/>
            <w:vAlign w:val="bottom"/>
          </w:tcPr>
          <w:p>
            <w:pPr>
              <w:ind w:left="380"/>
              <w:spacing w:after="0"/>
              <w:rPr>
                <w:sz w:val="20"/>
                <w:szCs w:val="20"/>
                <w:color w:val="auto"/>
              </w:rPr>
            </w:pPr>
            <w:r>
              <w:rPr>
                <w:rFonts w:ascii="Arial" w:cs="Arial" w:eastAsia="Arial" w:hAnsi="Arial"/>
                <w:sz w:val="18"/>
                <w:szCs w:val="18"/>
                <w:color w:val="auto"/>
                <w:w w:val="94"/>
              </w:rPr>
              <w:t>1,003,180</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196,464</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(5)</w:t>
            </w:r>
          </w:p>
        </w:tc>
        <w:tc>
          <w:tcPr>
            <w:tcW w:w="16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41.17</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39.03</w:t>
            </w:r>
          </w:p>
        </w:tc>
      </w:tr>
      <w:tr>
        <w:trPr>
          <w:trHeight w:val="270"/>
        </w:trPr>
        <w:tc>
          <w:tcPr>
            <w:tcW w:w="20" w:type="dxa"/>
            <w:vAlign w:val="bottom"/>
          </w:tcPr>
          <w:p>
            <w:pPr>
              <w:spacing w:after="0"/>
              <w:rPr>
                <w:sz w:val="23"/>
                <w:szCs w:val="23"/>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(780,084)</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(622,924)</w:t>
            </w:r>
          </w:p>
        </w:tc>
        <w:tc>
          <w:tcPr>
            <w:tcW w:w="4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(157,160)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70"/>
        </w:trPr>
        <w:tc>
          <w:tcPr>
            <w:tcW w:w="20" w:type="dxa"/>
            <w:vAlign w:val="bottom"/>
          </w:tcPr>
          <w:p>
            <w:pPr>
              <w:spacing w:after="0"/>
              <w:rPr>
                <w:sz w:val="23"/>
                <w:szCs w:val="23"/>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Forfeited and canceled</w:t>
            </w:r>
          </w:p>
        </w:tc>
        <w:tc>
          <w:tcPr>
            <w:tcW w:w="1180" w:type="dxa"/>
            <w:vAlign w:val="bottom"/>
          </w:tcPr>
          <w:p>
            <w:pPr>
              <w:ind w:left="440"/>
              <w:spacing w:after="0"/>
              <w:rPr>
                <w:sz w:val="20"/>
                <w:szCs w:val="20"/>
                <w:color w:val="auto"/>
              </w:rPr>
            </w:pPr>
            <w:r>
              <w:rPr>
                <w:rFonts w:ascii="Arial" w:cs="Arial" w:eastAsia="Arial" w:hAnsi="Arial"/>
                <w:sz w:val="18"/>
                <w:szCs w:val="18"/>
                <w:color w:val="auto"/>
                <w:w w:val="93"/>
              </w:rPr>
              <w:t>(180,944)</w:t>
            </w:r>
          </w:p>
        </w:tc>
        <w:tc>
          <w:tcPr>
            <w:tcW w:w="440" w:type="dxa"/>
            <w:vAlign w:val="bottom"/>
          </w:tcPr>
          <w:p>
            <w:pPr>
              <w:spacing w:after="0"/>
              <w:rPr>
                <w:sz w:val="23"/>
                <w:szCs w:val="23"/>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w w:val="90"/>
              </w:rPr>
              <w:t>(143,620)</w:t>
            </w:r>
          </w:p>
        </w:tc>
        <w:tc>
          <w:tcPr>
            <w:tcW w:w="440" w:type="dxa"/>
            <w:vAlign w:val="bottom"/>
          </w:tcPr>
          <w:p>
            <w:pPr>
              <w:spacing w:after="0"/>
              <w:rPr>
                <w:sz w:val="23"/>
                <w:szCs w:val="23"/>
                <w:color w:val="auto"/>
              </w:rPr>
            </w:pP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(37,324)</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w:t>
            </w:r>
          </w:p>
        </w:tc>
      </w:tr>
      <w:tr>
        <w:trPr>
          <w:trHeight w:val="248"/>
        </w:trPr>
        <w:tc>
          <w:tcPr>
            <w:tcW w:w="20" w:type="dxa"/>
            <w:vAlign w:val="bottom"/>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September 30, 2023</w:t>
            </w:r>
          </w:p>
        </w:tc>
        <w:tc>
          <w:tcPr>
            <w:tcW w:w="11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3,307,467</w:t>
            </w:r>
          </w:p>
        </w:tc>
        <w:tc>
          <w:tcPr>
            <w:tcW w:w="440" w:type="dxa"/>
            <w:vAlign w:val="bottom"/>
            <w:tcBorders>
              <w:top w:val="single" w:sz="8" w:color="CCEEFF"/>
              <w:bottom w:val="single" w:sz="8" w:color="CCEEFF"/>
            </w:tcBorders>
            <w:shd w:val="clear" w:color="auto" w:fill="CCEEFF"/>
          </w:tcPr>
          <w:p>
            <w:pPr>
              <w:jc w:val="right"/>
              <w:ind w:right="222"/>
              <w:spacing w:after="0"/>
              <w:rPr>
                <w:sz w:val="20"/>
                <w:szCs w:val="20"/>
                <w:color w:val="auto"/>
              </w:rPr>
            </w:pPr>
            <w:r>
              <w:rPr>
                <w:rFonts w:ascii="Arial" w:cs="Arial" w:eastAsia="Arial" w:hAnsi="Arial"/>
                <w:sz w:val="12"/>
                <w:szCs w:val="12"/>
                <w:color w:val="auto"/>
                <w:w w:val="95"/>
              </w:rPr>
              <w:t>(2)</w:t>
            </w:r>
          </w:p>
        </w:tc>
        <w:tc>
          <w:tcPr>
            <w:tcW w:w="11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2,942,714</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364,753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nine months ended September 30, 2023, the Company only granted RSUs.</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59,089 RSUs which are expected to be settled in cash.</w:t>
      </w:r>
    </w:p>
    <w:p>
      <w:pPr>
        <w:spacing w:after="0" w:line="59" w:lineRule="exact"/>
        <w:rPr>
          <w:rFonts w:ascii="Arial" w:cs="Arial" w:eastAsia="Arial" w:hAnsi="Arial"/>
          <w:sz w:val="16"/>
          <w:szCs w:val="16"/>
          <w:color w:val="auto"/>
        </w:rPr>
      </w:pPr>
    </w:p>
    <w:p>
      <w:pPr>
        <w:ind w:left="340" w:hanging="332"/>
        <w:spacing w:after="0" w:line="161" w:lineRule="exact"/>
        <w:tabs>
          <w:tab w:leader="none" w:pos="340" w:val="left"/>
        </w:tabs>
        <w:numPr>
          <w:ilvl w:val="0"/>
          <w:numId w:val="12"/>
        </w:numPr>
        <w:rPr>
          <w:rFonts w:ascii="Arial" w:cs="Arial" w:eastAsia="Arial" w:hAnsi="Arial"/>
          <w:sz w:val="14"/>
          <w:szCs w:val="14"/>
          <w:color w:val="231F20"/>
        </w:rPr>
      </w:pPr>
      <w:r>
        <w:rPr>
          <w:rFonts w:ascii="Arial" w:cs="Arial" w:eastAsia="Arial" w:hAnsi="Arial"/>
          <w:sz w:val="14"/>
          <w:szCs w:val="14"/>
          <w:color w:val="auto"/>
        </w:rPr>
        <w:t>Includes 199,076 time</w:t>
      </w:r>
      <w:r>
        <w:rPr>
          <w:rFonts w:ascii="MS PGothic" w:cs="MS PGothic" w:eastAsia="MS PGothic" w:hAnsi="MS PGothic"/>
          <w:sz w:val="14"/>
          <w:szCs w:val="14"/>
          <w:color w:val="auto"/>
        </w:rPr>
        <w:t>‑</w:t>
      </w:r>
      <w:r>
        <w:rPr>
          <w:rFonts w:ascii="Arial" w:cs="Arial" w:eastAsia="Arial" w:hAnsi="Arial"/>
          <w:sz w:val="14"/>
          <w:szCs w:val="14"/>
          <w:color w:val="auto"/>
        </w:rPr>
        <w:t>based RSUs granted during the three months ended March 31, 2022 to certain officers and key employees, which cliff vest on January 31, 2025.</w:t>
      </w:r>
    </w:p>
    <w:p>
      <w:pPr>
        <w:spacing w:after="0" w:line="82" w:lineRule="exact"/>
        <w:rPr>
          <w:rFonts w:ascii="Arial" w:cs="Arial" w:eastAsia="Arial" w:hAnsi="Arial"/>
          <w:sz w:val="14"/>
          <w:szCs w:val="14"/>
          <w:color w:val="231F20"/>
        </w:rPr>
      </w:pPr>
    </w:p>
    <w:p>
      <w:pPr>
        <w:ind w:left="340" w:right="20" w:hanging="332"/>
        <w:spacing w:after="0" w:line="204" w:lineRule="exact"/>
        <w:tabs>
          <w:tab w:leader="none" w:pos="34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Primarily relates to the 2022 annual performance period, except for 185,186 performance</w:t>
      </w:r>
      <w:r>
        <w:rPr>
          <w:rFonts w:ascii="MS PGothic" w:cs="MS PGothic" w:eastAsia="MS PGothic" w:hAnsi="MS PGothic"/>
          <w:sz w:val="16"/>
          <w:szCs w:val="16"/>
          <w:color w:val="auto"/>
        </w:rPr>
        <w:t>‑</w:t>
      </w:r>
      <w:r>
        <w:rPr>
          <w:rFonts w:ascii="Arial" w:cs="Arial" w:eastAsia="Arial" w:hAnsi="Arial"/>
          <w:sz w:val="16"/>
          <w:szCs w:val="16"/>
          <w:color w:val="auto"/>
        </w:rPr>
        <w:t>based RSUs granted during the year ended December 31, 2022 with extraordinary terms, which are described below.</w:t>
      </w:r>
    </w:p>
    <w:p>
      <w:pPr>
        <w:spacing w:after="0" w:line="37" w:lineRule="exact"/>
        <w:rPr>
          <w:rFonts w:ascii="Arial" w:cs="Arial" w:eastAsia="Arial" w:hAnsi="Arial"/>
          <w:sz w:val="16"/>
          <w:szCs w:val="16"/>
          <w:color w:val="231F20"/>
        </w:rPr>
      </w:pPr>
    </w:p>
    <w:p>
      <w:pPr>
        <w:ind w:left="340" w:hanging="332"/>
        <w:spacing w:after="0" w:line="204" w:lineRule="exact"/>
        <w:tabs>
          <w:tab w:leader="none" w:pos="34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Primarily relates to the 2023 annual performance period, except for 13,367 additional shares earned based on the achievement of 2022 performance goals for performance</w:t>
      </w:r>
      <w:r>
        <w:rPr>
          <w:rFonts w:ascii="MS PGothic" w:cs="MS PGothic" w:eastAsia="MS PGothic" w:hAnsi="MS PGothic"/>
          <w:sz w:val="16"/>
          <w:szCs w:val="16"/>
          <w:color w:val="auto"/>
        </w:rPr>
        <w:t>‑</w:t>
      </w:r>
      <w:r>
        <w:rPr>
          <w:rFonts w:ascii="Arial" w:cs="Arial" w:eastAsia="Arial" w:hAnsi="Arial"/>
          <w:sz w:val="16"/>
          <w:szCs w:val="16"/>
          <w:color w:val="auto"/>
        </w:rPr>
        <w:t>based RSUs granted during the year ended December 31, 2022.</w:t>
      </w:r>
    </w:p>
    <w:p>
      <w:pPr>
        <w:spacing w:after="0" w:line="19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During the year ended December 31, 2022, the Company granted 185,186 performance</w:t>
      </w:r>
      <w:r>
        <w:rPr>
          <w:rFonts w:ascii="MS PGothic" w:cs="MS PGothic" w:eastAsia="MS PGothic" w:hAnsi="MS PGothic"/>
          <w:sz w:val="18"/>
          <w:szCs w:val="18"/>
          <w:color w:val="auto"/>
        </w:rPr>
        <w:t>‑</w:t>
      </w:r>
      <w:r>
        <w:rPr>
          <w:rFonts w:ascii="Arial" w:cs="Arial" w:eastAsia="Arial" w:hAnsi="Arial"/>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Arial" w:cs="Arial" w:eastAsia="Arial" w:hAnsi="Arial"/>
          <w:sz w:val="18"/>
          <w:szCs w:val="18"/>
          <w:color w:val="auto"/>
        </w:rPr>
        <w:t>third of the performance</w:t>
      </w:r>
      <w:r>
        <w:rPr>
          <w:rFonts w:ascii="MS PGothic" w:cs="MS PGothic" w:eastAsia="MS PGothic" w:hAnsi="MS PGothic"/>
          <w:sz w:val="18"/>
          <w:szCs w:val="18"/>
          <w:color w:val="auto"/>
        </w:rPr>
        <w:t>‑</w:t>
      </w:r>
      <w:r>
        <w:rPr>
          <w:rFonts w:ascii="Arial" w:cs="Arial" w:eastAsia="Arial" w:hAnsi="Arial"/>
          <w:sz w:val="18"/>
          <w:szCs w:val="18"/>
          <w:color w:val="auto"/>
        </w:rPr>
        <w:t>based RSUs will be subject to a cliff, whereby no vesting of that portion will occur unless the Company’s applicable margin metrics (which, for 2022, was Adjusted EBITDA margin and for 2023 and 2024, will be Adjusted operating income inclusive of stock-based compensation expense (“Adjusted OI w/SBC”) margin, excluding the impact of currency exchange fluctuations) also equals or exceeds the relevant target level for such year. Provided that the applicable margin targets are met, the total number of performance</w:t>
      </w:r>
      <w:r>
        <w:rPr>
          <w:rFonts w:ascii="MS PGothic" w:cs="MS PGothic" w:eastAsia="MS PGothic" w:hAnsi="MS PGothic"/>
          <w:sz w:val="18"/>
          <w:szCs w:val="18"/>
          <w:color w:val="auto"/>
        </w:rPr>
        <w:t>‑</w:t>
      </w:r>
      <w:r>
        <w:rPr>
          <w:rFonts w:ascii="Arial" w:cs="Arial" w:eastAsia="Arial" w:hAnsi="Arial"/>
          <w:sz w:val="18"/>
          <w:szCs w:val="18"/>
          <w:color w:val="auto"/>
        </w:rPr>
        <w:t>based RSUs that will vest is determined by the achievement of growth targets, which include growth in ARR,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Final actual vesting will be determined on January 31, 2025. The 2022 Adjusted EBITDA margin target for the performance</w:t>
      </w:r>
      <w:r>
        <w:rPr>
          <w:rFonts w:ascii="MS PGothic" w:cs="MS PGothic" w:eastAsia="MS PGothic" w:hAnsi="MS PGothic"/>
          <w:sz w:val="18"/>
          <w:szCs w:val="18"/>
          <w:color w:val="auto"/>
        </w:rPr>
        <w:t>‑</w:t>
      </w:r>
      <w:r>
        <w:rPr>
          <w:rFonts w:ascii="Arial" w:cs="Arial" w:eastAsia="Arial" w:hAnsi="Arial"/>
          <w:sz w:val="18"/>
          <w:szCs w:val="18"/>
          <w:color w:val="auto"/>
        </w:rPr>
        <w:t>based RSUs was met.</w:t>
      </w:r>
    </w:p>
    <w:p>
      <w:pPr>
        <w:spacing w:after="0" w:line="204"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6"/>
          <w:szCs w:val="16"/>
          <w:color w:val="auto"/>
        </w:rPr>
        <w:t>In 2016, the Company granted RSUs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as determined by the achievement of certain business growth targets. Certain colleagues elected to defer delivery of such shares upon vesting. During the nine months ended September 30, 2023 and 2022, 1,562 and 10,888 shares, respectively, were delivered to colleagues, and 28 and 23 additional shares, respectively, were earned as a result of dividends. As of September 30, 2023 and December 31, 2022, 7,829 and 9,363 shares, respectively, of these vested and deferred RSUs remained outstanding.</w:t>
      </w:r>
    </w:p>
    <w:p>
      <w:pPr>
        <w:spacing w:after="0" w:line="2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weighted average grant date fair values of RSUs granted were $40.82 and $38.68, for the nine months ended September 30, 2023 and 2022, respectively.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2023 and 2022, restricted stock and RSUs were issued net of 137,675 and 81,301 shares, respectively, which were sold back to the Company to settle applicable income tax withholdings of $6,062 and $3,208,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of September 30, 2023, there was $82,609 of unrecognized compensation expense related to unvested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 which is expected to be recognized over a weighted average period of approximately 1.7 years. As of September 30, 2023, there was $5,648 of unrecognized compensation expense related to unvested performance</w:t>
      </w:r>
      <w:r>
        <w:rPr>
          <w:rFonts w:ascii="MS PGothic" w:cs="MS PGothic" w:eastAsia="MS PGothic" w:hAnsi="MS PGothic"/>
          <w:sz w:val="18"/>
          <w:szCs w:val="18"/>
          <w:color w:val="auto"/>
        </w:rPr>
        <w:t>‑</w:t>
      </w:r>
      <w:r>
        <w:rPr>
          <w:rFonts w:ascii="Arial" w:cs="Arial" w:eastAsia="Arial" w:hAnsi="Arial"/>
          <w:sz w:val="18"/>
          <w:szCs w:val="18"/>
          <w:color w:val="auto"/>
        </w:rPr>
        <w:t>based RSUs, which is expected to be recognized over a weighted average period of approximately 0.8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Grants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2023 and 2022, the Company granted 12,639 and 13,632 fully vested shares of Class B Common Stock, respectively, with a fair value of $600 and $450,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Subsequent to September 30, 2023</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October 2023, the Company granted 265,759 time</w:t>
      </w:r>
      <w:r>
        <w:rPr>
          <w:rFonts w:ascii="MS PGothic" w:cs="MS PGothic" w:eastAsia="MS PGothic" w:hAnsi="MS PGothic"/>
          <w:sz w:val="18"/>
          <w:szCs w:val="18"/>
          <w:color w:val="auto"/>
        </w:rPr>
        <w:t>‑</w:t>
      </w:r>
      <w:r>
        <w:rPr>
          <w:rFonts w:ascii="Arial" w:cs="Arial" w:eastAsia="Arial" w:hAnsi="Arial"/>
          <w:sz w:val="18"/>
          <w:szCs w:val="18"/>
          <w:color w:val="auto"/>
        </w:rPr>
        <w:t>based RSUs, which generally vest ratably on each of the first four anniversaries of the grant date. The unrecognized compensation expense related to these RSUs is approximately $13,000, which is expected to be recognized over a weighted average period of approximately 4.0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is a summary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and effective tax rate for the periods presented: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69,585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169,353</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159,125</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Provision for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16,514</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9,664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22,107</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8,221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9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three months ended September 30, 2023, the effective tax rate was higher compared to the prior year period primarily due to an increase in the forecasted effective tax rate impact of the U.S. Global Intangible Low-Taxed Income (“GILTI”) inclusion due to the mandatory capitalization of research and development expenses for U.S. tax purposes. For the three months ended September 30, 2023 and 2022, the Company recorded discrete tax benefits of $4,428 and $4,280, respectively, primarily associated with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net of the impact from officer compensation limitation provisions.</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2023, the effective tax rate was higher compared to the prior year period primarily due to an increase in the forecasted effective tax rate impact of the GILTI inclusion due to the mandatory capitalization of research and development expenses for U.S. tax purposes and a decrease in discrete tax benefits recognized in the current year period. For the nine months ended September 30, 2023 and 2022, the Company recorded discrete tax benefits of $31,895 and $36,032, respectively, primarily associated with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i w:val="1"/>
          <w:iCs w:val="1"/>
          <w:color w:val="auto"/>
        </w:rPr>
        <w:t xml:space="preserve">Current assets and current liabilities </w:t>
      </w:r>
      <w:r>
        <w:rPr>
          <w:rFonts w:ascii="Arial" w:cs="Arial" w:eastAsia="Arial" w:hAnsi="Arial"/>
          <w:sz w:val="18"/>
          <w:szCs w:val="18"/>
          <w:color w:val="auto"/>
        </w:rPr>
        <w:t>— In general, the carrying amounts reported on the Company’s consolidated balance sheets for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approximate their fair values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those instruments.</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by the Company in estimating its fair value measurements for Level 2 and Level 3 financial instruments as of September 30, 2023 and December 31, 2022:</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Acquisition contingent consideration </w:t>
      </w:r>
      <w:r>
        <w:rPr>
          <w:rFonts w:ascii="Arial" w:cs="Arial" w:eastAsia="Arial" w:hAnsi="Arial"/>
          <w:sz w:val="18"/>
          <w:szCs w:val="18"/>
          <w:color w:val="auto"/>
        </w:rPr>
        <w:t>— The fair value of these liabilities is generally determined using a cost or income approach and is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 The fair value of the Company’s interest rate swap asset or liability is determined using an income approach and is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implied forward rates for the remaining term of the interest rate swap. The Company considers these valuation inputs to be Level 2 inputs in the fair value hierarchy.</w:t>
      </w:r>
    </w:p>
    <w:p>
      <w:pPr>
        <w:spacing w:after="0" w:line="1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fair value of the Company’s borrowings under its Credit Facility approximated its carrying value based upon discounted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at current market rates for instruments with similar remaining terms. The Company considers these valuation inputs to be Level 2 inputs in the fair value hierarchy. As of September 30, 2023, the estimated fair value of the 2026 Notes and 2027 Notes was $671,962 and $492,815, respectively. As of December 31, 2022, the estimated fair value of the 2026 Notes and 2027 Notes was $622,431 and $470,856,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Deferred compensation plan liabilities </w:t>
      </w:r>
      <w:r>
        <w:rPr>
          <w:rFonts w:ascii="Arial" w:cs="Arial" w:eastAsia="Arial" w:hAnsi="Arial"/>
          <w:sz w:val="18"/>
          <w:szCs w:val="18"/>
          <w:color w:val="auto"/>
        </w:rPr>
        <w:t>— The fair value of deferred compensation plan liabilities, including the liability classified phantom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DCP, are marked to market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assets and financial liabilities carried at fair value measured on a recurring basis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2023</w:t>
            </w:r>
          </w:p>
        </w:tc>
        <w:tc>
          <w:tcPr>
            <w:tcW w:w="24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3,023</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w:t>
            </w:r>
          </w:p>
        </w:tc>
        <w:tc>
          <w:tcPr>
            <w:tcW w:w="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81,719</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81,719</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24"/>
                <w:szCs w:val="24"/>
                <w:color w:val="auto"/>
              </w:rPr>
            </w:pPr>
          </w:p>
        </w:tc>
        <w:tc>
          <w:tcPr>
            <w:tcW w:w="128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37,219</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w:t>
            </w:r>
          </w:p>
        </w:tc>
        <w:tc>
          <w:tcPr>
            <w:tcW w:w="20" w:type="dxa"/>
            <w:vAlign w:val="bottom"/>
            <w:shd w:val="clear" w:color="auto" w:fill="CCEEFF"/>
          </w:tcPr>
          <w:p>
            <w:pPr>
              <w:spacing w:after="0"/>
              <w:rPr>
                <w:sz w:val="23"/>
                <w:szCs w:val="23"/>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(3)</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tcPr>
          <w:p>
            <w:pPr>
              <w:spacing w:after="0"/>
              <w:rPr>
                <w:sz w:val="23"/>
                <w:szCs w:val="23"/>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80,813</w:t>
            </w:r>
          </w:p>
        </w:tc>
        <w:tc>
          <w:tcPr>
            <w:tcW w:w="20" w:type="dxa"/>
            <w:vAlign w:val="bottom"/>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in the consolidated balance sheets.</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w:t>
      </w:r>
    </w:p>
    <w:p>
      <w:pPr>
        <w:spacing w:after="0" w:line="59" w:lineRule="exact"/>
        <w:rPr>
          <w:rFonts w:ascii="Arial" w:cs="Arial" w:eastAsia="Arial" w:hAnsi="Arial"/>
          <w:sz w:val="16"/>
          <w:szCs w:val="16"/>
          <w:color w:val="auto"/>
        </w:rPr>
      </w:pPr>
    </w:p>
    <w:p>
      <w:pPr>
        <w:ind w:left="340" w:hanging="332"/>
        <w:spacing w:after="0" w:line="29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Deferred compensation plan liabilities</w:t>
      </w:r>
      <w:r>
        <w:rPr>
          <w:rFonts w:ascii="Arial" w:cs="Arial" w:eastAsia="Arial" w:hAnsi="Arial"/>
          <w:sz w:val="16"/>
          <w:szCs w:val="16"/>
          <w:color w:val="auto"/>
        </w:rPr>
        <w:t xml:space="preserve">, except for current liabilities of $2,182 and $2,067 as of September 30, 2023 and December 31, 2022, respectively, which are 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the changes in fair value of the Company’s financial liabilities which have been classified as Level 3 in the fair value hierarchy: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8"/>
                <w:szCs w:val="18"/>
                <w:color w:val="auto"/>
              </w:rPr>
            </w:pPr>
          </w:p>
        </w:tc>
        <w:tc>
          <w:tcPr>
            <w:tcW w:w="184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2023</w:t>
            </w:r>
          </w:p>
        </w:tc>
        <w:tc>
          <w:tcPr>
            <w:tcW w:w="260" w:type="dxa"/>
            <w:vAlign w:val="bottom"/>
          </w:tcPr>
          <w:p>
            <w:pPr>
              <w:spacing w:after="0"/>
              <w:rPr>
                <w:sz w:val="19"/>
                <w:szCs w:val="19"/>
                <w:color w:val="auto"/>
              </w:rPr>
            </w:pPr>
          </w:p>
        </w:tc>
        <w:tc>
          <w:tcPr>
            <w:tcW w:w="1840" w:type="dxa"/>
            <w:vAlign w:val="bottom"/>
          </w:tcPr>
          <w:p>
            <w:pPr>
              <w:jc w:val="right"/>
              <w:ind w:right="312"/>
              <w:spacing w:after="0"/>
              <w:rPr>
                <w:sz w:val="20"/>
                <w:szCs w:val="20"/>
                <w:color w:val="auto"/>
              </w:rPr>
            </w:pPr>
            <w:r>
              <w:rPr>
                <w:rFonts w:ascii="Arial" w:cs="Arial" w:eastAsia="Arial" w:hAnsi="Arial"/>
                <w:sz w:val="16"/>
                <w:szCs w:val="16"/>
                <w:b w:val="1"/>
                <w:bCs w:val="1"/>
                <w:color w:val="auto"/>
                <w:w w:val="98"/>
              </w:rPr>
              <w:t>December 31, 2022</w:t>
            </w: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(5,261)</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4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40" w:type="dxa"/>
            <w:vAlign w:val="bottom"/>
          </w:tcPr>
          <w:p>
            <w:pPr>
              <w:spacing w:after="0"/>
              <w:rPr>
                <w:sz w:val="23"/>
                <w:szCs w:val="23"/>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1"/>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b w:val="1"/>
          <w:bCs w:val="1"/>
          <w:i w:val="1"/>
          <w:iCs w:val="1"/>
          <w:color w:val="auto"/>
        </w:rPr>
        <w:t xml:space="preserve">Purchase Commitments </w:t>
      </w:r>
      <w:r>
        <w:rPr>
          <w:rFonts w:ascii="Arial" w:cs="Arial" w:eastAsia="Arial" w:hAnsi="Arial"/>
          <w:sz w:val="18"/>
          <w:szCs w:val="18"/>
          <w:color w:val="auto"/>
        </w:rPr>
        <w:t>— In the normal course of business, the Company enters into various purchase commitments for goods and services.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2023, the Company entered into approximately $158,000 of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commitments for services related to cloud provisioning of the Company’s software solutions and for other software costs through May 2026 and September 2028, respectively. As of September 30, 2023, the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commitments were approximately $137,000. The Company expects to fully consume its contractual commitments in the ordinary course of operations.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Revenues by geographic region are presented in Note 3.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152,822</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164,729</w:t>
            </w:r>
          </w:p>
        </w:tc>
      </w:tr>
      <w:tr>
        <w:trPr>
          <w:trHeight w:val="229"/>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37,103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32,372</w:t>
            </w:r>
          </w:p>
        </w:tc>
      </w:tr>
      <w:tr>
        <w:trPr>
          <w:trHeight w:val="229"/>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149,797</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167,670</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339,722</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364,771</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Americas includes the U.S., Canada, and Latin America (including the Caribbean).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4" w:lineRule="exact"/>
        <w:rPr>
          <w:rFonts w:ascii="Arial" w:cs="Arial" w:eastAsia="Arial" w:hAnsi="Arial"/>
          <w:sz w:val="16"/>
          <w:szCs w:val="16"/>
          <w:color w:val="auto"/>
        </w:rPr>
      </w:pPr>
    </w:p>
    <w:p>
      <w:pPr>
        <w:ind w:left="570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20: Other Income,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12"/>
        </w:trPr>
        <w:tc>
          <w:tcPr>
            <w:tcW w:w="20" w:type="dxa"/>
            <w:vAlign w:val="bottom"/>
          </w:tcPr>
          <w:p>
            <w:pPr>
              <w:spacing w:after="0"/>
              <w:rPr>
                <w:sz w:val="18"/>
                <w:szCs w:val="18"/>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from: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interest rate swap (see Note 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4,765</w:t>
            </w:r>
          </w:p>
        </w:tc>
        <w:tc>
          <w:tcPr>
            <w:tcW w:w="26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9,828</w:t>
            </w:r>
          </w:p>
        </w:tc>
        <w:tc>
          <w:tcPr>
            <w:tcW w:w="2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w:t>
            </w:r>
          </w:p>
        </w:tc>
        <w:tc>
          <w:tcPr>
            <w:tcW w:w="26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29,318</w:t>
            </w:r>
          </w:p>
        </w:tc>
      </w:tr>
      <w:tr>
        <w:trPr>
          <w:trHeight w:val="270"/>
        </w:trPr>
        <w:tc>
          <w:tcPr>
            <w:tcW w:w="20" w:type="dxa"/>
            <w:vAlign w:val="bottom"/>
          </w:tcPr>
          <w:p>
            <w:pPr>
              <w:spacing w:after="0"/>
              <w:rPr>
                <w:sz w:val="23"/>
                <w:szCs w:val="23"/>
                <w:color w:val="auto"/>
              </w:rPr>
            </w:pPr>
          </w:p>
        </w:tc>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w:t>
            </w:r>
          </w:p>
        </w:tc>
      </w:tr>
      <w:tr>
        <w:trPr>
          <w:trHeight w:val="270"/>
        </w:trPr>
        <w:tc>
          <w:tcPr>
            <w:tcW w:w="20" w:type="dxa"/>
            <w:vAlign w:val="bottom"/>
          </w:tcPr>
          <w:p>
            <w:pPr>
              <w:spacing w:after="0"/>
              <w:rPr>
                <w:sz w:val="23"/>
                <w:szCs w:val="23"/>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Sale of aircraft (see Note 5)</w:t>
            </w:r>
          </w:p>
        </w:tc>
        <w:tc>
          <w:tcPr>
            <w:tcW w:w="30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Change in fair value of acquisition contingent consideration (see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 17)</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Receipts related to interest rate swap</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3"/>
        </w:trPr>
        <w:tc>
          <w:tcPr>
            <w:tcW w:w="2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14,793</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jc w:val="both"/>
        <w:ind w:left="340" w:hanging="332"/>
        <w:spacing w:after="0" w:line="26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$(1,574) and $(5,730) for the three months ended September 30, 2023 and 2022, respectively, and $684 and $(12,293) for the nine months ended September 30, 2023 and 2022, respectively.</w:t>
      </w:r>
    </w:p>
    <w:p>
      <w:pPr>
        <w:spacing w:after="0" w:line="33"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income (expense), net includes investment impairment charges of $(7,318) for the nine months ended September 30, 2023, partially offset by gains on investments of $2,360 recorded during the three months ended September 30, 2023 (see Note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Net Income Per Share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September 30, 2023 and 2022, there were 364,753 and 362,773 participating securities outstanding, respectively.</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12529"/>
        </w:rPr>
        <w:t xml:space="preserve">For the Company’s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numerator, interest expense, net of tax, attributable to the assumed conversion of the </w:t>
      </w:r>
      <w:r>
        <w:rPr>
          <w:rFonts w:ascii="Arial" w:cs="Arial" w:eastAsia="Arial" w:hAnsi="Arial"/>
          <w:sz w:val="18"/>
          <w:szCs w:val="18"/>
          <w:color w:val="000000"/>
        </w:rPr>
        <w:t>convertible</w:t>
      </w:r>
      <w:r>
        <w:rPr>
          <w:rFonts w:ascii="Arial" w:cs="Arial" w:eastAsia="Arial" w:hAnsi="Arial"/>
          <w:sz w:val="18"/>
          <w:szCs w:val="18"/>
          <w:color w:val="212529"/>
        </w:rPr>
        <w:t xml:space="preserve"> </w:t>
      </w:r>
      <w:r>
        <w:rPr>
          <w:rFonts w:ascii="Arial" w:cs="Arial" w:eastAsia="Arial" w:hAnsi="Arial"/>
          <w:sz w:val="18"/>
          <w:szCs w:val="18"/>
          <w:color w:val="000000"/>
        </w:rPr>
        <w:t xml:space="preserve">senior notes </w:t>
      </w:r>
      <w:r>
        <w:rPr>
          <w:rFonts w:ascii="Arial" w:cs="Arial" w:eastAsia="Arial" w:hAnsi="Arial"/>
          <w:sz w:val="18"/>
          <w:szCs w:val="18"/>
          <w:color w:val="212529"/>
        </w:rPr>
        <w:t>is added back to basic net income attributable to common stockholders. For the Company’s diluted</w:t>
      </w:r>
      <w:r>
        <w:rPr>
          <w:rFonts w:ascii="Arial" w:cs="Arial" w:eastAsia="Arial" w:hAnsi="Arial"/>
          <w:sz w:val="18"/>
          <w:szCs w:val="18"/>
          <w:color w:val="000000"/>
        </w:rPr>
        <w:t xml:space="preserve"> net income per share </w:t>
      </w:r>
      <w:r>
        <w:rPr>
          <w:rFonts w:ascii="Arial" w:cs="Arial" w:eastAsia="Arial" w:hAnsi="Arial"/>
          <w:sz w:val="18"/>
          <w:szCs w:val="18"/>
          <w:color w:val="212529"/>
        </w:rPr>
        <w:t>denominator, the basic</w:t>
      </w:r>
      <w:r>
        <w:rPr>
          <w:rFonts w:ascii="Arial" w:cs="Arial" w:eastAsia="Arial" w:hAnsi="Arial"/>
          <w:sz w:val="18"/>
          <w:szCs w:val="18"/>
          <w:color w:val="000000"/>
        </w:rPr>
        <w:t xml:space="preserve"> </w:t>
      </w:r>
      <w:r>
        <w:rPr>
          <w:rFonts w:ascii="Arial" w:cs="Arial" w:eastAsia="Arial" w:hAnsi="Arial"/>
          <w:sz w:val="18"/>
          <w:szCs w:val="18"/>
          <w:color w:val="212529"/>
        </w:rPr>
        <w:t xml:space="preserve">weighted average number of shares is adjusted for the effect of dilutive securities, including awards under the Company’s equity compensation plans and ESPP, and for the dilutive </w:t>
      </w:r>
      <w:r>
        <w:rPr>
          <w:rFonts w:ascii="Arial" w:cs="Arial" w:eastAsia="Arial" w:hAnsi="Arial"/>
          <w:sz w:val="18"/>
          <w:szCs w:val="18"/>
          <w:color w:val="000000"/>
        </w:rPr>
        <w:t>effect of the assumed conversion of the convertible senior notes.</w:t>
      </w:r>
      <w:r>
        <w:rPr>
          <w:rFonts w:ascii="Arial" w:cs="Arial" w:eastAsia="Arial" w:hAnsi="Arial"/>
          <w:sz w:val="18"/>
          <w:szCs w:val="18"/>
          <w:color w:val="212529"/>
        </w:rPr>
        <w:t xml:space="preserve">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attributable to common stockholders is computed by dividing diluted net </w:t>
      </w:r>
      <w:r>
        <w:rPr>
          <w:rFonts w:ascii="Arial" w:cs="Arial" w:eastAsia="Arial" w:hAnsi="Arial"/>
          <w:sz w:val="18"/>
          <w:szCs w:val="18"/>
          <w:color w:val="000000"/>
        </w:rPr>
        <w:t>income</w:t>
      </w:r>
      <w:r>
        <w:rPr>
          <w:rFonts w:ascii="Arial" w:cs="Arial" w:eastAsia="Arial" w:hAnsi="Arial"/>
          <w:sz w:val="18"/>
          <w:szCs w:val="18"/>
          <w:color w:val="212529"/>
        </w:rPr>
        <w:t xml:space="preserve"> attributable to common stockholders by the weighted average number of fully diluted common shares.</w:t>
      </w:r>
    </w:p>
    <w:p>
      <w:pPr>
        <w:spacing w:after="0" w:line="1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The details of basic and diluted net income per share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18"/>
                <w:szCs w:val="18"/>
                <w:color w:val="auto"/>
              </w:rPr>
            </w:pPr>
          </w:p>
        </w:tc>
      </w:tr>
      <w:tr>
        <w:trPr>
          <w:trHeight w:val="219"/>
        </w:trPr>
        <w:tc>
          <w:tcPr>
            <w:tcW w:w="4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95"/>
              </w:rPr>
              <w:t>2022</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53,027</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36,997</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147,202</w:t>
            </w:r>
          </w:p>
        </w:tc>
        <w:tc>
          <w:tcPr>
            <w:tcW w:w="26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149,058</w:t>
            </w:r>
          </w:p>
        </w:tc>
      </w:tr>
      <w:tr>
        <w:trPr>
          <w:trHeight w:val="229"/>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4180" w:type="dxa"/>
            <w:vAlign w:val="bottom"/>
          </w:tcPr>
          <w:p>
            <w:pPr>
              <w:ind w:left="340"/>
              <w:spacing w:after="0"/>
              <w:rPr>
                <w:sz w:val="20"/>
                <w:szCs w:val="20"/>
                <w:color w:val="auto"/>
              </w:rPr>
            </w:pPr>
            <w:r>
              <w:rPr>
                <w:rFonts w:ascii="Arial" w:cs="Arial" w:eastAsia="Arial" w:hAnsi="Arial"/>
                <w:sz w:val="18"/>
                <w:szCs w:val="18"/>
                <w:color w:val="auto"/>
              </w:rPr>
              <w:t>Net income attributable to Class A and Class B</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4180" w:type="dxa"/>
            <w:vAlign w:val="bottom"/>
          </w:tcPr>
          <w:p>
            <w:pPr>
              <w:ind w:left="500"/>
              <w:spacing w:after="0"/>
              <w:rPr>
                <w:sz w:val="20"/>
                <w:szCs w:val="20"/>
                <w:color w:val="auto"/>
              </w:rPr>
            </w:pPr>
            <w:r>
              <w:rPr>
                <w:rFonts w:ascii="Arial" w:cs="Arial" w:eastAsia="Arial" w:hAnsi="Arial"/>
                <w:sz w:val="18"/>
                <w:szCs w:val="18"/>
                <w:color w:val="auto"/>
              </w:rPr>
              <w:t>common stockholders, basic</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53,009</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36,986</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147,146</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149,027</w:t>
            </w:r>
          </w:p>
        </w:tc>
      </w:tr>
      <w:tr>
        <w:trPr>
          <w:trHeight w:val="229"/>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assumed conversion of convertible senior notes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2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09"/>
        </w:trPr>
        <w:tc>
          <w:tcPr>
            <w:tcW w:w="4180" w:type="dxa"/>
            <w:vAlign w:val="bottom"/>
          </w:tcPr>
          <w:p>
            <w:pPr>
              <w:ind w:left="340"/>
              <w:spacing w:after="0"/>
              <w:rPr>
                <w:sz w:val="20"/>
                <w:szCs w:val="20"/>
                <w:color w:val="auto"/>
              </w:rPr>
            </w:pPr>
            <w:r>
              <w:rPr>
                <w:rFonts w:ascii="Arial" w:cs="Arial" w:eastAsia="Arial" w:hAnsi="Arial"/>
                <w:sz w:val="18"/>
                <w:szCs w:val="18"/>
                <w:color w:val="auto"/>
              </w:rPr>
              <w:t>Net income attributable to Class A and Class B</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common stockholders,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54,725</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37,818</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152,303</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154,143</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313,069,132</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310,116,104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311,915,808</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308,959,801</w:t>
            </w:r>
          </w:p>
        </w:tc>
      </w:tr>
      <w:tr>
        <w:trPr>
          <w:trHeight w:val="229"/>
        </w:trPr>
        <w:tc>
          <w:tcPr>
            <w:tcW w:w="4180" w:type="dxa"/>
            <w:vAlign w:val="bottom"/>
          </w:tcPr>
          <w:p>
            <w:pPr>
              <w:ind w:left="180"/>
              <w:spacing w:after="0"/>
              <w:rPr>
                <w:sz w:val="20"/>
                <w:szCs w:val="20"/>
                <w:color w:val="auto"/>
              </w:rPr>
            </w:pPr>
            <w:r>
              <w:rPr>
                <w:rFonts w:ascii="Arial" w:cs="Arial" w:eastAsia="Arial" w:hAnsi="Arial"/>
                <w:sz w:val="18"/>
                <w:szCs w:val="18"/>
                <w:color w:val="auto"/>
                <w:w w:val="97"/>
              </w:rPr>
              <w:t>Dilutive effect of stock options, restricted stock, and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4180" w:type="dxa"/>
            <w:vAlign w:val="bottom"/>
          </w:tcPr>
          <w:p>
            <w:pPr>
              <w:ind w:left="340"/>
              <w:spacing w:after="0"/>
              <w:rPr>
                <w:sz w:val="20"/>
                <w:szCs w:val="20"/>
                <w:color w:val="auto"/>
              </w:rPr>
            </w:pPr>
            <w:r>
              <w:rPr>
                <w:rFonts w:ascii="Arial" w:cs="Arial" w:eastAsia="Arial" w:hAnsi="Arial"/>
                <w:sz w:val="18"/>
                <w:szCs w:val="18"/>
                <w:color w:val="auto"/>
              </w:rPr>
              <w:t>RSUs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2,115,802</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4,126,936</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2,534,773</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5,278,839</w:t>
            </w:r>
          </w:p>
        </w:tc>
      </w:tr>
      <w:tr>
        <w:trPr>
          <w:trHeight w:val="27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60,526</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171,571</w:t>
            </w:r>
          </w:p>
        </w:tc>
      </w:tr>
      <w:tr>
        <w:trPr>
          <w:trHeight w:val="229"/>
        </w:trPr>
        <w:tc>
          <w:tcPr>
            <w:tcW w:w="4180" w:type="dxa"/>
            <w:vAlign w:val="bottom"/>
          </w:tcPr>
          <w:p>
            <w:pPr>
              <w:ind w:left="180"/>
              <w:spacing w:after="0"/>
              <w:rPr>
                <w:sz w:val="20"/>
                <w:szCs w:val="20"/>
                <w:color w:val="auto"/>
              </w:rPr>
            </w:pPr>
            <w:r>
              <w:rPr>
                <w:rFonts w:ascii="Arial" w:cs="Arial" w:eastAsia="Arial" w:hAnsi="Arial"/>
                <w:sz w:val="18"/>
                <w:szCs w:val="18"/>
                <w:color w:val="auto"/>
                <w:w w:val="97"/>
              </w:rPr>
              <w:t>Dilutive effect of assumed conversion of convertible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4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senior notes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17,633,786</w:t>
            </w:r>
          </w:p>
        </w:tc>
        <w:tc>
          <w:tcPr>
            <w:tcW w:w="2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10,758,825</w:t>
            </w: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17,633,786</w:t>
            </w:r>
          </w:p>
        </w:tc>
        <w:tc>
          <w:tcPr>
            <w:tcW w:w="2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17,667,623</w:t>
            </w:r>
          </w:p>
        </w:tc>
      </w:tr>
      <w:tr>
        <w:trPr>
          <w:trHeight w:val="248"/>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332,825,186</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325,170,383</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332,144,893</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332,077,834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18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26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r>
      <w:tr>
        <w:trPr>
          <w:trHeight w:val="20"/>
        </w:trPr>
        <w:tc>
          <w:tcPr>
            <w:tcW w:w="4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3"/>
          </w:tcPr>
          <w:p>
            <w:pPr>
              <w:jc w:val="center"/>
              <w:ind w:left="875"/>
              <w:spacing w:after="0"/>
              <w:rPr>
                <w:sz w:val="20"/>
                <w:szCs w:val="20"/>
                <w:color w:val="auto"/>
              </w:rPr>
            </w:pPr>
            <w:r>
              <w:rPr>
                <w:rFonts w:ascii="Arial" w:cs="Arial" w:eastAsia="Arial" w:hAnsi="Arial"/>
                <w:sz w:val="16"/>
                <w:szCs w:val="16"/>
                <w:b w:val="1"/>
                <w:bCs w:val="1"/>
                <w:color w:val="auto"/>
                <w:w w:val="92"/>
              </w:rPr>
              <w:t>Nine Months Ended</w:t>
            </w:r>
          </w:p>
        </w:tc>
        <w:tc>
          <w:tcPr>
            <w:tcW w:w="960" w:type="dxa"/>
            <w:vAlign w:val="bottom"/>
          </w:tcPr>
          <w:p>
            <w:pPr>
              <w:spacing w:after="0"/>
              <w:rPr>
                <w:sz w:val="18"/>
                <w:szCs w:val="18"/>
                <w:color w:val="auto"/>
              </w:rPr>
            </w:pPr>
          </w:p>
        </w:tc>
      </w:tr>
      <w:tr>
        <w:trPr>
          <w:trHeight w:val="219"/>
        </w:trPr>
        <w:tc>
          <w:tcPr>
            <w:tcW w:w="41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89"/>
              </w:rPr>
              <w:t>September 30,</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6"/>
                <w:szCs w:val="16"/>
                <w:b w:val="1"/>
                <w:bCs w:val="1"/>
                <w:color w:val="auto"/>
                <w:w w:val="89"/>
              </w:rPr>
              <w:t>September 30,</w:t>
            </w:r>
          </w:p>
        </w:tc>
        <w:tc>
          <w:tcPr>
            <w:tcW w:w="96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4"/>
              </w:rPr>
              <w:t>2022</w:t>
            </w: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297,789</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279,789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senior notes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6,908,798</w:t>
            </w:r>
          </w:p>
        </w:tc>
        <w:tc>
          <w:tcPr>
            <w:tcW w:w="2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7,206,587</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279,789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our 2022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a leading global provider of software for infrastructure engineering, and enable infrastructure professionals and their organizations, by “going digital” through our software and cloud services offerings, to better design, build, and operate better infrastructure. Our users engineer, construct, and operate projects and assets across the following infrastructure sectors: public works/utilities, resources, industrial, and commercial/facilities.</w:t>
      </w:r>
    </w:p>
    <w:p>
      <w:pPr>
        <w:spacing w:after="0" w:line="14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Our enduring commitment is to develop and support the most comprehensive portfolio of integrated software offerings across professional disciplines, project and asset lifecycles, infrastructure sectors, and geographies. We deliver our solutions via on</w:t>
      </w:r>
      <w:r>
        <w:rPr>
          <w:rFonts w:ascii="MS PGothic" w:cs="MS PGothic" w:eastAsia="MS PGothic" w:hAnsi="MS PGothic"/>
          <w:sz w:val="17"/>
          <w:szCs w:val="17"/>
          <w:color w:val="auto"/>
        </w:rPr>
        <w:t>‑</w:t>
      </w:r>
      <w:r>
        <w:rPr>
          <w:rFonts w:ascii="Arial" w:cs="Arial" w:eastAsia="Arial" w:hAnsi="Arial"/>
          <w:sz w:val="17"/>
          <w:szCs w:val="17"/>
          <w:color w:val="auto"/>
        </w:rPr>
        <w:t>premises, cloud, and hybrid environments. Our software enables digital workflows across engineering disciplines, across distributed project teams, and from offices to the field.</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that our offerings, in particular our infrastructure digital twin solutions, empower the achievement of sustainable development goals by helping our users – infrastructure professionals – realize outcomes that are more sustainable and resilient.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4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270,751</w:t>
            </w:r>
          </w:p>
        </w:tc>
        <w:tc>
          <w:tcPr>
            <w:tcW w:w="26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235,307</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807,839</w:t>
            </w:r>
          </w:p>
        </w:tc>
        <w:tc>
          <w:tcPr>
            <w:tcW w:w="24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708,731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31,213</w:t>
            </w:r>
          </w:p>
        </w:tc>
        <w:tc>
          <w:tcPr>
            <w:tcW w:w="0" w:type="dxa"/>
            <w:vAlign w:val="bottom"/>
          </w:tcPr>
          <w:p>
            <w:pPr>
              <w:spacing w:after="0"/>
              <w:rPr>
                <w:sz w:val="1"/>
                <w:szCs w:val="1"/>
                <w:color w:val="auto"/>
              </w:rPr>
            </w:pPr>
          </w:p>
        </w:tc>
      </w:tr>
      <w:tr>
        <w:trPr>
          <w:trHeight w:val="250"/>
        </w:trPr>
        <w:tc>
          <w:tcPr>
            <w:tcW w:w="492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282,638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244,767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840,991</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739,944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76,781</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72,190</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306,612</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268,332</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917,772</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812,134</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42,088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37,371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124,175</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22,588</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74,111</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64,676</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59,183</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198,286</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241,936</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209,149</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719,486</w:t>
            </w:r>
          </w:p>
        </w:tc>
        <w:tc>
          <w:tcPr>
            <w:tcW w:w="2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637,472</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203,382</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189,966</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53,757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46,114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160,262</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141,676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128,743</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128,981</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(4,576)</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2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168,257</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153,605</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526,717</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469,619</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73,679</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192,769</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(30,623)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0" w:type="dxa"/>
            <w:vAlign w:val="bottom"/>
          </w:tcPr>
          <w:p>
            <w:pPr>
              <w:spacing w:after="0"/>
              <w:rPr>
                <w:sz w:val="1"/>
                <w:szCs w:val="1"/>
                <w:color w:val="auto"/>
              </w:rPr>
            </w:pPr>
          </w:p>
        </w:tc>
      </w:tr>
      <w:tr>
        <w:trPr>
          <w:trHeight w:val="250"/>
        </w:trPr>
        <w:tc>
          <w:tcPr>
            <w:tcW w:w="49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69,585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47,342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169,353</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159,125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w w:val="98"/>
              </w:rPr>
              <w:t>Loss from investments accounted for using the equity method,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53,027</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147,202</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313,069,132</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310,116,104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311,915,808</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308,959,801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332,825,186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325,170,383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332,144,893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332,077,834</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8"/>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4"/>
          </w:tcPr>
          <w:p>
            <w:pPr>
              <w:jc w:val="center"/>
              <w:ind w:left="7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17"/>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270,751</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235,307</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35,444</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Perpetual licenses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2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25.7 %</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244,767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1.7 %</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38,280</w:t>
            </w: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Comparison</w:t>
            </w: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8"/>
          </w:tcPr>
          <w:p>
            <w:pPr>
              <w:ind w:left="380"/>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177"/>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72"/>
              <w:spacing w:after="0"/>
              <w:rPr>
                <w:sz w:val="20"/>
                <w:szCs w:val="20"/>
                <w:color w:val="auto"/>
              </w:rPr>
            </w:pPr>
            <w:r>
              <w:rPr>
                <w:rFonts w:ascii="Arial" w:cs="Arial" w:eastAsia="Arial" w:hAnsi="Arial"/>
                <w:sz w:val="16"/>
                <w:szCs w:val="16"/>
                <w:b w:val="1"/>
                <w:bCs w:val="1"/>
                <w:color w:val="auto"/>
                <w:w w:val="95"/>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7"/>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807,839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708,731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99,108</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14.0 %</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Perpetual licenses</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840,991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739,944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101,047</w:t>
            </w: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917,772</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812,134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105,638</w:t>
            </w: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27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total revenues for the three and nine months ended September 30, 2023 was primarily driven by increases in subscriptions revenues, and to a lesser extent, perpetual licenses and services revenues.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Subscriptions</w:t>
      </w:r>
      <w:r>
        <w:rPr>
          <w:rFonts w:ascii="Arial" w:cs="Arial" w:eastAsia="Arial" w:hAnsi="Arial"/>
          <w:sz w:val="17"/>
          <w:szCs w:val="17"/>
          <w:color w:val="auto"/>
        </w:rPr>
        <w:t>. For the three months ended September 30, 2023, the increase in subscriptions revenues was driven by improvements in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approximately $35,444 ($27,438 on a constant currency basis). Our business performance excludes the impact of our platform acquisitions and includes the impact from programmatic acquisitions, which generally are immaterial, individually and in the aggregate.</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2023, the increase in subscriptions revenues was primarily driven by improvements in our business performance of approximately $94,807 ($91,790 on a constant currency basis) and the impact from our platform acquisition of approximately $4,301 ($4,330 on a constant currency basis). The platform acquisition impact relates to our acquisition of PLS and is inclusive of PLS’ organic performance.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2023, the improvements in business performance were primarily driven by expansion from accounts with revenues in the prior period (“existing accounts”), and growth of 3% attributable to new accounts, most notably smaller- and medium-sized accounts. Improvements in business performance for the three and nine months ended September 30, 2023 were led by our civil and structural engineering applications, geoprofessional applications, and our Enterprise Systems for project delivery.</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Perpetual licenses</w:t>
      </w:r>
      <w:r>
        <w:rPr>
          <w:rFonts w:ascii="Arial" w:cs="Arial" w:eastAsia="Arial" w:hAnsi="Arial"/>
          <w:sz w:val="16"/>
          <w:szCs w:val="16"/>
          <w:color w:val="auto"/>
        </w:rPr>
        <w:t>. For the three and nine months ended September 30, 2023, the increase in perpetual licenses revenues was driven by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business performance of approximately $2,427 ($2,184 on a constant currency basis) and $1,939 ($2,026 on a constant currency basis),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2023, the improvements in our business performance were primarily driven by growth in new accounts.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For the three months ended September 30, 2023, services revenues increased by approximately $409 (decreased by approximately $107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constant currency basis) due to business performance.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ended September 30, 2023, the increase in services revenues was driven by improvements in our business performance of approximately $4,591 ($5,551 on a constant currency basis).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and nine months ended September 30, 2023, the improvements in business performance were primarily driven by contributions from Cohesive digital integrator services of approximately $1,168 ($852 on a constant currency basis) and $6,347 ($7,297 on a constant currency basis),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external customers is attributed to individual countries based upon the location of the customer. Revenues by geographic region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299"/>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162,367</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141,599</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86,956</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75,416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306,612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268,332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299"/>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489,548</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440,218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49,330</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263,232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227,696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144,220</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812,134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For the three months ended September 30, 2023, the increase in revenues from the Americas was driven by improvements in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approximately $20,768 ($19,690 on a constant currency basis).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2023, the increase in revenues from the Americas was primarily driven by improvements in our business performance of approximately $45,640 ($44,865 on a constant currency basis) and the impact from our platform acquisition of approximately $3,690 ($3,697 on a constant currency basis).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improvements in business performance for the three and nine months ended September 30, 2023 were primarily due to expansion of our subscriptions revenues from existing accounts in the U.S.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8" w:name="page39"/>
    <w:bookmarkEnd w:id="38"/>
    <w:p>
      <w:pPr>
        <w:jc w:val="both"/>
        <w:ind w:right="20" w:firstLine="324"/>
        <w:spacing w:after="0" w:line="342"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For the three and nine months ended September 30, 2023, the increase in revenues from EMEA was primarily driven by improvements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performance of approximately $11,540 ($5,529 on a constant currency basis) and $35,087 ($32,694 on a constant currency basis), respectively.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improvements in business performance for the three and nine months ended September 30, 2023 were primarily due to expansion of our subscriptions revenues from existing accounts in the U.K., the Middle East, and to a lesser extent South Africa, partially offset by reductions in Russia due to exiting our operations beginning in the second quarter of 2022.</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APAC. </w:t>
      </w:r>
      <w:r>
        <w:rPr>
          <w:rFonts w:ascii="Arial" w:cs="Arial" w:eastAsia="Arial" w:hAnsi="Arial"/>
          <w:sz w:val="16"/>
          <w:szCs w:val="16"/>
          <w:color w:val="auto"/>
        </w:rPr>
        <w:t>For the three and nine months ended September 30, 2023, the increase in revenues from APAC was primarily driven by improvements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performance of approximately $5,972 ($4,294 on a constant currency basis) and $20,610 ($21,809 on a constant currency basis), respectively.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improvements in business performance for the three and nine months ended September 30, 2023 were primarily due to expansion of our subscriptions revenues from existing accounts in India, Australia, and Southeast Asia.</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Revenues in China for the three and nine months ended September 30, 2023 increased as compared to the same periods in the prior year, primarily due to expansion of our perpetual licenses revenues. The future results in China remain uncertain as a result of continued geopolitical challenges, the obstacles there to cloud</w:t>
      </w:r>
      <w:r>
        <w:rPr>
          <w:rFonts w:ascii="MS PGothic" w:cs="MS PGothic" w:eastAsia="MS PGothic" w:hAnsi="MS PGothic"/>
          <w:sz w:val="18"/>
          <w:szCs w:val="18"/>
          <w:color w:val="auto"/>
        </w:rPr>
        <w:t>‑</w:t>
      </w:r>
      <w:r>
        <w:rPr>
          <w:rFonts w:ascii="Arial" w:cs="Arial" w:eastAsia="Arial" w:hAnsi="Arial"/>
          <w:sz w:val="18"/>
          <w:szCs w:val="18"/>
          <w:color w:val="auto"/>
        </w:rPr>
        <w:t>deployed software, and the financial timing impact of the preference there for license sales, rather than subscriptions, of locally-developed solutions based on our platforms.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7"/>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center"/>
              <w:ind w:left="475"/>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300"/>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42,088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8"/>
              </w:rPr>
              <w:t>22,588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64,676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300"/>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8"/>
              </w:rPr>
              <w:t>124,175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8"/>
              </w:rPr>
              <w:t>74,111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8"/>
              </w:rPr>
              <w:t>198,286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174,662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8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Cost of subscriptions and licenses. </w:t>
      </w:r>
      <w:r>
        <w:rPr>
          <w:rFonts w:ascii="Arial" w:cs="Arial" w:eastAsia="Arial" w:hAnsi="Arial"/>
          <w:sz w:val="18"/>
          <w:szCs w:val="18"/>
          <w:color w:val="auto"/>
        </w:rPr>
        <w:t>For the three months ended September 30, 2023, on a constant currency basis, cost of subscriptions and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$2,871, mainly due to increases in headcount and annual compensation costs, and an increase in channel partner compensation of approximately $767.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jc w:val="both"/>
        <w:ind w:firstLine="324"/>
        <w:spacing w:after="0" w:line="220" w:lineRule="exact"/>
        <w:rPr>
          <w:sz w:val="20"/>
          <w:szCs w:val="20"/>
          <w:color w:val="auto"/>
        </w:rPr>
      </w:pPr>
      <w:r>
        <w:rPr>
          <w:rFonts w:ascii="Arial" w:cs="Arial" w:eastAsia="Arial" w:hAnsi="Arial"/>
          <w:sz w:val="18"/>
          <w:szCs w:val="18"/>
          <w:color w:val="auto"/>
        </w:rPr>
        <w:t>For the nine months ended September 30, 2023, on a constant currency basis, cost of subscriptions and licenses increased 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$11,103, mainly due to increases in headcount and annual compensation costs, an increase in cloud</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$2,987, and an increase in channel partner compensation of approximately $1,963.</w:t>
      </w:r>
    </w:p>
    <w:p>
      <w:pPr>
        <w:spacing w:after="0" w:line="20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Cost of services. </w:t>
      </w:r>
      <w:r>
        <w:rPr>
          <w:rFonts w:ascii="Arial" w:cs="Arial" w:eastAsia="Arial" w:hAnsi="Arial"/>
          <w:sz w:val="16"/>
          <w:szCs w:val="16"/>
          <w:color w:val="auto"/>
        </w:rPr>
        <w:t>For the three months ended September 30, 2023, on a constant currency basis, cost of services increased primarily due to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headcount-related costs of approximately $484, mainly due to increases in headcount, partially offset by lower acquisition-related retention incentives.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2023, on a constant currency basis, cost of services increased primarily due to an increase in headcount-related costs of approximately $8,790, mainly due to third-party personnel cost, and to a lesser extent, increases in headcount, partially offset by lower acquisition-related retention incentives.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2"/>
              </w:rPr>
              <w:t>Comparison</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left="493"/>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4"/>
          </w:tcPr>
          <w:p>
            <w:pPr>
              <w:jc w:val="center"/>
              <w:ind w:left="7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right"/>
              <w:ind w:right="317"/>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7,643</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1,416</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(30.9 %)</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9.5 %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Comparison</w:t>
            </w: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left="513"/>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4"/>
          </w:tcPr>
          <w:p>
            <w:pPr>
              <w:jc w:val="center"/>
              <w:ind w:left="7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right"/>
              <w:ind w:right="317"/>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203,382</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189,966</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gridSpan w:val="2"/>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160,262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18,586</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13.1 %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NM</w:t>
            </w:r>
          </w:p>
        </w:tc>
        <w:tc>
          <w:tcPr>
            <w:tcW w:w="12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526,717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469,619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57,098</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12.2 %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Percentage changes that are considered not meaningful are denoted with NM.</w:t>
      </w:r>
    </w:p>
    <w:p>
      <w:pPr>
        <w:spacing w:after="0" w:line="59" w:lineRule="exact"/>
        <w:rPr>
          <w:sz w:val="20"/>
          <w:szCs w:val="20"/>
          <w:color w:val="auto"/>
        </w:rPr>
      </w:pPr>
    </w:p>
    <w:p>
      <w:pPr>
        <w:ind w:left="340" w:hanging="332"/>
        <w:spacing w:after="0" w:line="29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5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For the three and nine months ended September 30, 2023, on a constant currency basis,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primarily due to an increase in headcount-related costs of approximately $1,358 and $16,652, respectively, mainly due to increases in annual compensation costs and headcount, partially offset by a decrease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For the three and nine months ended September 30, 2023, on a constant currency basis, selling and marketing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an increase in headcount-related costs of approximately $6,094 and $18,716, respectively, mainly due to increases in headcount and annual compensation costs, and to a lesser extent,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324"/>
        <w:spacing w:after="0" w:line="31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For the three months ended September 30, 2023, on a constant currency basis,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primarily due to an increase in headcount-related costs of approximately $2,009, mainly due to increases in annual compensation costs and headcount, and to a lesser extent, increases in third-party personnel costs, and higher acquisition expenses of approximately $931.</w:t>
      </w:r>
    </w:p>
    <w:p>
      <w:pPr>
        <w:spacing w:after="0" w:line="14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2023, on a constant currency basis, general and administrative expenses increased primarily due to an increase in headcount-related costs of approximately $13,685, mainly due to increases in headcount and annual compensation costs. Partially offsetting these increases were lower non</w:t>
      </w:r>
      <w:r>
        <w:rPr>
          <w:rFonts w:ascii="MS PGothic" w:cs="MS PGothic" w:eastAsia="MS PGothic" w:hAnsi="MS PGothic"/>
          <w:sz w:val="18"/>
          <w:szCs w:val="18"/>
          <w:color w:val="auto"/>
        </w:rPr>
        <w:t>‑</w:t>
      </w:r>
      <w:r>
        <w:rPr>
          <w:rFonts w:ascii="Arial" w:cs="Arial" w:eastAsia="Arial" w:hAnsi="Arial"/>
          <w:sz w:val="18"/>
          <w:szCs w:val="18"/>
          <w:color w:val="auto"/>
        </w:rPr>
        <w:t>income related taxes of approximately $5,328 and lower acquisition expenses of approximately $4,920. Costs resulting from our decision to wind down business and exit the Russian market beginning in the second quarter of 2022 were approximately $2,758 lower in the current year period.</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For the three and nine months ended September 30, 2023 and 2022, deferred compensation plan (income)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marked to market impact on deferred compensation plan liability balances period over period.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three and nine months ended September 30, 2023, on a constant currency basis,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intangibles decreased primarily due to previously acquired intangible assets that continue to become fully amortized and lower acquisition activity as compared to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4"/>
              </w:rPr>
              <w:t>Comparison</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780" w:type="dxa"/>
            <w:vAlign w:val="bottom"/>
            <w:vMerge w:val="restart"/>
          </w:tcPr>
          <w:p>
            <w:pPr>
              <w:jc w:val="center"/>
              <w:ind w:right="2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2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4"/>
              </w:rPr>
              <w:t>Comparison</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780" w:type="dxa"/>
            <w:vAlign w:val="bottom"/>
            <w:vMerge w:val="restart"/>
          </w:tcPr>
          <w:p>
            <w:pPr>
              <w:jc w:val="center"/>
              <w:ind w:right="2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(31,863)</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ind w:right="2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Percentage changes that are considered not meaningful are denoted with NM.</w:t>
      </w:r>
    </w:p>
    <w:p>
      <w:pPr>
        <w:spacing w:after="0" w:line="2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three and nine months ended September 30, 2023, interest expense, net increased primarily due to a higher weighted average interest rate on borrowings under the revolving loan facility and on the Term Loan, partially offset by lower weighted average debt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from: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interest rate swap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4,765</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9,828</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29,318</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w:t>
            </w: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Sale of aircraft</w:t>
            </w:r>
          </w:p>
        </w:tc>
        <w:tc>
          <w:tcPr>
            <w:tcW w:w="300" w:type="dxa"/>
            <w:vAlign w:val="bottom"/>
          </w:tcPr>
          <w:p>
            <w:pPr>
              <w:spacing w:after="0"/>
              <w:rPr>
                <w:sz w:val="23"/>
                <w:szCs w:val="2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acquisition contingent consideration</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Receipts related to interest rate swap</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14,793</w:t>
            </w:r>
          </w:p>
        </w:tc>
      </w:tr>
      <w:tr>
        <w:trPr>
          <w:trHeight w:val="20"/>
        </w:trPr>
        <w:tc>
          <w:tcPr>
            <w:tcW w:w="3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jc w:val="both"/>
        <w:ind w:left="340" w:hanging="332"/>
        <w:spacing w:after="0" w:line="26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exchange (loss)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$(1,574) and $(5,730) for the three months ended September 30, 2023 and 2022, respectively, and $684 and $(12,293) for the nine months ended September 30, 2023 and 2022, respectively.</w:t>
      </w:r>
    </w:p>
    <w:p>
      <w:pPr>
        <w:spacing w:after="0" w:line="33"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income (expense), net includes investment impairment charges of $(7,318) for the nine months ended September 30, 2023, partially offset by gains on investments of $2,360 recorded during the three months ended September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0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69,585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169,353</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159,125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Provision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16,514</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9,664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22,107</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8,221</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8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For the three months ended September 30, 2023, the effective tax rate was higher compared to the prior year period primarily due to an increase in the forecasted effective tax rate impact of the GILTI inclusion due to the mandatory capitalization of research and development expenses for U.S. tax purposes. For the three months ended September 30, 2023 and 2022, we recorded discrete tax benefits of $4,428 and $4,280, respectively, primarily associated with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 net of the impact from officer compensation limitation provisions.</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2023, the effective tax rate was higher compared to the prior year period primarily due to an increase in the forecasted effective tax rate impact of the GILTI inclusion due to the mandatory capitalization of research and development expenses for U.S. tax purposes and a decrease in discrete tax benefits recognized in the current year period. For the nine months ended September 30, 2023 and 2022, we recorded discrete tax benefits of $31,895 and $36,032, respectively, primarily associated with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Borders>
              <w:bottom w:val="single" w:sz="8" w:color="auto"/>
            </w:tcBorders>
          </w:tcPr>
          <w:p>
            <w:pPr>
              <w:spacing w:after="0"/>
              <w:rPr>
                <w:sz w:val="18"/>
                <w:szCs w:val="18"/>
                <w:color w:val="auto"/>
              </w:rPr>
            </w:pPr>
          </w:p>
        </w:tc>
      </w:tr>
      <w:tr>
        <w:trPr>
          <w:trHeight w:val="210"/>
        </w:trPr>
        <w:tc>
          <w:tcPr>
            <w:tcW w:w="7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1,124,774</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983,656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1,076,434</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950,367</w:t>
            </w: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Twelve-months ended constant currency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ARR growth rate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12.5 %</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5" w:lineRule="exact"/>
        <w:rPr>
          <w:sz w:val="20"/>
          <w:szCs w:val="20"/>
          <w:color w:val="auto"/>
        </w:rPr>
      </w:pPr>
    </w:p>
    <w:p>
      <w:pPr>
        <w:ind w:left="340" w:hanging="332"/>
        <w:spacing w:after="0" w:line="29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Recurring revenues are the basis for our other revenue-related key business metrics. We believe this measure is useful in evaluating our ability to consistently retain and grow our revenues within our existing accounts.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ARR is a key business metric that we believe is useful in evaluating the scale and growth of our business as well as to assist in the evaluation of underlying trends in our business. Furthermore, we believe ARR, considered in connection with our last twelve</w:t>
      </w:r>
      <w:r>
        <w:rPr>
          <w:rFonts w:ascii="MS PGothic" w:cs="MS PGothic" w:eastAsia="MS PGothic" w:hAnsi="MS PGothic"/>
          <w:sz w:val="18"/>
          <w:szCs w:val="18"/>
          <w:color w:val="auto"/>
        </w:rPr>
        <w:t>‑</w:t>
      </w:r>
      <w:r>
        <w:rPr>
          <w:rFonts w:ascii="Arial" w:cs="Arial" w:eastAsia="Arial" w:hAnsi="Arial"/>
          <w:sz w:val="18"/>
          <w:szCs w:val="18"/>
          <w:color w:val="auto"/>
        </w:rPr>
        <w:t>month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is a leading indicator of revenue growth.</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6"/>
          <w:szCs w:val="16"/>
          <w:color w:val="auto"/>
        </w:rPr>
        <w:t>‑</w:t>
      </w:r>
      <w:r>
        <w:rPr>
          <w:rFonts w:ascii="Arial" w:cs="Arial" w:eastAsia="Arial" w:hAnsi="Arial"/>
          <w:sz w:val="16"/>
          <w:szCs w:val="16"/>
          <w:color w:val="auto"/>
        </w:rPr>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ARR resulting from the annualization of recurring contracts with consumption measurement durations of less than one year, as a percentage of total ARR, was 46% and 41% as of September 30, 2023 and 2022, respectively. Within our consumption</w:t>
      </w:r>
      <w:r>
        <w:rPr>
          <w:rFonts w:ascii="MS PGothic" w:cs="MS PGothic" w:eastAsia="MS PGothic" w:hAnsi="MS PGothic"/>
          <w:sz w:val="16"/>
          <w:szCs w:val="16"/>
          <w:color w:val="auto"/>
        </w:rPr>
        <w:t>‑</w:t>
      </w:r>
      <w:r>
        <w:rPr>
          <w:rFonts w:ascii="Arial" w:cs="Arial" w:eastAsia="Arial" w:hAnsi="Arial"/>
          <w:sz w:val="16"/>
          <w:szCs w:val="16"/>
          <w:color w:val="auto"/>
        </w:rPr>
        <w:t>measured ARR, the continued transition to our E365 subscription offering has increased daily consumption</w:t>
      </w:r>
      <w:r>
        <w:rPr>
          <w:rFonts w:ascii="MS PGothic" w:cs="MS PGothic" w:eastAsia="MS PGothic" w:hAnsi="MS PGothic"/>
          <w:sz w:val="16"/>
          <w:szCs w:val="16"/>
          <w:color w:val="auto"/>
        </w:rPr>
        <w:t>‑</w:t>
      </w:r>
      <w:r>
        <w:rPr>
          <w:rFonts w:ascii="Arial" w:cs="Arial" w:eastAsia="Arial" w:hAnsi="Arial"/>
          <w:sz w:val="16"/>
          <w:szCs w:val="16"/>
          <w:color w:val="auto"/>
        </w:rPr>
        <w:t>measured ARR, representing 39% and 33% of total ARR as of September 30, 2023 and 2022, respectively. For the nine months ended September 30, 2022, ARR was reduced by $11,190 due to our decision to exit the Russian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ind w:firstLine="324"/>
        <w:spacing w:after="0" w:line="263" w:lineRule="auto"/>
        <w:rPr>
          <w:sz w:val="20"/>
          <w:szCs w:val="20"/>
          <w:color w:val="auto"/>
        </w:rPr>
      </w:pPr>
      <w:r>
        <w:rPr>
          <w:rFonts w:ascii="Arial" w:cs="Arial" w:eastAsia="Arial" w:hAnsi="Arial"/>
          <w:sz w:val="18"/>
          <w:szCs w:val="18"/>
          <w:color w:val="auto"/>
        </w:rPr>
        <w:t>Constant currency ARR growth rate is the growth rate of ARR measured on a constant currency basis. During the twelve months ended September 30, 2022, our ARR growth rate was favorably impacted by 2.5% due to the ARR onboarding from our platform acquisition of PLS. We believe that ARR growth is an important metric indicating the scale and growth of our business.</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Last twelve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months recurring revenues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Last twelve</w:t>
      </w:r>
      <w:r>
        <w:rPr>
          <w:rFonts w:ascii="MS PGothic" w:cs="MS PGothic" w:eastAsia="MS PGothic" w:hAnsi="MS PGothic"/>
          <w:sz w:val="17"/>
          <w:szCs w:val="17"/>
          <w:color w:val="auto"/>
        </w:rPr>
        <w:t>‑</w:t>
      </w:r>
      <w:r>
        <w:rPr>
          <w:rFonts w:ascii="Arial" w:cs="Arial" w:eastAsia="Arial" w:hAnsi="Arial"/>
          <w:sz w:val="17"/>
          <w:szCs w:val="17"/>
          <w:color w:val="auto"/>
        </w:rPr>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rates, as well as the addition of new accounts with recurring revenues.</w:t>
      </w:r>
    </w:p>
    <w:p>
      <w:pPr>
        <w:spacing w:after="0" w:line="202"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calculated as recurring revenues recognized over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for the periods ended September 30, 2023 compared to the last twelve</w:t>
      </w:r>
      <w:r>
        <w:rPr>
          <w:rFonts w:ascii="MS PGothic" w:cs="MS PGothic" w:eastAsia="MS PGothic" w:hAnsi="MS PGothic"/>
          <w:sz w:val="18"/>
          <w:szCs w:val="18"/>
          <w:color w:val="auto"/>
        </w:rPr>
        <w:t>‑</w:t>
      </w:r>
      <w:r>
        <w:rPr>
          <w:rFonts w:ascii="Arial" w:cs="Arial" w:eastAsia="Arial" w:hAnsi="Arial"/>
          <w:sz w:val="18"/>
          <w:szCs w:val="18"/>
          <w:color w:val="auto"/>
        </w:rPr>
        <w:t>months of the comparative twelve</w:t>
      </w:r>
      <w:r>
        <w:rPr>
          <w:rFonts w:ascii="MS PGothic" w:cs="MS PGothic" w:eastAsia="MS PGothic" w:hAnsi="MS PGothic"/>
          <w:sz w:val="18"/>
          <w:szCs w:val="18"/>
          <w:color w:val="auto"/>
        </w:rPr>
        <w:t>‑</w:t>
      </w:r>
      <w:r>
        <w:rPr>
          <w:rFonts w:ascii="Arial" w:cs="Arial" w:eastAsia="Arial" w:hAnsi="Arial"/>
          <w:sz w:val="18"/>
          <w:szCs w:val="18"/>
          <w:color w:val="auto"/>
        </w:rPr>
        <w:t>month period increased by $126,067.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as well as additional recurring revenues resulting from new accounts and acquisitions, including the favorable impact from our platform acquisition of PLS. For the twelve months ended September 30, 2023 and 2022, 89% and 88%, respectively, of our revenues were recurring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retention rate</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Account retention rate is a key business metric that we believe is useful in evaluating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Account retention rate for any given twelve-month period is calculated using the average currency exchange rates for the prior period, as follows: the prior period recurring revenues from all accounts with recurring revenues in the current and prior period, divided by total recurring revenues from all accounts during the prior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account retention rate as of September 30, 2023 was negatively impacted due to our decision to exit the Russian market by approximately 1%.</w:t>
      </w:r>
    </w:p>
    <w:p>
      <w:pPr>
        <w:spacing w:after="0" w:line="24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Recurring revenues dollar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net retention rate</w:t>
      </w:r>
    </w:p>
    <w:p>
      <w:pPr>
        <w:spacing w:after="0" w:line="225"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is a key business metric that we believe is useful in evaluating our ability to consistently retain and grow our recurring revenues.</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Given that recurring revenues represented 89% of our total revenues for the twelve months ended September 30, 2023, this metric helps explain our revenue performance, excluding the impact from acquisitions, as primarily growth into existing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provide reconciliations between these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their most directly comparable GAAP financial measures. Non</w:t>
      </w:r>
      <w:r>
        <w:rPr>
          <w:rFonts w:ascii="MS PGothic" w:cs="MS PGothic" w:eastAsia="MS PGothic" w:hAnsi="MS PGothic"/>
          <w:sz w:val="17"/>
          <w:szCs w:val="17"/>
          <w:color w:val="auto"/>
        </w:rPr>
        <w:t>‑</w:t>
      </w:r>
      <w:r>
        <w:rPr>
          <w:rFonts w:ascii="Arial" w:cs="Arial" w:eastAsia="Arial" w:hAnsi="Arial"/>
          <w:sz w:val="17"/>
          <w:szCs w:val="17"/>
          <w:color w:val="auto"/>
        </w:rPr>
        <w:t>GAAP financial information should be considered in addition to, not as a substitute for, or in isolation from, the financial information prepared in accordance with GAAP, including operating income, or other measures of performance. Our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may vary significantly from period to period for reasons unrelated to our operating performance and may differ from similarly titled measures presented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OI w/SBC</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OI w/SBC is a non-GAAP financial measure and is used to measure the operational strength and performance of our business, as well as to assist in the evaluation of underlying trends in our business.</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Adjusted OI w/SBC is our primary performance measure, which excludes certain expenses and charges, including the non-cash amortization expense resulting from the acquisition of intangible assets, as we believe these may not be indicative of the Company’s core business operating results. We intentionally include stock-based compensation expense in this measure as we believe it better captures the economic costs of our business.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operating income is a non-GAAP financial measure that we believe is useful to investors in making comparisons to other companies, although this measure may not be directly comparable to similar measures used by other companies.</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Adjusted operating income is defined as operating income adjusted for the following: amortization of purchased intangibles, expense (income) relating to deferred compensation plan liabilities, acquisition expenses, realignment expenses (income),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Reconciliation of operating income to Adjusted OI w/SBC and to Adjusted operating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26"/>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167,853</w:t>
            </w:r>
          </w:p>
        </w:tc>
      </w:tr>
      <w:tr>
        <w:trPr>
          <w:trHeight w:val="229"/>
        </w:trPr>
        <w:tc>
          <w:tcPr>
            <w:tcW w:w="20" w:type="dxa"/>
            <w:vAlign w:val="bottom"/>
          </w:tcPr>
          <w:p>
            <w:pPr>
              <w:spacing w:after="0"/>
              <w:rPr>
                <w:sz w:val="19"/>
                <w:szCs w:val="19"/>
                <w:color w:val="auto"/>
              </w:rPr>
            </w:pPr>
          </w:p>
        </w:tc>
        <w:tc>
          <w:tcPr>
            <w:tcW w:w="5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12,678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39,038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40,174</w:t>
            </w:r>
          </w:p>
        </w:tc>
      </w:tr>
      <w:tr>
        <w:trPr>
          <w:trHeight w:val="229"/>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r>
      <w:tr>
        <w:trPr>
          <w:trHeight w:val="230"/>
        </w:trPr>
        <w:tc>
          <w:tcPr>
            <w:tcW w:w="20" w:type="dxa"/>
            <w:vAlign w:val="bottom"/>
          </w:tcPr>
          <w:p>
            <w:pPr>
              <w:spacing w:after="0"/>
              <w:rPr>
                <w:sz w:val="19"/>
                <w:szCs w:val="19"/>
                <w:color w:val="auto"/>
              </w:rPr>
            </w:pPr>
          </w:p>
        </w:tc>
        <w:tc>
          <w:tcPr>
            <w:tcW w:w="5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15,278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21,056</w:t>
            </w:r>
          </w:p>
        </w:tc>
      </w:tr>
      <w:tr>
        <w:trPr>
          <w:trHeight w:val="229"/>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Realignment expenses (income) </w:t>
            </w:r>
            <w:r>
              <w:rPr>
                <w:rFonts w:ascii="Arial" w:cs="Arial" w:eastAsia="Arial" w:hAnsi="Arial"/>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23"/>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Adjusted OI w/SBC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86,327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250,048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209,433</w:t>
            </w:r>
          </w:p>
        </w:tc>
      </w:tr>
      <w:tr>
        <w:trPr>
          <w:trHeight w:val="229"/>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54,907</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50,974</w:t>
            </w:r>
          </w:p>
        </w:tc>
      </w:tr>
      <w:tr>
        <w:trPr>
          <w:trHeight w:val="223"/>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104,366</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304,955</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260,407</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Further explanation of certain of our adjustments in arriving at Adjusted OI w/SBC and Adjusted operating income are as follows:</w:t>
      </w:r>
    </w:p>
    <w:p>
      <w:pPr>
        <w:spacing w:after="0" w:line="127" w:lineRule="exact"/>
        <w:rPr>
          <w:sz w:val="20"/>
          <w:szCs w:val="20"/>
          <w:color w:val="auto"/>
        </w:rPr>
      </w:pPr>
    </w:p>
    <w:p>
      <w:pPr>
        <w:jc w:val="both"/>
        <w:ind w:left="340" w:hanging="332"/>
        <w:spacing w:after="0" w:line="197" w:lineRule="exact"/>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Amortization of purchased intangibles</w:t>
      </w:r>
      <w:r>
        <w:rPr>
          <w:rFonts w:ascii="Arial" w:cs="Arial" w:eastAsia="Arial" w:hAnsi="Arial"/>
          <w:sz w:val="16"/>
          <w:szCs w:val="16"/>
          <w:color w:val="auto"/>
        </w:rPr>
        <w:t>. Amortization of purchased intangibles varies in amount and frequency and is significantly impacted by the timing and size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acquisitions. Management finds it useful to exclude these non</w:t>
      </w:r>
      <w:r>
        <w:rPr>
          <w:rFonts w:ascii="MS PGothic" w:cs="MS PGothic" w:eastAsia="MS PGothic" w:hAnsi="MS PGothic"/>
          <w:sz w:val="16"/>
          <w:szCs w:val="16"/>
          <w:color w:val="auto"/>
        </w:rPr>
        <w:t>‑</w:t>
      </w:r>
      <w:r>
        <w:rPr>
          <w:rFonts w:ascii="Arial" w:cs="Arial" w:eastAsia="Arial" w:hAnsi="Arial"/>
          <w:sz w:val="16"/>
          <w:szCs w:val="16"/>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92"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We exclude</w:t>
      </w:r>
      <w:r>
        <w:rPr>
          <w:rFonts w:ascii="Arial" w:cs="Arial" w:eastAsia="Arial" w:hAnsi="Arial"/>
          <w:sz w:val="16"/>
          <w:szCs w:val="16"/>
          <w:i w:val="1"/>
          <w:iCs w:val="1"/>
          <w:color w:val="auto"/>
        </w:rPr>
        <w:t xml:space="preserve"> Deferred compensation plan </w:t>
      </w:r>
      <w:r>
        <w:rPr>
          <w:rFonts w:ascii="Arial" w:cs="Arial" w:eastAsia="Arial" w:hAnsi="Arial"/>
          <w:sz w:val="16"/>
          <w:szCs w:val="16"/>
          <w:color w:val="auto"/>
        </w:rPr>
        <w:t>expense (income) when we evaluate our continuing operational performance because it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in the consolidated statements of operations.</w:t>
      </w:r>
    </w:p>
    <w:p>
      <w:pPr>
        <w:spacing w:after="0" w:line="87" w:lineRule="exact"/>
        <w:rPr>
          <w:rFonts w:ascii="Arial" w:cs="Arial" w:eastAsia="Arial" w:hAnsi="Arial"/>
          <w:sz w:val="16"/>
          <w:szCs w:val="16"/>
          <w:color w:val="auto"/>
        </w:rPr>
      </w:pPr>
    </w:p>
    <w:p>
      <w:pPr>
        <w:jc w:val="both"/>
        <w:ind w:left="340" w:hanging="332"/>
        <w:spacing w:after="0" w:line="197" w:lineRule="exact"/>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Acquisition expenses</w:t>
      </w:r>
      <w:r>
        <w:rPr>
          <w:rFonts w:ascii="Arial" w:cs="Arial" w:eastAsia="Arial" w:hAnsi="Arial"/>
          <w:sz w:val="16"/>
          <w:szCs w:val="16"/>
          <w:color w:val="auto"/>
        </w:rPr>
        <w:t>. We incur expenses for professional services rendered in connection with business combinations, which are included in our U.S. GAAP</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general and administrative expense (See Note 4 to our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 For the three and nine months ended September 30, 2022, $350 and $10,149, respectively, of our acquisition expenses related to our platform acquisition of PLS.</w:t>
      </w:r>
    </w:p>
    <w:p>
      <w:pPr>
        <w:spacing w:after="0" w:line="91" w:lineRule="exact"/>
        <w:rPr>
          <w:rFonts w:ascii="Arial" w:cs="Arial" w:eastAsia="Arial" w:hAnsi="Arial"/>
          <w:sz w:val="16"/>
          <w:szCs w:val="16"/>
          <w:color w:val="auto"/>
        </w:rPr>
      </w:pPr>
    </w:p>
    <w:p>
      <w:pPr>
        <w:jc w:val="both"/>
        <w:ind w:left="340" w:hanging="332"/>
        <w:spacing w:after="0" w:line="279"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Realignment expenses (income)</w:t>
      </w:r>
      <w:r>
        <w:rPr>
          <w:rFonts w:ascii="Arial" w:cs="Arial" w:eastAsia="Arial" w:hAnsi="Arial"/>
          <w:sz w:val="15"/>
          <w:szCs w:val="15"/>
          <w:color w:val="auto"/>
        </w:rPr>
        <w:t>. We exclude these charges and subsequent adjustments to our estimates when we evaluate our continuing operational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 For the three and nine months ended September 30, 2022, </w:t>
      </w:r>
      <w:r>
        <w:rPr>
          <w:rFonts w:ascii="Arial" w:cs="Arial" w:eastAsia="Arial" w:hAnsi="Arial"/>
          <w:sz w:val="15"/>
          <w:szCs w:val="15"/>
          <w:i w:val="1"/>
          <w:iCs w:val="1"/>
          <w:color w:val="auto"/>
        </w:rPr>
        <w:t>Realignment expenses (income)</w:t>
      </w:r>
      <w:r>
        <w:rPr>
          <w:rFonts w:ascii="Arial" w:cs="Arial" w:eastAsia="Arial" w:hAnsi="Arial"/>
          <w:sz w:val="15"/>
          <w:szCs w:val="15"/>
          <w:color w:val="auto"/>
        </w:rPr>
        <w:t xml:space="preserve"> were comprised of asset impairments and termination benefits as a result of our decision to wind down business and exit the Russian market beginning in the second quarter of 2022. For the three and nine months ended September 30, 2023, </w:t>
      </w:r>
      <w:r>
        <w:rPr>
          <w:rFonts w:ascii="Arial" w:cs="Arial" w:eastAsia="Arial" w:hAnsi="Arial"/>
          <w:sz w:val="15"/>
          <w:szCs w:val="15"/>
          <w:i w:val="1"/>
          <w:iCs w:val="1"/>
          <w:color w:val="auto"/>
        </w:rPr>
        <w:t>Realignment expenses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(income) </w:t>
      </w:r>
      <w:r>
        <w:rPr>
          <w:rFonts w:ascii="Arial" w:cs="Arial" w:eastAsia="Arial" w:hAnsi="Arial"/>
          <w:sz w:val="15"/>
          <w:szCs w:val="15"/>
          <w:color w:val="auto"/>
        </w:rPr>
        <w:t>primarily relates to the continued wind down of our Russian entities.</w:t>
      </w:r>
    </w:p>
    <w:p>
      <w:pPr>
        <w:spacing w:after="0" w:line="79" w:lineRule="exact"/>
        <w:rPr>
          <w:rFonts w:ascii="Arial" w:cs="Arial" w:eastAsia="Arial" w:hAnsi="Arial"/>
          <w:sz w:val="15"/>
          <w:szCs w:val="15"/>
          <w:color w:val="auto"/>
        </w:rPr>
      </w:pPr>
    </w:p>
    <w:p>
      <w:pPr>
        <w:ind w:left="340" w:hanging="332"/>
        <w:spacing w:after="0" w:line="198" w:lineRule="exact"/>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Stock</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compensation expense</w:t>
      </w:r>
      <w:r>
        <w:rPr>
          <w:rFonts w:ascii="Arial" w:cs="Arial" w:eastAsia="Arial" w:hAnsi="Arial"/>
          <w:sz w:val="16"/>
          <w:szCs w:val="16"/>
          <w:color w:val="auto"/>
        </w:rPr>
        <w:t>. We exclude non-cash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expenses from certain of our non</w:t>
      </w:r>
      <w:r>
        <w:rPr>
          <w:rFonts w:ascii="MS PGothic" w:cs="MS PGothic" w:eastAsia="MS PGothic" w:hAnsi="MS PGothic"/>
          <w:sz w:val="16"/>
          <w:szCs w:val="16"/>
          <w:color w:val="auto"/>
        </w:rPr>
        <w:t>‑</w:t>
      </w:r>
      <w:r>
        <w:rPr>
          <w:rFonts w:ascii="Arial" w:cs="Arial" w:eastAsia="Arial" w:hAnsi="Arial"/>
          <w:sz w:val="16"/>
          <w:szCs w:val="16"/>
          <w:color w:val="auto"/>
        </w:rPr>
        <w:t>GAAP measures because we believe this is</w:t>
      </w:r>
      <w:r>
        <w:rPr>
          <w:rFonts w:ascii="Arial" w:cs="Arial" w:eastAsia="Arial" w:hAnsi="Arial"/>
          <w:sz w:val="16"/>
          <w:szCs w:val="16"/>
          <w:i w:val="1"/>
          <w:iCs w:val="1"/>
          <w:color w:val="auto"/>
        </w:rPr>
        <w:t xml:space="preserve"> </w:t>
      </w:r>
      <w:r>
        <w:rPr>
          <w:rFonts w:ascii="Arial" w:cs="Arial" w:eastAsia="Arial" w:hAnsi="Arial"/>
          <w:sz w:val="16"/>
          <w:szCs w:val="16"/>
          <w:color w:val="auto"/>
        </w:rPr>
        <w:t>useful to investors in making comparisons to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Constant currency and constant currency growth rates are non-GAAP financial measures that present our results of operations excluding the estimated effects of foreign currency exchange rate fluctuations. We have operations outside the U.S. that are conducted in local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primary source of operating cash is from the sale of subscriptions, perpetual licenses, and services. Our primary use of cash is payment of our operating costs, which consist primarily of headcount</w:t>
      </w:r>
      <w:r>
        <w:rPr>
          <w:rFonts w:ascii="MS PGothic" w:cs="MS PGothic" w:eastAsia="MS PGothic" w:hAnsi="MS PGothic"/>
          <w:sz w:val="18"/>
          <w:szCs w:val="18"/>
          <w:color w:val="auto"/>
        </w:rPr>
        <w:t>‑</w:t>
      </w:r>
      <w:r>
        <w:rPr>
          <w:rFonts w:ascii="Arial" w:cs="Arial" w:eastAsia="Arial" w:hAnsi="Arial"/>
          <w:sz w:val="18"/>
          <w:szCs w:val="18"/>
          <w:color w:val="auto"/>
        </w:rPr>
        <w:t xml:space="preserve">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 including our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initiative which makes seed, early, and growth stage investments in technology companies with promising and emerging opportunities for infrastructure digital twin solutions potentially relevant to our business.</w:t>
      </w:r>
    </w:p>
    <w:p>
      <w:pPr>
        <w:spacing w:after="0" w:line="2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the right to require that certain equity awardees receive gross or net quantities of shares of our Class B Common Stock, including in connection with share issuances under our Bonus Plan and distributions from the DCP.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nine months ended September 30, 2023, we allowed impacted equity awardees the option to receive net quantities of shares of our Class B Common Stock. During the nine months ended September 30, 2022, we permitted impacted awardees to elect to receive net quantities of shares of our Class B Common Stock in the first quarter, but exercised our right to require that these awardees receive gross quantities of our Class B Common Stock during the second and third quarters. We will continue to evaluate whether share awards will be required to be received by awardees on a gross basis, or if net settlement may be elected by awardees.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believe that existing domestic and international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domestically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held by foreign subsidiaries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64,284</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66,963</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24"/>
                <w:szCs w:val="24"/>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1,580,752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1,589,502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 activities for the nine months ended September 30, 2023 and 2022 consist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329,643</w:t>
            </w:r>
          </w:p>
        </w:tc>
        <w:tc>
          <w:tcPr>
            <w:tcW w:w="260" w:type="dxa"/>
            <w:vAlign w:val="bottom"/>
          </w:tcPr>
          <w:p>
            <w:pPr>
              <w:spacing w:after="0"/>
              <w:rPr>
                <w:sz w:val="23"/>
                <w:szCs w:val="23"/>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238,198</w:t>
            </w:r>
          </w:p>
        </w:tc>
      </w:tr>
      <w:tr>
        <w:trPr>
          <w:trHeight w:val="27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(51,245)</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(740,445)</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(280,019)</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254,692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Net cash provided by operating activities was $329,643 for the nine months ended September 30, 2023. Compared to the same period in the prior year, net cash provided by operating activities was higher by $91,445 due to an increase in net cash flows from the change in operating assets and liabilities of $51,510, a net increase in non</w:t>
      </w:r>
      <w:r>
        <w:rPr>
          <w:rFonts w:ascii="MS PGothic" w:cs="MS PGothic" w:eastAsia="MS PGothic" w:hAnsi="MS PGothic"/>
          <w:sz w:val="18"/>
          <w:szCs w:val="18"/>
          <w:color w:val="auto"/>
        </w:rPr>
        <w:t>‑</w:t>
      </w:r>
      <w:r>
        <w:rPr>
          <w:rFonts w:ascii="Arial" w:cs="Arial" w:eastAsia="Arial" w:hAnsi="Arial"/>
          <w:sz w:val="18"/>
          <w:szCs w:val="18"/>
          <w:color w:val="auto"/>
        </w:rPr>
        <w:t>cash adjustments of $41,791, partially offset by a decrease in net income of $1,856. The increase in cash flows from the change in operating assets and liabilities was primarily due to a decrease in accounts receivable period over period due to the timing of collections from accounts and higher CSS deposits.</w:t>
      </w:r>
    </w:p>
    <w:p>
      <w:pPr>
        <w:spacing w:after="0" w:line="205"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nine months ended September 30, 2022, net cash provided by operating activities was $238,198 resulting from net income of $149,058, changes in operating assets and liabilities of $24,892, and non</w:t>
      </w:r>
      <w:r>
        <w:rPr>
          <w:rFonts w:ascii="MS PGothic" w:cs="MS PGothic" w:eastAsia="MS PGothic" w:hAnsi="MS PGothic"/>
          <w:sz w:val="18"/>
          <w:szCs w:val="18"/>
          <w:color w:val="auto"/>
        </w:rPr>
        <w:t>‑</w:t>
      </w:r>
      <w:r>
        <w:rPr>
          <w:rFonts w:ascii="Arial" w:cs="Arial" w:eastAsia="Arial" w:hAnsi="Arial"/>
          <w:sz w:val="18"/>
          <w:szCs w:val="18"/>
          <w:color w:val="auto"/>
        </w:rPr>
        <w:t>cash adjustments of $64,248.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cash used in investing activities was $51,245 for the nine months ended September 30, 2023 due to $23,110 in acquisition related payments, net of cash acquired, to complete two acquisitions, $18,906 related to purchases of property and equipment and investment in capitalized software, and $11,352 for purchases of investments.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$740,445 primarily due to $719,539 in acquisition related payments, net of cash acquired, to complete four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was $280,019 for the nine months ended September 30, 2023 primarily due to the net paydown of the Credit Facility of $195,902, payments for shares acquired of $57,527, and payments of dividends of $43,992.</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2022, net cash provided by financing activities was $254,692 primarily due to an increase in net borrowings under the Credit Facility of $340,912, partially offset by net payments for shares acquired of $70,463, including shares repurchased under the Repurchase Program, and payments of dividends of $25,828.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in our market risk exposure as described in Part II, Item 7A. Quantitative and Qualitative Disclosures About Market Risk in our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2023, our disclosure controls and procedures were effective at the reasonable assurance level.</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September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2023 to September 30, 2023, we issued 218,438 shares of our Class B Common Stock pursuant to the vesting of restricted stock and RSUs.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July 1, 2023 to September 30, 2023, we issued 63,267 shares of our Class B Common Stock in connection with distributions from our DCP.</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During the three months ended September 30, 2023, none of the Company’s directors or executive officers adopted or terminated any contract, instruction or written plan for the purchase or sale of Company securities that was intended to satisfy the affirmative defense conditions of Rule 10b5</w:t>
      </w:r>
      <w:r>
        <w:rPr>
          <w:rFonts w:ascii="MS PGothic" w:cs="MS PGothic" w:eastAsia="MS PGothic" w:hAnsi="MS PGothic"/>
          <w:sz w:val="18"/>
          <w:szCs w:val="18"/>
          <w:color w:val="auto"/>
        </w:rPr>
        <w:t>‑</w:t>
      </w:r>
      <w:r>
        <w:rPr>
          <w:rFonts w:ascii="Arial" w:cs="Arial" w:eastAsia="Arial" w:hAnsi="Arial"/>
          <w:sz w:val="18"/>
          <w:szCs w:val="18"/>
          <w:color w:val="auto"/>
        </w:rPr>
        <w:t>1(c) or any “non-Rule 10b5</w:t>
      </w:r>
      <w:r>
        <w:rPr>
          <w:rFonts w:ascii="MS PGothic" w:cs="MS PGothic" w:eastAsia="MS PGothic" w:hAnsi="MS PGothic"/>
          <w:sz w:val="18"/>
          <w:szCs w:val="18"/>
          <w:color w:val="auto"/>
        </w:rPr>
        <w:t>‑</w:t>
      </w:r>
      <w:r>
        <w:rPr>
          <w:rFonts w:ascii="Arial" w:cs="Arial" w:eastAsia="Arial" w:hAnsi="Arial"/>
          <w:sz w:val="18"/>
          <w:szCs w:val="18"/>
          <w:color w:val="auto"/>
        </w:rPr>
        <w:t>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6"/>
              </w:rPr>
              <w:t>Item 6. Exhibits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4"/>
            <w:vMerge w:val="restart"/>
          </w:tcPr>
          <w:p>
            <w:pPr>
              <w:ind w:left="4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0"/>
              </w:rPr>
              <w:t>Certification of CEO pursuant to Rule 13a-14(a) and Rule 15d-14(a) of the Securities Exchange Act of 1934, as amended</w:t>
            </w:r>
          </w:p>
        </w:tc>
        <w:tc>
          <w:tcPr>
            <w:tcW w:w="11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of CFO pursuant to Rule 13a-14(a) and Rule 15d-14(a) of the Securities Exchange Act of 1934, as amended</w:t>
            </w:r>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0000FF"/>
                <w:w w:val="93"/>
              </w:rPr>
              <w:t>Certification of CEO and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43" w:lineRule="exact"/>
        <w:rPr>
          <w:rFonts w:ascii="Arial" w:cs="Arial" w:eastAsia="Arial" w:hAnsi="Arial"/>
          <w:sz w:val="18"/>
          <w:szCs w:val="18"/>
          <w:color w:val="auto"/>
        </w:rPr>
      </w:pPr>
    </w:p>
    <w:p>
      <w:pPr>
        <w:ind w:left="480" w:right="12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Bentley Systems, Incorporated</w:t>
      </w:r>
    </w:p>
    <w:p>
      <w:pPr>
        <w:spacing w:after="0" w:line="55" w:lineRule="exact"/>
        <w:rPr>
          <w:sz w:val="20"/>
          <w:szCs w:val="20"/>
          <w:color w:val="auto"/>
        </w:rPr>
      </w:pPr>
    </w:p>
    <w:p>
      <w:pPr>
        <w:ind w:left="20"/>
        <w:spacing w:after="0"/>
        <w:tabs>
          <w:tab w:leader="none" w:pos="4240" w:val="left"/>
          <w:tab w:leader="none" w:pos="7460" w:val="left"/>
        </w:tabs>
        <w:rPr>
          <w:sz w:val="20"/>
          <w:szCs w:val="20"/>
          <w:color w:val="auto"/>
        </w:rPr>
      </w:pPr>
      <w:r>
        <w:rPr>
          <w:rFonts w:ascii="Arial" w:cs="Arial" w:eastAsia="Arial" w:hAnsi="Arial"/>
          <w:sz w:val="35"/>
          <w:szCs w:val="35"/>
          <w:color w:val="auto"/>
          <w:vertAlign w:val="superscript"/>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w:t>
      </w:r>
      <w:r>
        <w:rPr>
          <w:rFonts w:ascii="Arial" w:cs="Arial" w:eastAsia="Arial" w:hAnsi="Arial"/>
          <w:sz w:val="13"/>
          <w:szCs w:val="13"/>
          <w:color w:val="auto"/>
        </w:rPr>
        <w:t>ERNER</w:t>
      </w:r>
      <w:r>
        <w:rPr>
          <w:rFonts w:ascii="Arial" w:cs="Arial" w:eastAsia="Arial" w:hAnsi="Arial"/>
          <w:sz w:val="17"/>
          <w:szCs w:val="17"/>
          <w:color w:val="auto"/>
        </w:rPr>
        <w:t xml:space="preserve"> A</w:t>
      </w:r>
      <w:r>
        <w:rPr>
          <w:rFonts w:ascii="Arial" w:cs="Arial" w:eastAsia="Arial" w:hAnsi="Arial"/>
          <w:sz w:val="13"/>
          <w:szCs w:val="13"/>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jc w:val="center"/>
        <w:ind w:left="5100"/>
        <w:spacing w:after="0"/>
        <w:rPr>
          <w:sz w:val="20"/>
          <w:szCs w:val="20"/>
          <w:color w:val="auto"/>
        </w:rPr>
      </w:pPr>
      <w:r>
        <w:rPr>
          <w:rFonts w:ascii="Arial" w:cs="Arial" w:eastAsia="Arial" w:hAnsi="Arial"/>
          <w:sz w:val="18"/>
          <w:szCs w:val="18"/>
          <w:color w:val="auto"/>
        </w:rPr>
        <w:t>Werner Andre</w:t>
      </w:r>
    </w:p>
    <w:p>
      <w:pPr>
        <w:spacing w:after="0" w:line="7"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Chief Financial Officer and Chief Accounting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Werner Andre,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period ended September 30, 2023,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5"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right="140" w:firstLine="332"/>
        <w:spacing w:after="0" w:line="481" w:lineRule="auto"/>
        <w:tabs>
          <w:tab w:leader="none" w:pos="6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emdash "/>
      <w:numFmt w:val="bullet"/>
      <w:start w:val="1"/>
    </w:lvl>
  </w:abstractNum>
  <w:abstractNum w:abstractNumId="3">
    <w:nsid w:val="1BEFD79F"/>
    <w:multiLevelType w:val="hybridMultilevel"/>
    <w:lvl w:ilvl="0">
      <w:lvlJc w:val="left"/>
      <w:lvlText w:val="\emdash "/>
      <w:numFmt w:val="bullet"/>
      <w:start w:val="1"/>
    </w:lvl>
  </w:abstractNum>
  <w:abstractNum w:abstractNumId="4">
    <w:nsid w:val="41A7C4C9"/>
    <w:multiLevelType w:val="hybridMultilevel"/>
    <w:lvl w:ilvl="0">
      <w:lvlJc w:val="left"/>
      <w:lvlText w:val="(%1)"/>
      <w:numFmt w:val="decimal"/>
      <w:start w:val="137"/>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lvl w:ilvl="1">
      <w:lvlJc w:val="left"/>
      <w:lvlText w:val="%2"/>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2023-11-07T15:29:11Z</dcterms:created>
  <dcterms:modified xsi:type="dcterms:W3CDTF">2023-11-07T15:29:11Z</dcterms:modified>
</cp:coreProperties>
</file>