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March 31, 2026</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001-39548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April 30, 2026, the registrant had 11,515,127 shares of Class A and 292,281,547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87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19">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erif" w:hAnsi="Times New Roman;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19">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2">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2">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1336081396349">
              <w:r>
                <w:rPr>
                  <w:rStyle w:val="InternetLink"/>
                  <w:rFonts w:ascii="Times New Roman;serif" w:hAnsi="Times New Roman;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1336081396349">
              <w:r>
                <w:rPr>
                  <w:rStyle w:val="InternetLink"/>
                  <w:rFonts w:ascii="Times New Roman;serif" w:hAnsi="Times New Roman;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1336081396371">
              <w:r>
                <w:rPr>
                  <w:rStyle w:val="InternetLink"/>
                  <w:rFonts w:ascii="Times New Roman;serif" w:hAnsi="Times New Roman;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1336081396371">
              <w:r>
                <w:rPr>
                  <w:rStyle w:val="InternetLink"/>
                  <w:rFonts w:ascii="Times New Roman;serif" w:hAnsi="Times New Roman;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40">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0">
              <w:r>
                <w:rPr>
                  <w:rStyle w:val="InternetLink"/>
                  <w:rFonts w:ascii="Times New Roman;serif" w:hAnsi="Times New Roman;serif"/>
                  <w:b w:val="false"/>
                  <w:color w:val="0000FF"/>
                  <w:sz w:val="20"/>
                  <w:u w:val="singl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49">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9">
              <w:r>
                <w:rPr>
                  <w:rStyle w:val="InternetLink"/>
                  <w:rFonts w:ascii="Times New Roman;serif" w:hAnsi="Times New Roman;serif"/>
                  <w:b w:val="false"/>
                  <w:color w:val="0000FF"/>
                  <w:sz w:val="20"/>
                  <w:u w:val="single"/>
                </w:rPr>
                <w:t>10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37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76">
              <w:r>
                <w:rPr>
                  <w:rStyle w:val="InternetLink"/>
                  <w:rFonts w:ascii="Times New Roman;serif" w:hAnsi="Times New Roman;serif"/>
                  <w:b w:val="false"/>
                  <w:color w:val="0000FF"/>
                  <w:sz w:val="20"/>
                  <w:u w:val="single"/>
                </w:rPr>
                <w:t>29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68">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68">
              <w:r>
                <w:rPr>
                  <w:rStyle w:val="InternetLink"/>
                  <w:rFonts w:ascii="Times New Roman;serif" w:hAnsi="Times New Roman;serif"/>
                  <w:b w:val="false"/>
                  <w:color w:val="0000FF"/>
                  <w:sz w:val="20"/>
                  <w:u w:val="singl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4">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4">
              <w:r>
                <w:rPr>
                  <w:rStyle w:val="InternetLink"/>
                  <w:rFonts w:ascii="Times New Roman;serif" w:hAnsi="Times New Roman;serif"/>
                  <w:b w:val="false"/>
                  <w:color w:val="0000FF"/>
                  <w:sz w:val="20"/>
                  <w:u w:val="singl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577">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7">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7">
              <w:r>
                <w:rPr>
                  <w:rStyle w:val="InternetLink"/>
                  <w:rFonts w:ascii="Times New Roman;serif" w:hAnsi="Times New Roman;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80">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0">
              <w:r>
                <w:rPr>
                  <w:rStyle w:val="InternetLink"/>
                  <w:rFonts w:ascii="Times New Roman;serif" w:hAnsi="Times New Roman;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586">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6">
              <w:r>
                <w:rPr>
                  <w:rStyle w:val="InternetLink"/>
                  <w:rFonts w:ascii="Times New Roman;serif" w:hAnsi="Times New Roman;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92">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92">
              <w:r>
                <w:rPr>
                  <w:rStyle w:val="InternetLink"/>
                  <w:rFonts w:ascii="Times New Roman;serif" w:hAnsi="Times New Roman;serif"/>
                  <w:b w:val="false"/>
                  <w:color w:val="0000FF"/>
                  <w:sz w:val="20"/>
                  <w:u w:val="singl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601">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1">
              <w:r>
                <w:rPr>
                  <w:rStyle w:val="InternetLink"/>
                  <w:rFonts w:ascii="Times New Roman;serif" w:hAnsi="Times New Roman;serif"/>
                  <w:b w:val="false"/>
                  <w:color w:val="0000FF"/>
                  <w:sz w:val="20"/>
                  <w:u w:val="singl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604">
              <w:r>
                <w:rPr>
                  <w:rStyle w:val="InternetLink"/>
                  <w:rFonts w:ascii="Times New Roman;serif" w:hAnsi="Times New Roman;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4">
              <w:r>
                <w:rPr>
                  <w:rStyle w:val="InternetLink"/>
                  <w:rFonts w:ascii="Times New Roman;serif" w:hAnsi="Times New Roman;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is for the three months ended March 31, 2026.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Unaudited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BENTLEY SYSTEMS, INCORPORATED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2"/>
        <w:gridCol w:w="2102"/>
        <w:gridCol w:w="2081"/>
        <w:gridCol w:w="109"/>
        <w:gridCol w:w="109"/>
        <w:gridCol w:w="109"/>
        <w:gridCol w:w="202"/>
        <w:gridCol w:w="898"/>
        <w:gridCol w:w="112"/>
        <w:gridCol w:w="109"/>
        <w:gridCol w:w="109"/>
        <w:gridCol w:w="109"/>
        <w:gridCol w:w="218"/>
        <w:gridCol w:w="972"/>
        <w:gridCol w:w="174"/>
      </w:tblGrid>
      <w:tr>
        <w:trPr/>
        <w:tc>
          <w:tcPr>
            <w:tcW w:w="279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518,229 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539,033 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2,474,746 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2,482,154 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3,523,715 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3,555,167 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1,006,866 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960,210 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1,248,912 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2,297,827 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2,365,675 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authorized 100,000,000 shares; none issued or outstanding as of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authorized 100,000,000 shares; issued and outstanding 11,515,127 and 11,537,627 shares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$0.01 par value, authorized 1,800,000,000 shares; issued and outstanding 292,089,556 and 290,817,470 shares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1,325,977 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Bentley Systems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1,225,847 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1,189,413 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1,225,888 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3,523,715 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3,555,167 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516" w:type="dxa"/>
        <w:jc w:val="center"/>
        <w:tblInd w:w="0" w:type="dxa"/>
        <w:tblLayout w:type="fixed"/>
        <w:tblCellMar>
          <w:top w:w="28" w:type="dxa"/>
          <w:left w:w="28" w:type="dxa"/>
          <w:bottom w:w="28" w:type="dxa"/>
          <w:right w:w="28" w:type="dxa"/>
        </w:tblCellMar>
      </w:tblPr>
      <w:tblGrid>
        <w:gridCol w:w="2012"/>
        <w:gridCol w:w="1763"/>
        <w:gridCol w:w="1775"/>
        <w:gridCol w:w="109"/>
        <w:gridCol w:w="109"/>
        <w:gridCol w:w="109"/>
        <w:gridCol w:w="109"/>
        <w:gridCol w:w="109"/>
        <w:gridCol w:w="140"/>
        <w:gridCol w:w="140"/>
        <w:gridCol w:w="271"/>
        <w:gridCol w:w="1063"/>
        <w:gridCol w:w="140"/>
        <w:gridCol w:w="109"/>
        <w:gridCol w:w="109"/>
        <w:gridCol w:w="109"/>
        <w:gridCol w:w="241"/>
        <w:gridCol w:w="945"/>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7"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350,407 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net (losses)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312,593,358 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315,130,071 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321,836,470 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333,441,006 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891" w:type="dxa"/>
        <w:jc w:val="left"/>
        <w:tblInd w:w="0" w:type="dxa"/>
        <w:tblLayout w:type="fixed"/>
        <w:tblCellMar>
          <w:top w:w="28" w:type="dxa"/>
          <w:left w:w="28" w:type="dxa"/>
          <w:bottom w:w="28" w:type="dxa"/>
          <w:right w:w="28" w:type="dxa"/>
        </w:tblCellMar>
      </w:tblPr>
      <w:tblGrid>
        <w:gridCol w:w="2574"/>
        <w:gridCol w:w="2257"/>
        <w:gridCol w:w="2279"/>
        <w:gridCol w:w="109"/>
        <w:gridCol w:w="109"/>
        <w:gridCol w:w="109"/>
        <w:gridCol w:w="211"/>
        <w:gridCol w:w="721"/>
        <w:gridCol w:w="109"/>
        <w:gridCol w:w="109"/>
        <w:gridCol w:w="109"/>
        <w:gridCol w:w="109"/>
        <w:gridCol w:w="211"/>
        <w:gridCol w:w="721"/>
        <w:gridCol w:w="154"/>
      </w:tblGrid>
      <w:tr>
        <w:trPr/>
        <w:tc>
          <w:tcPr>
            <w:tcW w:w="257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(loss) gain on retirement plan, net of tax effect of $501 and $(8),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719"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661"/>
        <w:gridCol w:w="109"/>
        <w:gridCol w:w="109"/>
        <w:gridCol w:w="109"/>
        <w:gridCol w:w="109"/>
        <w:gridCol w:w="196"/>
        <w:gridCol w:w="871"/>
        <w:gridCol w:w="109"/>
        <w:gridCol w:w="109"/>
        <w:gridCol w:w="109"/>
        <w:gridCol w:w="109"/>
        <w:gridCol w:w="212"/>
        <w:gridCol w:w="359"/>
        <w:gridCol w:w="120"/>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302,355,097 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1,274,538 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(1,037,848)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303,604,683 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1,225,888 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301,977,330 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689,203 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executive bonus plan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302,909,806 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605"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826"/>
        <w:gridCol w:w="109"/>
        <w:gridCol w:w="109"/>
        <w:gridCol w:w="109"/>
        <w:gridCol w:w="109"/>
        <w:gridCol w:w="211"/>
        <w:gridCol w:w="721"/>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purchases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6290" w:type="dxa"/>
        <w:jc w:val="center"/>
        <w:tblInd w:w="0" w:type="dxa"/>
        <w:tblLayout w:type="fixed"/>
        <w:tblCellMar>
          <w:top w:w="28" w:type="dxa"/>
          <w:left w:w="28" w:type="dxa"/>
          <w:bottom w:w="28" w:type="dxa"/>
          <w:right w:w="28" w:type="dxa"/>
        </w:tblCellMar>
      </w:tblPr>
      <w:tblGrid>
        <w:gridCol w:w="1346"/>
        <w:gridCol w:w="1185"/>
        <w:gridCol w:w="1188"/>
        <w:gridCol w:w="109"/>
        <w:gridCol w:w="109"/>
        <w:gridCol w:w="109"/>
        <w:gridCol w:w="211"/>
        <w:gridCol w:w="616"/>
        <w:gridCol w:w="109"/>
        <w:gridCol w:w="109"/>
        <w:gridCol w:w="109"/>
        <w:gridCol w:w="109"/>
        <w:gridCol w:w="211"/>
        <w:gridCol w:w="61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paid for income taxes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(1)Cash paid for income taxes includes third</w:t>
        <w:noBreakHyphen/>
        <w:t>party withholding taxes.</w:t>
      </w:r>
    </w:p>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4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 Basis of Presentation and Significant Accounting Policies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accompanying unaudited consolidated financial statements include the accounts of the Company and its consolidated subsidiaries. The unaudited consolidated financial statements and accompanying notes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2025 Annual Report on Form 10</w:t>
      </w:r>
      <w:r>
        <w:rPr>
          <w:color w:val="000000"/>
        </w:rPr>
        <w:noBreakHyphen/>
      </w:r>
      <w:r>
        <w:rPr>
          <w:rFonts w:ascii="Times New Roman;serif" w:hAnsi="Times New Roman;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2025 consolidated balance sheet included herein is derived from the Company’s audited consolidated financial statements.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of prior period amounts have been made to conform to the current period presentation.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Policies</w:t>
      </w:r>
    </w:p>
    <w:p>
      <w:pPr>
        <w:pStyle w:val="TextBody"/>
        <w:bidi w:val="0"/>
        <w:spacing w:lineRule="auto" w:line="288" w:before="0" w:after="200"/>
        <w:ind w:left="0" w:right="0" w:firstLine="360"/>
        <w:jc w:val="both"/>
        <w:rPr/>
      </w:pPr>
      <w:r>
        <w:rPr>
          <w:rFonts w:ascii="Times New Roman;serif" w:hAnsi="Times New Roman;serif"/>
          <w:b/>
          <w:i/>
          <w:color w:val="000000"/>
          <w:sz w:val="20"/>
        </w:rPr>
        <w:t>Software Development Costs</w:t>
      </w:r>
      <w:r>
        <w:rPr>
          <w:color w:val="000000"/>
        </w:rPr>
        <w:t xml:space="preserve"> — </w:t>
      </w:r>
      <w:r>
        <w:rPr>
          <w:rFonts w:ascii="Times New Roman;serif" w:hAnsi="Times New Roman;serif"/>
          <w:b w:val="false"/>
          <w:color w:val="000000"/>
          <w:sz w:val="20"/>
        </w:rPr>
        <w:t>Under its Accelerated Commercial Development Program (“ACDP”) (the Company’s structured approach to an in</w:t>
        <w:noBreakHyphen/>
        <w:t xml:space="preserve">house business incubator function), the Company capitalizes certain development costs related to specified projects once technological feasibility is established. Total costs capitalized under the ACDP were $589 and $322 for the three months ended March 31, 2026 and 2025, respectively. Additionally, total ACDP related amortization was $88 and $755 for the three months ended March 31, 2026 and 2025, respectively, and is included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in the consolidated statements of operations. As of March 31, 2026 and December 31, 2025, $10,683 and $10,270 of ACDP capitalized costs were recorded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respectively.</w:t>
      </w:r>
    </w:p>
    <w:p>
      <w:pPr>
        <w:pStyle w:val="TextBody"/>
        <w:bidi w:val="0"/>
        <w:spacing w:lineRule="auto" w:line="288" w:before="0" w:after="200"/>
        <w:ind w:left="0" w:right="0" w:firstLine="360"/>
        <w:jc w:val="both"/>
        <w:rPr/>
      </w:pPr>
      <w:r>
        <w:rPr>
          <w:rFonts w:ascii="Times New Roman;serif" w:hAnsi="Times New Roman;serif"/>
          <w:b/>
          <w:i/>
          <w:color w:val="000000"/>
          <w:sz w:val="20"/>
        </w:rPr>
        <w:t>Internal-Use Software Implementation Costs</w:t>
      </w:r>
      <w:r>
        <w:rPr>
          <w:color w:val="000000"/>
        </w:rPr>
        <w:t xml:space="preserve"> — </w:t>
      </w:r>
      <w:r>
        <w:rPr>
          <w:rFonts w:ascii="Times New Roman;serif" w:hAnsi="Times New Roman;serif"/>
          <w:b w:val="false"/>
          <w:color w:val="000000"/>
          <w:sz w:val="20"/>
        </w:rPr>
        <w:t>The Company has entered into cloud-based software hosting arrangements related to new internal-use information technology systems, including a new enterprise-wide administrative and business management platforms for which it incurs implementation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internal-use software implementation costs are included in the consolidated balance sheets as follows:</w:t>
      </w:r>
    </w:p>
    <w:tbl>
      <w:tblPr>
        <w:tblW w:w="7270" w:type="dxa"/>
        <w:jc w:val="center"/>
        <w:tblInd w:w="0" w:type="dxa"/>
        <w:tblLayout w:type="fixed"/>
        <w:tblCellMar>
          <w:top w:w="28" w:type="dxa"/>
          <w:left w:w="28" w:type="dxa"/>
          <w:bottom w:w="28" w:type="dxa"/>
          <w:right w:w="28" w:type="dxa"/>
        </w:tblCellMar>
      </w:tblPr>
      <w:tblGrid>
        <w:gridCol w:w="1469"/>
        <w:gridCol w:w="1292"/>
        <w:gridCol w:w="1303"/>
        <w:gridCol w:w="261"/>
        <w:gridCol w:w="894"/>
        <w:gridCol w:w="135"/>
        <w:gridCol w:w="109"/>
        <w:gridCol w:w="109"/>
        <w:gridCol w:w="109"/>
        <w:gridCol w:w="308"/>
        <w:gridCol w:w="1055"/>
        <w:gridCol w:w="226"/>
      </w:tblGrid>
      <w:tr>
        <w:trPr/>
        <w:tc>
          <w:tcPr>
            <w:tcW w:w="146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internal-use software implementation costs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September 2025, the Financial Accounting Standards Board (“FASB”) issued Accounting Standards Update (“ASU”) No. 2025</w:t>
        <w:noBreakHyphen/>
        <w:t xml:space="preserve">06, </w:t>
      </w:r>
      <w:r>
        <w:rPr>
          <w:rFonts w:ascii="Times New Roman;serif" w:hAnsi="Times New Roman;serif"/>
          <w:b w:val="false"/>
          <w:i/>
          <w:color w:val="000000"/>
          <w:sz w:val="20"/>
        </w:rPr>
        <w:t>Intangibles—Goodwill and Other—Internal-Use Software (Subtopic</w:t>
      </w:r>
      <w:r>
        <w:rPr>
          <w:color w:val="000000"/>
        </w:rPr>
        <w:t> </w:t>
      </w:r>
      <w:r>
        <w:rPr>
          <w:rFonts w:ascii="Times New Roman;serif" w:hAnsi="Times New Roman;serif"/>
          <w:b w:val="false"/>
          <w:i/>
          <w:color w:val="000000"/>
          <w:sz w:val="20"/>
        </w:rPr>
        <w:t>350</w:t>
        <w:noBreakHyphen/>
        <w:t>40): Targeted Improvements to the Accounting for Internal-Use Software</w:t>
      </w:r>
      <w:r>
        <w:rPr>
          <w:color w:val="000000"/>
        </w:rPr>
        <w:t xml:space="preserve"> </w:t>
      </w:r>
      <w:r>
        <w:rPr>
          <w:rFonts w:ascii="Times New Roman;serif" w:hAnsi="Times New Roman;serif"/>
          <w:b w:val="false"/>
          <w:color w:val="000000"/>
          <w:sz w:val="20"/>
        </w:rPr>
        <w:t>(“ASU 2025</w:t>
        <w:noBreakHyphen/>
        <w:t>06”), which amends certain aspects of the accounting for and disclosure of software costs under Subtopic 350-40, referred to as internal-use software. ASU 2025-06 is effective for the Company for the annual reporting period beginning after December 15, 2027, and interim periods within that annual reporting period. Early adoption is permitted as of the beginning of an annual reporting period. The amendments in ASU 2025-06 may be adopted on a prospective basis to financial statements issued for reporting periods after the effective date, on a retrospective basis to all periods presented, or on a modified prospective transition basis for in-process projects through a cumulative-effect adjustment to the opening balance of retained earnings. The Company is currently evaluating the impact of the adoption of ASU 2025</w:t>
        <w:noBreakHyphen/>
        <w:t>06 on its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November 2024, the FASB issued ASU No. 2024</w:t>
        <w:noBreakHyphen/>
        <w:t xml:space="preserve">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w:t>
        <w:noBreakHyphen/>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noBreakHyphen/>
        <w:t>03, however, other than additional disclosure, the Company does not expect a change to the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March 2024, the SEC adopted the final rule under SEC Release No. 33</w:t>
        <w:noBreakHyphen/>
        <w:t xml:space="preserve">11275, </w:t>
      </w:r>
      <w:r>
        <w:rPr>
          <w:rFonts w:ascii="Times New Roman;serif" w:hAnsi="Times New Roman;serif"/>
          <w:b w:val="false"/>
          <w:i/>
          <w:color w:val="000000"/>
          <w:sz w:val="20"/>
        </w:rPr>
        <w:t>The Enhancement and Standardization of Climate</w:t>
        <w:noBreakHyphen/>
        <w:t>Related Disclosures for Investors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final rule requires registrants to disclose certain climate</w:t>
        <w:noBreakHyphen/>
        <w:t>related information in registration statements and annual reports. The final rule disclosure requirements would have begun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In September 2025, judicial review was suspended awaiting SEC clarity on its position. The Company is currently monitoring the status of the final rule pending the court’s ultimate decision and evaluating the impact of the final rule on its consolidated financial statements disclosures.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Recently Adopted Accounting Guidance</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July 2025, the FASB issued ASU No. 2025</w:t>
        <w:noBreakHyphen/>
        <w:t xml:space="preserve">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w:t>
        <w:noBreakHyphen/>
        <w:t xml:space="preserve">05”), which provides public entities with an optional practical expedient related to the estimation of expected credit losses for current accounts receivables and current contract assets arising from transactions accounted for under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The Company adopted ASU 2025</w:t>
        <w:noBreakHyphen/>
        <w:t>05 during the three months ended March 31, 2026 and elected the practical expedient, which permits the assumption that current conditions as of the balance sheet date do not change for the remaining life of the asset. The adoption of ASU 2025</w:t>
        <w:noBreakHyphen/>
        <w:t>05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Disaggregation of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revenues consist of the following:</w:t>
      </w:r>
    </w:p>
    <w:tbl>
      <w:tblPr>
        <w:tblW w:w="4943"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Enterprise subscriptions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(1)Enterprise subscriptions are primarily revenues attributable to Enterprise 365 (“E365”) subscriptions of $169,139 and $146,904 for the three months ended March 31, 2026 and 2025,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recognizes perpetual licenses and the term license component of subscriptions as revenue when either the licenses are delivered or at the start of the subscription term. For the three months ended March 31, 2026 and 2025, the Company recognized $230,306 and $201,038 of license related revenues, respectively, of which $221,249 and $190,246, respectively, were attributable to the term license component of the Company’s subscription-based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 Revenues by geographic region are as follows:</w:t>
      </w:r>
    </w:p>
    <w:tbl>
      <w:tblPr>
        <w:tblW w:w="6578"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 Revenue attributable to the U.S. totaled $171,292 and $153,029 for the three months ended March 31,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derived 6% of its total revenues through channel partners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Unbilled Accounts Receivable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Unbilled accounts receivable represent amounts that are unbilled due to agreed-upon contractual terms in which billing occurs subsequent to revenue recognition, and are included in </w:t>
      </w: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in the consolidated balance sheets. As of March 31, 2026 and December 31, 2025, unbilled accounts receivable were $193,454 and $182,315,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March 31, 2026 and December 31, 2025, the Company’s contract assets relate to performance obligations completed in advance of the right to invoice and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in the consolidated balance sheets. Contract assets were not material as of March 31, 2026 or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billings made or payments received in advance of revenue recognition from subscriptions and services. The primary changes in deferred revenues are due to the Company’s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$119,539 of revenues that were included in the December 31, 2025 deferred revenues balance were recognized. There were additional deferrals of $110,063 for the three months ended March 31, 2026, which were primarily related to new billings. For the three months ended March 31, 2025, $104,622 of revenues that were included in the December 31, 2024 deferred revenues balance were recognized. There were additional deferrals of $98,003 for the three months ended March 31, 2025, which were primarily related to new billings.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March 31, 2026 and December 31, 2025, the Company deferred $19,621 and $19,822, respectively, related to portfolio balancing exchange rights which is included in </w:t>
      </w:r>
      <w:r>
        <w:rPr>
          <w:rFonts w:ascii="Times New Roman;serif" w:hAnsi="Times New Roman;serif"/>
          <w:b w:val="false"/>
          <w:i/>
          <w:color w:val="000000"/>
          <w:sz w:val="20"/>
        </w:rPr>
        <w:t>Deferred revenues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March 31, 2026, amounts allocated to these remaining performance obligations are $284,419, of which the Company expects to recognize approximately 94%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4: Acquisitions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complete any acquisitions during the three months ended March 31, 2026 or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results for any acquired business are included in the Company’s consolidated financial statements from the closing date of each respective acquisition and were not material, individually or in the aggregate, to the Company’s consolidated statements of operations. The following summarizes the fair values of the assets acquired and liabilities assumed, as well as the weighted average useful lives assigned to acquired intangible assets at the respective date of each acquisition:</w:t>
      </w:r>
    </w:p>
    <w:tbl>
      <w:tblPr>
        <w:tblW w:w="8227" w:type="dxa"/>
        <w:jc w:val="center"/>
        <w:tblInd w:w="0" w:type="dxa"/>
        <w:tblLayout w:type="fixed"/>
        <w:tblCellMar>
          <w:top w:w="28" w:type="dxa"/>
          <w:left w:w="28" w:type="dxa"/>
          <w:bottom w:w="28" w:type="dxa"/>
          <w:right w:w="28" w:type="dxa"/>
        </w:tblCellMar>
      </w:tblPr>
      <w:tblGrid>
        <w:gridCol w:w="1962"/>
        <w:gridCol w:w="1719"/>
        <w:gridCol w:w="1734"/>
        <w:gridCol w:w="109"/>
        <w:gridCol w:w="109"/>
        <w:gridCol w:w="459"/>
        <w:gridCol w:w="1800"/>
        <w:gridCol w:w="335"/>
      </w:tblGrid>
      <w:tr>
        <w:trPr/>
        <w:tc>
          <w:tcPr>
            <w:tcW w:w="196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Software and technology (weighted average useful life of 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36,322 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finalizing the purchase accounting for an acquisition completed during the year ended December 31, 2025. The initial accounting for this business combination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relate to working capital, tax assets and liabilities, and amounts allocated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tbl>
      <w:tblPr>
        <w:tblW w:w="6116" w:type="dxa"/>
        <w:jc w:val="center"/>
        <w:tblInd w:w="0" w:type="dxa"/>
        <w:tblLayout w:type="fixed"/>
        <w:tblCellMar>
          <w:top w:w="28" w:type="dxa"/>
          <w:left w:w="28" w:type="dxa"/>
          <w:bottom w:w="28" w:type="dxa"/>
          <w:right w:w="28" w:type="dxa"/>
        </w:tblCellMar>
      </w:tblPr>
      <w:tblGrid>
        <w:gridCol w:w="1054"/>
        <w:gridCol w:w="924"/>
        <w:gridCol w:w="932"/>
        <w:gridCol w:w="261"/>
        <w:gridCol w:w="894"/>
        <w:gridCol w:w="135"/>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116,683 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March 31, 2026 and 2025 was $3,870 and $3,345,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6: Goodwill and Other Intangible Assets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15"/>
        <w:gridCol w:w="339"/>
        <w:gridCol w:w="341"/>
        <w:gridCol w:w="273"/>
        <w:gridCol w:w="273"/>
        <w:gridCol w:w="274"/>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7"/>
      </w:tblGrid>
      <w:tr>
        <w:trPr/>
        <w:tc>
          <w:tcPr>
            <w:tcW w:w="4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Weighted Average Useful Life</w:t>
              <w:b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Book</w:t>
              <w:br/>
              <w:t>Value</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subject to amortization:</w:t>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and technology</w:t>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193,018 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purchased intangible assets with finite lives is included in the consolidated statements of operations as follows:</w:t>
      </w:r>
    </w:p>
    <w:tbl>
      <w:tblPr>
        <w:tblW w:w="6626" w:type="dxa"/>
        <w:jc w:val="center"/>
        <w:tblInd w:w="0" w:type="dxa"/>
        <w:tblLayout w:type="fixed"/>
        <w:tblCellMar>
          <w:top w:w="28" w:type="dxa"/>
          <w:left w:w="28" w:type="dxa"/>
          <w:bottom w:w="28" w:type="dxa"/>
          <w:right w:w="28" w:type="dxa"/>
        </w:tblCellMar>
      </w:tblPr>
      <w:tblGrid>
        <w:gridCol w:w="1174"/>
        <w:gridCol w:w="1030"/>
        <w:gridCol w:w="1036"/>
        <w:gridCol w:w="109"/>
        <w:gridCol w:w="109"/>
        <w:gridCol w:w="152"/>
        <w:gridCol w:w="152"/>
        <w:gridCol w:w="294"/>
        <w:gridCol w:w="1005"/>
        <w:gridCol w:w="152"/>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7: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tbl>
      <w:tblPr>
        <w:tblW w:w="6221" w:type="dxa"/>
        <w:jc w:val="center"/>
        <w:tblInd w:w="0" w:type="dxa"/>
        <w:tblLayout w:type="fixed"/>
        <w:tblCellMar>
          <w:top w:w="28" w:type="dxa"/>
          <w:left w:w="28" w:type="dxa"/>
          <w:bottom w:w="28" w:type="dxa"/>
          <w:right w:w="28" w:type="dxa"/>
        </w:tblCellMar>
      </w:tblPr>
      <w:tblGrid>
        <w:gridCol w:w="1093"/>
        <w:gridCol w:w="960"/>
        <w:gridCol w:w="962"/>
        <w:gridCol w:w="261"/>
        <w:gridCol w:w="894"/>
        <w:gridCol w:w="135"/>
        <w:gridCol w:w="109"/>
        <w:gridCol w:w="109"/>
        <w:gridCol w:w="109"/>
        <w:gridCol w:w="308"/>
        <w:gridCol w:w="1055"/>
        <w:gridCol w:w="226"/>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investments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consist of office facilities, office equipment, and automobiles. As of March 31, 2026, the Company’s leases have remaining terms of less than one year to 11 years, some of which include one or more options to renew, with renewal terms from one year to five years and some of which include options to terminate the leases from less than one year to five years.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cost is included in the consolidated statements of operations as follows:</w:t>
      </w:r>
    </w:p>
    <w:tbl>
      <w:tblPr>
        <w:tblW w:w="4449"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(1)Operating lease cost includes rent cost related to operating leases for office facilities of $3,791 and $3,532 for the three months ended March 31,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operating cash flows and other information related to leases was as follows:</w:t>
      </w:r>
    </w:p>
    <w:tbl>
      <w:tblPr>
        <w:tblW w:w="8544" w:type="dxa"/>
        <w:jc w:val="center"/>
        <w:tblInd w:w="0" w:type="dxa"/>
        <w:tblLayout w:type="fixed"/>
        <w:tblCellMar>
          <w:top w:w="28" w:type="dxa"/>
          <w:left w:w="28" w:type="dxa"/>
          <w:bottom w:w="28" w:type="dxa"/>
          <w:right w:w="28" w:type="dxa"/>
        </w:tblCellMar>
      </w:tblPr>
      <w:tblGrid>
        <w:gridCol w:w="2242"/>
        <w:gridCol w:w="1973"/>
        <w:gridCol w:w="1980"/>
        <w:gridCol w:w="211"/>
        <w:gridCol w:w="721"/>
        <w:gridCol w:w="109"/>
        <w:gridCol w:w="109"/>
        <w:gridCol w:w="109"/>
        <w:gridCol w:w="109"/>
        <w:gridCol w:w="211"/>
        <w:gridCol w:w="61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for operating leases was 5.8 years and 3.8 years as of March 31, 2026 and December 31, 2025, respectively. The weighted average discount rate was 5.5% and 5.4% as of March 31, 2026 and December 31,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additional minimum operating lease payments of $1,809 for executed leases that have not yet commenced, primarily for office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9: Accruals and Other Current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and other current liabilities consist of the following:</w:t>
      </w:r>
    </w:p>
    <w:tbl>
      <w:tblPr>
        <w:tblW w:w="6714" w:type="dxa"/>
        <w:jc w:val="center"/>
        <w:tblInd w:w="0" w:type="dxa"/>
        <w:tblLayout w:type="fixed"/>
        <w:tblCellMar>
          <w:top w:w="28" w:type="dxa"/>
          <w:left w:w="28" w:type="dxa"/>
          <w:bottom w:w="28" w:type="dxa"/>
          <w:right w:w="28" w:type="dxa"/>
        </w:tblCellMar>
      </w:tblPr>
      <w:tblGrid>
        <w:gridCol w:w="1269"/>
        <w:gridCol w:w="1115"/>
        <w:gridCol w:w="1125"/>
        <w:gridCol w:w="237"/>
        <w:gridCol w:w="930"/>
        <w:gridCol w:w="122"/>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accruals and other current liabilities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170,655 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w:t>
        <w:noBreakHyphen/>
        <w:t>term debt consists of the following:</w:t>
      </w:r>
    </w:p>
    <w:tbl>
      <w:tblPr>
        <w:tblW w:w="8387" w:type="dxa"/>
        <w:jc w:val="center"/>
        <w:tblInd w:w="0" w:type="dxa"/>
        <w:tblLayout w:type="fixed"/>
        <w:tblCellMar>
          <w:top w:w="28" w:type="dxa"/>
          <w:left w:w="28" w:type="dxa"/>
          <w:bottom w:w="28" w:type="dxa"/>
          <w:right w:w="28" w:type="dxa"/>
        </w:tblCellMar>
      </w:tblPr>
      <w:tblGrid>
        <w:gridCol w:w="1875"/>
        <w:gridCol w:w="1646"/>
        <w:gridCol w:w="1654"/>
        <w:gridCol w:w="211"/>
        <w:gridCol w:w="976"/>
        <w:gridCol w:w="109"/>
        <w:gridCol w:w="109"/>
        <w:gridCol w:w="109"/>
        <w:gridCol w:w="109"/>
        <w:gridCol w:w="250"/>
        <w:gridCol w:w="1157"/>
        <w:gridCol w:w="182"/>
      </w:tblGrid>
      <w:tr>
        <w:trPr/>
        <w:tc>
          <w:tcPr>
            <w:tcW w:w="187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 facility due October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January 2026 (the “2026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July 2027 (the “2027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$150 of letters of credit outstanding as of March 31, 2026 and December 31, 2025 under its second amended and restated credit agreement, entered into on October 18, 2024 with a syndicate of banks (the “Credit Facility”). As of March 31, 2026 and December 31, 2025, the Company had $756,439 and $1,299,850, respectively, available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matured on January 15, 2026. Upon maturity, the Company repaid $678,254, which consisted of the remaining outstanding principal balance and accrued interest on the 2026 Notes using borrowings under the Credit Facility and available cash on hand. The capped call options entered into in connection with the pricing of the 2026 Notes expired on January 15, 2026.</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in the consolidated statements of operations for the three months ended March 31, 2025. The 2026 Notes were repurchased under the BSY Stock Repurchase Program (the “Repurchase Program”) authorization (see Note 13).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was in compliance with all debt covenants. Furthermore, none of the conditions to early convert had been met for the 2027 Notes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23, 2026, the Company entered into a First Amendment and Incremental Facility Agreement (the “First Amendment”) with a syndicate of banks, which amends the Credit Facility to provide for a new $550,000 senior secured term loan (the “Term Loan”). As a result, the total borrowing capacity under the Credit Facility increased to $1,850,000. The maturity date of the Term Loan is October 18, 2029, subject to a “incremental term maturity date” on the date that is 91 days prior to the maturity date of the Company’s outstanding convertible debt, unless on such date the Company meets certain liquidity requirements. Voluntary prepayments under the Term Loan are permitted at any time without payment of any prepayment premiums. The Term Loan is subject to quarterly amortization equal to 1.25% of the initial aggregate principal amount of the Term Loan, on the last business day of each fiscal quarter of the Company commencing on June 30, 2027. Debt issuance costs related to the Term Loan were not material. The Company used the Term Loan borrowings to repay portions of revolving indebtedness outstanding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borrowings under the Credit Facility, bear interest, at the Company’s option, at the Alternative Base Rate or Term Secured Overnight Financing Rate (“SOFR”) that reset every one, three, or six months. Under the Term SOFR elections, Term Loan borrowings bear an interest rate of the applicable Term SOFR rate, plus a spread ranging from 100 bps to 200 bps as determined by the Company’s net leverage ratio. Under the non</w:t>
        <w:noBreakHyphen/>
        <w:t>Term SOFR elections, Term Loan borrowings bear a base interest rate of the highest of (i) the prime rate, (ii) the overnight bank funding effective rate plus 50 bps, or (iii) the daily simple SOFR rate plus 100 bps, plus a spread ranging from 0 bps to 100 bps as determined by the Company’s net leverage ratio.</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the following:</w:t>
      </w:r>
    </w:p>
    <w:tbl>
      <w:tblPr>
        <w:tblW w:w="7058" w:type="dxa"/>
        <w:jc w:val="center"/>
        <w:tblInd w:w="0" w:type="dxa"/>
        <w:tblLayout w:type="fixed"/>
        <w:tblCellMar>
          <w:top w:w="28" w:type="dxa"/>
          <w:left w:w="28" w:type="dxa"/>
          <w:bottom w:w="28" w:type="dxa"/>
          <w:right w:w="28" w:type="dxa"/>
        </w:tblCellMar>
      </w:tblPr>
      <w:tblGrid>
        <w:gridCol w:w="1340"/>
        <w:gridCol w:w="1178"/>
        <w:gridCol w:w="1186"/>
        <w:gridCol w:w="109"/>
        <w:gridCol w:w="109"/>
        <w:gridCol w:w="155"/>
        <w:gridCol w:w="155"/>
        <w:gridCol w:w="301"/>
        <w:gridCol w:w="987"/>
        <w:gridCol w:w="155"/>
        <w:gridCol w:w="109"/>
        <w:gridCol w:w="109"/>
        <w:gridCol w:w="109"/>
        <w:gridCol w:w="211"/>
        <w:gridCol w:w="69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borrowings under the Credit Facility were 5.28% and 6.20%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11: Executive Incentive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Bonus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$2,866 and $2,435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Career Stock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equity</w:t>
        <w:noBreakHyphen/>
        <w:t>based incentive program to compensate a limited set of executives (the “Career Stock Program”) pursuant to which the Company may grant restricted stock units (“RSUs”) awards under the Bentley Systems, Incorporated 2020 Omnibus Incentive Plan (the “2020 Plan”). During the three months ended March 31, 2026, the Company granted 111,136 RSUs with a fair value of $4,422 under the Career Stock Program based on the achievement of the performance goals for the year ended December 31, 2025. During the three months ended March 31, 2025, the Company granted 28,913 RSUs with a fair value of $1,160 under the Career Stock Program based on the achievement of the performance goals for the year ended December 31, 2024. As of March 31, 2026, there was $5,263 of unrecognized compensation expense related to unvested RSUs under the Career Stock Program, which is expected to be recognized over a weighted average period of approximately 4.5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12: Retirement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Deferred Compensation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March 31, 2026, shares of Class B common stock available for future issuance under the DCP were 4,836,362.</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there were no DCP elective participant deferrals and no discretionary contributions made to the DCP. As of March 31, 2026 and December 31, 2025, phantom shares of the Company’s Class B common stock issuable by the DCP were 9,310,121 and 10,805,223,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August 2021, the Company’s Board of Directors approved an amendment to the DCP, which offered to certain active executives in the DCP a one</w:t>
        <w:noBreakHyphen/>
        <w:t>time, short</w:t>
        <w:noBreakHyphen/>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Deferred compensation plan liabilities</w:t>
      </w:r>
      <w:r>
        <w:rPr>
          <w:color w:val="000000"/>
        </w:rPr>
        <w:t xml:space="preserve"> </w:t>
      </w:r>
      <w:r>
        <w:rPr>
          <w:rFonts w:ascii="Times New Roman;serif" w:hAnsi="Times New Roman;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income was $1,074 and $1,246 for the three months ended March 31,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liabilities related to the DCP are included in the consolidated balance sheets as follows:</w:t>
      </w:r>
    </w:p>
    <w:tbl>
      <w:tblPr>
        <w:tblW w:w="6429" w:type="dxa"/>
        <w:jc w:val="center"/>
        <w:tblInd w:w="0" w:type="dxa"/>
        <w:tblLayout w:type="fixed"/>
        <w:tblCellMar>
          <w:top w:w="28" w:type="dxa"/>
          <w:left w:w="28" w:type="dxa"/>
          <w:bottom w:w="28" w:type="dxa"/>
          <w:right w:w="28" w:type="dxa"/>
        </w:tblCellMar>
      </w:tblPr>
      <w:tblGrid>
        <w:gridCol w:w="1166"/>
        <w:gridCol w:w="1027"/>
        <w:gridCol w:w="1031"/>
        <w:gridCol w:w="237"/>
        <w:gridCol w:w="930"/>
        <w:gridCol w:w="122"/>
        <w:gridCol w:w="109"/>
        <w:gridCol w:w="109"/>
        <w:gridCol w:w="109"/>
        <w:gridCol w:w="281"/>
        <w:gridCol w:w="1103"/>
        <w:gridCol w:w="205"/>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DCP liabilities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13: Common Stock</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approved the Repurchase Program authorizing the Company to repurchase up to $500,000 of the Company’s Class B common stock and/or outstanding convertible senior notes through December 31, 2028. As of March 31, 2026, $441,558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1,037,848 shares for $40,021 under the Repurchase Program. During the three months ended March 31, 2025, the Company repurchased 673,898 shares for $30,014, and $10,000 aggregate principal amount of the Company’s outstanding 2026 Notes for $9,797 (see Note 10) under the Repurchase Program.</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 Conversions, Issuances, Sales, and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22,500 shares of Class A common stock were converted to Class B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issued 1,274,538 shares of Class B common stock to DCP participants in connection with distributions from the plan, net of 237,724 shares which were sold back to the Company in the same period to pay for applicable income tax withholdings of $9,284. During the three months ended March 31, 2025, the Company issued 689,203 shares of Class B common stock to DCP participants in connection with distributions from the plan. There were no shares sold back to the Company as they were issued on a gross basis during the three months ended March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issued 20,684 shares of Class B common stock in connection with Bonus Plan incentive compensation, net of 16,081 shares which were sold back to the Company in the same period to pay for applicable income tax withholdings of $624. During the three months ended March 31, 2025, the Company issued 22,818 shares of Class B common stock in connection with the Bonus Plan incentive compensation. There were no shares sold back to the Company as they were issued on a gross basis during the three months ended March 31,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cash dividends during the periods presented as follows:</w:t>
      </w:r>
    </w:p>
    <w:tbl>
      <w:tblPr>
        <w:tblW w:w="3363" w:type="dxa"/>
        <w:jc w:val="center"/>
        <w:tblInd w:w="0" w:type="dxa"/>
        <w:tblLayout w:type="fixed"/>
        <w:tblCellMar>
          <w:top w:w="28" w:type="dxa"/>
          <w:left w:w="28" w:type="dxa"/>
          <w:bottom w:w="28" w:type="dxa"/>
          <w:right w:w="28" w:type="dxa"/>
        </w:tblCellMar>
      </w:tblPr>
      <w:tblGrid>
        <w:gridCol w:w="396"/>
        <w:gridCol w:w="347"/>
        <w:gridCol w:w="352"/>
        <w:gridCol w:w="217"/>
        <w:gridCol w:w="526"/>
        <w:gridCol w:w="112"/>
        <w:gridCol w:w="109"/>
        <w:gridCol w:w="109"/>
        <w:gridCol w:w="109"/>
        <w:gridCol w:w="211"/>
        <w:gridCol w:w="721"/>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Global Employee Stock Purchase Plan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three months ended March 31, 2026, colleagues who elected to participate in the Bentley Systems, Incorporated Global Employee Stock Purchase Plan (the “ESPP”) purchased a total of 164,906 shares of Class B common stock, net of shares withheld, resulting in cash proceeds to the Company of $5,500. Of the total 169,569 shares purchased, 4,663 shares were sold back to the Company to pay for applicable income tax withholdings of $178. During the three months ended March 31, 2025, colleagues who elected to participate in the ESPP purchased a total of 130,212 shares of Class B common stock, net of shares withheld, resulting in cash proceeds to the Company of $5,312. Of the total 133,840 shares purchased, 3,628 shares were sold back to the Company to pay for applicable income tax withholdings of $169. As of March 31, 2026 and December 31, 2025, $3,229 and $6,173 of ESPP withholdings via colleague payroll deduction were recorded in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in the consolidated balance sheets, respectively. As of March 31, 2026, shares of Class B common stock available for future issuance under the ESPP were 23,572,787.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14: Accumulated Other Comprehensive Loss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three months ended March 31, 2026 and 2025:</w:t>
      </w:r>
    </w:p>
    <w:tbl>
      <w:tblPr>
        <w:tblW w:w="10205" w:type="dxa"/>
        <w:jc w:val="center"/>
        <w:tblInd w:w="0" w:type="dxa"/>
        <w:tblLayout w:type="fixed"/>
        <w:tblCellMar>
          <w:top w:w="28" w:type="dxa"/>
          <w:left w:w="28" w:type="dxa"/>
          <w:bottom w:w="28" w:type="dxa"/>
          <w:right w:w="28" w:type="dxa"/>
        </w:tblCellMar>
      </w:tblPr>
      <w:tblGrid>
        <w:gridCol w:w="2201"/>
        <w:gridCol w:w="1885"/>
        <w:gridCol w:w="1892"/>
        <w:gridCol w:w="211"/>
        <w:gridCol w:w="789"/>
        <w:gridCol w:w="109"/>
        <w:gridCol w:w="109"/>
        <w:gridCol w:w="109"/>
        <w:gridCol w:w="109"/>
        <w:gridCol w:w="274"/>
        <w:gridCol w:w="891"/>
        <w:gridCol w:w="141"/>
        <w:gridCol w:w="109"/>
        <w:gridCol w:w="109"/>
        <w:gridCol w:w="109"/>
        <w:gridCol w:w="211"/>
        <w:gridCol w:w="789"/>
        <w:gridCol w:w="158"/>
      </w:tblGrid>
      <w:tr>
        <w:trPr/>
        <w:tc>
          <w:tcPr>
            <w:tcW w:w="220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45"/>
        <w:gridCol w:w="1817"/>
        <w:gridCol w:w="1825"/>
        <w:gridCol w:w="211"/>
        <w:gridCol w:w="892"/>
        <w:gridCol w:w="109"/>
        <w:gridCol w:w="109"/>
        <w:gridCol w:w="109"/>
        <w:gridCol w:w="109"/>
        <w:gridCol w:w="331"/>
        <w:gridCol w:w="799"/>
        <w:gridCol w:w="161"/>
        <w:gridCol w:w="109"/>
        <w:gridCol w:w="109"/>
        <w:gridCol w:w="109"/>
        <w:gridCol w:w="211"/>
        <w:gridCol w:w="892"/>
        <w:gridCol w:w="158"/>
      </w:tblGrid>
      <w:tr>
        <w:trPr/>
        <w:tc>
          <w:tcPr>
            <w:tcW w:w="214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consists of the following:</w:t>
      </w:r>
    </w:p>
    <w:tbl>
      <w:tblPr>
        <w:tblW w:w="7046" w:type="dxa"/>
        <w:jc w:val="center"/>
        <w:tblInd w:w="0" w:type="dxa"/>
        <w:tblLayout w:type="fixed"/>
        <w:tblCellMar>
          <w:top w:w="28" w:type="dxa"/>
          <w:left w:w="28" w:type="dxa"/>
          <w:bottom w:w="28" w:type="dxa"/>
          <w:right w:w="28" w:type="dxa"/>
        </w:tblCellMar>
      </w:tblPr>
      <w:tblGrid>
        <w:gridCol w:w="1321"/>
        <w:gridCol w:w="1164"/>
        <w:gridCol w:w="1175"/>
        <w:gridCol w:w="109"/>
        <w:gridCol w:w="109"/>
        <w:gridCol w:w="152"/>
        <w:gridCol w:w="152"/>
        <w:gridCol w:w="294"/>
        <w:gridCol w:w="1005"/>
        <w:gridCol w:w="152"/>
        <w:gridCol w:w="109"/>
        <w:gridCol w:w="109"/>
        <w:gridCol w:w="109"/>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RSUs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Bonus Plan expense (see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 expense (see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stock-based compensation expense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(1)As of March 31, 2026 and December 31, 2025, $2,646 and $1,814 remained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is included in the consolidated statements of operations as follows:</w:t>
      </w:r>
    </w:p>
    <w:tbl>
      <w:tblPr>
        <w:tblW w:w="6836" w:type="dxa"/>
        <w:jc w:val="center"/>
        <w:tblInd w:w="0" w:type="dxa"/>
        <w:tblLayout w:type="fixed"/>
        <w:tblCellMar>
          <w:top w:w="28" w:type="dxa"/>
          <w:left w:w="28" w:type="dxa"/>
          <w:bottom w:w="28" w:type="dxa"/>
          <w:right w:w="28" w:type="dxa"/>
        </w:tblCellMar>
      </w:tblPr>
      <w:tblGrid>
        <w:gridCol w:w="1250"/>
        <w:gridCol w:w="1097"/>
        <w:gridCol w:w="1103"/>
        <w:gridCol w:w="109"/>
        <w:gridCol w:w="109"/>
        <w:gridCol w:w="152"/>
        <w:gridCol w:w="152"/>
        <w:gridCol w:w="294"/>
        <w:gridCol w:w="1005"/>
        <w:gridCol w:w="152"/>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March 31, 2026, equity awards available for future grants under the 2020 Plan were 16,238,821.</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Restricted Stock and RSUs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2020 Plan,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established by the Sustainability Committee of the Company’s Board of Directors. Performance targets are generally set for performance periods of one year to three years, which are subject to certain cliff vesting performance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unvested RSUs activity and related information:</w:t>
      </w:r>
    </w:p>
    <w:tbl>
      <w:tblPr>
        <w:tblW w:w="9524" w:type="dxa"/>
        <w:jc w:val="center"/>
        <w:tblInd w:w="0" w:type="dxa"/>
        <w:tblLayout w:type="fixed"/>
        <w:tblCellMar>
          <w:top w:w="28" w:type="dxa"/>
          <w:left w:w="28" w:type="dxa"/>
          <w:bottom w:w="28" w:type="dxa"/>
          <w:right w:w="28" w:type="dxa"/>
        </w:tblCellMar>
      </w:tblPr>
      <w:tblGrid>
        <w:gridCol w:w="923"/>
        <w:gridCol w:w="811"/>
        <w:gridCol w:w="816"/>
        <w:gridCol w:w="488"/>
        <w:gridCol w:w="488"/>
        <w:gridCol w:w="166"/>
        <w:gridCol w:w="109"/>
        <w:gridCol w:w="109"/>
        <w:gridCol w:w="109"/>
        <w:gridCol w:w="488"/>
        <w:gridCol w:w="488"/>
        <w:gridCol w:w="178"/>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3,408,609 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3,163,771 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2,478,586 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1,934,288 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544,298 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(783,704)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4,815,483 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4,237,651 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577,832 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231F20"/>
          <w:sz w:val="18"/>
        </w:rPr>
        <w:t>(1)</w:t>
      </w:r>
      <w:r>
        <w:rPr>
          <w:rFonts w:ascii="Times New Roman;serif" w:hAnsi="Times New Roman;serif"/>
          <w:b w:val="false"/>
          <w:color w:val="000000"/>
          <w:sz w:val="18"/>
        </w:rPr>
        <w:t>Includes 51,709 RSUs which are expected to be settled in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values of RSUs granted were $36.73 and $40.54, for the three months ended March 31,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RSUs were issued net of 163,982 and 257,394 shares, respectively, which were sold back to the Company to settle applicable income tax withholdings of $6,245 and $11,734,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$148,039 of unrecognized compensation expense related to unvested time</w:t>
        <w:noBreakHyphen/>
        <w:t>based RSUs, which is expected to be recognized over a weighted average period of approximately 2.1 years. As of March 31, 2026, there was $25,686 of unrecognized compensation expense related to unvested performance</w:t>
        <w:noBreakHyphen/>
        <w:t>based RSUs, which is expected to be recognized over a weighted average period of approximately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following is a summary of</w:t>
      </w:r>
      <w:r>
        <w:rPr>
          <w:color w:val="000000"/>
        </w:rPr>
        <w:t xml:space="preserve"> </w:t>
      </w:r>
      <w:r>
        <w:rPr>
          <w:rFonts w:ascii="Times New Roman;serif" w:hAnsi="Times New Roman;serif"/>
          <w:b w:val="false"/>
          <w:color w:val="000000"/>
          <w:sz w:val="20"/>
        </w:rPr>
        <w:t>income before income taxes, provision</w:t>
      </w:r>
      <w:r>
        <w:rPr>
          <w:color w:val="000000"/>
        </w:rPr>
        <w:t xml:space="preserve"> </w:t>
      </w:r>
      <w:r>
        <w:rPr>
          <w:rFonts w:ascii="Times New Roman;serif" w:hAnsi="Times New Roman;serif"/>
          <w:b w:val="false"/>
          <w:color w:val="000000"/>
          <w:sz w:val="20"/>
        </w:rPr>
        <w:t>for income taxes, and effective tax rate for the periods presented:</w:t>
      </w:r>
    </w:p>
    <w:tbl>
      <w:tblPr>
        <w:tblW w:w="5372" w:type="dxa"/>
        <w:jc w:val="center"/>
        <w:tblInd w:w="0" w:type="dxa"/>
        <w:tblLayout w:type="fixed"/>
        <w:tblCellMar>
          <w:top w:w="28" w:type="dxa"/>
          <w:left w:w="28" w:type="dxa"/>
          <w:bottom w:w="28" w:type="dxa"/>
          <w:right w:w="28" w:type="dxa"/>
        </w:tblCellMar>
      </w:tblPr>
      <w:tblGrid>
        <w:gridCol w:w="863"/>
        <w:gridCol w:w="757"/>
        <w:gridCol w:w="764"/>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17: Fair Value of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3 inputs are unobservable inputs based on management’s own assumptions used to measure assets and liabilities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erif" w:hAnsi="Times New Roman;serif"/>
          <w:b/>
          <w:i/>
          <w:color w:val="000000"/>
          <w:sz w:val="20"/>
        </w:rPr>
        <w:t>Current Assets and Current Liabilities</w:t>
      </w:r>
      <w:r>
        <w:rPr>
          <w:color w:val="000000"/>
        </w:rPr>
        <w:t xml:space="preserve"> — </w:t>
      </w:r>
      <w:r>
        <w:rPr>
          <w:rFonts w:ascii="Times New Roman;serif" w:hAnsi="Times New Roman;serif"/>
          <w:b w:val="false"/>
          <w:color w:val="000000"/>
          <w:sz w:val="20"/>
        </w:rPr>
        <w:t>In general, the carrying amounts reported on the consolidated balance sheets for current assets and current liabilities approximate their fair values due to the short</w:t>
        <w:noBreakHyphen/>
        <w:t>term nature of those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measurements for Level 2 financial instruments as of March 31, 2026 and December 31, 2025:</w:t>
      </w:r>
    </w:p>
    <w:p>
      <w:pPr>
        <w:pStyle w:val="TextBody"/>
        <w:bidi w:val="0"/>
        <w:spacing w:lineRule="auto" w:line="288" w:before="0" w:after="200"/>
        <w:ind w:left="0" w:right="0" w:firstLine="360"/>
        <w:jc w:val="both"/>
        <w:rPr/>
      </w:pPr>
      <w:r>
        <w:rPr>
          <w:rFonts w:ascii="Times New Roman;serif" w:hAnsi="Times New Roman;serif"/>
          <w:b/>
          <w:i/>
          <w:color w:val="000000"/>
          <w:sz w:val="20"/>
        </w:rPr>
        <w:t>Interest Rate Swap</w:t>
      </w:r>
      <w:r>
        <w:rPr>
          <w:color w:val="000000"/>
        </w:rPr>
        <w:t xml:space="preserve"> — </w:t>
      </w:r>
      <w:r>
        <w:rPr>
          <w:rFonts w:ascii="Times New Roman;serif" w:hAnsi="Times New Roman;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TextBody"/>
        <w:bidi w:val="0"/>
        <w:spacing w:lineRule="auto" w:line="288" w:before="0" w:after="200"/>
        <w:ind w:left="0" w:right="0" w:firstLine="360"/>
        <w:jc w:val="both"/>
        <w:rPr/>
      </w:pPr>
      <w:r>
        <w:rPr>
          <w:rFonts w:ascii="Times New Roman;serif" w:hAnsi="Times New Roman;serif"/>
          <w:b/>
          <w:i/>
          <w:color w:val="000000"/>
          <w:sz w:val="20"/>
        </w:rPr>
        <w:t>Long-Term Debt</w:t>
      </w:r>
      <w:r>
        <w:rPr>
          <w:color w:val="000000"/>
        </w:rPr>
        <w:t xml:space="preserve"> — </w:t>
      </w:r>
      <w:r>
        <w:rPr>
          <w:rFonts w:ascii="Times New Roman;serif" w:hAnsi="Times New Roman;serif"/>
          <w:b w:val="false"/>
          <w:color w:val="000000"/>
          <w:sz w:val="20"/>
        </w:rPr>
        <w:t>The fair value of the Company’s borrowings under the Credit Facility approximated its carrying value based upon discounted cash flows at current market rates for instruments with similar remaining terms. The Company considers these valuation inputs to be Level 2 inputs in the fair value hierarchy. As of March 31, 2026 and December 31, 2025, the estimated fair value of the 2027 Notes was $549,413 and $543,059, respectively. The estimated fair value of the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erif" w:hAnsi="Times New Roman;serif"/>
          <w:b/>
          <w:i/>
          <w:color w:val="000000"/>
          <w:sz w:val="20"/>
        </w:rPr>
        <w:t>Deferred Compensation Plan Liabilities</w:t>
      </w:r>
      <w:r>
        <w:rPr>
          <w:color w:val="000000"/>
        </w:rPr>
        <w:t xml:space="preserve"> — </w:t>
      </w:r>
      <w:r>
        <w:rPr>
          <w:rFonts w:ascii="Times New Roman;serif" w:hAnsi="Times New Roman;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carried at fair value measured on a recurring basis consist of the following:</w:t>
      </w:r>
    </w:p>
    <w:tbl>
      <w:tblPr>
        <w:tblW w:w="7684" w:type="dxa"/>
        <w:jc w:val="center"/>
        <w:tblInd w:w="0" w:type="dxa"/>
        <w:tblLayout w:type="fixed"/>
        <w:tblCellMar>
          <w:top w:w="28" w:type="dxa"/>
          <w:left w:w="28" w:type="dxa"/>
          <w:bottom w:w="28" w:type="dxa"/>
          <w:right w:w="28" w:type="dxa"/>
        </w:tblCellMar>
      </w:tblPr>
      <w:tblGrid>
        <w:gridCol w:w="1242"/>
        <w:gridCol w:w="1095"/>
        <w:gridCol w:w="1097"/>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Other assets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(3)Included in </w:t>
      </w:r>
      <w:r>
        <w:rPr>
          <w:rFonts w:ascii="Times New Roman;serif" w:hAnsi="Times New Roman;serif"/>
          <w:b w:val="false"/>
          <w:i/>
          <w:color w:val="000000"/>
          <w:sz w:val="18"/>
        </w:rPr>
        <w:t>Deferred compensation plan liabilities</w:t>
      </w:r>
      <w:r>
        <w:rPr>
          <w:rFonts w:ascii="Times New Roman;serif" w:hAnsi="Times New Roman;serif"/>
          <w:b w:val="false"/>
          <w:color w:val="000000"/>
          <w:sz w:val="18"/>
        </w:rPr>
        <w:t xml:space="preserve">, except for current liabilities of $4,255 and $4,294 as of March 31, 2026 and December 31, 2025, respectively, which are 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(4)Included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18: Commitments and Contingencies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19: Segment and Geographic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a single reportable segment, the development and marketing of computer software and related services. The Company defines its chief operating decision maker (“CODM”) to be its Chief Executive Officer, who reviews financial information presented on a consolidated basis. The Company’s reported measures of profit or loss for segment reporting purposes are Net income and Adjusted operating income less operating stock</w:t>
        <w:noBreakHyphen/>
        <w:t>based compensation expense (“AOI less Operating SBC”).The CODM is regularly provided Net income and AOI less Operating SBC to understand the Company’s financial and operating results across accounting periods and for comparison of the Company’s results to those of other companies. The CODM regularly reviews AOI less Operating SBC for internal budgeting and forecasting purposes, to evaluate operating performance, and to make decisions on allocation of resources. The CODM does not use segment asset information to evaluate operating performance or allocate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presentation of Net income is included in the consolidated statements of operations. AOI less Operating SBC is a non</w:t>
        <w:noBreakHyphen/>
        <w:t>GAAP financial measure and is defined as operating income adjusted for the following: amortization of purchased intangibles, expense (income) relating to deferred compensation plan liabilities, acquisition expenses (inclusive of cash</w:t>
        <w:noBreakHyphen/>
        <w:t xml:space="preserve"> and equity</w:t>
        <w:noBreakHyphen/>
        <w:t>settled retention incentives provided to key employees of acquired companies),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changed its primary performance measure to AOI less Operating SBC from Adjusted operating income less stock-based compensation expense (“AOI less SBC”), as management believes AOI less Operating SBC better captures the Company’s core business operating results. The nature of the change to AOI less Operating SBC reflects the inclusion of equity</w:t>
        <w:noBreakHyphen/>
        <w:t>settled retention incentives provided to key employees of acquired companies within the adjustment for acquisition expenses, whereas such expenses were not previously included in the AOI less SBC acquisition expenses adjustment. Prior period amounts have been revised to conform to the current period presentation using the updated AOI less Operating SBC definition.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Operating SBC:</w:t>
      </w:r>
    </w:p>
    <w:tbl>
      <w:tblPr>
        <w:tblW w:w="6908" w:type="dxa"/>
        <w:jc w:val="center"/>
        <w:tblInd w:w="0" w:type="dxa"/>
        <w:tblLayout w:type="fixed"/>
        <w:tblCellMar>
          <w:top w:w="28" w:type="dxa"/>
          <w:left w:w="28" w:type="dxa"/>
          <w:bottom w:w="28" w:type="dxa"/>
          <w:right w:w="28" w:type="dxa"/>
        </w:tblCellMar>
      </w:tblPr>
      <w:tblGrid>
        <w:gridCol w:w="1536"/>
        <w:gridCol w:w="1350"/>
        <w:gridCol w:w="1358"/>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 (see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AOI less Operating SBC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the Company’s adjustments in arriving at AOI less Operating SBC are as follows:</w:t>
      </w:r>
    </w:p>
    <w:p>
      <w:pPr>
        <w:pStyle w:val="TextBody"/>
        <w:bidi w:val="0"/>
        <w:spacing w:lineRule="auto" w:line="288" w:before="0" w:after="20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Acquisition expenses</w:t>
      </w:r>
      <w:r>
        <w:rPr>
          <w:rFonts w:ascii="Times New Roman;serif" w:hAnsi="Times New Roman;serif"/>
          <w:b w:val="false"/>
          <w:color w:val="000000"/>
          <w:sz w:val="18"/>
        </w:rPr>
        <w:t>. The Company incurs expenses for professional services rendered in connection with business combinations, which are included in our GAAP presentation of general and administrative expense. Also included in the Company’s acquisition expenses are cash- and equity</w:t>
        <w:noBreakHyphen/>
        <w:t>settled retention incentives provided to key employees of the acquired companies.</w:t>
      </w:r>
    </w:p>
    <w:p>
      <w:pPr>
        <w:pStyle w:val="TextBody"/>
        <w:bidi w:val="0"/>
        <w:spacing w:lineRule="auto" w:line="288" w:before="0" w:after="200"/>
        <w:ind w:left="0" w:right="0" w:firstLine="360"/>
        <w:jc w:val="both"/>
        <w:rPr/>
      </w:pPr>
      <w:r>
        <w:rPr>
          <w:color w:val="000000"/>
        </w:rPr>
        <w:t>“</w:t>
      </w:r>
      <w:r>
        <w:rPr>
          <w:rFonts w:ascii="Times New Roman;serif" w:hAnsi="Times New Roman;serif"/>
          <w:b w:val="false"/>
          <w:color w:val="000000"/>
          <w:sz w:val="20"/>
        </w:rPr>
        <w:t>Headcount</w:t>
        <w:noBreakHyphen/>
        <w:t>related” costs are considered the Company’s significant expense category and primarily include salaries, benefits, bonuses, stock</w:t>
        <w:noBreakHyphen/>
        <w:t>based compensation expense, employment taxes, travel, training, and realignment and optimization of the Company’s colleagues, and third</w:t>
        <w:noBreakHyphen/>
        <w:t>party personnel expenses and related overhead. The CODM is regularly provided headcount</w:t>
        <w:noBreakHyphen/>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noBreakHyphen/>
        <w:t>term growth. Headcount</w:t>
        <w:noBreakHyphen/>
        <w:t xml:space="preserve">related costs of $228,342 and $199,609 for the three months ended March 31, 2026 and 2025, respectively, are included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Net income measure of profit or loss for segment reporting purposes, other segment items were $100,490 and $79,595 for the three months ended March 31, 2026 and 2025, respectively. These other segment items primarily include cloud</w:t>
        <w:noBreakHyphen/>
        <w:t xml:space="preserve">related costs incurred for servicing the Company’s accounts using cloud provisioned offerings and the Company’s license administration platform, channel partner compensation for providing sales coverage to users, marketing costs, acquisition costs, depreciation expense, and amortization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in the consolidated statements of operations. Additionally, other segment items include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 xml:space="preserve">expense (income), </w:t>
      </w:r>
      <w:r>
        <w:rPr>
          <w:rFonts w:ascii="Times New Roman;serif" w:hAnsi="Times New Roman;serif"/>
          <w:b w:val="false"/>
          <w:i/>
          <w:color w:val="000000"/>
          <w:sz w:val="20"/>
        </w:rPr>
        <w:t>Amortization of purchased intangibles</w:t>
      </w:r>
      <w:r>
        <w:rPr>
          <w:rFonts w:ascii="Times New Roman;serif" w:hAnsi="Times New Roman;serif"/>
          <w:b w:val="false"/>
          <w:color w:val="000000"/>
          <w:sz w:val="20"/>
        </w:rPr>
        <w:t>, and non</w:t>
        <w:noBreakHyphen/>
        <w:t>operating expense (income) amounts presented 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AOI less Operating SBC measure of profit or loss for segment reporting purposes, other segment items were $58,578 and $45,529 for the three months ended March 31, 2026 and 2025, respectively. These other segment items primarily include cloud</w:t>
        <w:noBreakHyphen/>
        <w:t xml:space="preserve">related costs incurred for servicing the Company’s accounts using cloud provisioned offerings and the Company’s license administration platform, channel partner compensation for providing sales coverage to users, marketing costs, and depreciation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 Within the reconciliation of AOI less Operating SBC, cash- and equity</w:t>
        <w:noBreakHyphen/>
        <w:t>settled retention incentives provided to key employees of acquired companies included as a component of acquisition expenses totaling $3,662 and $2,904 for the three months ended March 31, 2026 and 2025, respectively, are excluded from the calculation of headcount</w:t>
        <w:noBreakHyphen/>
        <w:t>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169" w:type="dxa"/>
        <w:jc w:val="center"/>
        <w:tblInd w:w="0" w:type="dxa"/>
        <w:tblLayout w:type="fixed"/>
        <w:tblCellMar>
          <w:top w:w="28" w:type="dxa"/>
          <w:left w:w="28" w:type="dxa"/>
          <w:bottom w:w="28" w:type="dxa"/>
          <w:right w:w="28" w:type="dxa"/>
        </w:tblCellMar>
      </w:tblPr>
      <w:tblGrid>
        <w:gridCol w:w="710"/>
        <w:gridCol w:w="624"/>
        <w:gridCol w:w="630"/>
        <w:gridCol w:w="237"/>
        <w:gridCol w:w="930"/>
        <w:gridCol w:w="122"/>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color w:val="000000"/>
              </w:rPr>
              <w:t xml:space="preserve"> </w:t>
            </w:r>
            <w:r>
              <w:rPr>
                <w:rFonts w:ascii="Times New Roman;serif" w:hAnsi="Times New Roman;serif"/>
                <w:b w:val="false"/>
                <w:color w:val="000000"/>
                <w:sz w:val="13"/>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20: Other Income,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consists of the following:</w:t>
      </w:r>
    </w:p>
    <w:tbl>
      <w:tblPr>
        <w:tblW w:w="7884" w:type="dxa"/>
        <w:jc w:val="center"/>
        <w:tblInd w:w="0" w:type="dxa"/>
        <w:tblLayout w:type="fixed"/>
        <w:tblCellMar>
          <w:top w:w="28" w:type="dxa"/>
          <w:left w:w="28" w:type="dxa"/>
          <w:bottom w:w="28" w:type="dxa"/>
          <w:right w:w="28" w:type="dxa"/>
        </w:tblCellMar>
      </w:tblPr>
      <w:tblGrid>
        <w:gridCol w:w="1637"/>
        <w:gridCol w:w="1443"/>
        <w:gridCol w:w="1449"/>
        <w:gridCol w:w="109"/>
        <w:gridCol w:w="109"/>
        <w:gridCol w:w="190"/>
        <w:gridCol w:w="190"/>
        <w:gridCol w:w="369"/>
        <w:gridCol w:w="815"/>
        <w:gridCol w:w="190"/>
        <w:gridCol w:w="109"/>
        <w:gridCol w:w="109"/>
        <w:gridCol w:w="109"/>
        <w:gridCol w:w="211"/>
        <w:gridCol w:w="691"/>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 (see Note 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(loss) gain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21: Net Income Per Share Attributable to Bentley Systems Stockholders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compute the numerator of basic net income per share attributable to Bentley Systems stockholders, undistributed net income attributable to Bentley Systems allocated to participating securities (described further below) using the required two</w:t>
        <w:noBreakHyphen/>
        <w:t>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issue performance-based RSUs that meet the definition of participating securities, as the holders are entitled to non-forfeitable dividend rights upon the declaration of dividends on the Company’s common stock. As of March 31, 2026, no participating securities were outstanding and as of March 31, 2025, 250,614 participating securities were outstanding.</w:t>
      </w:r>
    </w:p>
    <w:p>
      <w:pPr>
        <w:pStyle w:val="TextBody"/>
        <w:bidi w:val="0"/>
        <w:spacing w:lineRule="auto" w:line="288" w:before="0" w:after="200"/>
        <w:ind w:left="0" w:right="0" w:firstLine="360"/>
        <w:jc w:val="both"/>
        <w:rPr/>
      </w:pPr>
      <w:r>
        <w:rPr>
          <w:rFonts w:ascii="Times New Roman;serif" w:hAnsi="Times New Roman;serif"/>
          <w:b w:val="false"/>
          <w:color w:val="000000"/>
          <w:sz w:val="20"/>
        </w:rPr>
        <w:t>To compute the numerator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interest expense, net of tax, attributable to the assumed conversion of the</w:t>
      </w:r>
      <w:r>
        <w:rPr>
          <w:color w:val="000000"/>
        </w:rPr>
        <w:t xml:space="preserve"> </w:t>
      </w:r>
      <w:r>
        <w:rPr>
          <w:rFonts w:ascii="Times New Roman;serif" w:hAnsi="Times New Roman;serif"/>
          <w:b w:val="false"/>
          <w:color w:val="000000"/>
          <w:sz w:val="20"/>
        </w:rPr>
        <w:t>convertible senior notes using the if</w:t>
        <w:noBreakHyphen/>
        <w:t>converted method</w:t>
      </w:r>
      <w:r>
        <w:rPr>
          <w:color w:val="212529"/>
        </w:rPr>
        <w:t xml:space="preserve"> </w:t>
      </w:r>
      <w:r>
        <w:rPr>
          <w:rFonts w:ascii="Times New Roman;serif" w:hAnsi="Times New Roman;serif"/>
          <w:b w:val="false"/>
          <w:color w:val="212529"/>
          <w:sz w:val="20"/>
        </w:rPr>
        <w:t xml:space="preserve">is added back to basic net income attributable to </w:t>
      </w:r>
      <w:r>
        <w:rPr>
          <w:rFonts w:ascii="Times New Roman;serif" w:hAnsi="Times New Roman;serif"/>
          <w:b w:val="false"/>
          <w:color w:val="000000"/>
          <w:sz w:val="20"/>
        </w:rPr>
        <w:t>Bentley Systems</w:t>
      </w:r>
      <w:r>
        <w:rPr>
          <w:rFonts w:ascii="Times New Roman;serif" w:hAnsi="Times New Roman;serif"/>
          <w:b w:val="false"/>
          <w:color w:val="212529"/>
          <w:sz w:val="20"/>
        </w:rPr>
        <w:t xml:space="preserve">. </w:t>
      </w:r>
      <w:r>
        <w:rPr>
          <w:rFonts w:ascii="Times New Roman;serif" w:hAnsi="Times New Roman;serif"/>
          <w:b w:val="false"/>
          <w:color w:val="000000"/>
          <w:sz w:val="20"/>
        </w:rPr>
        <w:t>To compute the denominator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xml:space="preserve">, the basic weighted average number of shares is adjusted for the effect of dilutive securities, including awards under the Company’s equity compensation plans and ESPP using the treasury stock method, and for the dilutive </w:t>
      </w:r>
      <w:r>
        <w:rPr>
          <w:rFonts w:ascii="Times New Roman;serif" w:hAnsi="Times New Roman;serif"/>
          <w:b w:val="false"/>
          <w:color w:val="000000"/>
          <w:sz w:val="20"/>
        </w:rPr>
        <w:t>effect of the assumed conversion of the convertible senior notes using the if</w:t>
        <w:noBreakHyphen/>
        <w:t>converted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noBreakHyphen/>
        <w:t>class method.</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details of basic and diluted net income per share attributable to Bentley Systems stockholders are as follows</w:t>
      </w:r>
      <w:r>
        <w:rPr>
          <w:rFonts w:ascii="Times New Roman;serif" w:hAnsi="Times New Roman;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2508"/>
        <w:gridCol w:w="2194"/>
        <w:gridCol w:w="2213"/>
        <w:gridCol w:w="109"/>
        <w:gridCol w:w="109"/>
        <w:gridCol w:w="109"/>
        <w:gridCol w:w="268"/>
        <w:gridCol w:w="918"/>
        <w:gridCol w:w="109"/>
        <w:gridCol w:w="109"/>
        <w:gridCol w:w="109"/>
        <w:gridCol w:w="109"/>
        <w:gridCol w:w="268"/>
        <w:gridCol w:w="918"/>
        <w:gridCol w:w="155"/>
      </w:tblGrid>
      <w:tr>
        <w:trPr/>
        <w:tc>
          <w:tcPr>
            <w:tcW w:w="2508"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Bentley Systems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312,593,358 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315,130,071 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17,588,741 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321,836,470 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333,441,006 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748,022 and 240,922 RSUs, respectively, were excluded from the calculation of diluted net income per share attributable to Bentley Systems stockholders as including them would have an anti</w:t>
        <w:noBreakHyphen/>
        <w:t>dilutive effect.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repaid the 2026 Notes at maturity on January 15, 2026, and no shares of the Company’s Class B common stock were issued upon settlement. Subsequent to repayment, the 2026 Notes no longer represent potential common shares and, as a result, approximately 10 million shares were excluded from the calculation of diluted weighted average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2025 Annual Report on Form 10</w:t>
        <w:noBreakHyphen/>
        <w:t>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 Our purpose is to advance the world’s infrastructure for better quality of life. Our mission is to reshape how infrastructure systems and critical resources are delivered and optimized.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Total revenues were $424,181 for the three months ended March 31, 2026, up 14.5% or 11.9%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March 31,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Subscriptions revenues were $392,484 for the three months ended March 31, 2026, up 14.7% or 12.2%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March 31,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Annualized recurring revenues (“ARR”)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$1,494,511 as of March 31, 2026, compared to $1,319,256 as of March 31, 2025; Constant currency</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 growth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11.5%;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Last twelve-month recurring revenues dollar-based net retention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109% as of March 31, 2026, compared to 110% as of March 31,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Operating income was $126,260 for the three months ended March 31, 2026, compared to $115,184 for the three months ended March 31,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AOI less Operating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$140,923 for the three months ended March 31, 2026, compared to $128,308 for the three months ended March 31, 2025; and</w:t>
      </w:r>
    </w:p>
    <w:p>
      <w:pPr>
        <w:pStyle w:val="TextBody"/>
        <w:bidi w:val="0"/>
        <w:spacing w:lineRule="auto" w:line="288" w:before="0" w:after="120"/>
        <w:ind w:left="0" w:right="0" w:hanging="270"/>
        <w:jc w:val="both"/>
        <w:rPr/>
      </w:pPr>
      <w:r>
        <w:rPr>
          <w:color w:val="000000"/>
        </w:rPr>
        <w:t>•</w:t>
      </w:r>
      <w:r>
        <w:rPr>
          <w:rFonts w:ascii="Times New Roman;serif" w:hAnsi="Times New Roman;serif"/>
          <w:b w:val="false"/>
          <w:color w:val="000000"/>
          <w:sz w:val="20"/>
        </w:rPr>
        <w:t>Cash flows from operating activities were $193,408 for the three months ended March 31, 2026, compared to $219,415 for the three months ended March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and AOI less Operating SBC are non</w:t>
        <w:noBreakHyphen/>
        <w:t>GAAP financial measures. Refer to the “Non</w:t>
        <w:noBreakHyphen/>
        <w:t>GAAP Financial Measures” section for additional information, including our definitions and our uses of constant currency and AOI less Operating SBC.</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Consolidated Revenues</w:t>
      </w:r>
    </w:p>
    <w:tbl>
      <w:tblPr>
        <w:tblW w:w="7447" w:type="dxa"/>
        <w:jc w:val="center"/>
        <w:tblInd w:w="0" w:type="dxa"/>
        <w:tblLayout w:type="fixed"/>
        <w:tblCellMar>
          <w:top w:w="28" w:type="dxa"/>
          <w:left w:w="28" w:type="dxa"/>
          <w:bottom w:w="28" w:type="dxa"/>
          <w:right w:w="28" w:type="dxa"/>
        </w:tblCellMar>
      </w:tblPr>
      <w:tblGrid>
        <w:gridCol w:w="820"/>
        <w:gridCol w:w="721"/>
        <w:gridCol w:w="724"/>
        <w:gridCol w:w="211"/>
        <w:gridCol w:w="826"/>
        <w:gridCol w:w="109"/>
        <w:gridCol w:w="109"/>
        <w:gridCol w:w="109"/>
        <w:gridCol w:w="109"/>
        <w:gridCol w:w="211"/>
        <w:gridCol w:w="826"/>
        <w:gridCol w:w="109"/>
        <w:gridCol w:w="109"/>
        <w:gridCol w:w="109"/>
        <w:gridCol w:w="109"/>
        <w:gridCol w:w="263"/>
        <w:gridCol w:w="263"/>
        <w:gridCol w:w="331"/>
        <w:gridCol w:w="109"/>
        <w:gridCol w:w="109"/>
        <w:gridCol w:w="109"/>
        <w:gridCol w:w="263"/>
        <w:gridCol w:w="263"/>
        <w:gridCol w:w="52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w:t>
            </w:r>
            <w:r>
              <w:rPr>
                <w:rFonts w:ascii="Times New Roman;serif" w:hAnsi="Times New Roman;serif"/>
                <w:b/>
                <w:color w:val="000000"/>
                <w:sz w:val="12"/>
              </w:rPr>
              <w:t>(1)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total revenues for the three months ended March 31, 2026 was primarily driven by an increase in subscriptions revenues, and to a lesser extent, an increase in services revenues, partially offset by a decrease in perpetual licenses revenues. Our business performance includes the impact from programmatic acquisitions, which generally are immaterial, individually and in the aggregate.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Subscriptions</w:t>
      </w:r>
      <w:r>
        <w:rPr>
          <w:rFonts w:ascii="Times New Roman;serif" w:hAnsi="Times New Roman;serif"/>
          <w:b w:val="false"/>
          <w:color w:val="000000"/>
          <w:sz w:val="20"/>
        </w:rPr>
        <w:t xml:space="preserve">. For the three months ended March 31, 2026, subscriptions revenues increased $50,166 ($41,734 on a constant currency basis) primarily driven by expansion from accounts with revenues in the same period in the prior year (“existing accounts”), and growth of 3% attributable to new accounts, most notably small- and medium-sized accounts. Increases in subscriptions revenues for the three months ended March 31, 2026 were led by </w:t>
      </w:r>
      <w:r>
        <w:rPr>
          <w:rFonts w:ascii="Times New Roman;serif" w:hAnsi="Times New Roman;serif"/>
          <w:b w:val="false"/>
          <w:i/>
          <w:color w:val="000000"/>
          <w:sz w:val="20"/>
        </w:rPr>
        <w:t>Bentley Open Applications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 xml:space="preserve">applications, and to a lesser extent,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Perpetual licenses</w:t>
      </w:r>
      <w:r>
        <w:rPr>
          <w:rFonts w:ascii="Times New Roman;serif" w:hAnsi="Times New Roman;serif"/>
          <w:b w:val="false"/>
          <w:color w:val="000000"/>
          <w:sz w:val="20"/>
        </w:rPr>
        <w:t>. For the three months ended March 31, 2026, perpetual licenses revenues decreased $1,735 ($1,946 on a constant currency basis).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Services.</w:t>
      </w:r>
      <w:r>
        <w:rPr>
          <w:color w:val="000000"/>
        </w:rPr>
        <w:t xml:space="preserve"> </w:t>
      </w:r>
      <w:r>
        <w:rPr>
          <w:rFonts w:ascii="Times New Roman;serif" w:hAnsi="Times New Roman;serif"/>
          <w:b w:val="false"/>
          <w:color w:val="000000"/>
          <w:sz w:val="20"/>
        </w:rPr>
        <w:t>For the three months ended March 31, 2026, services revenues increased $5,208 ($4,496 on a constant currency basis) primarily due to strength in Maximo-related work within our digital integrator.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Revenues by Geographic Region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w:t>
      </w:r>
    </w:p>
    <w:tbl>
      <w:tblPr>
        <w:tblW w:w="6322" w:type="dxa"/>
        <w:jc w:val="center"/>
        <w:tblInd w:w="0" w:type="dxa"/>
        <w:tblLayout w:type="fixed"/>
        <w:tblCellMar>
          <w:top w:w="28" w:type="dxa"/>
          <w:left w:w="28" w:type="dxa"/>
          <w:bottom w:w="28" w:type="dxa"/>
          <w:right w:w="28" w:type="dxa"/>
        </w:tblCellMar>
      </w:tblPr>
      <w:tblGrid>
        <w:gridCol w:w="477"/>
        <w:gridCol w:w="420"/>
        <w:gridCol w:w="423"/>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52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w:t>
            </w:r>
            <w:r>
              <w:rPr>
                <w:rFonts w:ascii="Times New Roman;serif" w:hAnsi="Times New Roman;serif"/>
                <w:b/>
                <w:color w:val="000000"/>
                <w:sz w:val="12"/>
              </w:rPr>
              <w:t>(1)</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Americas.</w:t>
      </w:r>
      <w:r>
        <w:rPr>
          <w:color w:val="000000"/>
        </w:rPr>
        <w:t xml:space="preserve"> </w:t>
      </w:r>
      <w:r>
        <w:rPr>
          <w:rFonts w:ascii="Times New Roman;serif" w:hAnsi="Times New Roman;serif"/>
          <w:b w:val="false"/>
          <w:color w:val="000000"/>
          <w:sz w:val="20"/>
        </w:rPr>
        <w:t>For the three months ended March 31, 2026, revenues from the Americas increased $26,659 ($25,323 on a constant currency basis) primarily due to expansion of our subscriptions revenues from existing accounts in the U.S., increases in our subscription revenues from new accounts, as well as an increase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EMEA</w:t>
      </w:r>
      <w:r>
        <w:rPr>
          <w:rFonts w:ascii="Times New Roman;serif" w:hAnsi="Times New Roman;serif"/>
          <w:b w:val="false"/>
          <w:color w:val="000000"/>
          <w:sz w:val="20"/>
        </w:rPr>
        <w:t>. For the three months ended March 31, 2026, revenues from EMEA increased $19,236 ($12,787 on a constant currency basis) primarily due to expansion of our subscriptions revenues from existing accounts, and to a lesser extent, increases in our subscriptions revenues from new accounts, and an increase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APAC.</w:t>
      </w:r>
      <w:r>
        <w:rPr>
          <w:color w:val="000000"/>
        </w:rPr>
        <w:t xml:space="preserve"> </w:t>
      </w:r>
      <w:r>
        <w:rPr>
          <w:rFonts w:ascii="Times New Roman;serif" w:hAnsi="Times New Roman;serif"/>
          <w:b w:val="false"/>
          <w:color w:val="000000"/>
          <w:sz w:val="20"/>
        </w:rPr>
        <w:t>For the three months ended March 31, 2026, revenues from APAC increased $7,744 ($6,174 on a constant currency basis) primarily due to expansion of our subscriptions revenues from existing accounts in India and Australia, as well as increases in our subscriptions revenues from new accounts, partially offset by a decline in perpetual licenses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Revenues and Operating Expense (Income)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7657"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09"/>
        <w:gridCol w:w="109"/>
        <w:gridCol w:w="109"/>
        <w:gridCol w:w="109"/>
        <w:gridCol w:w="233"/>
        <w:gridCol w:w="233"/>
        <w:gridCol w:w="271"/>
        <w:gridCol w:w="109"/>
        <w:gridCol w:w="109"/>
        <w:gridCol w:w="109"/>
        <w:gridCol w:w="233"/>
        <w:gridCol w:w="233"/>
        <w:gridCol w:w="526"/>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w:t>
            </w:r>
            <w:r>
              <w:rPr>
                <w:rFonts w:ascii="Times New Roman;serif" w:hAnsi="Times New Roman;serif"/>
                <w:b/>
                <w:color w:val="000000"/>
                <w:sz w:val="12"/>
              </w:rPr>
              <w:t>(1)</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subscriptions and licenses. </w:t>
      </w:r>
      <w:r>
        <w:rPr>
          <w:rFonts w:ascii="Times New Roman;serif" w:hAnsi="Times New Roman;serif"/>
          <w:b w:val="false"/>
          <w:color w:val="000000"/>
          <w:sz w:val="20"/>
        </w:rPr>
        <w:t>For the three months ended March 31, 2026, on a constant currency basis, cost of subscriptions and licenses expenses increased primarily due to an increase in cloud-related costs of $5,683.</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services. </w:t>
      </w:r>
      <w:r>
        <w:rPr>
          <w:rFonts w:ascii="Times New Roman;serif" w:hAnsi="Times New Roman;serif"/>
          <w:b w:val="false"/>
          <w:color w:val="000000"/>
          <w:sz w:val="20"/>
        </w:rPr>
        <w:t>For the three months ended March 31, 2026, on a constant currency basis, cost of services expenses increased primarily due to an increase in headcount</w:t>
        <w:noBreakHyphen/>
        <w:t>related costs of $668, mainly due to an increase in third</w:t>
        <w:noBreakHyphen/>
        <w:t>party personnel costs, partially offset by decreases in headcount, and annual and other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Expense (Income)</w:t>
      </w:r>
    </w:p>
    <w:tbl>
      <w:tblPr>
        <w:tblW w:w="8421" w:type="dxa"/>
        <w:jc w:val="center"/>
        <w:tblInd w:w="0" w:type="dxa"/>
        <w:tblLayout w:type="fixed"/>
        <w:tblCellMar>
          <w:top w:w="28" w:type="dxa"/>
          <w:left w:w="28" w:type="dxa"/>
          <w:bottom w:w="28" w:type="dxa"/>
          <w:right w:w="28" w:type="dxa"/>
        </w:tblCellMar>
      </w:tblPr>
      <w:tblGrid>
        <w:gridCol w:w="1174"/>
        <w:gridCol w:w="1030"/>
        <w:gridCol w:w="1035"/>
        <w:gridCol w:w="211"/>
        <w:gridCol w:w="826"/>
        <w:gridCol w:w="109"/>
        <w:gridCol w:w="109"/>
        <w:gridCol w:w="109"/>
        <w:gridCol w:w="109"/>
        <w:gridCol w:w="211"/>
        <w:gridCol w:w="826"/>
        <w:gridCol w:w="109"/>
        <w:gridCol w:w="109"/>
        <w:gridCol w:w="109"/>
        <w:gridCol w:w="109"/>
        <w:gridCol w:w="263"/>
        <w:gridCol w:w="263"/>
        <w:gridCol w:w="331"/>
        <w:gridCol w:w="109"/>
        <w:gridCol w:w="109"/>
        <w:gridCol w:w="109"/>
        <w:gridCol w:w="263"/>
        <w:gridCol w:w="263"/>
        <w:gridCol w:w="526"/>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w:t>
            </w:r>
            <w:r>
              <w:rPr>
                <w:rFonts w:ascii="Times New Roman;serif" w:hAnsi="Times New Roman;serif"/>
                <w:b/>
                <w:color w:val="000000"/>
                <w:sz w:val="12"/>
              </w:rPr>
              <w:t>(1)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For the three months ended March 31, 2026, on a constant currency basis, research and development expenses increased primarily due to an increase in headcount</w:t>
        <w:noBreakHyphen/>
        <w:t>related costs of $6,436, mainly due to increases in headcount, and annual and other compensation costs, and to a lesser extent, higher acquisition</w:t>
        <w:noBreakHyphen/>
        <w:t>related retention incentives.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For the three months ended March 31, 2026, on a constant currency basis, selling and marketing expenses increased primarily due to an increase in headcount</w:t>
        <w:noBreakHyphen/>
        <w:t>related costs of $6,184, mainly due to increases in annual and other compensation costs, and an increase in promotional costs of $2,428.</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For the three months ended March 31, 2026, on a constant currency basis, general and administrative expenses increased primarily due to an increase in headcount</w:t>
        <w:noBreakHyphen/>
        <w:t>related costs of $7,135, mainly due to increases in headcount, and annual and other compensation costs, and an increase in third-party personnel costs. Additionally, during the three months ended March 31, 2026, general and administrative expenses further increased due to lower capitalizable costs associated with our internal-use software implementation as compared to the same period in the prior year.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Starting in 2026, we expect general and administrative expenses to include amortization of internal-use software implementation costs, which represents amortization of deferred costs primarily related to the implementation of our new enterprise-wide administrative and business management platforms which are planned to complete going live in 2026.</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rFonts w:ascii="Times New Roman;serif" w:hAnsi="Times New Roman;serif"/>
          <w:b w:val="false"/>
          <w:color w:val="000000"/>
          <w:sz w:val="20"/>
        </w:rPr>
        <w:t>. For the three months ended March 31, 2026 and 2025, deferred compensation plan income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For the three months ended March 31, 2026, amortization of purchased intangibles was flat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5462" w:type="dxa"/>
        <w:jc w:val="center"/>
        <w:tblInd w:w="0" w:type="dxa"/>
        <w:tblLayout w:type="fixed"/>
        <w:tblCellMar>
          <w:top w:w="28" w:type="dxa"/>
          <w:left w:w="28" w:type="dxa"/>
          <w:bottom w:w="28" w:type="dxa"/>
          <w:right w:w="28" w:type="dxa"/>
        </w:tblCellMar>
      </w:tblPr>
      <w:tblGrid>
        <w:gridCol w:w="641"/>
        <w:gridCol w:w="562"/>
        <w:gridCol w:w="567"/>
        <w:gridCol w:w="211"/>
        <w:gridCol w:w="691"/>
        <w:gridCol w:w="109"/>
        <w:gridCol w:w="109"/>
        <w:gridCol w:w="109"/>
        <w:gridCol w:w="109"/>
        <w:gridCol w:w="211"/>
        <w:gridCol w:w="691"/>
        <w:gridCol w:w="109"/>
        <w:gridCol w:w="109"/>
        <w:gridCol w:w="109"/>
        <w:gridCol w:w="109"/>
        <w:gridCol w:w="285"/>
        <w:gridCol w:w="286"/>
        <w:gridCol w:w="44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interest expense, net increased compared to the same period in the prior year, primarily due to higher weighted average debt outstanding and higher weighted average interest rates on borrowings following the January 2026 repayment of the 2026 Notes, which had a 0.125% coupon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6774" w:type="dxa"/>
        <w:jc w:val="center"/>
        <w:tblInd w:w="0" w:type="dxa"/>
        <w:tblLayout w:type="fixed"/>
        <w:tblCellMar>
          <w:top w:w="28" w:type="dxa"/>
          <w:left w:w="28" w:type="dxa"/>
          <w:bottom w:w="28" w:type="dxa"/>
          <w:right w:w="28" w:type="dxa"/>
        </w:tblCellMar>
      </w:tblPr>
      <w:tblGrid>
        <w:gridCol w:w="1236"/>
        <w:gridCol w:w="1089"/>
        <w:gridCol w:w="1094"/>
        <w:gridCol w:w="109"/>
        <w:gridCol w:w="109"/>
        <w:gridCol w:w="190"/>
        <w:gridCol w:w="190"/>
        <w:gridCol w:w="369"/>
        <w:gridCol w:w="815"/>
        <w:gridCol w:w="190"/>
        <w:gridCol w:w="109"/>
        <w:gridCol w:w="109"/>
        <w:gridCol w:w="109"/>
        <w:gridCol w:w="211"/>
        <w:gridCol w:w="69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(loss) gain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035" w:type="dxa"/>
        <w:jc w:val="center"/>
        <w:tblInd w:w="0" w:type="dxa"/>
        <w:tblLayout w:type="fixed"/>
        <w:tblCellMar>
          <w:top w:w="28" w:type="dxa"/>
          <w:left w:w="28" w:type="dxa"/>
          <w:bottom w:w="28" w:type="dxa"/>
          <w:right w:w="28" w:type="dxa"/>
        </w:tblCellMar>
      </w:tblPr>
      <w:tblGrid>
        <w:gridCol w:w="863"/>
        <w:gridCol w:w="757"/>
        <w:gridCol w:w="764"/>
        <w:gridCol w:w="109"/>
        <w:gridCol w:w="109"/>
        <w:gridCol w:w="125"/>
        <w:gridCol w:w="125"/>
        <w:gridCol w:w="242"/>
        <w:gridCol w:w="950"/>
        <w:gridCol w:w="31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80"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680"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effective tax rate was higher compared to the same period in the prior year primarily due to the impact of the decrease in discrete tax benefits related to stock-based compensation, net of the impact from officer compensation limitation provisions, recognized in the current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Twelve-months ended constant currency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ARR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resulting from the annualization of recurring contracts with consumption measurement durations of less than one year, as a percentage of total ARR, was 51% and 50% as of March 31, 2026 and 2025, respectively, with our E365 subscription offering representing 46% and 45% of total ARR as of March 31,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last twelve</w:t>
        <w:noBreakHyphen/>
        <w:t>months recurring revenues for the periods ended March 31, 2026 compared to the last twelve</w:t>
        <w:noBreakHyphen/>
        <w:t>months of the comparative twelve</w:t>
        <w:noBreakHyphen/>
        <w:t>month period increased by $168,849.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March 31, 2026 and 2025, 93% and 92%, respectively, of our revenues were recurring revenues.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Account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that recurring revenues represented 93% and 92% of our total revenues for the twelve months ended March 31, 2026 and 2025,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changed our primary performance measure to AOI less Operating SBC from AOI less SBC, as management believes AOI less Operating SBC better captures the Company’s core business operating results. The nature of the change to AOI less Operating SBC reflects the inclusion of equity</w:t>
        <w:noBreakHyphen/>
        <w:t>settled retention incentives provided to key employees of acquired companies within the adjustment for acquisition expenses, whereas such expenses were not previously included in the AOI less SBC acquisition expenses adjustment. Prior period amounts have been revised to conform to the current period presentation using the updated AOI less Operating SBC definition.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Less Operating Stock-Based Compensation Expense (“AOI less Operating SBC”)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Operating 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Operating SBC is defined as operating income adjusted for the following: amortization of purchased intangibles, expense (income) relating to deferred compensation plan liabilities, acquisition expenses (inclusive of cash</w:t>
        <w:noBreakHyphen/>
        <w:t xml:space="preserve"> and equity</w:t>
        <w:noBreakHyphen/>
        <w:t>settled retention incentives provided to key employees of acquired companies),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Operating SBC is our primary performance measure, which excludes certain expenses and charges, including cash</w:t>
        <w:noBreakHyphen/>
        <w:t xml:space="preserve"> and equity</w:t>
        <w:noBreakHyphen/>
        <w:t>settled retention incentives provided to key employees of acquired companies, as we believe these may not be indicative of our core business operating results. We intentionally include operating stock</w:t>
        <w:noBreakHyphen/>
        <w:t>based compensation expense (non</w:t>
        <w:noBreakHyphen/>
        <w:t>cash stock</w:t>
        <w:noBreakHyphen/>
        <w:t>based compensation expense less equity</w:t>
        <w:noBreakHyphen/>
        <w:t>settled retention incentives provided to key employees of acquired companies) in this measure as we believe it better captures the economic costs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(“AOI”)</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defined as operating income adjusted for the following: amortization of purchased intangibles, expense (income) relating to deferred compensation plan liabilities, acquisition expenses (inclusive of cash</w:t>
        <w:noBreakHyphen/>
        <w:t xml:space="preserve"> and equity</w:t>
        <w:noBreakHyphen/>
        <w:t>settled retention incentives provided to key employees of acquired companies), realignment expenses (income), and operating stock</w:t>
        <w:noBreakHyphen/>
        <w:t>based compensation expense (non</w:t>
        <w:noBreakHyphen/>
        <w:t>cash stock</w:t>
        <w:noBreakHyphen/>
        <w:t>based compensation expense less equity</w:t>
        <w:noBreakHyphen/>
        <w:t>settled retention incentives provided to key employees of acquired companies), for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Operating SBC and to Adjusted operating income:</w:t>
      </w:r>
    </w:p>
    <w:tbl>
      <w:tblPr>
        <w:tblW w:w="7524" w:type="dxa"/>
        <w:jc w:val="center"/>
        <w:tblInd w:w="0" w:type="dxa"/>
        <w:tblLayout w:type="fixed"/>
        <w:tblCellMar>
          <w:top w:w="28" w:type="dxa"/>
          <w:left w:w="28" w:type="dxa"/>
          <w:bottom w:w="28" w:type="dxa"/>
          <w:right w:w="28" w:type="dxa"/>
        </w:tblCellMar>
      </w:tblPr>
      <w:tblGrid>
        <w:gridCol w:w="1460"/>
        <w:gridCol w:w="1283"/>
        <w:gridCol w:w="1291"/>
        <w:gridCol w:w="109"/>
        <w:gridCol w:w="109"/>
        <w:gridCol w:w="140"/>
        <w:gridCol w:w="140"/>
        <w:gridCol w:w="271"/>
        <w:gridCol w:w="1063"/>
        <w:gridCol w:w="140"/>
        <w:gridCol w:w="109"/>
        <w:gridCol w:w="109"/>
        <w:gridCol w:w="109"/>
        <w:gridCol w:w="211"/>
        <w:gridCol w:w="82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purchased intangibles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AOI less Operating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stock-based compensation expense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our adjustments in arriving at AOI less Operating SBC and Adjusted operating income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Amortization of purchased intangibles</w:t>
      </w:r>
      <w:r>
        <w:rPr>
          <w:rFonts w:ascii="Times New Roman;serif" w:hAnsi="Times New Roman;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Deferred compensation plan</w:t>
      </w:r>
      <w:r>
        <w:rPr>
          <w:rFonts w:ascii="Times New Roman;serif" w:hAnsi="Times New Roman;serif"/>
          <w:b w:val="false"/>
          <w:color w:val="000000"/>
          <w:sz w:val="18"/>
        </w:rPr>
        <w:t xml:space="preserve">. We exclude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 xml:space="preserve">expense (income) when we evaluate our continuing operational performance because it is not reflective of our ongoing business and results of operations.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in the consolidated statements of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(3)</w:t>
      </w:r>
      <w:r>
        <w:rPr>
          <w:rFonts w:ascii="Times New Roman;serif" w:hAnsi="Times New Roman;serif"/>
          <w:b w:val="false"/>
          <w:i/>
          <w:color w:val="000000"/>
          <w:sz w:val="18"/>
        </w:rPr>
        <w:t>Acquisition expenses</w:t>
      </w:r>
      <w:r>
        <w:rPr>
          <w:rFonts w:ascii="Times New Roman;serif" w:hAnsi="Times New Roman;serif"/>
          <w:b w:val="false"/>
          <w:color w:val="000000"/>
          <w:sz w:val="18"/>
        </w:rPr>
        <w:t>. We incur expenses for professional services rendered in connection with business combinations, which are included in our GAAP presentation of general and administrative expense. Also included in our acquisition expenses are cash</w:t>
        <w:noBreakHyphen/>
        <w:t xml:space="preserve"> and equity</w:t>
        <w:noBreakHyphen/>
        <w:t>settled retention incentives provided to key employees of the acquired companies. We exclude these acquisition expenses when we evaluate our continuing operational performance as we would not have otherwise incurred these expenses in the periods presented as part of our continuing operations.</w:t>
      </w:r>
    </w:p>
    <w:p>
      <w:pPr>
        <w:pStyle w:val="TextBody"/>
        <w:bidi w:val="0"/>
        <w:spacing w:lineRule="auto" w:line="288" w:before="0" w:after="200"/>
        <w:ind w:left="0" w:right="0" w:hanging="360"/>
        <w:jc w:val="both"/>
        <w:rPr/>
      </w:pPr>
      <w:r>
        <w:rPr>
          <w:rFonts w:ascii="Times New Roman;serif" w:hAnsi="Times New Roman;serif"/>
          <w:b w:val="false"/>
          <w:color w:val="000000"/>
          <w:sz w:val="18"/>
        </w:rPr>
        <w:t>(4)</w:t>
      </w:r>
      <w:r>
        <w:rPr>
          <w:rFonts w:ascii="Times New Roman;serif" w:hAnsi="Times New Roman;serif"/>
          <w:b w:val="false"/>
          <w:i/>
          <w:color w:val="000000"/>
          <w:sz w:val="18"/>
        </w:rPr>
        <w:t>Operating stock</w:t>
        <w:noBreakHyphen/>
        <w:t>based compensation expense</w:t>
      </w:r>
      <w:r>
        <w:rPr>
          <w:rFonts w:ascii="Times New Roman;serif" w:hAnsi="Times New Roman;serif"/>
          <w:b w:val="false"/>
          <w:color w:val="000000"/>
          <w:sz w:val="18"/>
        </w:rPr>
        <w:t>. We define “operating” stock</w:t>
        <w:noBreakHyphen/>
        <w:t>based compensation expense as non</w:t>
        <w:noBreakHyphen/>
        <w:t>cash stock</w:t>
        <w:noBreakHyphen/>
        <w:t>based compensation expense less equity</w:t>
        <w:noBreakHyphen/>
        <w:t>settled retention incentives provided to key employees of acquired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Constant Currency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0"/>
        <w:gridCol w:w="441"/>
        <w:gridCol w:w="211"/>
        <w:gridCol w:w="826"/>
        <w:gridCol w:w="109"/>
        <w:gridCol w:w="109"/>
        <w:gridCol w:w="109"/>
        <w:gridCol w:w="109"/>
        <w:gridCol w:w="279"/>
        <w:gridCol w:w="863"/>
        <w:gridCol w:w="144"/>
        <w:gridCol w:w="109"/>
        <w:gridCol w:w="109"/>
        <w:gridCol w:w="109"/>
        <w:gridCol w:w="220"/>
        <w:gridCol w:w="863"/>
        <w:gridCol w:w="113"/>
        <w:gridCol w:w="109"/>
        <w:gridCol w:w="109"/>
        <w:gridCol w:w="109"/>
        <w:gridCol w:w="211"/>
        <w:gridCol w:w="826"/>
        <w:gridCol w:w="109"/>
        <w:gridCol w:w="109"/>
        <w:gridCol w:w="109"/>
        <w:gridCol w:w="109"/>
        <w:gridCol w:w="361"/>
        <w:gridCol w:w="617"/>
        <w:gridCol w:w="188"/>
        <w:gridCol w:w="109"/>
        <w:gridCol w:w="109"/>
        <w:gridCol w:w="109"/>
        <w:gridCol w:w="220"/>
        <w:gridCol w:w="862"/>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342,377 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414,893 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14"/>
        <w:gridCol w:w="983"/>
        <w:gridCol w:w="162"/>
        <w:gridCol w:w="109"/>
        <w:gridCol w:w="109"/>
        <w:gridCol w:w="109"/>
        <w:gridCol w:w="225"/>
        <w:gridCol w:w="883"/>
        <w:gridCol w:w="116"/>
        <w:gridCol w:w="109"/>
        <w:gridCol w:w="109"/>
        <w:gridCol w:w="109"/>
        <w:gridCol w:w="211"/>
        <w:gridCol w:w="826"/>
        <w:gridCol w:w="109"/>
        <w:gridCol w:w="109"/>
        <w:gridCol w:w="109"/>
        <w:gridCol w:w="109"/>
        <w:gridCol w:w="418"/>
        <w:gridCol w:w="714"/>
        <w:gridCol w:w="218"/>
        <w:gridCol w:w="109"/>
        <w:gridCol w:w="109"/>
        <w:gridCol w:w="109"/>
        <w:gridCol w:w="224"/>
        <w:gridCol w:w="881"/>
        <w:gridCol w:w="169"/>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414,893 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50"/>
        <w:gridCol w:w="483"/>
        <w:gridCol w:w="486"/>
        <w:gridCol w:w="211"/>
        <w:gridCol w:w="721"/>
        <w:gridCol w:w="109"/>
        <w:gridCol w:w="109"/>
        <w:gridCol w:w="109"/>
        <w:gridCol w:w="109"/>
        <w:gridCol w:w="299"/>
        <w:gridCol w:w="933"/>
        <w:gridCol w:w="154"/>
        <w:gridCol w:w="109"/>
        <w:gridCol w:w="109"/>
        <w:gridCol w:w="109"/>
        <w:gridCol w:w="228"/>
        <w:gridCol w:w="782"/>
        <w:gridCol w:w="118"/>
        <w:gridCol w:w="109"/>
        <w:gridCol w:w="109"/>
        <w:gridCol w:w="109"/>
        <w:gridCol w:w="211"/>
        <w:gridCol w:w="721"/>
        <w:gridCol w:w="109"/>
        <w:gridCol w:w="109"/>
        <w:gridCol w:w="109"/>
        <w:gridCol w:w="109"/>
        <w:gridCol w:w="385"/>
        <w:gridCol w:w="688"/>
        <w:gridCol w:w="201"/>
        <w:gridCol w:w="109"/>
        <w:gridCol w:w="109"/>
        <w:gridCol w:w="109"/>
        <w:gridCol w:w="228"/>
        <w:gridCol w:w="779"/>
        <w:gridCol w:w="174"/>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operating expense (income) to operating expense (income) in constant currency:</w:t>
      </w:r>
    </w:p>
    <w:tbl>
      <w:tblPr>
        <w:tblW w:w="10205" w:type="dxa"/>
        <w:jc w:val="center"/>
        <w:tblInd w:w="0" w:type="dxa"/>
        <w:tblLayout w:type="fixed"/>
        <w:tblCellMar>
          <w:top w:w="28" w:type="dxa"/>
          <w:left w:w="28" w:type="dxa"/>
          <w:bottom w:w="28" w:type="dxa"/>
          <w:right w:w="28" w:type="dxa"/>
        </w:tblCellMar>
      </w:tblPr>
      <w:tblGrid>
        <w:gridCol w:w="612"/>
        <w:gridCol w:w="455"/>
        <w:gridCol w:w="458"/>
        <w:gridCol w:w="211"/>
        <w:gridCol w:w="826"/>
        <w:gridCol w:w="109"/>
        <w:gridCol w:w="109"/>
        <w:gridCol w:w="109"/>
        <w:gridCol w:w="109"/>
        <w:gridCol w:w="266"/>
        <w:gridCol w:w="821"/>
        <w:gridCol w:w="137"/>
        <w:gridCol w:w="109"/>
        <w:gridCol w:w="109"/>
        <w:gridCol w:w="109"/>
        <w:gridCol w:w="218"/>
        <w:gridCol w:w="856"/>
        <w:gridCol w:w="112"/>
        <w:gridCol w:w="109"/>
        <w:gridCol w:w="109"/>
        <w:gridCol w:w="109"/>
        <w:gridCol w:w="211"/>
        <w:gridCol w:w="826"/>
        <w:gridCol w:w="109"/>
        <w:gridCol w:w="109"/>
        <w:gridCol w:w="109"/>
        <w:gridCol w:w="109"/>
        <w:gridCol w:w="333"/>
        <w:gridCol w:w="595"/>
        <w:gridCol w:w="174"/>
        <w:gridCol w:w="109"/>
        <w:gridCol w:w="109"/>
        <w:gridCol w:w="109"/>
        <w:gridCol w:w="218"/>
        <w:gridCol w:w="855"/>
        <w:gridCol w:w="168"/>
      </w:tblGrid>
      <w:tr>
        <w:trPr/>
        <w:tc>
          <w:tcPr>
            <w:tcW w:w="6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217,265 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189,688 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and Cash Equivalents</w:t>
      </w:r>
    </w:p>
    <w:tbl>
      <w:tblPr>
        <w:tblW w:w="7764" w:type="dxa"/>
        <w:jc w:val="center"/>
        <w:tblInd w:w="0" w:type="dxa"/>
        <w:tblLayout w:type="fixed"/>
        <w:tblCellMar>
          <w:top w:w="28" w:type="dxa"/>
          <w:left w:w="28" w:type="dxa"/>
          <w:bottom w:w="28" w:type="dxa"/>
          <w:right w:w="28" w:type="dxa"/>
        </w:tblCellMar>
      </w:tblPr>
      <w:tblGrid>
        <w:gridCol w:w="1651"/>
        <w:gridCol w:w="1452"/>
        <w:gridCol w:w="1456"/>
        <w:gridCol w:w="237"/>
        <w:gridCol w:w="930"/>
        <w:gridCol w:w="122"/>
        <w:gridCol w:w="109"/>
        <w:gridCol w:w="109"/>
        <w:gridCol w:w="109"/>
        <w:gridCol w:w="281"/>
        <w:gridCol w:w="1103"/>
        <w:gridCol w:w="205"/>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domestically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 foreign subsidiaries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Flows Activity</w:t>
      </w:r>
    </w:p>
    <w:tbl>
      <w:tblPr>
        <w:tblW w:w="5468"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compared to the same period in the prior year, net cash provided by operating activities was lower by $26,007 due to a decrease in net cash flows from the change in operating assets and liabilities of $38,392, partially offset by a net increase in non</w:t>
        <w:noBreakHyphen/>
        <w:t>cash adjustments of $8,374, and an increase in net income of $4,011. The decrease in net cash flows from the change in operating assets and liabilities period over period was primarily due to lower accounts payable, timing of collections on our receivables, and lower period over period Cloud Services Subscription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higher by $2,507 for the three months ended March 31, 2026, compared to the same period in the prior year, due to higher purchases of property and equipment and investment in capitalized software.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higher by $3,633 for the three months ended March 31, 2026 compared to the same period in the prior year. Net borrowings under the Credit Facility were higher by $678,727 for the three months ended March 31, 2026 compared to the same period in the prior year. We utilized a portion of these borrowings under the Credit Facility and available cash on hand to repay the $677,830 outstanding principal balance of the 2026 Notes upon maturity in January 2026. Further, payments for shares acquired, including shares repurchased under the Repurchase Program, were higher by $14,797 for the three months ended March 31, 2026 compared to the same period in the prior year. Additionally, under the Repurchase Program, we paid $9,797 in cash to repurchase $10,000 aggregate principal amount of outstanding 2026 Notes during the first quarter of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Long-Term Debt</w:t>
      </w:r>
    </w:p>
    <w:tbl>
      <w:tblPr>
        <w:tblW w:w="6046"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matured on January 15, 2026. Upon maturity, we repaid $678,254, which consisted of the remaining outstanding principal balance and accrued interest on the 2026 Notes using borrowings under the Credit Facility and available cash on hand.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$756,439 available under the Credit Facility, and we were in compliance with all covenants under the Credit Facility and the 2027 Notes. Any failure to comply with such covenants under the Credit Facility would prevent us from being able to borrow additional funds under the Credit Facility, and, as with any failure to comply with such covenants under the 2027 Notes, could constitute a default that may cause all amounts outstanding to become due and immediately payable in full.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23, 2026, we entered into a First Amendment, which amends the Credit Facility to provide for a new $550,000 Term Loan. As a result, the total borrowing capacity under the Credit Facility increased to $1,850,000. We used the Term Loan borrowings to repay portions of revolving indebtedness outstanding under the Credit Facility.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approved the Repurchase Program authorizing us to repurchase up to $500,000 of our Class B common stock and/or outstanding convertible senior notes through December 31, 2028.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1,037,848 shares for $40,021 under the Repurchase Program. During the three months ended March 31, 2025, we repurchased 673,898 shares for $30,014, and $10,000 aggregate principal amount of our outstanding 2026 Notes for $9,797 under the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right to require that certain equity awardees receive gross or net quantities of shares of our Class B common stock, including distributions from the DCP and share issuances under the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three months ended March 31, 2026, we allowed impacted awardees the option to receive net quantities of shares of our Class B common stock. During the three months ended March 31, 2025, we exercised our right to require that impacted equity awardees receive gross quantities of our Class B common stock. We will continue to evaluate whether share awards will be required to be received by awardees on a gross basis, or if net settlement may be elected by awardees.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 Payments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declaration and payment of dividends is within the discretion of our Board of Directors. We paid quarterly dividends of $0.07 per share of common stock during the three months ended March 31, 2026 and 2025.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exposure as described in Part II, Item 7A. Quantitative and Qualitative Disclosures About Market Risk in our 2025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March 31, 2026, our disclosure controls and procedures were effective at the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management’s evaluation pursuant to Rules 13a or 15d of the Exchange Act that occurred during the quarter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2025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January 1, 2026 to March 31, 2026, we issued 1,274,538 shares of our Class B common stock in connection with distributions from our DCP.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Class B common stock we repurchased during the three months ended March 31, 2026:</w:t>
      </w:r>
    </w:p>
    <w:tbl>
      <w:tblPr>
        <w:tblW w:w="9930" w:type="dxa"/>
        <w:jc w:val="center"/>
        <w:tblInd w:w="0" w:type="dxa"/>
        <w:tblLayout w:type="fixed"/>
        <w:tblCellMar>
          <w:top w:w="28" w:type="dxa"/>
          <w:left w:w="28" w:type="dxa"/>
          <w:bottom w:w="28" w:type="dxa"/>
          <w:right w:w="28" w:type="dxa"/>
        </w:tblCellMar>
      </w:tblPr>
      <w:tblGrid>
        <w:gridCol w:w="1044"/>
        <w:gridCol w:w="918"/>
        <w:gridCol w:w="933"/>
        <w:gridCol w:w="109"/>
        <w:gridCol w:w="109"/>
        <w:gridCol w:w="109"/>
        <w:gridCol w:w="459"/>
        <w:gridCol w:w="459"/>
        <w:gridCol w:w="461"/>
        <w:gridCol w:w="109"/>
        <w:gridCol w:w="109"/>
        <w:gridCol w:w="109"/>
        <w:gridCol w:w="269"/>
        <w:gridCol w:w="766"/>
        <w:gridCol w:w="149"/>
        <w:gridCol w:w="109"/>
        <w:gridCol w:w="109"/>
        <w:gridCol w:w="109"/>
        <w:gridCol w:w="514"/>
        <w:gridCol w:w="514"/>
        <w:gridCol w:w="516"/>
        <w:gridCol w:w="109"/>
        <w:gridCol w:w="109"/>
        <w:gridCol w:w="109"/>
        <w:gridCol w:w="226"/>
        <w:gridCol w:w="1216"/>
        <w:gridCol w:w="178"/>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Shares</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Part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that May Yet Be</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Publicly Announced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Under</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Program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the Program </w:t>
            </w:r>
            <w:r>
              <w:rPr>
                <w:rFonts w:ascii="Times New Roman;serif" w:hAnsi="Times New Roman;serif"/>
                <w:b/>
                <w:color w:val="000000"/>
                <w:sz w:val="10"/>
              </w:rPr>
              <w:t>(2)</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2026 to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1,037,848 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1,037,848 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441,558,244 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2026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441,558,244 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441,558,244 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1,037,848 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1,037,848 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(2)These amounts correspond to the program publicly announced and approved by our Board of Directors in November 2025 that authorizes the repurchase of up to $500 million of our Class B common stock and/or outstanding convertible senior notes through December 31,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10, 2026, Keith A. Bentley, a member of the Company’s Board of Directors, adopted a trading plan established pursuant to Rule 10b5</w:t>
        <w:noBreakHyphen/>
        <w:t>1 of the Exchange Act, which is intended to satisfy the affirmative defense conditions of Rule 10b5</w:t>
        <w:noBreakHyphen/>
        <w:t>1(c), to sell an aggregate of 350,000 shares of our Class B common stock. Mr. Bentley’s plan expires on September 7,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12, 2026, Raymond B. Bentley, a member of the Company’s Board of Directors, adopted a trading plan established pursuant to Rule 10b5</w:t>
        <w:noBreakHyphen/>
        <w:t>1 of the Exchange Act, which is intended to satisfy the affirmative defense conditions of Rule 10b5</w:t>
        <w:noBreakHyphen/>
        <w:t>1(c), to sell an aggregate of 1,500,000 shares of our Class B common stock. Mr. Bentley’s plan expires on December 15,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0"/>
        <w:gridCol w:w="228"/>
        <w:gridCol w:w="231"/>
        <w:gridCol w:w="109"/>
        <w:gridCol w:w="109"/>
        <w:gridCol w:w="109"/>
        <w:gridCol w:w="1545"/>
        <w:gridCol w:w="1284"/>
        <w:gridCol w:w="1289"/>
        <w:gridCol w:w="109"/>
        <w:gridCol w:w="109"/>
        <w:gridCol w:w="109"/>
        <w:gridCol w:w="170"/>
        <w:gridCol w:w="170"/>
        <w:gridCol w:w="171"/>
        <w:gridCol w:w="109"/>
        <w:gridCol w:w="109"/>
        <w:gridCol w:w="109"/>
        <w:gridCol w:w="236"/>
        <w:gridCol w:w="221"/>
        <w:gridCol w:w="155"/>
        <w:gridCol w:w="109"/>
        <w:gridCol w:w="109"/>
        <w:gridCol w:w="109"/>
        <w:gridCol w:w="210"/>
        <w:gridCol w:w="210"/>
        <w:gridCol w:w="211"/>
        <w:gridCol w:w="109"/>
        <w:gridCol w:w="109"/>
        <w:gridCol w:w="109"/>
        <w:gridCol w:w="317"/>
        <w:gridCol w:w="290"/>
        <w:gridCol w:w="212"/>
        <w:gridCol w:w="109"/>
        <w:gridCol w:w="109"/>
        <w:gridCol w:w="109"/>
        <w:gridCol w:w="240"/>
        <w:gridCol w:w="240"/>
        <w:gridCol w:w="353"/>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Filed </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First Amendment and Incremental Facility Agreement, dated as of April 23, 2026, by and among Bentley Systems, Incorporated, the subsidiary loan parties thereto, the lenders party thereto and PNC Bank, National Association,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6q1exhibit311.htm">
              <w:r>
                <w:rPr>
                  <w:rStyle w:val="InternetLink"/>
                  <w:rFonts w:ascii="Times New Roman;serif" w:hAnsi="Times New Roman;serif"/>
                  <w:b w:val="false"/>
                  <w:color w:val="0000FF"/>
                  <w:sz w:val="18"/>
                  <w:u w:val="single"/>
                </w:rPr>
                <w:t>Certification of CEO pursuant to Rule 13a-14(a) and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6q1exhibit312.htm">
              <w:r>
                <w:rPr>
                  <w:rStyle w:val="InternetLink"/>
                  <w:rFonts w:ascii="Times New Roman;serif" w:hAnsi="Times New Roman;serif"/>
                  <w:b w:val="false"/>
                  <w:color w:val="0000FF"/>
                  <w:sz w:val="18"/>
                  <w:u w:val="single"/>
                </w:rPr>
                <w:t>Certification of CFO pursuant to Rule 13a-14(a) and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6q1exhibit32.htm">
              <w:r>
                <w:rPr>
                  <w:rStyle w:val="InternetLink"/>
                  <w:rFonts w:ascii="Times New Roman;serif" w:hAnsi="Times New Roman;serif"/>
                  <w:b w:val="false"/>
                  <w:color w:val="0000FF"/>
                  <w:sz w:val="18"/>
                  <w:u w:val="single"/>
                </w:rPr>
                <w:t>Certification of CEO and CFO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Document—the instance document does not appear in the Interactive Data File as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99"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408"/>
        <w:gridCol w:w="408"/>
        <w:gridCol w:w="408"/>
        <w:gridCol w:w="703"/>
        <w:gridCol w:w="703"/>
        <w:gridCol w:w="100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Nicholas H. Cumins,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Werner Andre,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Bentley Systems, Incorporated (the “Company”) on Form 10</w:t>
        <w:noBreakHyphen/>
        <w:t>Q for the period ended March 31, 2026,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1308/000110465926049444/tm2612602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18528</Words>
  <Characters>105204</Characters>
  <CharactersWithSpaces>121939</CharactersWithSpaces>
  <Paragraphs>2680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