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27"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82" w:lineRule="exact"/>
        <w:rPr>
          <w:sz w:val="24"/>
          <w:szCs w:val="24"/>
          <w:color w:val="auto"/>
        </w:rPr>
      </w:pPr>
    </w:p>
    <w:p>
      <w:pPr>
        <w:ind w:left="140"/>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1040" w:hanging="607"/>
        <w:spacing w:after="0"/>
        <w:tabs>
          <w:tab w:leader="none" w:pos="10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65" w:lineRule="exact"/>
        <w:rPr>
          <w:rFonts w:ascii="MS PGothic" w:cs="MS PGothic" w:eastAsia="MS PGothic" w:hAnsi="MS PGothic"/>
          <w:sz w:val="17"/>
          <w:szCs w:val="17"/>
          <w:color w:val="auto"/>
        </w:rPr>
      </w:pPr>
    </w:p>
    <w:p>
      <w:pPr>
        <w:ind w:left="1040"/>
        <w:spacing w:after="0"/>
        <w:rPr>
          <w:rFonts w:ascii="MS PGothic" w:cs="MS PGothic" w:eastAsia="MS PGothic" w:hAnsi="MS PGothic"/>
          <w:sz w:val="17"/>
          <w:szCs w:val="17"/>
          <w:color w:val="auto"/>
        </w:rPr>
      </w:pPr>
      <w:r>
        <w:rPr>
          <w:rFonts w:ascii="Arial" w:cs="Arial" w:eastAsia="Arial" w:hAnsi="Arial"/>
          <w:sz w:val="16"/>
          <w:szCs w:val="16"/>
          <w:b w:val="1"/>
          <w:bCs w:val="1"/>
          <w:color w:val="auto"/>
        </w:rPr>
        <w:t>For the quarterly period ended June 30, 2021</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040" w:hanging="607"/>
        <w:spacing w:after="0"/>
        <w:tabs>
          <w:tab w:leader="none" w:pos="10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372" w:right="339" w:bottom="1440" w:gutter="0" w:footer="0" w:header="0"/>
        </w:sectPr>
      </w:pPr>
    </w:p>
    <w:p>
      <w:pPr>
        <w:spacing w:after="0" w:line="66" w:lineRule="exact"/>
        <w:rPr>
          <w:sz w:val="24"/>
          <w:szCs w:val="24"/>
          <w:color w:val="auto"/>
        </w:rPr>
      </w:pPr>
    </w:p>
    <w:p>
      <w:pPr>
        <w:ind w:left="10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0" w:lineRule="exact"/>
        <w:rPr>
          <w:sz w:val="24"/>
          <w:szCs w:val="24"/>
          <w:color w:val="auto"/>
        </w:rPr>
      </w:pPr>
    </w:p>
    <w:p>
      <w:pPr>
        <w:sectPr>
          <w:pgSz w:w="11900" w:h="16838" w:orient="portrait"/>
          <w:cols w:equalWidth="0" w:num="2">
            <w:col w:w="3140" w:space="560"/>
            <w:col w:w="7540"/>
          </w:cols>
          <w:pgMar w:left="320" w:top="1372" w:right="339" w:bottom="1440" w:gutter="0" w:footer="0" w:header="0"/>
          <w:type w:val="continuous"/>
        </w:sectPr>
      </w:pPr>
    </w:p>
    <w:p>
      <w:pPr>
        <w:spacing w:after="0" w:line="193"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Commission File Number: 001-39548</w:t>
      </w:r>
    </w:p>
    <w:p>
      <w:pPr>
        <w:spacing w:after="0" w:line="21"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18" w:lineRule="exact"/>
        <w:rPr>
          <w:sz w:val="24"/>
          <w:szCs w:val="24"/>
          <w:color w:val="auto"/>
        </w:rPr>
      </w:pPr>
    </w:p>
    <w:p>
      <w:pPr>
        <w:jc w:val="center"/>
        <w:ind w:right="-319"/>
        <w:spacing w:after="0"/>
        <w:rPr>
          <w:sz w:val="20"/>
          <w:szCs w:val="20"/>
          <w:color w:val="auto"/>
        </w:rPr>
      </w:pPr>
      <w:r>
        <w:rPr>
          <w:rFonts w:ascii="Arial" w:cs="Arial" w:eastAsia="Arial" w:hAnsi="Arial"/>
          <w:sz w:val="28"/>
          <w:szCs w:val="28"/>
          <w:b w:val="1"/>
          <w:bCs w:val="1"/>
          <w:color w:val="auto"/>
        </w:rPr>
        <w:t>BENTLEY SYSTEMS, INCORPORATED</w:t>
      </w:r>
    </w:p>
    <w:p>
      <w:pPr>
        <w:spacing w:after="0" w:line="41" w:lineRule="exact"/>
        <w:rPr>
          <w:sz w:val="24"/>
          <w:szCs w:val="24"/>
          <w:color w:val="auto"/>
        </w:rPr>
      </w:pPr>
    </w:p>
    <w:p>
      <w:pPr>
        <w:jc w:val="center"/>
        <w:ind w:right="-319"/>
        <w:spacing w:after="0"/>
        <w:rPr>
          <w:sz w:val="20"/>
          <w:szCs w:val="20"/>
          <w:color w:val="auto"/>
        </w:rPr>
      </w:pPr>
      <w:r>
        <w:rPr>
          <w:rFonts w:ascii="Arial" w:cs="Arial" w:eastAsia="Arial" w:hAnsi="Arial"/>
          <w:sz w:val="14"/>
          <w:szCs w:val="14"/>
          <w:color w:val="auto"/>
        </w:rPr>
        <w:t>(Exact name of registrant as specified in its charter)</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ectPr>
          <w:pgSz w:w="11900" w:h="16838" w:orient="portrait"/>
          <w:cols w:equalWidth="0" w:num="1">
            <w:col w:w="11240"/>
          </w:cols>
          <w:pgMar w:left="320" w:top="1372" w:right="339" w:bottom="1440" w:gutter="0" w:footer="0" w:header="0"/>
          <w:type w:val="continuous"/>
        </w:sectPr>
      </w:pPr>
    </w:p>
    <w:p>
      <w:pPr>
        <w:spacing w:after="0" w:line="264" w:lineRule="exact"/>
        <w:rPr>
          <w:sz w:val="24"/>
          <w:szCs w:val="24"/>
          <w:color w:val="auto"/>
        </w:rPr>
      </w:pPr>
    </w:p>
    <w:p>
      <w:pPr>
        <w:ind w:left="22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95-3936623</w:t>
      </w:r>
    </w:p>
    <w:p>
      <w:pPr>
        <w:spacing w:after="0" w:line="90" w:lineRule="exact"/>
        <w:rPr>
          <w:sz w:val="24"/>
          <w:szCs w:val="24"/>
          <w:color w:val="auto"/>
        </w:rPr>
      </w:pPr>
    </w:p>
    <w:p>
      <w:pPr>
        <w:sectPr>
          <w:pgSz w:w="11900" w:h="16838" w:orient="portrait"/>
          <w:cols w:equalWidth="0" w:num="2">
            <w:col w:w="7600" w:space="720"/>
            <w:col w:w="2920"/>
          </w:cols>
          <w:pgMar w:left="320" w:top="1372" w:right="339" w:bottom="1440" w:gutter="0" w:footer="0" w:header="0"/>
          <w:type w:val="continuous"/>
        </w:sectPr>
      </w:pPr>
    </w:p>
    <w:p>
      <w:pPr>
        <w:ind w:left="8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66" w:lineRule="exact"/>
        <w:rPr>
          <w:sz w:val="24"/>
          <w:szCs w:val="24"/>
          <w:color w:val="auto"/>
        </w:rPr>
      </w:pPr>
    </w:p>
    <w:p>
      <w:pPr>
        <w:sectPr>
          <w:pgSz w:w="11900" w:h="16838" w:orient="portrait"/>
          <w:cols w:equalWidth="0" w:num="2">
            <w:col w:w="6940" w:space="720"/>
            <w:col w:w="3580"/>
          </w:cols>
          <w:pgMar w:left="320" w:top="1372" w:right="339" w:bottom="1440" w:gutter="0" w:footer="0" w:header="0"/>
          <w:type w:val="continuous"/>
        </w:sectPr>
      </w:pPr>
    </w:p>
    <w:p>
      <w:pPr>
        <w:ind w:left="1880"/>
        <w:spacing w:after="0"/>
        <w:rPr>
          <w:sz w:val="20"/>
          <w:szCs w:val="20"/>
          <w:color w:val="auto"/>
        </w:rPr>
      </w:pPr>
      <w:r>
        <w:rPr>
          <w:rFonts w:ascii="Arial" w:cs="Arial" w:eastAsia="Arial" w:hAnsi="Arial"/>
          <w:sz w:val="15"/>
          <w:szCs w:val="15"/>
          <w:b w:val="1"/>
          <w:bCs w:val="1"/>
          <w:color w:val="auto"/>
        </w:rPr>
        <w:t>685 Stockton Drive</w:t>
      </w:r>
    </w:p>
    <w:p>
      <w:pPr>
        <w:spacing w:after="0" w:line="44" w:lineRule="exact"/>
        <w:rPr>
          <w:sz w:val="24"/>
          <w:szCs w:val="24"/>
          <w:color w:val="auto"/>
        </w:rPr>
      </w:pPr>
    </w:p>
    <w:p>
      <w:pPr>
        <w:ind w:left="1840"/>
        <w:spacing w:after="0"/>
        <w:rPr>
          <w:sz w:val="20"/>
          <w:szCs w:val="20"/>
          <w:color w:val="auto"/>
        </w:rPr>
      </w:pPr>
      <w:r>
        <w:rPr>
          <w:rFonts w:ascii="Arial" w:cs="Arial" w:eastAsia="Arial" w:hAnsi="Arial"/>
          <w:sz w:val="14"/>
          <w:szCs w:val="14"/>
          <w:b w:val="1"/>
          <w:bCs w:val="1"/>
          <w:color w:val="auto"/>
        </w:rPr>
        <w:t>Exton, Pennsylvania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19341</w:t>
      </w:r>
    </w:p>
    <w:p>
      <w:pPr>
        <w:spacing w:after="0" w:line="50" w:lineRule="exact"/>
        <w:rPr>
          <w:sz w:val="24"/>
          <w:szCs w:val="24"/>
          <w:color w:val="auto"/>
        </w:rPr>
      </w:pPr>
    </w:p>
    <w:p>
      <w:pPr>
        <w:sectPr>
          <w:pgSz w:w="11900" w:h="16838" w:orient="portrait"/>
          <w:cols w:equalWidth="0" w:num="2">
            <w:col w:w="7780" w:space="720"/>
            <w:col w:w="2740"/>
          </w:cols>
          <w:pgMar w:left="320" w:top="1372" w:right="339" w:bottom="1440" w:gutter="0" w:footer="0" w:header="0"/>
          <w:type w:val="continuous"/>
        </w:sectPr>
      </w:pPr>
    </w:p>
    <w:p>
      <w:pPr>
        <w:ind w:left="14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39" w:lineRule="exact"/>
        <w:rPr>
          <w:sz w:val="24"/>
          <w:szCs w:val="24"/>
          <w:color w:val="auto"/>
        </w:rPr>
      </w:pPr>
    </w:p>
    <w:p>
      <w:pPr>
        <w:sectPr>
          <w:pgSz w:w="11900" w:h="16838" w:orient="portrait"/>
          <w:cols w:equalWidth="0" w:num="2">
            <w:col w:w="7660" w:space="720"/>
            <w:col w:w="2860"/>
          </w:cols>
          <w:pgMar w:left="320" w:top="1372" w:right="339" w:bottom="1440" w:gutter="0" w:footer="0" w:header="0"/>
          <w:type w:val="continuous"/>
        </w:sectPr>
      </w:pPr>
    </w:p>
    <w:p>
      <w:pPr>
        <w:jc w:val="center"/>
        <w:ind w:right="-3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(610) 458-5000</w:t>
      </w:r>
    </w:p>
    <w:p>
      <w:pPr>
        <w:spacing w:after="0" w:line="21"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32" w:lineRule="exact"/>
        <w:rPr>
          <w:sz w:val="24"/>
          <w:szCs w:val="24"/>
          <w:color w:val="auto"/>
        </w:rPr>
      </w:pPr>
    </w:p>
    <w:tbl>
      <w:tblPr>
        <w:tblLayout w:type="fixed"/>
        <w:tblInd w:w="340" w:type="dxa"/>
        <w:tblCellMar>
          <w:top w:w="0" w:type="dxa"/>
          <w:left w:w="0" w:type="dxa"/>
          <w:bottom w:w="0" w:type="dxa"/>
          <w:right w:w="0" w:type="dxa"/>
        </w:tblCellMar>
      </w:tblPr>
      <w:tr>
        <w:trPr>
          <w:trHeight w:val="182"/>
        </w:trPr>
        <w:tc>
          <w:tcPr>
            <w:tcW w:w="478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r>
      <w:tr>
        <w:trPr>
          <w:trHeight w:val="451"/>
        </w:trPr>
        <w:tc>
          <w:tcPr>
            <w:tcW w:w="620" w:type="dxa"/>
            <w:vAlign w:val="bottom"/>
          </w:tcPr>
          <w:p>
            <w:pPr>
              <w:spacing w:after="0"/>
              <w:rPr>
                <w:sz w:val="24"/>
                <w:szCs w:val="24"/>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Trading Symbol</w:t>
            </w:r>
          </w:p>
        </w:tc>
        <w:tc>
          <w:tcPr>
            <w:tcW w:w="20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04"/>
        </w:trPr>
        <w:tc>
          <w:tcPr>
            <w:tcW w:w="620" w:type="dxa"/>
            <w:vAlign w:val="bottom"/>
          </w:tcPr>
          <w:p>
            <w:pPr>
              <w:spacing w:after="0"/>
              <w:rPr>
                <w:sz w:val="17"/>
                <w:szCs w:val="17"/>
                <w:color w:val="auto"/>
              </w:rPr>
            </w:pPr>
          </w:p>
        </w:tc>
        <w:tc>
          <w:tcPr>
            <w:tcW w:w="4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Class B Common Stock, par value $0.01 per share</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BSY</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317" w:lineRule="exact"/>
        <w:rPr>
          <w:sz w:val="24"/>
          <w:szCs w:val="24"/>
          <w:color w:val="auto"/>
        </w:rPr>
      </w:pPr>
    </w:p>
    <w:p>
      <w:pPr>
        <w:ind w:right="20"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ind w:firstLine="324"/>
        <w:spacing w:after="0" w:line="208"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Arial" w:cs="Arial" w:eastAsia="Arial" w:hAnsi="Arial"/>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ind w:firstLine="324"/>
        <w:spacing w:after="0" w:line="172"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7"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390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4180" w:type="dxa"/>
            <w:vAlign w:val="bottom"/>
          </w:tcPr>
          <w:p>
            <w:pPr>
              <w:ind w:left="24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39"/>
        </w:trPr>
        <w:tc>
          <w:tcPr>
            <w:tcW w:w="390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4180" w:type="dxa"/>
            <w:vAlign w:val="bottom"/>
          </w:tcPr>
          <w:p>
            <w:pPr>
              <w:ind w:left="244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w w:val="92"/>
              </w:rPr>
              <w:t>☐</w:t>
            </w:r>
          </w:p>
        </w:tc>
      </w:tr>
      <w:tr>
        <w:trPr>
          <w:trHeight w:val="230"/>
        </w:trPr>
        <w:tc>
          <w:tcPr>
            <w:tcW w:w="3900" w:type="dxa"/>
            <w:vAlign w:val="bottom"/>
          </w:tcPr>
          <w:p>
            <w:pPr>
              <w:spacing w:after="0"/>
              <w:rPr>
                <w:sz w:val="19"/>
                <w:szCs w:val="19"/>
                <w:color w:val="auto"/>
              </w:rPr>
            </w:pPr>
          </w:p>
        </w:tc>
        <w:tc>
          <w:tcPr>
            <w:tcW w:w="4180" w:type="dxa"/>
            <w:vAlign w:val="bottom"/>
          </w:tcPr>
          <w:p>
            <w:pPr>
              <w:ind w:left="2440"/>
              <w:spacing w:after="0" w:line="161" w:lineRule="exact"/>
              <w:rPr>
                <w:sz w:val="20"/>
                <w:szCs w:val="20"/>
                <w:color w:val="auto"/>
              </w:rPr>
            </w:pPr>
            <w:r>
              <w:rPr>
                <w:rFonts w:ascii="Arial" w:cs="Arial" w:eastAsia="Arial" w:hAnsi="Arial"/>
                <w:sz w:val="14"/>
                <w:szCs w:val="14"/>
                <w:color w:val="auto"/>
                <w:w w:val="93"/>
              </w:rPr>
              <w:t xml:space="preserve">Emerging growth company </w:t>
            </w:r>
            <w:r>
              <w:rPr>
                <w:rFonts w:ascii="MS PGothic" w:cs="MS PGothic" w:eastAsia="MS PGothic" w:hAnsi="MS PGothic"/>
                <w:sz w:val="14"/>
                <w:szCs w:val="14"/>
                <w:color w:val="auto"/>
                <w:w w:val="93"/>
              </w:rPr>
              <w:t>☒</w:t>
            </w:r>
          </w:p>
        </w:tc>
      </w:tr>
    </w:tbl>
    <w:p>
      <w:pPr>
        <w:spacing w:after="0" w:line="85" w:lineRule="exact"/>
        <w:rPr>
          <w:sz w:val="24"/>
          <w:szCs w:val="24"/>
          <w:color w:val="auto"/>
        </w:rPr>
      </w:pPr>
    </w:p>
    <w:p>
      <w:pPr>
        <w:ind w:firstLine="324"/>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7" w:lineRule="exact"/>
        <w:rPr>
          <w:sz w:val="24"/>
          <w:szCs w:val="24"/>
          <w:color w:val="auto"/>
        </w:rPr>
      </w:pPr>
    </w:p>
    <w:p>
      <w:pPr>
        <w:ind w:left="340"/>
        <w:spacing w:after="0" w:line="196"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9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August 3, 2021, the registrant had 11,601,757 shares of Class A and 270,068,341 shares of Class B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type w:val="continuous"/>
        </w:sectPr>
      </w:pPr>
    </w:p>
    <w:bookmarkStart w:id="1" w:name="page2"/>
    <w:bookmarkEnd w:id="1"/>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TABLE OF CONTENTS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00" w:type="dxa"/>
            <w:vAlign w:val="bottom"/>
            <w:gridSpan w:val="21"/>
            <w:vMerge w:val="restart"/>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7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10500" w:type="dxa"/>
            <w:vAlign w:val="bottom"/>
            <w:gridSpan w:val="21"/>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38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2">
              <w:r>
                <w:rPr>
                  <w:rFonts w:ascii="Arial" w:cs="Arial" w:eastAsia="Arial" w:hAnsi="Arial"/>
                  <w:sz w:val="18"/>
                  <w:szCs w:val="18"/>
                  <w:color w:val="0000FF"/>
                  <w:w w:val="90"/>
                </w:rPr>
                <w:t>Item 1. Unaudited Consolidated Financial Statements</w:t>
              </w:r>
            </w:hyperlink>
          </w:p>
        </w:tc>
        <w:tc>
          <w:tcPr>
            <w:tcW w:w="6480" w:type="dxa"/>
            <w:vAlign w:val="bottom"/>
            <w:gridSpan w:val="9"/>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00" w:type="dxa"/>
            <w:vAlign w:val="bottom"/>
            <w:tcBorders>
              <w:bottom w:val="single" w:sz="8" w:color="0000FF"/>
            </w:tcBorders>
            <w:gridSpan w:val="13"/>
          </w:tcPr>
          <w:p>
            <w:pPr>
              <w:ind w:left="20"/>
              <w:spacing w:after="0"/>
              <w:rPr>
                <w:rFonts w:ascii="Arial" w:cs="Arial" w:eastAsia="Arial" w:hAnsi="Arial"/>
                <w:sz w:val="18"/>
                <w:szCs w:val="18"/>
                <w:color w:val="0000FF"/>
                <w:w w:val="88"/>
              </w:rPr>
            </w:pPr>
            <w:hyperlink w:anchor="page2">
              <w:r>
                <w:rPr>
                  <w:rFonts w:ascii="Arial" w:cs="Arial" w:eastAsia="Arial" w:hAnsi="Arial"/>
                  <w:sz w:val="18"/>
                  <w:szCs w:val="18"/>
                  <w:color w:val="0000FF"/>
                  <w:w w:val="88"/>
                </w:rPr>
                <w:t xml:space="preserve">Consolidated Balance Sheets as of June </w:t>
              </w:r>
            </w:hyperlink>
            <w:r>
              <w:rPr>
                <w:rFonts w:ascii="Arial" w:cs="Arial" w:eastAsia="Arial" w:hAnsi="Arial"/>
                <w:sz w:val="18"/>
                <w:szCs w:val="18"/>
                <w:color w:val="0000FF"/>
                <w:w w:val="88"/>
              </w:rPr>
              <w:t xml:space="preserve">30, </w:t>
            </w:r>
            <w:hyperlink w:anchor="page2">
              <w:r>
                <w:rPr>
                  <w:rFonts w:ascii="Arial" w:cs="Arial" w:eastAsia="Arial" w:hAnsi="Arial"/>
                  <w:sz w:val="18"/>
                  <w:szCs w:val="18"/>
                  <w:color w:val="0000FF"/>
                  <w:w w:val="88"/>
                </w:rPr>
                <w:t>2021 and December 31, 2020</w:t>
              </w:r>
            </w:hyperlink>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440" w:type="dxa"/>
            <w:vAlign w:val="bottom"/>
            <w:gridSpan w:val="2"/>
          </w:tcPr>
          <w:p>
            <w:pPr>
              <w:jc w:val="center"/>
              <w:ind w:left="190"/>
              <w:spacing w:after="0"/>
              <w:rPr>
                <w:sz w:val="20"/>
                <w:szCs w:val="20"/>
                <w:color w:val="auto"/>
              </w:rPr>
            </w:pPr>
            <w:r>
              <w:rPr>
                <w:rFonts w:ascii="Arial" w:cs="Arial" w:eastAsia="Arial" w:hAnsi="Arial"/>
                <w:sz w:val="18"/>
                <w:szCs w:val="18"/>
                <w:color w:val="0000FF"/>
                <w:w w:val="79"/>
              </w:rPr>
              <w:t>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20" w:type="dxa"/>
            <w:vAlign w:val="bottom"/>
            <w:gridSpan w:val="16"/>
            <w:vMerge w:val="restart"/>
          </w:tcPr>
          <w:p>
            <w:pPr>
              <w:ind w:left="20"/>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Statements of Operations for the three and six months ended June 30, 2021 and 2020</w:t>
              </w:r>
            </w:hyperlink>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20" w:type="dxa"/>
            <w:vAlign w:val="bottom"/>
            <w:tcBorders>
              <w:bottom w:val="single" w:sz="8" w:color="0000FF"/>
            </w:tcBorders>
            <w:gridSpan w:val="16"/>
            <w:vMerge w:val="continue"/>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40" w:type="dxa"/>
            <w:vAlign w:val="bottom"/>
            <w:gridSpan w:val="18"/>
            <w:vMerge w:val="restart"/>
          </w:tcPr>
          <w:p>
            <w:pPr>
              <w:ind w:left="20"/>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Consolidated Statements of Comprehensive Income for the three and six months ended June </w:t>
              </w:r>
            </w:hyperlink>
            <w:r>
              <w:rPr>
                <w:rFonts w:ascii="Arial" w:cs="Arial" w:eastAsia="Arial" w:hAnsi="Arial"/>
                <w:sz w:val="18"/>
                <w:szCs w:val="18"/>
                <w:color w:val="0000FF"/>
                <w:w w:val="89"/>
              </w:rPr>
              <w:t xml:space="preserve">30, </w:t>
            </w:r>
            <w:hyperlink w:anchor="page4">
              <w:r>
                <w:rPr>
                  <w:rFonts w:ascii="Arial" w:cs="Arial" w:eastAsia="Arial" w:hAnsi="Arial"/>
                  <w:sz w:val="18"/>
                  <w:szCs w:val="18"/>
                  <w:color w:val="0000FF"/>
                  <w:w w:val="89"/>
                </w:rPr>
                <w:t>2021 and 2020</w:t>
              </w:r>
            </w:hyperlink>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tcBorders>
              <w:bottom w:val="single" w:sz="8" w:color="0000FF"/>
            </w:tcBorders>
            <w:gridSpan w:val="18"/>
            <w:vMerge w:val="continue"/>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40" w:type="dxa"/>
            <w:vAlign w:val="bottom"/>
            <w:gridSpan w:val="17"/>
            <w:vMerge w:val="restart"/>
          </w:tcPr>
          <w:p>
            <w:pPr>
              <w:ind w:left="20"/>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 xml:space="preserve">Consolidated Statements of Stockholders’ Equity for the three and six months ended June </w:t>
              </w:r>
            </w:hyperlink>
            <w:r>
              <w:rPr>
                <w:rFonts w:ascii="Arial" w:cs="Arial" w:eastAsia="Arial" w:hAnsi="Arial"/>
                <w:sz w:val="18"/>
                <w:szCs w:val="18"/>
                <w:color w:val="0000FF"/>
                <w:w w:val="89"/>
              </w:rPr>
              <w:t xml:space="preserve">30, </w:t>
            </w:r>
            <w:hyperlink w:anchor="page5">
              <w:r>
                <w:rPr>
                  <w:rFonts w:ascii="Arial" w:cs="Arial" w:eastAsia="Arial" w:hAnsi="Arial"/>
                  <w:sz w:val="18"/>
                  <w:szCs w:val="18"/>
                  <w:color w:val="0000FF"/>
                  <w:w w:val="89"/>
                </w:rPr>
                <w:t>2021 and 2020</w:t>
              </w:r>
            </w:hyperlink>
          </w:p>
        </w:tc>
        <w:tc>
          <w:tcPr>
            <w:tcW w:w="2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40" w:type="dxa"/>
            <w:vAlign w:val="bottom"/>
            <w:tcBorders>
              <w:bottom w:val="single" w:sz="8" w:color="0000FF"/>
            </w:tcBorders>
            <w:gridSpan w:val="17"/>
            <w:vMerge w:val="continue"/>
          </w:tcPr>
          <w:p>
            <w:pPr>
              <w:spacing w:after="0"/>
              <w:rPr>
                <w:sz w:val="18"/>
                <w:szCs w:val="18"/>
                <w:color w:val="auto"/>
              </w:rPr>
            </w:pPr>
          </w:p>
        </w:tc>
        <w:tc>
          <w:tcPr>
            <w:tcW w:w="2340" w:type="dxa"/>
            <w:vAlign w:val="bottom"/>
            <w:gridSpan w:val="2"/>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gridSpan w:val="14"/>
            <w:vMerge w:val="restart"/>
          </w:tcPr>
          <w:p>
            <w:pPr>
              <w:ind w:left="20"/>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Consolidated Statements of Cash Flows for the six months ended June 30, 2021 and 2020</w:t>
              </w:r>
            </w:hyperlink>
          </w:p>
        </w:tc>
        <w:tc>
          <w:tcPr>
            <w:tcW w:w="40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60" w:type="dxa"/>
            <w:vAlign w:val="bottom"/>
            <w:tcBorders>
              <w:bottom w:val="single" w:sz="8" w:color="0000FF"/>
            </w:tcBorders>
            <w:gridSpan w:val="14"/>
            <w:vMerge w:val="continue"/>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gridSpan w:val="4"/>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9"/>
            <w:vMerge w:val="restart"/>
          </w:tcPr>
          <w:p>
            <w:pPr>
              <w:ind w:left="20"/>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Consolidated Financial Statements</w:t>
              </w:r>
            </w:hyperlink>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bottom w:val="single" w:sz="8" w:color="0000FF"/>
            </w:tcBorders>
            <w:gridSpan w:val="9"/>
            <w:vMerge w:val="continue"/>
          </w:tcPr>
          <w:p>
            <w:pPr>
              <w:spacing w:after="0"/>
              <w:rPr>
                <w:sz w:val="18"/>
                <w:szCs w:val="18"/>
                <w:color w:val="auto"/>
              </w:rPr>
            </w:pPr>
          </w:p>
        </w:tc>
        <w:tc>
          <w:tcPr>
            <w:tcW w:w="15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3"/>
          </w:tcPr>
          <w:p>
            <w:pPr>
              <w:spacing w:after="0"/>
              <w:rPr>
                <w:sz w:val="18"/>
                <w:szCs w:val="18"/>
                <w:color w:val="auto"/>
              </w:rPr>
            </w:pPr>
          </w:p>
        </w:tc>
        <w:tc>
          <w:tcPr>
            <w:tcW w:w="3320" w:type="dxa"/>
            <w:vAlign w:val="bottom"/>
            <w:gridSpan w:val="4"/>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20" w:type="dxa"/>
            <w:vAlign w:val="bottom"/>
            <w:gridSpan w:val="16"/>
            <w:vMerge w:val="restart"/>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Item 2. Management’s Discussion and Analysis of Financial Condition and Results of Operations</w:t>
              </w:r>
            </w:hyperlink>
          </w:p>
        </w:tc>
        <w:tc>
          <w:tcPr>
            <w:tcW w:w="3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7020" w:type="dxa"/>
            <w:vAlign w:val="bottom"/>
            <w:tcBorders>
              <w:bottom w:val="single" w:sz="8" w:color="0000FF"/>
            </w:tcBorders>
            <w:gridSpan w:val="16"/>
            <w:vMerge w:val="continue"/>
          </w:tcPr>
          <w:p>
            <w:pPr>
              <w:spacing w:after="0"/>
              <w:rPr>
                <w:sz w:val="18"/>
                <w:szCs w:val="18"/>
                <w:color w:val="auto"/>
              </w:rPr>
            </w:pPr>
          </w:p>
        </w:tc>
        <w:tc>
          <w:tcPr>
            <w:tcW w:w="3320" w:type="dxa"/>
            <w:vAlign w:val="bottom"/>
            <w:gridSpan w:val="4"/>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20" w:type="dxa"/>
            <w:vAlign w:val="bottom"/>
            <w:gridSpan w:val="13"/>
            <w:vMerge w:val="restart"/>
          </w:tcPr>
          <w:p>
            <w:pPr>
              <w:spacing w:after="0"/>
              <w:rPr>
                <w:rFonts w:ascii="Arial" w:cs="Arial" w:eastAsia="Arial" w:hAnsi="Arial"/>
                <w:sz w:val="18"/>
                <w:szCs w:val="18"/>
                <w:color w:val="0000FF"/>
                <w:w w:val="92"/>
              </w:rPr>
            </w:pPr>
            <w:hyperlink w:anchor="page77">
              <w:r>
                <w:rPr>
                  <w:rFonts w:ascii="Arial" w:cs="Arial" w:eastAsia="Arial" w:hAnsi="Arial"/>
                  <w:sz w:val="18"/>
                  <w:szCs w:val="18"/>
                  <w:color w:val="0000FF"/>
                  <w:w w:val="92"/>
                </w:rPr>
                <w:t>Item 3. Quantitative and Qualitative Disclosures About Market Risk</w:t>
              </w:r>
            </w:hyperlink>
          </w:p>
        </w:tc>
        <w:tc>
          <w:tcPr>
            <w:tcW w:w="54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4920" w:type="dxa"/>
            <w:vAlign w:val="bottom"/>
            <w:tcBorders>
              <w:bottom w:val="single" w:sz="8" w:color="0000FF"/>
            </w:tcBorders>
            <w:gridSpan w:val="13"/>
            <w:vMerge w:val="continue"/>
          </w:tcPr>
          <w:p>
            <w:pPr>
              <w:spacing w:after="0"/>
              <w:rPr>
                <w:sz w:val="18"/>
                <w:szCs w:val="18"/>
                <w:color w:val="auto"/>
              </w:rPr>
            </w:pPr>
          </w:p>
        </w:tc>
        <w:tc>
          <w:tcPr>
            <w:tcW w:w="5420" w:type="dxa"/>
            <w:vAlign w:val="bottom"/>
            <w:gridSpan w:val="7"/>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rFonts w:ascii="Arial" w:cs="Arial" w:eastAsia="Arial" w:hAnsi="Arial"/>
                <w:sz w:val="18"/>
                <w:szCs w:val="18"/>
                <w:color w:val="0000FF"/>
                <w:w w:val="94"/>
              </w:rPr>
            </w:pPr>
            <w:hyperlink w:anchor="page78">
              <w:r>
                <w:rPr>
                  <w:rFonts w:ascii="Arial" w:cs="Arial" w:eastAsia="Arial" w:hAnsi="Arial"/>
                  <w:sz w:val="18"/>
                  <w:szCs w:val="18"/>
                  <w:color w:val="0000FF"/>
                  <w:w w:val="94"/>
                </w:rPr>
                <w:t>Item 4.</w:t>
              </w:r>
            </w:hyperlink>
          </w:p>
        </w:tc>
        <w:tc>
          <w:tcPr>
            <w:tcW w:w="1800" w:type="dxa"/>
            <w:vAlign w:val="bottom"/>
            <w:gridSpan w:val="5"/>
            <w:vMerge w:val="restart"/>
          </w:tcPr>
          <w:p>
            <w:pPr>
              <w:ind w:left="20"/>
              <w:spacing w:after="0"/>
              <w:rPr>
                <w:rFonts w:ascii="Arial" w:cs="Arial" w:eastAsia="Arial" w:hAnsi="Arial"/>
                <w:sz w:val="18"/>
                <w:szCs w:val="18"/>
                <w:color w:val="0000FF"/>
                <w:w w:val="88"/>
              </w:rPr>
            </w:pPr>
            <w:hyperlink w:anchor="page78">
              <w:r>
                <w:rPr>
                  <w:rFonts w:ascii="Arial" w:cs="Arial" w:eastAsia="Arial" w:hAnsi="Arial"/>
                  <w:sz w:val="18"/>
                  <w:szCs w:val="18"/>
                  <w:color w:val="0000FF"/>
                  <w:w w:val="88"/>
                </w:rPr>
                <w:t>Controls and Procedures</w:t>
              </w:r>
            </w:hyperlink>
          </w:p>
        </w:tc>
        <w:tc>
          <w:tcPr>
            <w:tcW w:w="8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1800" w:type="dxa"/>
            <w:vAlign w:val="bottom"/>
            <w:tcBorders>
              <w:bottom w:val="single" w:sz="8" w:color="0000FF"/>
            </w:tcBorders>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4"/>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79</w:t>
              </w:r>
            </w:hyperlink>
          </w:p>
        </w:tc>
        <w:tc>
          <w:tcPr>
            <w:tcW w:w="0" w:type="dxa"/>
            <w:vAlign w:val="bottom"/>
          </w:tcPr>
          <w:p>
            <w:pPr>
              <w:spacing w:after="0"/>
              <w:rPr>
                <w:sz w:val="1"/>
                <w:szCs w:val="1"/>
                <w:color w:val="auto"/>
              </w:rPr>
            </w:pPr>
          </w:p>
        </w:tc>
      </w:tr>
      <w:tr>
        <w:trPr>
          <w:trHeight w:val="20"/>
        </w:trPr>
        <w:tc>
          <w:tcPr>
            <w:tcW w:w="2580" w:type="dxa"/>
            <w:vAlign w:val="bottom"/>
            <w:gridSpan w:val="9"/>
            <w:vMerge w:val="restart"/>
          </w:tcPr>
          <w:p>
            <w:pPr>
              <w:spacing w:after="0"/>
              <w:rPr>
                <w:rFonts w:ascii="Arial" w:cs="Arial" w:eastAsia="Arial" w:hAnsi="Arial"/>
                <w:sz w:val="18"/>
                <w:szCs w:val="18"/>
                <w:color w:val="0000FF"/>
                <w:w w:val="95"/>
              </w:rPr>
            </w:pPr>
            <w:hyperlink w:anchor="page79">
              <w:r>
                <w:rPr>
                  <w:rFonts w:ascii="Arial" w:cs="Arial" w:eastAsia="Arial" w:hAnsi="Arial"/>
                  <w:sz w:val="18"/>
                  <w:szCs w:val="18"/>
                  <w:color w:val="0000FF"/>
                  <w:w w:val="95"/>
                </w:rPr>
                <w:t>PART II. OTHER INFORMATION</w:t>
              </w:r>
            </w:hyperlink>
          </w:p>
        </w:tc>
        <w:tc>
          <w:tcPr>
            <w:tcW w:w="7920" w:type="dxa"/>
            <w:vAlign w:val="bottom"/>
            <w:gridSpan w:val="1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580" w:type="dxa"/>
            <w:vAlign w:val="bottom"/>
            <w:tcBorders>
              <w:bottom w:val="single" w:sz="8" w:color="0000FF"/>
            </w:tcBorders>
            <w:gridSpan w:val="9"/>
            <w:vMerge w:val="continue"/>
          </w:tcPr>
          <w:p>
            <w:pPr>
              <w:spacing w:after="0"/>
              <w:rPr>
                <w:sz w:val="24"/>
                <w:szCs w:val="24"/>
                <w:color w:val="auto"/>
              </w:rPr>
            </w:pPr>
          </w:p>
        </w:tc>
        <w:tc>
          <w:tcPr>
            <w:tcW w:w="7920" w:type="dxa"/>
            <w:vAlign w:val="bottom"/>
            <w:gridSpan w:val="1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79">
              <w:r>
                <w:rPr>
                  <w:rFonts w:ascii="Arial" w:cs="Arial" w:eastAsia="Arial" w:hAnsi="Arial"/>
                  <w:sz w:val="18"/>
                  <w:szCs w:val="18"/>
                  <w:color w:val="0000FF"/>
                  <w:w w:val="94"/>
                </w:rPr>
                <w:t>Item 1.</w:t>
              </w:r>
            </w:hyperlink>
          </w:p>
        </w:tc>
        <w:tc>
          <w:tcPr>
            <w:tcW w:w="1360" w:type="dxa"/>
            <w:vAlign w:val="bottom"/>
            <w:tcBorders>
              <w:bottom w:val="single" w:sz="8" w:color="0000FF"/>
            </w:tcBorders>
            <w:gridSpan w:val="4"/>
          </w:tcPr>
          <w:p>
            <w:pPr>
              <w:ind w:left="20"/>
              <w:spacing w:after="0"/>
              <w:rPr>
                <w:rFonts w:ascii="Arial" w:cs="Arial" w:eastAsia="Arial" w:hAnsi="Arial"/>
                <w:sz w:val="18"/>
                <w:szCs w:val="18"/>
                <w:color w:val="0000FF"/>
                <w:w w:val="88"/>
              </w:rPr>
            </w:pPr>
            <w:hyperlink w:anchor="page79">
              <w:r>
                <w:rPr>
                  <w:rFonts w:ascii="Arial" w:cs="Arial" w:eastAsia="Arial" w:hAnsi="Arial"/>
                  <w:sz w:val="18"/>
                  <w:szCs w:val="18"/>
                  <w:color w:val="0000FF"/>
                  <w:w w:val="88"/>
                </w:rPr>
                <w:t>Legal Proceedings</w:t>
              </w:r>
            </w:hyperlink>
          </w:p>
        </w:tc>
        <w:tc>
          <w:tcPr>
            <w:tcW w:w="3000" w:type="dxa"/>
            <w:vAlign w:val="bottom"/>
            <w:gridSpan w:val="6"/>
          </w:tcPr>
          <w:p>
            <w:pPr>
              <w:spacing w:after="0"/>
              <w:rPr>
                <w:sz w:val="19"/>
                <w:szCs w:val="19"/>
                <w:color w:val="auto"/>
              </w:rPr>
            </w:pPr>
          </w:p>
        </w:tc>
        <w:tc>
          <w:tcPr>
            <w:tcW w:w="5440" w:type="dxa"/>
            <w:vAlign w:val="bottom"/>
            <w:gridSpan w:val="8"/>
          </w:tcPr>
          <w:p>
            <w:pPr>
              <w:spacing w:after="0"/>
              <w:rPr>
                <w:sz w:val="19"/>
                <w:szCs w:val="19"/>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80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0" w:type="dxa"/>
            <w:vAlign w:val="bottom"/>
            <w:gridSpan w:val="5"/>
            <w:vMerge w:val="restart"/>
          </w:tcPr>
          <w:p>
            <w:pPr>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Item 1A. Risk Factors</w:t>
              </w:r>
            </w:hyperlink>
          </w:p>
        </w:tc>
        <w:tc>
          <w:tcPr>
            <w:tcW w:w="3300" w:type="dxa"/>
            <w:vAlign w:val="bottom"/>
            <w:gridSpan w:val="7"/>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0" w:type="dxa"/>
            <w:vAlign w:val="bottom"/>
            <w:tcBorders>
              <w:bottom w:val="single" w:sz="8" w:color="0000FF"/>
            </w:tcBorders>
            <w:gridSpan w:val="5"/>
            <w:vMerge w:val="continue"/>
          </w:tcPr>
          <w:p>
            <w:pPr>
              <w:spacing w:after="0"/>
              <w:rPr>
                <w:sz w:val="18"/>
                <w:szCs w:val="18"/>
                <w:color w:val="auto"/>
              </w:rPr>
            </w:pPr>
          </w:p>
        </w:tc>
        <w:tc>
          <w:tcPr>
            <w:tcW w:w="3300" w:type="dxa"/>
            <w:vAlign w:val="bottom"/>
            <w:gridSpan w:val="7"/>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80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rFonts w:ascii="Arial" w:cs="Arial" w:eastAsia="Arial" w:hAnsi="Arial"/>
                <w:sz w:val="18"/>
                <w:szCs w:val="18"/>
                <w:color w:val="0000FF"/>
                <w:w w:val="94"/>
              </w:rPr>
            </w:pPr>
            <w:hyperlink w:anchor="page80">
              <w:r>
                <w:rPr>
                  <w:rFonts w:ascii="Arial" w:cs="Arial" w:eastAsia="Arial" w:hAnsi="Arial"/>
                  <w:sz w:val="18"/>
                  <w:szCs w:val="18"/>
                  <w:color w:val="0000FF"/>
                  <w:w w:val="94"/>
                </w:rPr>
                <w:t>Item 2.</w:t>
              </w:r>
            </w:hyperlink>
          </w:p>
        </w:tc>
        <w:tc>
          <w:tcPr>
            <w:tcW w:w="4360" w:type="dxa"/>
            <w:vAlign w:val="bottom"/>
            <w:gridSpan w:val="10"/>
            <w:vMerge w:val="restart"/>
          </w:tcPr>
          <w:p>
            <w:pPr>
              <w:ind w:left="20"/>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Unregistered Sales of Equity Securities and Use of Proceeds</w:t>
              </w:r>
            </w:hyperlink>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4360" w:type="dxa"/>
            <w:vAlign w:val="bottom"/>
            <w:tcBorders>
              <w:bottom w:val="single" w:sz="8" w:color="0000FF"/>
            </w:tcBorders>
            <w:gridSpan w:val="10"/>
            <w:vMerge w:val="continue"/>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80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rFonts w:ascii="Arial" w:cs="Arial" w:eastAsia="Arial" w:hAnsi="Arial"/>
                <w:sz w:val="18"/>
                <w:szCs w:val="18"/>
                <w:color w:val="0000FF"/>
                <w:w w:val="94"/>
              </w:rPr>
            </w:pPr>
            <w:hyperlink w:anchor="page80">
              <w:r>
                <w:rPr>
                  <w:rFonts w:ascii="Arial" w:cs="Arial" w:eastAsia="Arial" w:hAnsi="Arial"/>
                  <w:sz w:val="18"/>
                  <w:szCs w:val="18"/>
                  <w:color w:val="0000FF"/>
                  <w:w w:val="94"/>
                </w:rPr>
                <w:t>Item 6.</w:t>
              </w:r>
            </w:hyperlink>
          </w:p>
        </w:tc>
        <w:tc>
          <w:tcPr>
            <w:tcW w:w="620" w:type="dxa"/>
            <w:vAlign w:val="bottom"/>
            <w:gridSpan w:val="2"/>
            <w:vMerge w:val="restart"/>
          </w:tcPr>
          <w:p>
            <w:pPr>
              <w:ind w:left="20"/>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Exhibits</w:t>
              </w:r>
            </w:hyperlink>
          </w:p>
        </w:tc>
        <w:tc>
          <w:tcPr>
            <w:tcW w:w="9180" w:type="dxa"/>
            <w:vAlign w:val="bottom"/>
            <w:gridSpan w:val="1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620" w:type="dxa"/>
            <w:vAlign w:val="bottom"/>
            <w:tcBorders>
              <w:bottom w:val="single" w:sz="8" w:color="0000FF"/>
            </w:tcBorders>
            <w:gridSpan w:val="2"/>
            <w:vMerge w:val="continue"/>
          </w:tcPr>
          <w:p>
            <w:pPr>
              <w:spacing w:after="0"/>
              <w:rPr>
                <w:sz w:val="18"/>
                <w:szCs w:val="18"/>
                <w:color w:val="auto"/>
              </w:rPr>
            </w:pPr>
          </w:p>
        </w:tc>
        <w:tc>
          <w:tcPr>
            <w:tcW w:w="9180" w:type="dxa"/>
            <w:vAlign w:val="bottom"/>
            <w:gridSpan w:val="16"/>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81</w:t>
              </w:r>
            </w:hyperlink>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9500" w:type="dxa"/>
            <w:vAlign w:val="bottom"/>
            <w:gridSpan w:val="1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500" w:type="dxa"/>
            <w:vAlign w:val="bottom"/>
            <w:gridSpan w:val="21"/>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SIGNATURE</w:t>
              </w:r>
            </w:hyperlink>
          </w:p>
        </w:tc>
        <w:tc>
          <w:tcPr>
            <w:tcW w:w="720" w:type="dxa"/>
            <w:vAlign w:val="bottom"/>
            <w:gridSpan w:val="3"/>
          </w:tcPr>
          <w:p>
            <w:pPr>
              <w:jc w:val="center"/>
              <w:ind w:right="20"/>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82</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680" w:type="dxa"/>
            <w:vAlign w:val="bottom"/>
          </w:tcPr>
          <w:p>
            <w:pPr>
              <w:jc w:val="right"/>
              <w:ind w:right="190"/>
              <w:spacing w:after="0"/>
              <w:rPr>
                <w:sz w:val="20"/>
                <w:szCs w:val="20"/>
                <w:color w:val="auto"/>
              </w:rPr>
            </w:pPr>
            <w:r>
              <w:rPr>
                <w:rFonts w:ascii="Arial" w:cs="Arial" w:eastAsia="Arial" w:hAnsi="Arial"/>
                <w:sz w:val="16"/>
                <w:szCs w:val="16"/>
                <w:b w:val="1"/>
                <w:bCs w:val="1"/>
                <w:color w:val="auto"/>
                <w:w w:val="95"/>
              </w:rPr>
              <w:t>December 31, 2020</w:t>
            </w:r>
          </w:p>
        </w:tc>
      </w:tr>
      <w:tr>
        <w:trPr>
          <w:trHeight w:val="213"/>
        </w:trPr>
        <w:tc>
          <w:tcPr>
            <w:tcW w:w="7240" w:type="dxa"/>
            <w:vAlign w:val="bottom"/>
            <w:tcBorders>
              <w:top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131,154</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122,006</w:t>
            </w: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221,764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195,782</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Prepaid income taxes</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32,108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3,535</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26,864</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24,694</w:t>
            </w:r>
          </w:p>
        </w:tc>
      </w:tr>
      <w:tr>
        <w:trPr>
          <w:trHeight w:val="224"/>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405,494</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340,258</w:t>
            </w:r>
          </w:p>
        </w:tc>
      </w:tr>
      <w:tr>
        <w:trPr>
          <w:trHeight w:val="26"/>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31,439</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28,414</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52,599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46,128</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262,234</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45,627</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1,593,670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581,174</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54,705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39,224</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47,104</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39,519</w:t>
            </w: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2,454,115</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1,126,035</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6"/>
        </w:trPr>
        <w:tc>
          <w:tcPr>
            <w:tcW w:w="7240" w:type="dxa"/>
            <w:vAlign w:val="bottom"/>
            <w:shd w:val="clear" w:color="auto" w:fill="CCEEFF"/>
          </w:tcPr>
          <w:p>
            <w:pPr>
              <w:ind w:left="21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14,891</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16,492</w:t>
            </w: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Accruals and other current liabilities</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314,529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226,793</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215,678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202,294</w:t>
            </w: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18,694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16,610</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r>
      <w:tr>
        <w:trPr>
          <w:trHeight w:val="224"/>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569,553</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465,555</w:t>
            </w:r>
          </w:p>
        </w:tc>
      </w:tr>
      <w:tr>
        <w:trPr>
          <w:trHeight w:val="26"/>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1,269,842</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246,000</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35,968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31,767</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7,020</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70,683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10,849</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21,334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15,362</w:t>
            </w:r>
          </w:p>
        </w:tc>
      </w:tr>
      <w:tr>
        <w:trPr>
          <w:trHeight w:val="27"/>
        </w:trPr>
        <w:tc>
          <w:tcPr>
            <w:tcW w:w="7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1,982,301</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784,436</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Commitments and contingencies (Note 18)</w:t>
            </w:r>
          </w:p>
        </w:tc>
        <w:tc>
          <w:tcPr>
            <w:tcW w:w="2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29"/>
        </w:trPr>
        <w:tc>
          <w:tcPr>
            <w:tcW w:w="7240" w:type="dxa"/>
            <w:vAlign w:val="bottom"/>
          </w:tcPr>
          <w:p>
            <w:pPr>
              <w:ind w:left="180"/>
              <w:spacing w:after="0"/>
              <w:rPr>
                <w:sz w:val="20"/>
                <w:szCs w:val="20"/>
                <w:color w:val="auto"/>
              </w:rPr>
            </w:pPr>
            <w:r>
              <w:rPr>
                <w:rFonts w:ascii="Arial" w:cs="Arial" w:eastAsia="Arial" w:hAnsi="Arial"/>
                <w:sz w:val="18"/>
                <w:szCs w:val="18"/>
                <w:color w:val="auto"/>
                <w:w w:val="92"/>
              </w:rPr>
              <w:t>Preferred stock, $0.01 par value, authorized 100,000,000 shares; none issued or outstanding as</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57"/>
        </w:trPr>
        <w:tc>
          <w:tcPr>
            <w:tcW w:w="7240" w:type="dxa"/>
            <w:vAlign w:val="bottom"/>
          </w:tcPr>
          <w:p>
            <w:pPr>
              <w:ind w:left="360"/>
              <w:spacing w:after="0"/>
              <w:rPr>
                <w:sz w:val="20"/>
                <w:szCs w:val="20"/>
                <w:color w:val="auto"/>
              </w:rPr>
            </w:pPr>
            <w:r>
              <w:rPr>
                <w:rFonts w:ascii="Arial" w:cs="Arial" w:eastAsia="Arial" w:hAnsi="Arial"/>
                <w:sz w:val="18"/>
                <w:szCs w:val="18"/>
                <w:color w:val="auto"/>
              </w:rPr>
              <w:t>of June 30, 2021 and December 31, 2020</w:t>
            </w:r>
          </w:p>
        </w:tc>
        <w:tc>
          <w:tcPr>
            <w:tcW w:w="280" w:type="dxa"/>
            <w:vAlign w:val="bottom"/>
          </w:tcPr>
          <w:p>
            <w:pPr>
              <w:spacing w:after="0"/>
              <w:rPr>
                <w:sz w:val="22"/>
                <w:szCs w:val="22"/>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Common Stock, $0.01 par value, authorized 100,000,000 shares; issued and</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outstanding 11,601,757 shares as of June 30, 2021 and December 31, 2020, and Class B</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Common Stock, $0.01 par value, authorized 1,800,000,000 shares; issued and outstanding</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269,587,370 and 260,552,747 shares as of June 30, 2021 and December 31, 2020,</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57"/>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910,951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741,113</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(54,886)</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(26,233)</w:t>
            </w: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(387,063)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(376,003)</w:t>
            </w:r>
          </w:p>
        </w:tc>
      </w:tr>
      <w:tr>
        <w:trPr>
          <w:trHeight w:val="27"/>
        </w:trPr>
        <w:tc>
          <w:tcPr>
            <w:tcW w:w="7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471,814</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341,599</w:t>
            </w: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2,454,115</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1,126,035</w:t>
            </w:r>
          </w:p>
        </w:tc>
      </w:tr>
      <w:tr>
        <w:trPr>
          <w:trHeight w:val="21"/>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985" w:right="339" w:bottom="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63" w:gutter="0" w:footer="0" w:header="0"/>
          <w:type w:val="continuous"/>
        </w:sectPr>
      </w:pPr>
    </w:p>
    <w:bookmarkStart w:id="3" w:name="page4"/>
    <w:bookmarkEnd w:id="3"/>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June 30,</w:t>
            </w:r>
          </w:p>
        </w:tc>
        <w:tc>
          <w:tcPr>
            <w:tcW w:w="11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185,452</w:t>
            </w:r>
          </w:p>
        </w:tc>
        <w:tc>
          <w:tcPr>
            <w:tcW w:w="26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157,655</w:t>
            </w:r>
          </w:p>
        </w:tc>
        <w:tc>
          <w:tcPr>
            <w:tcW w:w="26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373,577</w:t>
            </w:r>
          </w:p>
        </w:tc>
        <w:tc>
          <w:tcPr>
            <w:tcW w:w="260" w:type="dxa"/>
            <w:vAlign w:val="bottom"/>
          </w:tcPr>
          <w:p>
            <w:pPr>
              <w:spacing w:after="0"/>
              <w:rPr>
                <w:sz w:val="23"/>
                <w:szCs w:val="23"/>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327,837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21,507</w:t>
            </w:r>
          </w:p>
        </w:tc>
        <w:tc>
          <w:tcPr>
            <w:tcW w:w="26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23,193</w:t>
            </w:r>
          </w:p>
        </w:tc>
        <w:tc>
          <w:tcPr>
            <w:tcW w:w="0" w:type="dxa"/>
            <w:vAlign w:val="bottom"/>
          </w:tcPr>
          <w:p>
            <w:pPr>
              <w:spacing w:after="0"/>
              <w:rPr>
                <w:sz w:val="1"/>
                <w:szCs w:val="1"/>
                <w:color w:val="auto"/>
              </w:rPr>
            </w:pPr>
          </w:p>
        </w:tc>
      </w:tr>
      <w:tr>
        <w:trPr>
          <w:trHeight w:val="250"/>
        </w:trPr>
        <w:tc>
          <w:tcPr>
            <w:tcW w:w="4240" w:type="dxa"/>
            <w:vAlign w:val="bottom"/>
          </w:tcPr>
          <w:p>
            <w:pPr>
              <w:ind w:left="360"/>
              <w:spacing w:after="0"/>
              <w:rPr>
                <w:sz w:val="20"/>
                <w:szCs w:val="20"/>
                <w:color w:val="auto"/>
              </w:rPr>
            </w:pPr>
            <w:r>
              <w:rPr>
                <w:rFonts w:ascii="Arial" w:cs="Arial" w:eastAsia="Arial" w:hAnsi="Arial"/>
                <w:sz w:val="18"/>
                <w:szCs w:val="18"/>
                <w:color w:val="auto"/>
              </w:rPr>
              <w:t>Subscriptions and licenses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196,843</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170,034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395,084</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351,030</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26,088</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14,256</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49,852</w:t>
            </w:r>
          </w:p>
        </w:tc>
        <w:tc>
          <w:tcPr>
            <w:tcW w:w="26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222,931</w:t>
            </w:r>
          </w:p>
        </w:tc>
        <w:tc>
          <w:tcPr>
            <w:tcW w:w="2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184,290</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444,936</w:t>
            </w:r>
          </w:p>
        </w:tc>
        <w:tc>
          <w:tcPr>
            <w:tcW w:w="26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378,980</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Cost of subscriptions and licenses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29,881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21,801</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58,826</w:t>
            </w: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43,128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23,570</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14,904</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43,914</w:t>
            </w:r>
          </w:p>
        </w:tc>
        <w:tc>
          <w:tcPr>
            <w:tcW w:w="26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53,451</w:t>
            </w:r>
          </w:p>
        </w:tc>
        <w:tc>
          <w:tcPr>
            <w:tcW w:w="2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36,705</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102,740</w:t>
            </w:r>
          </w:p>
        </w:tc>
        <w:tc>
          <w:tcPr>
            <w:tcW w:w="26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73,964</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169,480</w:t>
            </w:r>
          </w:p>
        </w:tc>
        <w:tc>
          <w:tcPr>
            <w:tcW w:w="2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147,585</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342,196</w:t>
            </w:r>
          </w:p>
        </w:tc>
        <w:tc>
          <w:tcPr>
            <w:tcW w:w="26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305,016</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52,776</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44,218</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100,579</w:t>
            </w: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89,353</w:t>
            </w:r>
          </w:p>
        </w:tc>
        <w:tc>
          <w:tcPr>
            <w:tcW w:w="0" w:type="dxa"/>
            <w:vAlign w:val="bottom"/>
          </w:tcPr>
          <w:p>
            <w:pPr>
              <w:spacing w:after="0"/>
              <w:rPr>
                <w:sz w:val="1"/>
                <w:szCs w:val="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38,014</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29,632</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70,454</w:t>
            </w: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65,727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41,878</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25,465</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75,266</w:t>
            </w: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52,269</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2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w:t>
            </w:r>
          </w:p>
        </w:tc>
        <w:tc>
          <w:tcPr>
            <w:tcW w:w="2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8,027</w:t>
            </w:r>
          </w:p>
        </w:tc>
        <w:tc>
          <w:tcPr>
            <w:tcW w:w="26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137,257</w:t>
            </w:r>
          </w:p>
        </w:tc>
        <w:tc>
          <w:tcPr>
            <w:tcW w:w="2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102,994</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254,326</w:t>
            </w:r>
          </w:p>
        </w:tc>
        <w:tc>
          <w:tcPr>
            <w:tcW w:w="26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214,464</w:t>
            </w:r>
          </w:p>
        </w:tc>
        <w:tc>
          <w:tcPr>
            <w:tcW w:w="0" w:type="dxa"/>
            <w:vAlign w:val="bottom"/>
          </w:tcPr>
          <w:p>
            <w:pPr>
              <w:spacing w:after="0"/>
              <w:rPr>
                <w:sz w:val="1"/>
                <w:szCs w:val="1"/>
                <w:color w:val="auto"/>
              </w:rPr>
            </w:pPr>
          </w:p>
        </w:tc>
      </w:tr>
      <w:tr>
        <w:trPr>
          <w:trHeight w:val="250"/>
        </w:trPr>
        <w:tc>
          <w:tcPr>
            <w:tcW w:w="4240" w:type="dxa"/>
            <w:vAlign w:val="bottom"/>
          </w:tcPr>
          <w:p>
            <w:pPr>
              <w:ind w:left="36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32,223</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44,591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87,870</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90,552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10,705</w:t>
            </w: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25,993</w:t>
            </w: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43,868</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93,803</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81,051</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20,746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(4,264)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10,388</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(11,440)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 accounted for using the equity</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method, net of tax</w:t>
            </w: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6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50"/>
        </w:trPr>
        <w:tc>
          <w:tcPr>
            <w:tcW w:w="42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44,910</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39,076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101,916</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68,745</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Less: Net income attributable to participating securities</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40" w:type="dxa"/>
            <w:vAlign w:val="bottom"/>
          </w:tcPr>
          <w:p>
            <w:pPr>
              <w:ind w:left="360"/>
              <w:spacing w:after="0"/>
              <w:rPr>
                <w:sz w:val="20"/>
                <w:szCs w:val="20"/>
                <w:color w:val="auto"/>
              </w:rPr>
            </w:pPr>
            <w:r>
              <w:rPr>
                <w:rFonts w:ascii="Arial" w:cs="Arial" w:eastAsia="Arial" w:hAnsi="Arial"/>
                <w:sz w:val="18"/>
                <w:szCs w:val="18"/>
                <w:color w:val="auto"/>
              </w:rPr>
              <w:t>Net income attributable to Class A and</w:t>
            </w: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520"/>
              <w:spacing w:after="0"/>
              <w:rPr>
                <w:sz w:val="20"/>
                <w:szCs w:val="20"/>
                <w:color w:val="auto"/>
              </w:rPr>
            </w:pPr>
            <w:r>
              <w:rPr>
                <w:rFonts w:ascii="Arial" w:cs="Arial" w:eastAsia="Arial" w:hAnsi="Arial"/>
                <w:sz w:val="18"/>
                <w:szCs w:val="18"/>
                <w:color w:val="auto"/>
              </w:rPr>
              <w:t>Class B common stockholders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44,907</w:t>
            </w:r>
          </w:p>
        </w:tc>
        <w:tc>
          <w:tcPr>
            <w:tcW w:w="26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39,076</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101,913</w:t>
            </w:r>
          </w:p>
        </w:tc>
        <w:tc>
          <w:tcPr>
            <w:tcW w:w="26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68,745</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information:</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Net income per share, basic</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6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6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304,066,038</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286,945,592</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303,311,423</w:t>
            </w: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286,068,766</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324,478,086</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295,187,194</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323,094,045</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295,595,234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(unaudited)</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54"/>
        </w:trPr>
        <w:tc>
          <w:tcPr>
            <w:tcW w:w="4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24"/>
                <w:szCs w:val="24"/>
                <w:color w:val="auto"/>
              </w:rPr>
            </w:pPr>
          </w:p>
        </w:tc>
        <w:tc>
          <w:tcPr>
            <w:tcW w:w="2260" w:type="dxa"/>
            <w:vAlign w:val="bottom"/>
            <w:gridSpan w:val="4"/>
          </w:tcPr>
          <w:p>
            <w:pPr>
              <w:jc w:val="right"/>
              <w:ind w:right="532"/>
              <w:spacing w:after="0"/>
              <w:rPr>
                <w:sz w:val="20"/>
                <w:szCs w:val="20"/>
                <w:color w:val="auto"/>
              </w:rPr>
            </w:pPr>
            <w:r>
              <w:rPr>
                <w:rFonts w:ascii="Arial" w:cs="Arial" w:eastAsia="Arial" w:hAnsi="Arial"/>
                <w:sz w:val="16"/>
                <w:szCs w:val="16"/>
                <w:b w:val="1"/>
                <w:bCs w:val="1"/>
                <w:color w:val="auto"/>
              </w:rPr>
              <w:t>Six Months Ended</w:t>
            </w:r>
          </w:p>
        </w:tc>
      </w:tr>
      <w:tr>
        <w:trPr>
          <w:trHeight w:val="242"/>
        </w:trPr>
        <w:tc>
          <w:tcPr>
            <w:tcW w:w="4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21"/>
                <w:szCs w:val="21"/>
                <w:color w:val="auto"/>
              </w:rPr>
            </w:pPr>
          </w:p>
        </w:tc>
      </w:tr>
      <w:tr>
        <w:trPr>
          <w:trHeight w:val="237"/>
        </w:trPr>
        <w:tc>
          <w:tcPr>
            <w:tcW w:w="47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44,910</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101,916</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68,745</w:t>
            </w: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taxes:</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(19,513)</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(28,695)</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r>
      <w:tr>
        <w:trPr>
          <w:trHeight w:val="229"/>
        </w:trPr>
        <w:tc>
          <w:tcPr>
            <w:tcW w:w="6260" w:type="dxa"/>
            <w:vAlign w:val="bottom"/>
            <w:gridSpan w:val="3"/>
          </w:tcPr>
          <w:p>
            <w:pPr>
              <w:ind w:left="180"/>
              <w:spacing w:after="0"/>
              <w:rPr>
                <w:sz w:val="20"/>
                <w:szCs w:val="20"/>
                <w:color w:val="auto"/>
              </w:rPr>
            </w:pPr>
            <w:r>
              <w:rPr>
                <w:rFonts w:ascii="Arial" w:cs="Arial" w:eastAsia="Arial" w:hAnsi="Arial"/>
                <w:sz w:val="18"/>
                <w:szCs w:val="18"/>
                <w:color w:val="auto"/>
              </w:rPr>
              <w:t>Actuarial gain on retirement plan, net of tax effect of $(9), $(8), $(17), and</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7"/>
        </w:trPr>
        <w:tc>
          <w:tcPr>
            <w:tcW w:w="4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$(15), respectively</w:t>
            </w:r>
          </w:p>
        </w:tc>
        <w:tc>
          <w:tcPr>
            <w:tcW w:w="1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comprehensive (loss) income, net of taxes</w:t>
            </w:r>
          </w:p>
        </w:tc>
        <w:tc>
          <w:tcPr>
            <w:tcW w:w="12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(19,492)</w:t>
            </w:r>
          </w:p>
        </w:tc>
        <w:tc>
          <w:tcPr>
            <w:tcW w:w="2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(28,653)</w:t>
            </w:r>
          </w:p>
        </w:tc>
        <w:tc>
          <w:tcPr>
            <w:tcW w:w="2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25,418</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39,675</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73,263</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64,268</w:t>
            </w:r>
          </w:p>
        </w:tc>
      </w:tr>
      <w:tr>
        <w:trPr>
          <w:trHeight w:val="20"/>
        </w:trPr>
        <w:tc>
          <w:tcPr>
            <w:tcW w:w="4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 June 30, 2021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9"/>
        </w:trPr>
        <w:tc>
          <w:tcPr>
            <w:tcW w:w="3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Class A and Class B</w:t>
            </w: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700" w:type="dxa"/>
            <w:vAlign w:val="bottom"/>
          </w:tcPr>
          <w:p>
            <w:pPr>
              <w:spacing w:after="0"/>
              <w:rPr>
                <w:sz w:val="16"/>
                <w:szCs w:val="16"/>
                <w:color w:val="auto"/>
              </w:rPr>
            </w:pPr>
          </w:p>
        </w:tc>
        <w:tc>
          <w:tcPr>
            <w:tcW w:w="134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2021</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273,722,483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732,635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w w:val="93"/>
              </w:rPr>
              <w:t>(35,394)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(345,981)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353,997</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44,910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44,910</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ind w:left="600"/>
              <w:spacing w:after="0"/>
              <w:rPr>
                <w:sz w:val="20"/>
                <w:szCs w:val="20"/>
                <w:color w:val="auto"/>
              </w:rPr>
            </w:pPr>
            <w:r>
              <w:rPr>
                <w:rFonts w:ascii="Arial" w:cs="Arial" w:eastAsia="Arial" w:hAnsi="Arial"/>
                <w:sz w:val="16"/>
                <w:szCs w:val="16"/>
                <w:color w:val="auto"/>
                <w:w w:val="93"/>
              </w:rPr>
              <w:t>(19,492)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(19,492)</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Shares issued related to acquisition</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3,141,342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182,359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182,390</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Purchase of capped call options, net of tax of $6,334</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(19,591)</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(8,372)</w:t>
            </w:r>
          </w:p>
        </w:tc>
      </w:tr>
      <w:tr>
        <w:trPr>
          <w:trHeight w:val="20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issued in connection with deferred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6"/>
        </w:trPr>
        <w:tc>
          <w:tcPr>
            <w:tcW w:w="3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 plan,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1,862,576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(53,053)</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w w:val="95"/>
              </w:rPr>
              <w:t>Deferred compensation plan voluntary contributions</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639</w:t>
            </w:r>
          </w:p>
        </w:tc>
      </w:tr>
      <w:tr>
        <w:trPr>
          <w:trHeight w:val="20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Shares issued in connection with Executive Bonus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6"/>
        </w:trPr>
        <w:tc>
          <w:tcPr>
            <w:tcW w:w="3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Plan,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69,486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 option exercises,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2,393,937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(19,296)</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issued for stock grants,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5,762</w:t>
            </w:r>
          </w:p>
        </w:tc>
      </w:tr>
      <w:tr>
        <w:trPr>
          <w:trHeight w:val="243"/>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related to restricted stock, net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Balance, June 30, 2021</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281,189,127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2,812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910,951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color w:val="auto"/>
                <w:w w:val="93"/>
              </w:rPr>
              <w:t>(54,886)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(387,063)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471,814</w:t>
            </w:r>
          </w:p>
        </w:tc>
      </w:tr>
      <w:tr>
        <w:trPr>
          <w:trHeight w:val="20"/>
        </w:trPr>
        <w:tc>
          <w:tcPr>
            <w:tcW w:w="3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41"/>
        </w:trPr>
        <w:tc>
          <w:tcPr>
            <w:tcW w:w="37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 June 30, 2021</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79"/>
        </w:trPr>
        <w:tc>
          <w:tcPr>
            <w:tcW w:w="3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Class A and Class B</w:t>
            </w: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r>
      <w:tr>
        <w:trPr>
          <w:trHeight w:val="194"/>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700" w:type="dxa"/>
            <w:vAlign w:val="bottom"/>
          </w:tcPr>
          <w:p>
            <w:pPr>
              <w:spacing w:after="0"/>
              <w:rPr>
                <w:sz w:val="16"/>
                <w:szCs w:val="16"/>
                <w:color w:val="auto"/>
              </w:rPr>
            </w:pPr>
          </w:p>
        </w:tc>
        <w:tc>
          <w:tcPr>
            <w:tcW w:w="134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272,154,504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741,113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w w:val="93"/>
              </w:rPr>
              <w:t>(26,233)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(376,003)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341,599</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101,916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101,916</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ind w:left="600"/>
              <w:spacing w:after="0"/>
              <w:rPr>
                <w:sz w:val="20"/>
                <w:szCs w:val="20"/>
                <w:color w:val="auto"/>
              </w:rPr>
            </w:pPr>
            <w:r>
              <w:rPr>
                <w:rFonts w:ascii="Arial" w:cs="Arial" w:eastAsia="Arial" w:hAnsi="Arial"/>
                <w:sz w:val="16"/>
                <w:szCs w:val="16"/>
                <w:color w:val="auto"/>
                <w:w w:val="93"/>
              </w:rPr>
              <w:t>(28,653)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(28,653)</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Shares issued related to acquisition</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3,141,342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182,359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182,390</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Purchase of capped call options, net of tax of $12,584</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(39,021)</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(16,591)</w:t>
            </w:r>
          </w:p>
        </w:tc>
      </w:tr>
      <w:tr>
        <w:trPr>
          <w:trHeight w:val="20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issued in connection with deferred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6"/>
        </w:trPr>
        <w:tc>
          <w:tcPr>
            <w:tcW w:w="3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 plan,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2,202,079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(61,912)</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w w:val="95"/>
              </w:rPr>
              <w:t>Deferred compensation plan voluntary contributions</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1,493</w:t>
            </w:r>
          </w:p>
        </w:tc>
      </w:tr>
      <w:tr>
        <w:trPr>
          <w:trHeight w:val="20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Shares issued in connection with Executive Bonus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6"/>
        </w:trPr>
        <w:tc>
          <w:tcPr>
            <w:tcW w:w="3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Plan,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7,007</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 option exercises,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3,657,058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(29,027)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(24,703)</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issued for stock grants,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8,548</w:t>
            </w:r>
          </w:p>
        </w:tc>
      </w:tr>
      <w:tr>
        <w:trPr>
          <w:trHeight w:val="243"/>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related to restricted stock, net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Balance, June 30, 2021</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281,189,127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2,812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910,951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color w:val="auto"/>
                <w:w w:val="93"/>
              </w:rPr>
              <w:t>(54,886)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(387,063)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471,814</w:t>
            </w:r>
          </w:p>
        </w:tc>
      </w:tr>
      <w:tr>
        <w:trPr>
          <w:trHeight w:val="20"/>
        </w:trPr>
        <w:tc>
          <w:tcPr>
            <w:tcW w:w="3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6" w:name="page7"/>
    <w:bookmarkEnd w:id="6"/>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 June 30, 2020</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9"/>
        </w:trPr>
        <w:tc>
          <w:tcPr>
            <w:tcW w:w="3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Class A and Class B</w:t>
            </w: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700" w:type="dxa"/>
            <w:vAlign w:val="bottom"/>
          </w:tcPr>
          <w:p>
            <w:pPr>
              <w:spacing w:after="0"/>
              <w:rPr>
                <w:sz w:val="16"/>
                <w:szCs w:val="16"/>
                <w:color w:val="auto"/>
              </w:rPr>
            </w:pPr>
          </w:p>
        </w:tc>
        <w:tc>
          <w:tcPr>
            <w:tcW w:w="134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255,725,201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412,038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(34,581)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351,010</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39,076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39,076</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(7,771)</w:t>
            </w:r>
          </w:p>
        </w:tc>
      </w:tr>
      <w:tr>
        <w:trPr>
          <w:trHeight w:val="246"/>
        </w:trPr>
        <w:tc>
          <w:tcPr>
            <w:tcW w:w="3700" w:type="dxa"/>
            <w:vAlign w:val="bottom"/>
            <w:shd w:val="clear" w:color="auto" w:fill="CCEEFF"/>
          </w:tcPr>
          <w:p>
            <w:pPr>
              <w:ind w:left="180"/>
              <w:spacing w:after="0" w:line="184" w:lineRule="exact"/>
              <w:rPr>
                <w:sz w:val="20"/>
                <w:szCs w:val="20"/>
                <w:color w:val="auto"/>
              </w:rPr>
            </w:pPr>
            <w:r>
              <w:rPr>
                <w:rFonts w:ascii="Arial" w:cs="Arial" w:eastAsia="Arial" w:hAnsi="Arial"/>
                <w:sz w:val="16"/>
                <w:szCs w:val="16"/>
                <w:color w:val="auto"/>
              </w:rPr>
              <w:t>Profit</w:t>
            </w:r>
            <w:r>
              <w:rPr>
                <w:rFonts w:ascii="MS PGothic" w:cs="MS PGothic" w:eastAsia="MS PGothic" w:hAnsi="MS PGothic"/>
                <w:sz w:val="16"/>
                <w:szCs w:val="16"/>
                <w:color w:val="auto"/>
              </w:rPr>
              <w:t>‑</w:t>
            </w:r>
            <w:r>
              <w:rPr>
                <w:rFonts w:ascii="Arial" w:cs="Arial" w:eastAsia="Arial" w:hAnsi="Arial"/>
                <w:sz w:val="16"/>
                <w:szCs w:val="16"/>
                <w:color w:val="auto"/>
              </w:rPr>
              <w:t>sharing plan shares, net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w:t>
            </w:r>
          </w:p>
        </w:tc>
      </w:tr>
      <w:tr>
        <w:trPr>
          <w:trHeight w:val="206"/>
        </w:trPr>
        <w:tc>
          <w:tcPr>
            <w:tcW w:w="3700" w:type="dxa"/>
            <w:vAlign w:val="bottom"/>
          </w:tcPr>
          <w:p>
            <w:pPr>
              <w:ind w:left="180"/>
              <w:spacing w:after="0"/>
              <w:rPr>
                <w:sz w:val="20"/>
                <w:szCs w:val="20"/>
                <w:color w:val="auto"/>
              </w:rPr>
            </w:pPr>
            <w:r>
              <w:rPr>
                <w:rFonts w:ascii="Arial" w:cs="Arial" w:eastAsia="Arial" w:hAnsi="Arial"/>
                <w:sz w:val="16"/>
                <w:szCs w:val="16"/>
                <w:color w:val="auto"/>
              </w:rPr>
              <w:t>Shares issued in connection with deferred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6"/>
                <w:szCs w:val="16"/>
                <w:color w:val="auto"/>
              </w:rPr>
              <w:t>compensation plan,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2,276,659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(1,529)</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Deferred compensation plan voluntary contributions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Payment of shareholder Put and Call rights</w:t>
            </w:r>
          </w:p>
        </w:tc>
        <w:tc>
          <w:tcPr>
            <w:tcW w:w="1240" w:type="dxa"/>
            <w:vAlign w:val="bottom"/>
          </w:tcPr>
          <w:p>
            <w:pPr>
              <w:jc w:val="right"/>
              <w:spacing w:after="0"/>
              <w:rPr>
                <w:sz w:val="20"/>
                <w:szCs w:val="20"/>
                <w:color w:val="auto"/>
              </w:rPr>
            </w:pPr>
            <w:r>
              <w:rPr>
                <w:rFonts w:ascii="Arial" w:cs="Arial" w:eastAsia="Arial" w:hAnsi="Arial"/>
                <w:sz w:val="16"/>
                <w:szCs w:val="16"/>
                <w:color w:val="auto"/>
              </w:rPr>
              <w:t>(90,306)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(1,152)</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Purchase Agreement,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 option exercises,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1,486,795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issued for stock grants</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1,340</w:t>
            </w:r>
          </w:p>
        </w:tc>
      </w:tr>
      <w:tr>
        <w:trPr>
          <w:trHeight w:val="243"/>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related to restricted stock,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Balance, June 30, 2020</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259,209,355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415,883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(28,404)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(10,327)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379,744</w:t>
            </w:r>
          </w:p>
        </w:tc>
      </w:tr>
      <w:tr>
        <w:trPr>
          <w:trHeight w:val="20"/>
        </w:trPr>
        <w:tc>
          <w:tcPr>
            <w:tcW w:w="3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41"/>
        </w:trPr>
        <w:tc>
          <w:tcPr>
            <w:tcW w:w="37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 June 30, 2020</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79"/>
        </w:trPr>
        <w:tc>
          <w:tcPr>
            <w:tcW w:w="3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Class A and Class B</w:t>
            </w: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700" w:type="dxa"/>
            <w:vAlign w:val="bottom"/>
          </w:tcPr>
          <w:p>
            <w:pPr>
              <w:spacing w:after="0"/>
              <w:rPr>
                <w:sz w:val="16"/>
                <w:szCs w:val="16"/>
                <w:color w:val="auto"/>
              </w:rPr>
            </w:pPr>
          </w:p>
        </w:tc>
        <w:tc>
          <w:tcPr>
            <w:tcW w:w="134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254,842,949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408,667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(52,669)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334,619</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68,745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68,745</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(15,437)</w:t>
            </w:r>
          </w:p>
        </w:tc>
      </w:tr>
      <w:tr>
        <w:trPr>
          <w:trHeight w:val="246"/>
        </w:trPr>
        <w:tc>
          <w:tcPr>
            <w:tcW w:w="3700" w:type="dxa"/>
            <w:vAlign w:val="bottom"/>
            <w:shd w:val="clear" w:color="auto" w:fill="CCEEFF"/>
          </w:tcPr>
          <w:p>
            <w:pPr>
              <w:ind w:left="180"/>
              <w:spacing w:after="0" w:line="184" w:lineRule="exact"/>
              <w:rPr>
                <w:sz w:val="20"/>
                <w:szCs w:val="20"/>
                <w:color w:val="auto"/>
              </w:rPr>
            </w:pPr>
            <w:r>
              <w:rPr>
                <w:rFonts w:ascii="Arial" w:cs="Arial" w:eastAsia="Arial" w:hAnsi="Arial"/>
                <w:sz w:val="16"/>
                <w:szCs w:val="16"/>
                <w:color w:val="auto"/>
              </w:rPr>
              <w:t>Profit</w:t>
            </w:r>
            <w:r>
              <w:rPr>
                <w:rFonts w:ascii="MS PGothic" w:cs="MS PGothic" w:eastAsia="MS PGothic" w:hAnsi="MS PGothic"/>
                <w:sz w:val="16"/>
                <w:szCs w:val="16"/>
                <w:color w:val="auto"/>
              </w:rPr>
              <w:t>‑</w:t>
            </w:r>
            <w:r>
              <w:rPr>
                <w:rFonts w:ascii="Arial" w:cs="Arial" w:eastAsia="Arial" w:hAnsi="Arial"/>
                <w:sz w:val="16"/>
                <w:szCs w:val="16"/>
                <w:color w:val="auto"/>
              </w:rPr>
              <w:t>sharing plan shares, net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(4,428)</w:t>
            </w:r>
          </w:p>
        </w:tc>
      </w:tr>
      <w:tr>
        <w:trPr>
          <w:trHeight w:val="206"/>
        </w:trPr>
        <w:tc>
          <w:tcPr>
            <w:tcW w:w="3700" w:type="dxa"/>
            <w:vAlign w:val="bottom"/>
          </w:tcPr>
          <w:p>
            <w:pPr>
              <w:ind w:left="180"/>
              <w:spacing w:after="0"/>
              <w:rPr>
                <w:sz w:val="20"/>
                <w:szCs w:val="20"/>
                <w:color w:val="auto"/>
              </w:rPr>
            </w:pPr>
            <w:r>
              <w:rPr>
                <w:rFonts w:ascii="Arial" w:cs="Arial" w:eastAsia="Arial" w:hAnsi="Arial"/>
                <w:sz w:val="16"/>
                <w:szCs w:val="16"/>
                <w:color w:val="auto"/>
              </w:rPr>
              <w:t>Shares issued in connection with deferred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6"/>
                <w:szCs w:val="16"/>
                <w:color w:val="auto"/>
              </w:rPr>
              <w:t>compensation plan,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2,959,731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(1,830)</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Deferred compensation plan voluntary contributions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Payment of shareholder Put and Call rights</w:t>
            </w:r>
          </w:p>
        </w:tc>
        <w:tc>
          <w:tcPr>
            <w:tcW w:w="1240" w:type="dxa"/>
            <w:vAlign w:val="bottom"/>
          </w:tcPr>
          <w:p>
            <w:pPr>
              <w:jc w:val="right"/>
              <w:spacing w:after="0"/>
              <w:rPr>
                <w:sz w:val="20"/>
                <w:szCs w:val="20"/>
                <w:color w:val="auto"/>
              </w:rPr>
            </w:pPr>
            <w:r>
              <w:rPr>
                <w:rFonts w:ascii="Arial" w:cs="Arial" w:eastAsia="Arial" w:hAnsi="Arial"/>
                <w:sz w:val="16"/>
                <w:szCs w:val="16"/>
                <w:color w:val="auto"/>
              </w:rPr>
              <w:t>(128,176)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(1,454)</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Purchase Agreement,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 option exercises,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2,184,628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(827)</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issued for stock grants</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2,993</w:t>
            </w:r>
          </w:p>
        </w:tc>
      </w:tr>
      <w:tr>
        <w:trPr>
          <w:trHeight w:val="243"/>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related to restricted stock, net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Balance, June 30, 2020</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259,209,355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415,883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(28,404)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(10,327)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379,744</w:t>
            </w:r>
          </w:p>
        </w:tc>
      </w:tr>
      <w:tr>
        <w:trPr>
          <w:trHeight w:val="20"/>
        </w:trPr>
        <w:tc>
          <w:tcPr>
            <w:tcW w:w="3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7" w:name="page8"/>
    <w:bookmarkEnd w:id="7"/>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BENTLEY SYSTEMS, INCORPORATED AND SUBSIDIARIES</w:t>
      </w:r>
    </w:p>
    <w:p>
      <w:pPr>
        <w:spacing w:after="0" w:line="3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Six Months Ended</w:t>
      </w:r>
    </w:p>
    <w:p>
      <w:pPr>
        <w:spacing w:after="0" w:line="32"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20320</wp:posOffset>
            </wp:positionV>
            <wp:extent cx="1808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9" w:lineRule="exact"/>
        <w:rPr>
          <w:sz w:val="20"/>
          <w:szCs w:val="20"/>
          <w:color w:val="auto"/>
        </w:rPr>
      </w:pPr>
    </w:p>
    <w:p>
      <w:pPr>
        <w:jc w:val="both"/>
        <w:ind w:left="8880"/>
        <w:spacing w:after="0"/>
        <w:tabs>
          <w:tab w:leader="none" w:pos="1042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ectPr>
          <w:pgSz w:w="11900" w:h="16838" w:orient="portrait"/>
          <w:cols w:equalWidth="0" w:num="1">
            <w:col w:w="11240"/>
          </w:cols>
          <w:pgMar w:left="320" w:top="1440" w:right="339" w:bottom="1022"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Bad debt allowance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compensation plan activity</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right="3140"/>
        <w:spacing w:after="0" w:line="313" w:lineRule="auto"/>
        <w:rPr>
          <w:sz w:val="20"/>
          <w:szCs w:val="20"/>
          <w:color w:val="auto"/>
        </w:rPr>
      </w:pPr>
      <w:r>
        <w:rPr>
          <w:rFonts w:ascii="Arial" w:cs="Arial" w:eastAsia="Arial" w:hAnsi="Arial"/>
          <w:sz w:val="18"/>
          <w:szCs w:val="18"/>
          <w:color w:val="auto"/>
        </w:rPr>
        <w:t>Amortization and write-off of deferred debt issuance costs Change in fair value of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Change in fair value of contingent consideration</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Foreign currency remeasurement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Loss from investment accounted for using the equity method, net of tax</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assets and liabilities, net of effect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accruals, and other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taxes payable, net of prepaid income taxes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Purchases of property and equipment and investment in 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Acquisitions, net of cash acquired of $36,847 and $2,064, respectively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credit facilities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Proceeds from convertible senior notes, net of discounts and commissions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capped call options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acquisition debt and other consideration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right="2820"/>
        <w:spacing w:after="0" w:line="315" w:lineRule="auto"/>
        <w:rPr>
          <w:sz w:val="20"/>
          <w:szCs w:val="20"/>
          <w:color w:val="auto"/>
        </w:rPr>
      </w:pPr>
      <w:r>
        <w:rPr>
          <w:rFonts w:ascii="Arial" w:cs="Arial" w:eastAsia="Arial" w:hAnsi="Arial"/>
          <w:sz w:val="18"/>
          <w:szCs w:val="18"/>
          <w:color w:val="auto"/>
        </w:rPr>
        <w:t>Payments for shares acquired including shares withheld for taxes Proceeds from Common Stock Purchase Agreement 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101,916</w:t>
            </w:r>
          </w:p>
        </w:tc>
        <w:tc>
          <w:tcPr>
            <w:tcW w:w="2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68,745</w:t>
            </w:r>
          </w:p>
        </w:tc>
      </w:tr>
      <w:tr>
        <w:trPr>
          <w:trHeight w:val="540"/>
        </w:trPr>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19,280</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16,664</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(915)</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5,284</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1,855</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1,633</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20,598</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3,212</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(7,735)</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4,174</w:t>
            </w:r>
          </w:p>
        </w:tc>
      </w:tr>
      <w:tr>
        <w:trPr>
          <w:trHeight w:val="270"/>
        </w:trPr>
        <w:tc>
          <w:tcPr>
            <w:tcW w:w="260" w:type="dxa"/>
            <w:vAlign w:val="bottom"/>
          </w:tcPr>
          <w:p>
            <w:pPr>
              <w:spacing w:after="0"/>
              <w:rPr>
                <w:sz w:val="23"/>
                <w:szCs w:val="23"/>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(1,390)</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3,538</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2,275</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540"/>
        </w:trPr>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(4,665)</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44,263</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10,485</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9,089</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37,623</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11,208</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(4,756)</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(29,500)</w:t>
            </w:r>
          </w:p>
        </w:tc>
      </w:tr>
      <w:tr>
        <w:trPr>
          <w:trHeight w:val="270"/>
        </w:trPr>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(27,230)</w:t>
            </w:r>
          </w:p>
        </w:tc>
        <w:tc>
          <w:tcPr>
            <w:tcW w:w="2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r>
      <w:tr>
        <w:trPr>
          <w:trHeight w:val="243"/>
        </w:trPr>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149,022</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136,182</w:t>
            </w:r>
          </w:p>
        </w:tc>
      </w:tr>
      <w:tr>
        <w:trPr>
          <w:trHeight w:val="486"/>
        </w:trPr>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(4,750)</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(9,970)</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(1,002,551)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(67,595)</w:t>
            </w:r>
          </w:p>
        </w:tc>
      </w:tr>
    </w:tbl>
    <w:p>
      <w:pPr>
        <w:spacing w:after="0" w:line="40" w:lineRule="exact"/>
        <w:rPr>
          <w:sz w:val="20"/>
          <w:szCs w:val="20"/>
          <w:color w:val="auto"/>
        </w:rPr>
      </w:pPr>
    </w:p>
    <w:p>
      <w:pPr>
        <w:ind w:left="2280" w:hanging="1409"/>
        <w:spacing w:after="0"/>
        <w:tabs>
          <w:tab w:leader="none" w:pos="2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(1,414)</w:t>
      </w:r>
    </w:p>
    <w:p>
      <w:pPr>
        <w:spacing w:after="0" w:line="61"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(1,008,001)</w:t>
      </w:r>
      <w:r>
        <w:rPr>
          <w:rFonts w:ascii="Arial" w:cs="Arial" w:eastAsia="Arial" w:hAnsi="Arial"/>
          <w:sz w:val="16"/>
          <w:szCs w:val="16"/>
          <w:color w:val="auto"/>
        </w:rPr>
        <w:t>(78,979)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084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86"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18"/>
          <w:szCs w:val="18"/>
          <w:color w:val="auto"/>
        </w:rPr>
        <w:t>581,233</w:t>
      </w:r>
      <w:r>
        <w:rPr>
          <w:sz w:val="20"/>
          <w:szCs w:val="20"/>
          <w:color w:val="auto"/>
        </w:rPr>
        <w:tab/>
      </w:r>
      <w:r>
        <w:rPr>
          <w:rFonts w:ascii="Arial" w:cs="Arial" w:eastAsia="Arial" w:hAnsi="Arial"/>
          <w:sz w:val="18"/>
          <w:szCs w:val="18"/>
          <w:color w:val="auto"/>
        </w:rPr>
        <w:t>164,375</w:t>
      </w:r>
    </w:p>
    <w:p>
      <w:pPr>
        <w:spacing w:after="0" w:line="63" w:lineRule="exact"/>
        <w:rPr>
          <w:sz w:val="20"/>
          <w:szCs w:val="20"/>
          <w:color w:val="auto"/>
        </w:rPr>
      </w:pPr>
    </w:p>
    <w:p>
      <w:pPr>
        <w:ind w:left="560"/>
        <w:spacing w:after="0"/>
        <w:tabs>
          <w:tab w:leader="none" w:pos="2080" w:val="left"/>
        </w:tabs>
        <w:rPr>
          <w:sz w:val="20"/>
          <w:szCs w:val="20"/>
          <w:color w:val="auto"/>
        </w:rPr>
      </w:pPr>
      <w:r>
        <w:rPr>
          <w:rFonts w:ascii="Arial" w:cs="Arial" w:eastAsia="Arial" w:hAnsi="Arial"/>
          <w:sz w:val="17"/>
          <w:szCs w:val="17"/>
          <w:color w:val="auto"/>
        </w:rPr>
        <w:t>(790,846)</w:t>
      </w:r>
      <w:r>
        <w:rPr>
          <w:sz w:val="20"/>
          <w:szCs w:val="20"/>
          <w:color w:val="auto"/>
        </w:rPr>
        <w:tab/>
      </w:r>
      <w:r>
        <w:rPr>
          <w:rFonts w:ascii="Arial" w:cs="Arial" w:eastAsia="Arial" w:hAnsi="Arial"/>
          <w:sz w:val="17"/>
          <w:szCs w:val="17"/>
          <w:color w:val="auto"/>
        </w:rPr>
        <w:t>(191,125)</w:t>
      </w:r>
    </w:p>
    <w:p>
      <w:pPr>
        <w:spacing w:after="0" w:line="75" w:lineRule="exact"/>
        <w:rPr>
          <w:sz w:val="20"/>
          <w:szCs w:val="20"/>
          <w:color w:val="auto"/>
        </w:rPr>
      </w:pPr>
    </w:p>
    <w:p>
      <w:pPr>
        <w:ind w:left="500"/>
        <w:spacing w:after="0"/>
        <w:tabs>
          <w:tab w:leader="none" w:pos="2560" w:val="left"/>
        </w:tabs>
        <w:rPr>
          <w:sz w:val="20"/>
          <w:szCs w:val="20"/>
          <w:color w:val="auto"/>
        </w:rPr>
      </w:pPr>
      <w:r>
        <w:rPr>
          <w:rFonts w:ascii="Arial" w:cs="Arial" w:eastAsia="Arial" w:hAnsi="Arial"/>
          <w:sz w:val="18"/>
          <w:szCs w:val="18"/>
          <w:color w:val="auto"/>
        </w:rPr>
        <w:t>1,233,377</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740"/>
        <w:spacing w:after="0"/>
        <w:tabs>
          <w:tab w:leader="none" w:pos="2560" w:val="left"/>
        </w:tabs>
        <w:rPr>
          <w:sz w:val="20"/>
          <w:szCs w:val="20"/>
          <w:color w:val="auto"/>
        </w:rPr>
      </w:pPr>
      <w:r>
        <w:rPr>
          <w:rFonts w:ascii="Arial" w:cs="Arial" w:eastAsia="Arial" w:hAnsi="Arial"/>
          <w:sz w:val="18"/>
          <w:szCs w:val="18"/>
          <w:color w:val="auto"/>
        </w:rPr>
        <w:t>(4,951)</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640"/>
        <w:spacing w:after="0"/>
        <w:tabs>
          <w:tab w:leader="none" w:pos="2560" w:val="left"/>
        </w:tabs>
        <w:rPr>
          <w:sz w:val="20"/>
          <w:szCs w:val="20"/>
          <w:color w:val="auto"/>
        </w:rPr>
      </w:pPr>
      <w:r>
        <w:rPr>
          <w:rFonts w:ascii="Arial" w:cs="Arial" w:eastAsia="Arial" w:hAnsi="Arial"/>
          <w:sz w:val="18"/>
          <w:szCs w:val="18"/>
          <w:color w:val="auto"/>
        </w:rPr>
        <w:t>(51,555)</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2520" w:hanging="1649"/>
        <w:spacing w:after="0"/>
        <w:tabs>
          <w:tab w:leader="none" w:pos="2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(93)</w:t>
      </w:r>
    </w:p>
    <w:p>
      <w:pPr>
        <w:spacing w:after="0" w:line="75" w:lineRule="exact"/>
        <w:rPr>
          <w:sz w:val="20"/>
          <w:szCs w:val="20"/>
          <w:color w:val="auto"/>
        </w:rPr>
      </w:pPr>
    </w:p>
    <w:p>
      <w:pPr>
        <w:ind w:left="2280" w:hanging="1409"/>
        <w:spacing w:after="0"/>
        <w:tabs>
          <w:tab w:leader="none" w:pos="2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(1,091)</w:t>
      </w:r>
    </w:p>
    <w:p>
      <w:pPr>
        <w:spacing w:after="0" w:line="7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(16,591)</w:t>
      </w:r>
      <w:r>
        <w:rPr>
          <w:rFonts w:ascii="Arial" w:cs="Arial" w:eastAsia="Arial" w:hAnsi="Arial"/>
          <w:sz w:val="16"/>
          <w:szCs w:val="16"/>
          <w:color w:val="auto"/>
        </w:rPr>
        <w:t>(15,901)</w:t>
      </w:r>
    </w:p>
    <w:p>
      <w:pPr>
        <w:spacing w:after="0" w:line="63"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17"/>
          <w:szCs w:val="17"/>
          <w:color w:val="auto"/>
        </w:rPr>
        <w:t>(87,836)</w:t>
      </w:r>
      <w:r>
        <w:rPr>
          <w:sz w:val="20"/>
          <w:szCs w:val="20"/>
          <w:color w:val="auto"/>
        </w:rPr>
        <w:tab/>
      </w:r>
      <w:r>
        <w:rPr>
          <w:rFonts w:ascii="Arial" w:cs="Arial" w:eastAsia="Arial" w:hAnsi="Arial"/>
          <w:sz w:val="17"/>
          <w:szCs w:val="17"/>
          <w:color w:val="auto"/>
        </w:rPr>
        <w:t>(69,307)</w:t>
      </w:r>
    </w:p>
    <w:p>
      <w:pPr>
        <w:spacing w:after="0" w:line="7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58,349</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4,324</w:t>
      </w:r>
      <w:r>
        <w:rPr>
          <w:rFonts w:ascii="Arial" w:cs="Arial" w:eastAsia="Arial" w:hAnsi="Arial"/>
          <w:sz w:val="15"/>
          <w:szCs w:val="15"/>
          <w:color w:val="auto"/>
        </w:rPr>
        <w:t>2,237</w:t>
      </w:r>
    </w:p>
    <w:p>
      <w:pPr>
        <w:spacing w:after="0" w:line="42" w:lineRule="exact"/>
        <w:rPr>
          <w:sz w:val="20"/>
          <w:szCs w:val="20"/>
          <w:color w:val="auto"/>
        </w:rPr>
      </w:pPr>
    </w:p>
    <w:p>
      <w:pPr>
        <w:sectPr>
          <w:pgSz w:w="11900" w:h="16838" w:orient="portrait"/>
          <w:cols w:equalWidth="0" w:num="2">
            <w:col w:w="7680" w:space="720"/>
            <w:col w:w="2840"/>
          </w:cols>
          <w:pgMar w:left="320" w:top="1440" w:right="339" w:bottom="1022"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866,510</w:t>
            </w:r>
          </w:p>
        </w:tc>
        <w:tc>
          <w:tcPr>
            <w:tcW w:w="26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(52,556)</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50"/>
        </w:trPr>
        <w:tc>
          <w:tcPr>
            <w:tcW w:w="8400" w:type="dxa"/>
            <w:vAlign w:val="bottom"/>
          </w:tcPr>
          <w:p>
            <w:pPr>
              <w:ind w:left="360"/>
              <w:spacing w:after="0"/>
              <w:rPr>
                <w:sz w:val="20"/>
                <w:szCs w:val="20"/>
                <w:color w:val="auto"/>
              </w:rPr>
            </w:pPr>
            <w:r>
              <w:rPr>
                <w:rFonts w:ascii="Arial" w:cs="Arial" w:eastAsia="Arial" w:hAnsi="Arial"/>
                <w:sz w:val="18"/>
                <w:szCs w:val="18"/>
                <w:color w:val="auto"/>
              </w:rPr>
              <w:t>Increase in cash and cash equivalents</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9,148</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4,415</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122,006</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121,101</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131,154</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125,516</w:t>
            </w:r>
          </w:p>
        </w:tc>
      </w:tr>
      <w:tr>
        <w:trPr>
          <w:trHeight w:val="21"/>
        </w:trPr>
        <w:tc>
          <w:tcPr>
            <w:tcW w:w="8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022" w:gutter="0" w:footer="0" w:header="0"/>
          <w:type w:val="continuous"/>
        </w:sect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022" w:gutter="0" w:footer="0" w:header="0"/>
          <w:type w:val="continuous"/>
        </w:sectPr>
      </w:pPr>
    </w:p>
    <w:bookmarkStart w:id="8" w:name="page9"/>
    <w:bookmarkEnd w:id="8"/>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92"/>
              </w:rPr>
              <w:t>Six Months Ended</w:t>
            </w:r>
          </w:p>
        </w:tc>
      </w:tr>
      <w:tr>
        <w:trPr>
          <w:trHeight w:val="219"/>
        </w:trPr>
        <w:tc>
          <w:tcPr>
            <w:tcW w:w="8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Borders>
              <w:bottom w:val="single" w:sz="8" w:color="auto"/>
            </w:tcBorders>
          </w:tcPr>
          <w:p>
            <w:pPr>
              <w:spacing w:after="0"/>
              <w:rPr>
                <w:sz w:val="19"/>
                <w:szCs w:val="19"/>
                <w:color w:val="auto"/>
              </w:rPr>
            </w:pPr>
          </w:p>
        </w:tc>
      </w:tr>
      <w:tr>
        <w:trPr>
          <w:trHeight w:val="233"/>
        </w:trPr>
        <w:tc>
          <w:tcPr>
            <w:tcW w:w="8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70"/>
        </w:trPr>
        <w:tc>
          <w:tcPr>
            <w:tcW w:w="872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25,109</w:t>
            </w:r>
          </w:p>
        </w:tc>
        <w:tc>
          <w:tcPr>
            <w:tcW w:w="26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7,180</w:t>
            </w:r>
          </w:p>
        </w:tc>
      </w:tr>
      <w:tr>
        <w:trPr>
          <w:trHeight w:val="27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refunds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70"/>
        </w:trPr>
        <w:tc>
          <w:tcPr>
            <w:tcW w:w="872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1,871</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3,162</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70"/>
        </w:trPr>
        <w:tc>
          <w:tcPr>
            <w:tcW w:w="8720" w:type="dxa"/>
            <w:vAlign w:val="bottom"/>
          </w:tcPr>
          <w:p>
            <w:pPr>
              <w:ind w:left="180"/>
              <w:spacing w:after="0"/>
              <w:rPr>
                <w:sz w:val="20"/>
                <w:szCs w:val="20"/>
                <w:color w:val="auto"/>
              </w:rPr>
            </w:pPr>
            <w:r>
              <w:rPr>
                <w:rFonts w:ascii="Arial" w:cs="Arial" w:eastAsia="Arial" w:hAnsi="Arial"/>
                <w:sz w:val="18"/>
                <w:szCs w:val="18"/>
                <w:color w:val="auto"/>
              </w:rPr>
              <w:t>Shares issued related to acquisition</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182,390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acquisition consideration</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r>
      <w:tr>
        <w:trPr>
          <w:trHeight w:val="270"/>
        </w:trPr>
        <w:tc>
          <w:tcPr>
            <w:tcW w:w="8720" w:type="dxa"/>
            <w:vAlign w:val="bottom"/>
          </w:tcPr>
          <w:p>
            <w:pPr>
              <w:ind w:left="180"/>
              <w:spacing w:after="0"/>
              <w:rPr>
                <w:sz w:val="20"/>
                <w:szCs w:val="20"/>
                <w:color w:val="auto"/>
              </w:rPr>
            </w:pPr>
            <w:r>
              <w:rPr>
                <w:rFonts w:ascii="Arial" w:cs="Arial" w:eastAsia="Arial" w:hAnsi="Arial"/>
                <w:sz w:val="18"/>
                <w:szCs w:val="18"/>
                <w:color w:val="auto"/>
              </w:rPr>
              <w:t>Deferred, non-contingent consideration, net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9,593</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7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Convertible senior notes expenses included in </w:t>
            </w:r>
            <w:r>
              <w:rPr>
                <w:rFonts w:ascii="Arial" w:cs="Arial" w:eastAsia="Arial" w:hAnsi="Arial"/>
                <w:sz w:val="18"/>
                <w:szCs w:val="18"/>
                <w:i w:val="1"/>
                <w:iCs w:val="1"/>
                <w:color w:val="auto"/>
              </w:rPr>
              <w:t>Accounts payable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Accruals and other current liabilities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720" w:type="dxa"/>
            <w:vAlign w:val="bottom"/>
          </w:tcPr>
          <w:p>
            <w:pPr>
              <w:ind w:left="180"/>
              <w:spacing w:after="0"/>
              <w:rPr>
                <w:sz w:val="20"/>
                <w:szCs w:val="20"/>
                <w:color w:val="auto"/>
              </w:rPr>
            </w:pPr>
            <w:r>
              <w:rPr>
                <w:rFonts w:ascii="Arial" w:cs="Arial" w:eastAsia="Arial" w:hAnsi="Arial"/>
                <w:sz w:val="18"/>
                <w:szCs w:val="18"/>
                <w:color w:val="auto"/>
              </w:rPr>
              <w:t xml:space="preserve">Capped call options expenses included in </w:t>
            </w:r>
            <w:r>
              <w:rPr>
                <w:rFonts w:ascii="Arial" w:cs="Arial" w:eastAsia="Arial" w:hAnsi="Arial"/>
                <w:sz w:val="18"/>
                <w:szCs w:val="18"/>
                <w:i w:val="1"/>
                <w:iCs w:val="1"/>
                <w:color w:val="auto"/>
              </w:rPr>
              <w:t>Accounts payable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Accruals and other current liabilities</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Share-settled Executive Bonus Plan awards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11,723</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8720" w:type="dxa"/>
            <w:vAlign w:val="bottom"/>
          </w:tcPr>
          <w:p>
            <w:pPr>
              <w:ind w:left="180"/>
              <w:spacing w:after="0"/>
              <w:rPr>
                <w:sz w:val="20"/>
                <w:szCs w:val="20"/>
                <w:color w:val="auto"/>
              </w:rPr>
            </w:pPr>
            <w:r>
              <w:rPr>
                <w:rFonts w:ascii="Arial" w:cs="Arial" w:eastAsia="Arial" w:hAnsi="Arial"/>
                <w:sz w:val="18"/>
                <w:szCs w:val="18"/>
                <w:color w:val="auto"/>
              </w:rPr>
              <w:t>Voluntary deferred compensation plan contributions</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1,493</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1,798</w:t>
            </w:r>
          </w:p>
        </w:tc>
      </w:tr>
    </w:tbl>
    <w:p>
      <w:pPr>
        <w:spacing w:after="0" w:line="3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 The accompanying unaudited consolidated financial statements include the accounts of Bentley Systems, Incorporated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(“Bentley” or the “Company”) and its wholly-owned subsidiaries, and have been prepared in accordance with accounting principles generally accepted in the United States of America (“U.S. GAAP”) and in accordance with the rules and regulations of the U.S. Securities and Exchange Commission (“SEC”) regarding interim financial reporting. Accordingly, they do not include all the information and notes required by U.S. GAAP for annual financial statements. These unaudited consolidated financial statements should be read in conjunction with the audited consolidated financial statements and notes thereto included in Part II, Item 8 of the Company’s 2020 Annual Report on Form 10</w:t>
      </w:r>
      <w:r>
        <w:rPr>
          <w:rFonts w:ascii="MS PGothic" w:cs="MS PGothic" w:eastAsia="MS PGothic" w:hAnsi="MS PGothic"/>
          <w:sz w:val="16"/>
          <w:szCs w:val="16"/>
          <w:i w:val="1"/>
          <w:iCs w:val="1"/>
          <w:color w:val="auto"/>
        </w:rPr>
        <w:t>‑</w:t>
      </w:r>
      <w:r>
        <w:rPr>
          <w:rFonts w:ascii="Arial" w:cs="Arial" w:eastAsia="Arial" w:hAnsi="Arial"/>
          <w:sz w:val="16"/>
          <w:szCs w:val="16"/>
          <w:color w:val="auto"/>
        </w:rPr>
        <w:t>K on file with the SEC.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at the dates and for the periods indicated. The preparation of financial statements in conformity with U.S. GAAP requires management to make estimates and assumptions that affect reported amounts in the financial statements and accompanying notes. Actual results could differ from those estimates. The December 31, 2020 consolidated balance sheet included herein is derived from the Company’s audited consolidated financial statements.</w:t>
      </w:r>
    </w:p>
    <w:p>
      <w:pPr>
        <w:spacing w:after="0" w:line="2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Seequent Acquisition </w:t>
      </w:r>
      <w:r>
        <w:rPr>
          <w:rFonts w:ascii="Arial" w:cs="Arial" w:eastAsia="Arial" w:hAnsi="Arial"/>
          <w:sz w:val="18"/>
          <w:szCs w:val="18"/>
          <w:color w:val="auto"/>
        </w:rPr>
        <w:t>— On June 17, 2021, the Company completed the acquisition of Seequent Holdings Limited (“Seequent”), a leader in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geological and geophysical modeling, geotechnical stability, and cloud services for geodata management and collaboration, for $910,997 in cash, net of cash acquired, plus 3,141,342 shares of the Company’s Class B Common Stock (see Note 4).</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Convertible Senior Notes </w:t>
      </w:r>
      <w:r>
        <w:rPr>
          <w:rFonts w:ascii="Arial" w:cs="Arial" w:eastAsia="Arial" w:hAnsi="Arial"/>
          <w:sz w:val="17"/>
          <w:szCs w:val="17"/>
          <w:color w:val="auto"/>
        </w:rPr>
        <w:t>— On January 26, 2021, the Company completed a private offering of $690,000 of 0.125% convertible senior notes due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2026 (the “2026 Notes”). The Company incurred $18,055 of expenses in connection with the 2026 Notes offering consisting of the payment of initial purchasers’ discounts and commissions, professional fees, and other expenses (“transaction costs”). In connection with the pricing of the 2026 Notes, the Company entered into capped call options with certain of the initial purchasers or their respective affiliates and certain other financial institutions.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Company paid premiums of $25,530 in connection with the capped call options (see Note 10).</w:t>
      </w:r>
    </w:p>
    <w:p>
      <w:pPr>
        <w:spacing w:after="0" w:line="17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June 28, 2021, the Company completed a private offering of $575,000 of 0.375% convertible senior notes due 2027 (the “2027 Notes”). The Company incurred $15,065 of expenses in connection with the 2027 Notes offering consisting of transaction costs. In connection with the pricing of the 2027 Notes, the Company entered into capped call options with certain of the initial purchasers or their respective affiliates and certain other financial institutions. The capped call options are expected to reduce potential dilution to the Company’s Class B Common Stock upon any conversion of 2027 Notes and/or offset any cash payments the Company is required to make in excess of the principal amount of converted notes, as the case may be, with such reduction and/or offset subject to a cap. The Company paid premiums of $25,875 in connection with the capped call options (see Note 10).</w:t>
      </w:r>
    </w:p>
    <w:p>
      <w:pPr>
        <w:spacing w:after="0" w:line="16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6"/>
          <w:szCs w:val="16"/>
          <w:b w:val="1"/>
          <w:bCs w:val="1"/>
          <w:i w:val="1"/>
          <w:iCs w:val="1"/>
          <w:color w:val="auto"/>
        </w:rPr>
        <w:t xml:space="preserve">Initial Public Offering </w:t>
      </w:r>
      <w:r>
        <w:rPr>
          <w:rFonts w:ascii="Arial" w:cs="Arial" w:eastAsia="Arial" w:hAnsi="Arial"/>
          <w:sz w:val="16"/>
          <w:szCs w:val="16"/>
          <w:color w:val="auto"/>
        </w:rPr>
        <w:t>— On September 25, 2020, the Company completed its initial public offering (“IPO”). The selling stockholders sold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12,360,991 shares of Class B Common Stock at a public offering price of $22.00 per share. The Company did not sell any shares in the IPO and did not receive any of the proceeds from the sale of the Class B Common Stock sold by the selling stockholders. For further detail, see the audited consolidated financial statements and notes thereto included in Part II, Item 8 of the Company’s 2020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on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line="198"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b w:val="1"/>
          <w:bCs w:val="1"/>
          <w:i w:val="1"/>
          <w:iCs w:val="1"/>
          <w:color w:val="auto"/>
        </w:rPr>
        <w:t xml:space="preserve">Follow-On Public Offering </w:t>
      </w:r>
      <w:r>
        <w:rPr>
          <w:rFonts w:ascii="Arial" w:cs="Arial" w:eastAsia="Arial" w:hAnsi="Arial"/>
          <w:sz w:val="18"/>
          <w:szCs w:val="18"/>
          <w:color w:val="auto"/>
        </w:rPr>
        <w:t>— On November 17, 2020, the Company completed its follow</w:t>
      </w:r>
      <w:r>
        <w:rPr>
          <w:rFonts w:ascii="MS PGothic" w:cs="MS PGothic" w:eastAsia="MS PGothic" w:hAnsi="MS PGothic"/>
          <w:sz w:val="18"/>
          <w:szCs w:val="18"/>
          <w:color w:val="auto"/>
        </w:rPr>
        <w:t>‑</w:t>
      </w:r>
      <w:r>
        <w:rPr>
          <w:rFonts w:ascii="Arial" w:cs="Arial" w:eastAsia="Arial" w:hAnsi="Arial"/>
          <w:sz w:val="18"/>
          <w:szCs w:val="18"/>
          <w:color w:val="auto"/>
        </w:rPr>
        <w:t>on public offering of 11,500,000 shares of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at a public offering price of $32.00 per share (the “Follow</w:t>
      </w:r>
      <w:r>
        <w:rPr>
          <w:rFonts w:ascii="MS PGothic" w:cs="MS PGothic" w:eastAsia="MS PGothic" w:hAnsi="MS PGothic"/>
          <w:sz w:val="18"/>
          <w:szCs w:val="18"/>
          <w:color w:val="auto"/>
        </w:rPr>
        <w:t>‑</w:t>
      </w:r>
      <w:r>
        <w:rPr>
          <w:rFonts w:ascii="Arial" w:cs="Arial" w:eastAsia="Arial" w:hAnsi="Arial"/>
          <w:sz w:val="18"/>
          <w:szCs w:val="18"/>
          <w:color w:val="auto"/>
        </w:rPr>
        <w:t>On Offering”). The Company sold 9,603,965 shares of Class B Common Stock (inclusive of 1,500,000 shares sold upon the exercise by the underwriters of their option to purchase additional shares of the Company’s Class B Common Stock). The selling stockholders sold 1,896,035 shares of Class B Common Stock. The Company received net proceeds of $294,429 after deducting expenses of $12,898. The Company did not receive any of the proceeds from the sale of the Class B Common Stock sold by the selling stockholders. For further detail, see the audited consolidated financial statements and notes thereto included in Part II, Item 8 of the Company’s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w:t>
      </w:r>
    </w:p>
    <w:p>
      <w:pPr>
        <w:spacing w:after="0" w:line="207"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b w:val="1"/>
          <w:bCs w:val="1"/>
          <w:i w:val="1"/>
          <w:iCs w:val="1"/>
          <w:color w:val="auto"/>
        </w:rPr>
        <w:t>Risks and Uncertainties — COVID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19 Pandemic </w:t>
      </w:r>
      <w:r>
        <w:rPr>
          <w:rFonts w:ascii="Arial" w:cs="Arial" w:eastAsia="Arial" w:hAnsi="Arial"/>
          <w:sz w:val="16"/>
          <w:szCs w:val="16"/>
          <w:color w:val="auto"/>
        </w:rPr>
        <w:t>— In March 2020, the World Health Organization declared a global pandemic related to the rapidly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outbreak of the disease COVID</w:t>
      </w:r>
      <w:r>
        <w:rPr>
          <w:rFonts w:ascii="MS PGothic" w:cs="MS PGothic" w:eastAsia="MS PGothic" w:hAnsi="MS PGothic"/>
          <w:sz w:val="16"/>
          <w:szCs w:val="16"/>
          <w:color w:val="auto"/>
        </w:rPr>
        <w:t>‑</w:t>
      </w:r>
      <w:r>
        <w:rPr>
          <w:rFonts w:ascii="Arial" w:cs="Arial" w:eastAsia="Arial" w:hAnsi="Arial"/>
          <w:sz w:val="16"/>
          <w:szCs w:val="16"/>
          <w:color w:val="auto"/>
        </w:rPr>
        <w:t>19, caused by a novel strain of coronavirus, SARS</w:t>
      </w:r>
      <w:r>
        <w:rPr>
          <w:rFonts w:ascii="MS PGothic" w:cs="MS PGothic" w:eastAsia="MS PGothic" w:hAnsi="MS PGothic"/>
          <w:sz w:val="16"/>
          <w:szCs w:val="16"/>
          <w:color w:val="auto"/>
        </w:rPr>
        <w:t>‑</w:t>
      </w:r>
      <w:r>
        <w:rPr>
          <w:rFonts w:ascii="Arial" w:cs="Arial" w:eastAsia="Arial" w:hAnsi="Arial"/>
          <w:sz w:val="16"/>
          <w:szCs w:val="16"/>
          <w:color w:val="auto"/>
        </w:rPr>
        <w:t>CoV</w:t>
      </w:r>
      <w:r>
        <w:rPr>
          <w:rFonts w:ascii="MS PGothic" w:cs="MS PGothic" w:eastAsia="MS PGothic" w:hAnsi="MS PGothic"/>
          <w:sz w:val="16"/>
          <w:szCs w:val="16"/>
          <w:color w:val="auto"/>
        </w:rPr>
        <w:t>‑</w:t>
      </w:r>
      <w:r>
        <w:rPr>
          <w:rFonts w:ascii="Arial" w:cs="Arial" w:eastAsia="Arial" w:hAnsi="Arial"/>
          <w:sz w:val="16"/>
          <w:szCs w:val="16"/>
          <w:color w:val="auto"/>
        </w:rPr>
        <w:t>2. The COVID</w:t>
      </w:r>
      <w:r>
        <w:rPr>
          <w:rFonts w:ascii="MS PGothic" w:cs="MS PGothic" w:eastAsia="MS PGothic" w:hAnsi="MS PGothic"/>
          <w:sz w:val="16"/>
          <w:szCs w:val="16"/>
          <w:color w:val="auto"/>
        </w:rPr>
        <w:t>‑</w:t>
      </w:r>
      <w:r>
        <w:rPr>
          <w:rFonts w:ascii="Arial" w:cs="Arial" w:eastAsia="Arial" w:hAnsi="Arial"/>
          <w:sz w:val="16"/>
          <w:szCs w:val="16"/>
          <w:color w:val="auto"/>
        </w:rPr>
        <w:t>19 outbreak and certain preventative or protective actions that governments, businesses, and individuals have taken in respect of COVID</w:t>
      </w:r>
      <w:r>
        <w:rPr>
          <w:rFonts w:ascii="MS PGothic" w:cs="MS PGothic" w:eastAsia="MS PGothic" w:hAnsi="MS PGothic"/>
          <w:sz w:val="16"/>
          <w:szCs w:val="16"/>
          <w:color w:val="auto"/>
        </w:rPr>
        <w:t>‑</w:t>
      </w:r>
      <w:r>
        <w:rPr>
          <w:rFonts w:ascii="Arial" w:cs="Arial" w:eastAsia="Arial" w:hAnsi="Arial"/>
          <w:sz w:val="16"/>
          <w:szCs w:val="16"/>
          <w:color w:val="auto"/>
        </w:rPr>
        <w:t>19 have resulted in global business disruptions.</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response to the COVID</w:t>
      </w:r>
      <w:r>
        <w:rPr>
          <w:rFonts w:ascii="MS PGothic" w:cs="MS PGothic" w:eastAsia="MS PGothic" w:hAnsi="MS PGothic"/>
          <w:sz w:val="18"/>
          <w:szCs w:val="18"/>
          <w:color w:val="auto"/>
        </w:rPr>
        <w:t>‑</w:t>
      </w:r>
      <w:r>
        <w:rPr>
          <w:rFonts w:ascii="Arial" w:cs="Arial" w:eastAsia="Arial" w:hAnsi="Arial"/>
          <w:sz w:val="18"/>
          <w:szCs w:val="18"/>
          <w:color w:val="auto"/>
        </w:rPr>
        <w:t>19 pandemic, the Company implemented a number of initiatives to ensure the safety of its colleagues and enable them to move to a work from home environment seamlessly and continue working effectively. The Company’s business model is such that there was minimal disruption to the Company’s ability to deliver its solutions to accounts. The Company has also taken measures to reduce selected operating expenses, including various costs associated with travel and facilities.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In March 2020, the Financial Accounting Standards Board (“FASB”) issued ASU No. 2020</w:t>
      </w:r>
      <w:r>
        <w:rPr>
          <w:rFonts w:ascii="MS PGothic" w:cs="MS PGothic" w:eastAsia="MS PGothic" w:hAnsi="MS PGothic"/>
          <w:sz w:val="16"/>
          <w:szCs w:val="16"/>
          <w:color w:val="auto"/>
        </w:rPr>
        <w:t>‑</w:t>
      </w:r>
      <w:r>
        <w:rPr>
          <w:rFonts w:ascii="Arial" w:cs="Arial" w:eastAsia="Arial" w:hAnsi="Arial"/>
          <w:sz w:val="16"/>
          <w:szCs w:val="16"/>
          <w:color w:val="auto"/>
        </w:rPr>
        <w:t xml:space="preserve">04, </w:t>
      </w:r>
      <w:r>
        <w:rPr>
          <w:rFonts w:ascii="Arial" w:cs="Arial" w:eastAsia="Arial" w:hAnsi="Arial"/>
          <w:sz w:val="16"/>
          <w:szCs w:val="16"/>
          <w:i w:val="1"/>
          <w:iCs w:val="1"/>
          <w:color w:val="auto"/>
        </w:rPr>
        <w:t>Reference Rate Reform (Topic 848): Facilitation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of Reference Rate Reform on Financial Reporting </w:t>
      </w:r>
      <w:r>
        <w:rPr>
          <w:rFonts w:ascii="Arial" w:cs="Arial" w:eastAsia="Arial" w:hAnsi="Arial"/>
          <w:sz w:val="16"/>
          <w:szCs w:val="16"/>
          <w:color w:val="auto"/>
        </w:rPr>
        <w:t>(“ASU 2020</w:t>
      </w:r>
      <w:r>
        <w:rPr>
          <w:rFonts w:ascii="MS PGothic" w:cs="MS PGothic" w:eastAsia="MS PGothic" w:hAnsi="MS PGothic"/>
          <w:sz w:val="16"/>
          <w:szCs w:val="16"/>
          <w:color w:val="auto"/>
        </w:rPr>
        <w:t>‑</w:t>
      </w:r>
      <w:r>
        <w:rPr>
          <w:rFonts w:ascii="Arial" w:cs="Arial" w:eastAsia="Arial" w:hAnsi="Arial"/>
          <w:sz w:val="16"/>
          <w:szCs w:val="16"/>
          <w:color w:val="auto"/>
        </w:rPr>
        <w:t>04”), which provides optional expedients and exceptions for applying U.S. GAAP to</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hedging relationships, and other transactions affected by reference rate reform if certain criteria are met. ASU 2020</w:t>
      </w:r>
      <w:r>
        <w:rPr>
          <w:rFonts w:ascii="MS PGothic" w:cs="MS PGothic" w:eastAsia="MS PGothic" w:hAnsi="MS PGothic"/>
          <w:sz w:val="16"/>
          <w:szCs w:val="16"/>
          <w:color w:val="auto"/>
        </w:rPr>
        <w:t>‑</w:t>
      </w:r>
      <w:r>
        <w:rPr>
          <w:rFonts w:ascii="Arial" w:cs="Arial" w:eastAsia="Arial" w:hAnsi="Arial"/>
          <w:sz w:val="16"/>
          <w:szCs w:val="16"/>
          <w:color w:val="auto"/>
        </w:rPr>
        <w:t>04 applies only to contracts, hedging relationships, and other transactions that reference the London Interbank Offered Rate (“LIBOR”) or another reference rate expected to be discontinued because of reference rate reform between March 12, 2020 and December 31, 2022. The expedients and exceptions provided by ASU 2020</w:t>
      </w:r>
      <w:r>
        <w:rPr>
          <w:rFonts w:ascii="MS PGothic" w:cs="MS PGothic" w:eastAsia="MS PGothic" w:hAnsi="MS PGothic"/>
          <w:sz w:val="16"/>
          <w:szCs w:val="16"/>
          <w:color w:val="auto"/>
        </w:rPr>
        <w:t>‑</w:t>
      </w:r>
      <w:r>
        <w:rPr>
          <w:rFonts w:ascii="Arial" w:cs="Arial" w:eastAsia="Arial" w:hAnsi="Arial"/>
          <w:sz w:val="16"/>
          <w:szCs w:val="16"/>
          <w:color w:val="auto"/>
        </w:rPr>
        <w:t>04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Company had no transactions that were impacted by ASU 2020</w:t>
      </w:r>
      <w:r>
        <w:rPr>
          <w:rFonts w:ascii="MS PGothic" w:cs="MS PGothic" w:eastAsia="MS PGothic" w:hAnsi="MS PGothic"/>
          <w:sz w:val="16"/>
          <w:szCs w:val="16"/>
          <w:color w:val="auto"/>
        </w:rPr>
        <w:t>‑</w:t>
      </w:r>
      <w:r>
        <w:rPr>
          <w:rFonts w:ascii="Arial" w:cs="Arial" w:eastAsia="Arial" w:hAnsi="Arial"/>
          <w:sz w:val="16"/>
          <w:szCs w:val="16"/>
          <w:color w:val="auto"/>
        </w:rPr>
        <w:t>04 during the six months ended June 30,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In January 2017, the FASB issued ASU No. 2017</w:t>
      </w:r>
      <w:r>
        <w:rPr>
          <w:rFonts w:ascii="MS PGothic" w:cs="MS PGothic" w:eastAsia="MS PGothic" w:hAnsi="MS PGothic"/>
          <w:sz w:val="16"/>
          <w:szCs w:val="16"/>
          <w:color w:val="auto"/>
        </w:rPr>
        <w:t>‑</w:t>
      </w:r>
      <w:r>
        <w:rPr>
          <w:rFonts w:ascii="Arial" w:cs="Arial" w:eastAsia="Arial" w:hAnsi="Arial"/>
          <w:sz w:val="16"/>
          <w:szCs w:val="16"/>
          <w:color w:val="auto"/>
        </w:rPr>
        <w:t xml:space="preserve">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which removes Step 2 of the goodwill impairment test. A goodwill impairment will now be calculated as the amount by which a reporting unit’s carrying value exceeds its fair value, not to exceed the carrying amount of goodwill. The new guidance is required to be applied on a prospective basis and as such, the Company will use the simplified test in its annual fourth quarter testing or more often if circumstances indicate a potential impairment may exist. The Company does not believe this ASU will have a material impact on its consolidated results of operations and financial position.</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In August 2018, the FASB issued ASU No. 2018</w:t>
      </w:r>
      <w:r>
        <w:rPr>
          <w:rFonts w:ascii="MS PGothic" w:cs="MS PGothic" w:eastAsia="MS PGothic" w:hAnsi="MS PGothic"/>
          <w:sz w:val="18"/>
          <w:szCs w:val="18"/>
          <w:color w:val="auto"/>
        </w:rPr>
        <w:t>‑</w:t>
      </w:r>
      <w:r>
        <w:rPr>
          <w:rFonts w:ascii="Arial" w:cs="Arial" w:eastAsia="Arial" w:hAnsi="Arial"/>
          <w:sz w:val="18"/>
          <w:szCs w:val="18"/>
          <w:color w:val="auto"/>
        </w:rPr>
        <w:t xml:space="preserve">15, </w:t>
      </w:r>
      <w:r>
        <w:rPr>
          <w:rFonts w:ascii="Arial" w:cs="Arial" w:eastAsia="Arial" w:hAnsi="Arial"/>
          <w:sz w:val="18"/>
          <w:szCs w:val="18"/>
          <w:i w:val="1"/>
          <w:iCs w:val="1"/>
          <w:color w:val="auto"/>
        </w:rPr>
        <w:t>Intangibles–Goodwill and Other–Internal-Use Software (Subtopic 350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w:t>
      </w:r>
      <w:r>
        <w:rPr>
          <w:rFonts w:ascii="MS PGothic" w:cs="MS PGothic" w:eastAsia="MS PGothic" w:hAnsi="MS PGothic"/>
          <w:sz w:val="18"/>
          <w:szCs w:val="18"/>
          <w:color w:val="auto"/>
        </w:rPr>
        <w:t>‑</w:t>
      </w:r>
      <w:r>
        <w:rPr>
          <w:rFonts w:ascii="Arial" w:cs="Arial" w:eastAsia="Arial" w:hAnsi="Arial"/>
          <w:sz w:val="18"/>
          <w:szCs w:val="18"/>
          <w:color w:val="auto"/>
        </w:rPr>
        <w:t>15”), which aligns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 cloud computing arrangements with the requirements for capitalizing implementation costs incurred to develop or obtain internal</w:t>
      </w:r>
      <w:r>
        <w:rPr>
          <w:rFonts w:ascii="MS PGothic" w:cs="MS PGothic" w:eastAsia="MS PGothic" w:hAnsi="MS PGothic"/>
          <w:sz w:val="18"/>
          <w:szCs w:val="18"/>
          <w:color w:val="auto"/>
        </w:rPr>
        <w:t>‑</w:t>
      </w:r>
      <w:r>
        <w:rPr>
          <w:rFonts w:ascii="Arial" w:cs="Arial" w:eastAsia="Arial" w:hAnsi="Arial"/>
          <w:sz w:val="18"/>
          <w:szCs w:val="18"/>
          <w:color w:val="auto"/>
        </w:rPr>
        <w:t xml:space="preserve">use software. The Company prospectively adopted the ASU effective January 1, 2021. Capitalized costs related to cloud computing arrangements for the six months ended June 30, 2021, which are included in </w:t>
      </w: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xml:space="preserve"> in the consolidated balance sheet,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8"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In August 2020, the FASB issued ASU No. 2020</w:t>
      </w:r>
      <w:r>
        <w:rPr>
          <w:rFonts w:ascii="MS PGothic" w:cs="MS PGothic" w:eastAsia="MS PGothic" w:hAnsi="MS PGothic"/>
          <w:sz w:val="18"/>
          <w:szCs w:val="18"/>
          <w:color w:val="auto"/>
        </w:rPr>
        <w:t>‑</w:t>
      </w:r>
      <w:r>
        <w:rPr>
          <w:rFonts w:ascii="Arial" w:cs="Arial" w:eastAsia="Arial" w:hAnsi="Arial"/>
          <w:sz w:val="18"/>
          <w:szCs w:val="18"/>
          <w:color w:val="auto"/>
        </w:rPr>
        <w:t xml:space="preserve">06, </w:t>
      </w:r>
      <w:r>
        <w:rPr>
          <w:rFonts w:ascii="Arial" w:cs="Arial" w:eastAsia="Arial" w:hAnsi="Arial"/>
          <w:sz w:val="18"/>
          <w:szCs w:val="18"/>
          <w:i w:val="1"/>
          <w:iCs w:val="1"/>
          <w:color w:val="auto"/>
        </w:rPr>
        <w:t>Debt–Debt with Conversion and Other Options (Subtopic 470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40): Accounting for Convertible Instruments and Contracts in an Entity’s Own Equity </w:t>
      </w:r>
      <w:r>
        <w:rPr>
          <w:rFonts w:ascii="Arial" w:cs="Arial" w:eastAsia="Arial" w:hAnsi="Arial"/>
          <w:sz w:val="18"/>
          <w:szCs w:val="18"/>
          <w:color w:val="auto"/>
        </w:rPr>
        <w:t>(“ASU 2020</w:t>
      </w:r>
      <w:r>
        <w:rPr>
          <w:rFonts w:ascii="MS PGothic" w:cs="MS PGothic" w:eastAsia="MS PGothic" w:hAnsi="MS PGothic"/>
          <w:sz w:val="18"/>
          <w:szCs w:val="18"/>
          <w:color w:val="auto"/>
        </w:rPr>
        <w:t>‑</w:t>
      </w:r>
      <w:r>
        <w:rPr>
          <w:rFonts w:ascii="Arial" w:cs="Arial" w:eastAsia="Arial" w:hAnsi="Arial"/>
          <w:sz w:val="18"/>
          <w:szCs w:val="18"/>
          <w:color w:val="auto"/>
        </w:rPr>
        <w:t>06”),</w:t>
      </w:r>
      <w:r>
        <w:rPr>
          <w:rFonts w:ascii="Arial" w:cs="Arial" w:eastAsia="Arial" w:hAnsi="Arial"/>
          <w:sz w:val="18"/>
          <w:szCs w:val="18"/>
          <w:i w:val="1"/>
          <w:iCs w:val="1"/>
          <w:color w:val="auto"/>
        </w:rPr>
        <w:t xml:space="preserve"> </w:t>
      </w:r>
      <w:r>
        <w:rPr>
          <w:rFonts w:ascii="Arial" w:cs="Arial" w:eastAsia="Arial" w:hAnsi="Arial"/>
          <w:sz w:val="18"/>
          <w:szCs w:val="18"/>
          <w:color w:val="auto"/>
        </w:rPr>
        <w:t>which simplifies 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w:t>
      </w:r>
      <w:r>
        <w:rPr>
          <w:rFonts w:ascii="MS PGothic" w:cs="MS PGothic" w:eastAsia="MS PGothic" w:hAnsi="MS PGothic"/>
          <w:sz w:val="18"/>
          <w:szCs w:val="18"/>
          <w:color w:val="auto"/>
        </w:rPr>
        <w:t>‑</w:t>
      </w:r>
      <w:r>
        <w:rPr>
          <w:rFonts w:ascii="Arial" w:cs="Arial" w:eastAsia="Arial" w:hAnsi="Arial"/>
          <w:sz w:val="18"/>
          <w:szCs w:val="18"/>
          <w:color w:val="auto"/>
        </w:rPr>
        <w:t>converted method. The Company early adopted the ASU effective January 1, 2021 using the modified retrospective method of adoption (see Notes 10 and 23).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from Contracts with Customers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revenue upon the transfer of promised goods or services to customers in an amount that reflects the expected consideration received in exchange for those goods or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Products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generates revenues from subscriptions, perpetual licenses, and professional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SELECT subscriptions </w:t>
      </w:r>
      <w:r>
        <w:rPr>
          <w:rFonts w:ascii="Arial" w:cs="Arial" w:eastAsia="Arial" w:hAnsi="Arial"/>
          <w:sz w:val="17"/>
          <w:szCs w:val="17"/>
          <w:color w:val="auto"/>
        </w:rPr>
        <w:t>— A prepaid annual recurring subscription that accounts (which are based on distinct contractual and billing relationships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7"/>
          <w:szCs w:val="17"/>
          <w:color w:val="auto"/>
        </w:rPr>
        <w:t>‑</w:t>
      </w:r>
      <w:r>
        <w:rPr>
          <w:rFonts w:ascii="Arial" w:cs="Arial" w:eastAsia="Arial" w:hAnsi="Arial"/>
          <w:sz w:val="17"/>
          <w:szCs w:val="17"/>
          <w:color w:val="auto"/>
        </w:rPr>
        <w:t>based cloud collaboration services, mobility advantages, and access to other available benefits. SELECT subscription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w:t>
      </w:r>
    </w:p>
    <w:p>
      <w:pPr>
        <w:spacing w:after="0" w:line="20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Enterprise subscriptions </w:t>
      </w:r>
      <w:r>
        <w:rPr>
          <w:rFonts w:ascii="Arial" w:cs="Arial" w:eastAsia="Arial" w:hAnsi="Arial"/>
          <w:sz w:val="17"/>
          <w:szCs w:val="17"/>
          <w:color w:val="auto"/>
        </w:rPr>
        <w:t>— The Company also provides Enterprise subscription offerings which provide its largest accounts with complete and</w:t>
      </w:r>
      <w:r>
        <w:rPr>
          <w:rFonts w:ascii="Arial" w:cs="Arial" w:eastAsia="Arial" w:hAnsi="Arial"/>
          <w:sz w:val="17"/>
          <w:szCs w:val="17"/>
          <w:i w:val="1"/>
          <w:iCs w:val="1"/>
          <w:color w:val="auto"/>
        </w:rPr>
        <w:t xml:space="preserve"> </w:t>
      </w:r>
      <w:r>
        <w:rPr>
          <w:rFonts w:ascii="Arial" w:cs="Arial" w:eastAsia="Arial" w:hAnsi="Arial"/>
          <w:sz w:val="17"/>
          <w:szCs w:val="17"/>
          <w:color w:val="auto"/>
        </w:rPr>
        <w:t>unlimited global access to the Company’s comprehensive portfolio of solutions. Enterprise License Subscriptions (“ELS”) provide access for a prepaid fee, which is based on the account’s usage of software in the preceding year, to effectively create a fee</w:t>
      </w:r>
      <w:r>
        <w:rPr>
          <w:rFonts w:ascii="MS PGothic" w:cs="MS PGothic" w:eastAsia="MS PGothic" w:hAnsi="MS PGothic"/>
          <w:sz w:val="17"/>
          <w:szCs w:val="17"/>
          <w:color w:val="auto"/>
        </w:rPr>
        <w:t>‑</w:t>
      </w:r>
      <w:r>
        <w:rPr>
          <w:rFonts w:ascii="Arial" w:cs="Arial" w:eastAsia="Arial" w:hAnsi="Arial"/>
          <w:sz w:val="17"/>
          <w:szCs w:val="17"/>
          <w:color w:val="auto"/>
        </w:rPr>
        <w:t>certain consumption</w:t>
      </w:r>
      <w:r>
        <w:rPr>
          <w:rFonts w:ascii="MS PGothic" w:cs="MS PGothic" w:eastAsia="MS PGothic" w:hAnsi="MS PGothic"/>
          <w:sz w:val="17"/>
          <w:szCs w:val="17"/>
          <w:color w:val="auto"/>
        </w:rPr>
        <w:t>‑</w:t>
      </w:r>
      <w:r>
        <w:rPr>
          <w:rFonts w:ascii="Arial" w:cs="Arial" w:eastAsia="Arial" w:hAnsi="Arial"/>
          <w:sz w:val="17"/>
          <w:szCs w:val="17"/>
          <w:color w:val="auto"/>
        </w:rPr>
        <w:t xml:space="preserve">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Arial" w:cs="Arial" w:eastAsia="Arial" w:hAnsi="Arial"/>
          <w:sz w:val="17"/>
          <w:szCs w:val="17"/>
          <w:i w:val="1"/>
          <w:iCs w:val="1"/>
          <w:color w:val="auto"/>
        </w:rPr>
        <w:t>Deferred revenues</w:t>
      </w:r>
      <w:r>
        <w:rPr>
          <w:rFonts w:ascii="Arial" w:cs="Arial" w:eastAsia="Arial" w:hAnsi="Arial"/>
          <w:sz w:val="17"/>
          <w:szCs w:val="17"/>
          <w:color w:val="auto"/>
        </w:rPr>
        <w:t xml:space="preserve"> in the consolidated balance sheets.</w:t>
      </w:r>
    </w:p>
    <w:p>
      <w:pPr>
        <w:spacing w:after="0" w:line="2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Enterprise 365 (“E365”) subscriptions provide unrestricted access to the Company’s comprehensive software portfolio, similar to ELS, however, the accounts are charged based upon daily usage. The daily usage fee also includes a term license component, SELECT maintenance and support, hosting, and Success Plan services, which are designed to achieve business outcomes through more efficient and effective use of the Company’s software. E365 revenues are recognized based upon usage incurred by the account. Usage is defined as distinct user access on a daily basis. E365 subscriptions can contain quarterly usage floors or collars as accounts transition to the usage model or for accounts within the public sector. The term of E365 subscriptions aligns with calendar quarters and revenue is recognized based on actual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8"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i w:val="1"/>
          <w:iCs w:val="1"/>
          <w:color w:val="auto"/>
        </w:rPr>
        <w:t xml:space="preserve">Term license subscriptions </w:t>
      </w:r>
      <w:r>
        <w:rPr>
          <w:rFonts w:ascii="Arial" w:cs="Arial" w:eastAsia="Arial" w:hAnsi="Arial"/>
          <w:sz w:val="16"/>
          <w:szCs w:val="16"/>
          <w:color w:val="auto"/>
        </w:rPr>
        <w:t>— The Company provides annual, quarterly, and monthly term licenses for its software products. Term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subscriptions contain a term license component and SELECT maintenance and support. Revenue is allocated to the various performance obligations based on their SSP. Annual term licenses (“ATL”) are generally prepaid annually for named user access to specific products.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Billings in advance are recorded as </w:t>
      </w:r>
      <w:r>
        <w:rPr>
          <w:rFonts w:ascii="Arial" w:cs="Arial" w:eastAsia="Arial" w:hAnsi="Arial"/>
          <w:sz w:val="16"/>
          <w:szCs w:val="16"/>
          <w:i w:val="1"/>
          <w:iCs w:val="1"/>
          <w:color w:val="auto"/>
        </w:rPr>
        <w:t>Deferred revenues</w:t>
      </w:r>
      <w:r>
        <w:rPr>
          <w:rFonts w:ascii="Arial" w:cs="Arial" w:eastAsia="Arial" w:hAnsi="Arial"/>
          <w:sz w:val="16"/>
          <w:szCs w:val="16"/>
          <w:color w:val="auto"/>
        </w:rPr>
        <w:t xml:space="preserve"> in the consolidated balance sheets. For usage</w:t>
      </w:r>
      <w:r>
        <w:rPr>
          <w:rFonts w:ascii="MS PGothic" w:cs="MS PGothic" w:eastAsia="MS PGothic" w:hAnsi="MS PGothic"/>
          <w:sz w:val="16"/>
          <w:szCs w:val="16"/>
          <w:color w:val="auto"/>
        </w:rPr>
        <w:t>‑</w:t>
      </w:r>
      <w:r>
        <w:rPr>
          <w:rFonts w:ascii="Arial" w:cs="Arial" w:eastAsia="Arial" w:hAnsi="Arial"/>
          <w:sz w:val="16"/>
          <w:szCs w:val="16"/>
          <w:color w:val="auto"/>
        </w:rPr>
        <w:t>based QTL and MTL subscriptions, revenues are recognized based upon usage incurred by the account. Usage is defined as peak usage over the respective terms. The terms of QTL and MTL subscriptions align with calendar quarters and calendar months, respectively, and revenue is recognized based on actual usage.</w:t>
      </w:r>
    </w:p>
    <w:p>
      <w:pPr>
        <w:spacing w:after="0" w:line="2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Visas and Passports are quarterly or annual term licenses enabling users to access specific project or enterprise information and entitles users to certain functionality of the Company’s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The Company’s standard offerings are usage based with monetization through the Company’s CSS program as described below.</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CSS is a program designed to streamline the procurement, administration, and payment process. The program requires an account to estimate their annual usage for CSS eligible offerings and deposit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Perpetual licenses</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Perpetual licenses may be sold with or without attaching a SELECT subscription. Historically, attachment and retention of the SELECT subscription has been high given the benefits of the SELECT subscription. Perpetual license revenue is recognized upon delivery of the license to the user.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color w:val="auto"/>
        </w:rPr>
        <w:t>The Company provides professional services including training, implementation, configuration, customization, and strategic consulting services. The Company performs projects on both a time and materials and a fixed fee basis. The Company’s recent and preferred contractual structures for delivering professional services include (i) delivery of the services in the form of subscription</w:t>
      </w:r>
      <w:r>
        <w:rPr>
          <w:rFonts w:ascii="MS PGothic" w:cs="MS PGothic" w:eastAsia="MS PGothic" w:hAnsi="MS PGothic"/>
          <w:sz w:val="16"/>
          <w:szCs w:val="16"/>
          <w:color w:val="auto"/>
        </w:rPr>
        <w:t>‑</w:t>
      </w:r>
      <w:r>
        <w:rPr>
          <w:rFonts w:ascii="Arial" w:cs="Arial" w:eastAsia="Arial" w:hAnsi="Arial"/>
          <w:sz w:val="16"/>
          <w:szCs w:val="16"/>
          <w:color w:val="auto"/>
        </w:rPr>
        <w:t>like, packaged offerings which are annually recurring in nature, and</w:t>
      </w:r>
    </w:p>
    <w:p>
      <w:pPr>
        <w:spacing w:after="0" w:line="2" w:lineRule="exact"/>
        <w:rPr>
          <w:sz w:val="20"/>
          <w:szCs w:val="20"/>
          <w:color w:val="auto"/>
        </w:rPr>
      </w:pPr>
    </w:p>
    <w:p>
      <w:pPr>
        <w:ind w:firstLine="8"/>
        <w:spacing w:after="0" w:line="323" w:lineRule="auto"/>
        <w:tabs>
          <w:tab w:leader="none" w:pos="285" w:val="left"/>
        </w:tabs>
        <w:numPr>
          <w:ilvl w:val="0"/>
          <w:numId w:val="7"/>
        </w:numPr>
        <w:rPr>
          <w:rFonts w:ascii="Arial" w:cs="Arial" w:eastAsia="Arial" w:hAnsi="Arial"/>
          <w:sz w:val="16"/>
          <w:szCs w:val="16"/>
          <w:color w:val="auto"/>
        </w:rPr>
      </w:pPr>
      <w:r>
        <w:rPr>
          <w:rFonts w:ascii="Arial" w:cs="Arial" w:eastAsia="Arial" w:hAnsi="Arial"/>
          <w:sz w:val="16"/>
          <w:szCs w:val="16"/>
          <w:color w:val="auto"/>
        </w:rPr>
        <w:t>delivery of the Company’s growing portfolio of Success Plans in standard offerings which offer a level of subscription service over and above the standard technical support offered to all accounts as part of their SELECT or Enterprise agreement. Revenues are recognized as services are performed.</w:t>
      </w:r>
    </w:p>
    <w:p>
      <w:pPr>
        <w:spacing w:after="0" w:line="138"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Company primarily utilizes its direct internal sales force and also has arrangements through independent channel partners to promote and sell Bentley products and subscriptions to end</w:t>
      </w:r>
      <w:r>
        <w:rPr>
          <w:rFonts w:ascii="MS PGothic" w:cs="MS PGothic" w:eastAsia="MS PGothic" w:hAnsi="MS PGothic"/>
          <w:sz w:val="18"/>
          <w:szCs w:val="18"/>
          <w:color w:val="auto"/>
        </w:rPr>
        <w:t>‑</w:t>
      </w:r>
      <w:r>
        <w:rPr>
          <w:rFonts w:ascii="Arial" w:cs="Arial" w:eastAsia="Arial" w:hAnsi="Arial"/>
          <w:sz w:val="18"/>
          <w:szCs w:val="18"/>
          <w:color w:val="auto"/>
        </w:rPr>
        <w:t>users. Channel partners are authorized to promote the sale of an authorized set of Bentley products and subscriptions within an authorized geography under a Channel Partner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and Estimates</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The Company’s contracts with customers may include promises to transfer licenses (perpetual or term</w:t>
      </w:r>
      <w:r>
        <w:rPr>
          <w:rFonts w:ascii="MS PGothic" w:cs="MS PGothic" w:eastAsia="MS PGothic" w:hAnsi="MS PGothic"/>
          <w:sz w:val="16"/>
          <w:szCs w:val="16"/>
          <w:color w:val="auto"/>
        </w:rPr>
        <w:t>‑</w:t>
      </w:r>
      <w:r>
        <w:rPr>
          <w:rFonts w:ascii="Arial" w:cs="Arial" w:eastAsia="Arial" w:hAnsi="Arial"/>
          <w:sz w:val="16"/>
          <w:szCs w:val="16"/>
          <w:color w:val="auto"/>
        </w:rPr>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20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The Company’s SELECT agreement provides users with perpetual licenses a right to exchange software for other eligible perpetual licenses on an annual basis upon renewal. The Company refers to this option as portfolio balancing and has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June 30, 2021 and December 31, 2020, the Company has deferred $18,429 and $18,166, respectively, related to portfolio balancing exchange rights which is included in </w:t>
      </w:r>
      <w:r>
        <w:rPr>
          <w:rFonts w:ascii="Arial" w:cs="Arial" w:eastAsia="Arial" w:hAnsi="Arial"/>
          <w:sz w:val="17"/>
          <w:szCs w:val="17"/>
          <w:i w:val="1"/>
          <w:iCs w:val="1"/>
          <w:color w:val="auto"/>
        </w:rPr>
        <w:t>Deferred revenues</w:t>
      </w:r>
      <w:r>
        <w:rPr>
          <w:rFonts w:ascii="Arial" w:cs="Arial" w:eastAsia="Arial" w:hAnsi="Arial"/>
          <w:sz w:val="17"/>
          <w:szCs w:val="17"/>
          <w:color w:val="auto"/>
        </w:rPr>
        <w:t xml:space="preserve"> in the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680" w:type="dxa"/>
            <w:vAlign w:val="bottom"/>
          </w:tcPr>
          <w:p>
            <w:pPr>
              <w:jc w:val="right"/>
              <w:ind w:right="193"/>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222,986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209,314</w:t>
            </w:r>
          </w:p>
        </w:tc>
      </w:tr>
    </w:tbl>
    <w:p>
      <w:pPr>
        <w:spacing w:after="0" w:line="2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As of June 30, 2021 and December 31, 2020, the Company’s contract assets relate to performance obligations completed in advance of the right to invoice and are included in </w:t>
      </w: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xml:space="preserve"> in the consolidated balance sheets. Contract assets were not impaired as of June 30, 2021 and December 31, 2020.</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revenues consist of billings made or payments received in advance of revenue recognition from subscriptions and professional services. The timing of revenue recognition may differ from the timing of billings to users.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six months ended June 30, 2021, $135,237 of revenue that was included in the December 31, 2020 deferred revenue balance was recognized. There were additional deferrals of $152,143, which were primarily related to new billings and acquisitions (see Note 4). For the six months ended June 30, 2020, $144,391 of revenue that was included in the December 31, 2019 deferred revenue opening balance was recognized. There were additional deferrals of $118,767, which were primarily related to new billings.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contracts with customers include amounts allocated to performance obligations that will be satisfied at a later date. As of June 30, 2021, amounts allocated to these remaining performance obligations are $222,986, of which the Company expects to recognize 96.7% over the next 12 months with the remaining amount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4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w w:val="95"/>
              </w:rPr>
              <w:t>2020</w:t>
            </w:r>
          </w:p>
        </w:tc>
      </w:tr>
      <w:tr>
        <w:trPr>
          <w:trHeight w:val="212"/>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Subscriptions: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0"/>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SELECT subscriptions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66,934</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64,448</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133,074</w:t>
            </w: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132,339</w:t>
            </w:r>
          </w:p>
        </w:tc>
      </w:tr>
      <w:tr>
        <w:trPr>
          <w:trHeight w:val="27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 xml:space="preserve">Enterprise subscriptions </w:t>
            </w:r>
            <w:r>
              <w:rPr>
                <w:rFonts w:ascii="Arial" w:cs="Arial" w:eastAsia="Arial" w:hAnsi="Arial"/>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67,662</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50,556</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138,677</w:t>
            </w: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109,290</w:t>
            </w:r>
          </w:p>
        </w:tc>
      </w:tr>
      <w:tr>
        <w:trPr>
          <w:trHeight w:val="270"/>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Term license subscriptions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50,856</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42,651</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101,826</w:t>
            </w:r>
          </w:p>
        </w:tc>
        <w:tc>
          <w:tcPr>
            <w:tcW w:w="26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86,208</w:t>
            </w:r>
          </w:p>
        </w:tc>
      </w:tr>
      <w:tr>
        <w:trPr>
          <w:trHeight w:val="250"/>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Subscriptions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185,452</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157,655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373,577</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327,837</w:t>
            </w: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Perpetual licenses: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70"/>
        </w:trPr>
        <w:tc>
          <w:tcPr>
            <w:tcW w:w="4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Perpetual licenses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11,391</w:t>
            </w:r>
          </w:p>
        </w:tc>
        <w:tc>
          <w:tcPr>
            <w:tcW w:w="2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12,379</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21,507</w:t>
            </w:r>
          </w:p>
        </w:tc>
        <w:tc>
          <w:tcPr>
            <w:tcW w:w="26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23,193</w:t>
            </w:r>
          </w:p>
        </w:tc>
      </w:tr>
      <w:tr>
        <w:trPr>
          <w:trHeight w:val="250"/>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Subscriptions and licenses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196,843</w:t>
            </w: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170,034</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395,084</w:t>
            </w: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351,030</w:t>
            </w: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0"/>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Professional services (recurring)</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11,083</w:t>
            </w: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r>
      <w:tr>
        <w:trPr>
          <w:trHeight w:val="270"/>
        </w:trPr>
        <w:tc>
          <w:tcPr>
            <w:tcW w:w="4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Professional services (other)</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21,082</w:t>
            </w:r>
          </w:p>
        </w:tc>
        <w:tc>
          <w:tcPr>
            <w:tcW w:w="2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38,769</w:t>
            </w:r>
          </w:p>
        </w:tc>
        <w:tc>
          <w:tcPr>
            <w:tcW w:w="26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20,634</w:t>
            </w:r>
          </w:p>
        </w:tc>
      </w:tr>
      <w:tr>
        <w:trPr>
          <w:trHeight w:val="250"/>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26,088</w:t>
            </w:r>
          </w:p>
        </w:tc>
        <w:tc>
          <w:tcPr>
            <w:tcW w:w="2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14,256</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49,852</w:t>
            </w:r>
          </w:p>
        </w:tc>
        <w:tc>
          <w:tcPr>
            <w:tcW w:w="26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w:t>
            </w:r>
          </w:p>
        </w:tc>
      </w:tr>
      <w:tr>
        <w:trPr>
          <w:trHeight w:val="22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222,931</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184,290</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444,936</w:t>
            </w: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378,980</w:t>
            </w:r>
          </w:p>
        </w:tc>
      </w:tr>
      <w:tr>
        <w:trPr>
          <w:trHeight w:val="20"/>
        </w:trPr>
        <w:tc>
          <w:tcPr>
            <w:tcW w:w="3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line="277"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Enterprise subscriptions includes revenue attributable to E365 subscriptions of $53,753 and $25,179 for the three months ended June 30, 2021 and 2020, respectively, and $102,018 and $47,173 for the six months ended June 30, 2021 and 2020, respectively.</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Company recognizes perpetual licenses and the term license component of subscriptions as revenue when either the licenses are delivered or at the start of the subscription term. For the three months ended June 30, 2021 and 2020, the Company recognized $87,885 and $74,853 of license related revenues, respectively, of which $76,494 and $62,474, respectively, were attributable to the term license component of the Company’s subscription based commercial offerings recorded in </w:t>
      </w:r>
      <w:r>
        <w:rPr>
          <w:rFonts w:ascii="Arial" w:cs="Arial" w:eastAsia="Arial" w:hAnsi="Arial"/>
          <w:sz w:val="18"/>
          <w:szCs w:val="18"/>
          <w:i w:val="1"/>
          <w:iCs w:val="1"/>
          <w:color w:val="auto"/>
        </w:rPr>
        <w:t>Subscriptions</w:t>
      </w:r>
      <w:r>
        <w:rPr>
          <w:rFonts w:ascii="Arial" w:cs="Arial" w:eastAsia="Arial" w:hAnsi="Arial"/>
          <w:sz w:val="18"/>
          <w:szCs w:val="18"/>
          <w:color w:val="auto"/>
        </w:rPr>
        <w:t xml:space="preserve"> in the consolidated statements of operations. For the six months ended June 30, 2021 and 2020, the Company recognized $183,510 and $160,270 of license related revenues, respectively, of which $162,003 and $137,077, respectively, were attributable to the term license component of the Company’s subscription based commercial offerings recorded in </w:t>
      </w:r>
      <w:r>
        <w:rPr>
          <w:rFonts w:ascii="Arial" w:cs="Arial" w:eastAsia="Arial" w:hAnsi="Arial"/>
          <w:sz w:val="18"/>
          <w:szCs w:val="18"/>
          <w:i w:val="1"/>
          <w:iCs w:val="1"/>
          <w:color w:val="auto"/>
        </w:rPr>
        <w:t>Subscriptions</w:t>
      </w:r>
      <w:r>
        <w:rPr>
          <w:rFonts w:ascii="Arial" w:cs="Arial" w:eastAsia="Arial" w:hAnsi="Arial"/>
          <w:sz w:val="18"/>
          <w:szCs w:val="18"/>
          <w:color w:val="auto"/>
        </w:rPr>
        <w:t xml:space="preserve"> in the consolidated statements of operations.</w:t>
      </w:r>
    </w:p>
    <w:p>
      <w:pPr>
        <w:spacing w:after="0" w:line="1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derived 7% and 8% of its total revenues through channel partners for the three months ended June 30, 2021 and 2020, respectively, 8% and 8% of its total revenues through channel partners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to external customers is attributed to individual countries based upon the location of the customer.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Six Months Ended</w:t>
            </w:r>
          </w:p>
        </w:tc>
      </w:tr>
      <w:tr>
        <w:trPr>
          <w:trHeight w:val="219"/>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12"/>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112,308</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87,938</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221,170</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185,838</w:t>
            </w:r>
          </w:p>
        </w:tc>
      </w:tr>
      <w:tr>
        <w:trPr>
          <w:trHeight w:val="229"/>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Europe, the Middle East, and Africa (“EMEA”)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69,015</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59,464</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142,863</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121,578</w:t>
            </w:r>
          </w:p>
        </w:tc>
      </w:tr>
      <w:tr>
        <w:trPr>
          <w:trHeight w:val="230"/>
        </w:trPr>
        <w:tc>
          <w:tcPr>
            <w:tcW w:w="5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Asia-Pacific (“APAC”)</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41,608</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36,888</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80,903</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71,564</w:t>
            </w:r>
          </w:p>
        </w:tc>
      </w:tr>
      <w:tr>
        <w:trPr>
          <w:trHeight w:val="248"/>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222,931</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184,290</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444,936</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378,980</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121" w:lineRule="exact"/>
        <w:rPr>
          <w:sz w:val="20"/>
          <w:szCs w:val="20"/>
          <w:color w:val="auto"/>
        </w:rPr>
      </w:pPr>
    </w:p>
    <w:p>
      <w:pPr>
        <w:jc w:val="both"/>
        <w:ind w:left="340" w:hanging="332"/>
        <w:spacing w:after="0" w:line="263"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Americas includes the United States (“U.S.”), Canada, and Latin America (including the Caribbean). Revenue attributable to the U.S. totaled $91,500 and $76,781 for the three months ended June 30, 2021 and 2020, respectively, and $184,440 and $159,201 for the six months ended June 30, 2021 and 2020, respectively.</w:t>
      </w:r>
    </w:p>
    <w:p>
      <w:pPr>
        <w:spacing w:after="0" w:line="129" w:lineRule="exact"/>
        <w:rPr>
          <w:rFonts w:ascii="Arial" w:cs="Arial" w:eastAsia="Arial" w:hAnsi="Arial"/>
          <w:sz w:val="18"/>
          <w:szCs w:val="18"/>
          <w:color w:val="auto"/>
        </w:rPr>
      </w:pPr>
    </w:p>
    <w:p>
      <w:pPr>
        <w:ind w:left="340" w:right="20" w:hanging="332"/>
        <w:spacing w:after="0" w:line="277"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attributable to the United Kingdom (“U.K.”) totaled $20,242 and $14,205 for the three months ended June 30, 2021 and 2020, respectively, and $42,625 and $27,885 for the six months ended June 30,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the six months ended June 30, 2021 and the year ended December 31, 2020, the Company completed a number of acquisitions, for an aggregate purchase price of $1,236,372 and $102,094, respectively. On June 17, 2021, the Company completed the acquisition of Seequent, a leader in software for geological and geophysical modeling, geotechnical stability, and cloud services for geodata management and collaboration, for $910,997 in cash, net of cash acquired, plus 3,141,342 shares of the Company’s Class B Common Stock. The operating results of the acquired businesses, except for Seequent, were not material, individually or in the aggregate, to the Company’s consolidated statements of operations and financial position.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details of the Company’s acquisition activity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4"/>
          </w:tcPr>
          <w:p>
            <w:pPr>
              <w:jc w:val="right"/>
              <w:ind w:right="1233"/>
              <w:spacing w:after="0"/>
              <w:rPr>
                <w:sz w:val="20"/>
                <w:szCs w:val="20"/>
                <w:color w:val="auto"/>
              </w:rPr>
            </w:pPr>
            <w:r>
              <w:rPr>
                <w:rFonts w:ascii="Arial" w:cs="Arial" w:eastAsia="Arial" w:hAnsi="Arial"/>
                <w:sz w:val="16"/>
                <w:szCs w:val="16"/>
                <w:b w:val="1"/>
                <w:bCs w:val="1"/>
                <w:color w:val="auto"/>
              </w:rPr>
              <w:t>Acquisitions Completed in</w:t>
            </w:r>
          </w:p>
        </w:tc>
      </w:tr>
      <w:tr>
        <w:trPr>
          <w:trHeight w:val="207"/>
        </w:trPr>
        <w:tc>
          <w:tcPr>
            <w:tcW w:w="30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Six Months Ended</w:t>
            </w:r>
          </w:p>
        </w:tc>
        <w:tc>
          <w:tcPr>
            <w:tcW w:w="240" w:type="dxa"/>
            <w:vAlign w:val="bottom"/>
          </w:tcPr>
          <w:p>
            <w:pPr>
              <w:spacing w:after="0"/>
              <w:rPr>
                <w:sz w:val="17"/>
                <w:szCs w:val="17"/>
                <w:color w:val="auto"/>
              </w:rPr>
            </w:pPr>
          </w:p>
        </w:tc>
        <w:tc>
          <w:tcPr>
            <w:tcW w:w="1860" w:type="dxa"/>
            <w:vAlign w:val="bottom"/>
          </w:tcPr>
          <w:p>
            <w:pPr>
              <w:jc w:val="right"/>
              <w:ind w:right="553"/>
              <w:spacing w:after="0"/>
              <w:rPr>
                <w:sz w:val="20"/>
                <w:szCs w:val="20"/>
                <w:color w:val="auto"/>
              </w:rPr>
            </w:pPr>
            <w:r>
              <w:rPr>
                <w:rFonts w:ascii="Arial" w:cs="Arial" w:eastAsia="Arial" w:hAnsi="Arial"/>
                <w:sz w:val="16"/>
                <w:szCs w:val="16"/>
                <w:b w:val="1"/>
                <w:bCs w:val="1"/>
                <w:color w:val="auto"/>
              </w:rPr>
              <w:t>Year Ended</w:t>
            </w:r>
          </w:p>
        </w:tc>
      </w:tr>
      <w:tr>
        <w:trPr>
          <w:trHeight w:val="219"/>
        </w:trPr>
        <w:tc>
          <w:tcPr>
            <w:tcW w:w="30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0"/>
              </w:rPr>
              <w:t>June 30, 2021</w:t>
            </w:r>
          </w:p>
        </w:tc>
        <w:tc>
          <w:tcPr>
            <w:tcW w:w="240" w:type="dxa"/>
            <w:vAlign w:val="bottom"/>
          </w:tcPr>
          <w:p>
            <w:pPr>
              <w:spacing w:after="0"/>
              <w:rPr>
                <w:sz w:val="19"/>
                <w:szCs w:val="19"/>
                <w:color w:val="auto"/>
              </w:rPr>
            </w:pPr>
          </w:p>
        </w:tc>
        <w:tc>
          <w:tcPr>
            <w:tcW w:w="1860" w:type="dxa"/>
            <w:vAlign w:val="bottom"/>
          </w:tcPr>
          <w:p>
            <w:pPr>
              <w:jc w:val="right"/>
              <w:ind w:right="313"/>
              <w:spacing w:after="0"/>
              <w:rPr>
                <w:sz w:val="20"/>
                <w:szCs w:val="20"/>
                <w:color w:val="auto"/>
              </w:rPr>
            </w:pPr>
            <w:r>
              <w:rPr>
                <w:rFonts w:ascii="Arial" w:cs="Arial" w:eastAsia="Arial" w:hAnsi="Arial"/>
                <w:sz w:val="16"/>
                <w:szCs w:val="16"/>
                <w:b w:val="1"/>
                <w:bCs w:val="1"/>
                <w:color w:val="auto"/>
                <w:w w:val="99"/>
              </w:rPr>
              <w:t>December 31, 2020</w:t>
            </w:r>
          </w:p>
        </w:tc>
      </w:tr>
      <w:tr>
        <w:trPr>
          <w:trHeight w:val="226"/>
        </w:trPr>
        <w:tc>
          <w:tcPr>
            <w:tcW w:w="6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Number of acquisitions</w:t>
            </w:r>
          </w:p>
        </w:tc>
        <w:tc>
          <w:tcPr>
            <w:tcW w:w="26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Cash paid at closing </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1,039,398</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98,298</w:t>
            </w: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acquired</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(36,847)</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Net cash paid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1,002,551</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93,032</w:t>
            </w:r>
          </w:p>
        </w:tc>
      </w:tr>
      <w:tr>
        <w:trPr>
          <w:trHeight w:val="20"/>
        </w:trPr>
        <w:tc>
          <w:tcPr>
            <w:tcW w:w="30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3"/>
        </w:trPr>
        <w:tc>
          <w:tcPr>
            <w:tcW w:w="3000" w:type="dxa"/>
            <w:vAlign w:val="bottom"/>
            <w:tcBorders>
              <w:bottom w:val="single" w:sz="8" w:color="auto"/>
            </w:tcBorders>
          </w:tcPr>
          <w:p>
            <w:pPr>
              <w:spacing w:after="0"/>
              <w:rPr>
                <w:sz w:val="15"/>
                <w:szCs w:val="15"/>
                <w:color w:val="auto"/>
              </w:rPr>
            </w:pPr>
          </w:p>
        </w:tc>
        <w:tc>
          <w:tcPr>
            <w:tcW w:w="3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spacing w:after="0"/>
              <w:rPr>
                <w:sz w:val="15"/>
                <w:szCs w:val="15"/>
                <w:color w:val="auto"/>
              </w:rPr>
            </w:pPr>
          </w:p>
        </w:tc>
      </w:tr>
    </w:tbl>
    <w:p>
      <w:pPr>
        <w:spacing w:after="0" w:line="134" w:lineRule="exact"/>
        <w:rPr>
          <w:sz w:val="20"/>
          <w:szCs w:val="20"/>
          <w:color w:val="auto"/>
        </w:rPr>
      </w:pPr>
    </w:p>
    <w:p>
      <w:pPr>
        <w:ind w:left="340" w:hanging="332"/>
        <w:spacing w:after="0" w:line="277"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 the cash paid at closing for the six months ended June 30, 2021, $5,250 was deposited into an escrow account to secure any potential indemnification and other obligations of the seller.</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fair value of the contingent consideration from acquisitions is included in the consolidated balance sheets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680" w:type="dxa"/>
            <w:vAlign w:val="bottom"/>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8,728</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non-contingent consideration from acquisitions is included in the consolidated balance sheets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680" w:type="dxa"/>
            <w:vAlign w:val="bottom"/>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6,986</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w:t>
      </w:r>
    </w:p>
    <w:p>
      <w:pPr>
        <w:spacing w:after="0" w:line="18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In connection with the purchase price allocations related to the Company’s acquisitions, the Company has estimated the fair values of the support obligations assumed relative to acquired deferred revenue. The estimated fair values of the support obligations assumed were determined using a cost</w:t>
      </w:r>
      <w:r>
        <w:rPr>
          <w:rFonts w:ascii="MS PGothic" w:cs="MS PGothic" w:eastAsia="MS PGothic" w:hAnsi="MS PGothic"/>
          <w:sz w:val="18"/>
          <w:szCs w:val="18"/>
          <w:color w:val="auto"/>
        </w:rPr>
        <w:t>‑</w:t>
      </w:r>
      <w:r>
        <w:rPr>
          <w:rFonts w:ascii="Arial" w:cs="Arial" w:eastAsia="Arial" w:hAnsi="Arial"/>
          <w:sz w:val="18"/>
          <w:szCs w:val="18"/>
          <w:color w:val="auto"/>
        </w:rPr>
        <w:t>build</w:t>
      </w:r>
      <w:r>
        <w:rPr>
          <w:rFonts w:ascii="MS PGothic" w:cs="MS PGothic" w:eastAsia="MS PGothic" w:hAnsi="MS PGothic"/>
          <w:sz w:val="18"/>
          <w:szCs w:val="18"/>
          <w:color w:val="auto"/>
        </w:rPr>
        <w:t>‑</w:t>
      </w:r>
      <w:r>
        <w:rPr>
          <w:rFonts w:ascii="Arial" w:cs="Arial" w:eastAsia="Arial" w:hAnsi="Arial"/>
          <w:sz w:val="18"/>
          <w:szCs w:val="18"/>
          <w:color w:val="auto"/>
        </w:rPr>
        <w:t>up approach. The cost</w:t>
      </w:r>
      <w:r>
        <w:rPr>
          <w:rFonts w:ascii="MS PGothic" w:cs="MS PGothic" w:eastAsia="MS PGothic" w:hAnsi="MS PGothic"/>
          <w:sz w:val="18"/>
          <w:szCs w:val="18"/>
          <w:color w:val="auto"/>
        </w:rPr>
        <w:t>‑</w:t>
      </w:r>
      <w:r>
        <w:rPr>
          <w:rFonts w:ascii="Arial" w:cs="Arial" w:eastAsia="Arial" w:hAnsi="Arial"/>
          <w:sz w:val="18"/>
          <w:szCs w:val="18"/>
          <w:color w:val="auto"/>
        </w:rPr>
        <w:t>build</w:t>
      </w:r>
      <w:r>
        <w:rPr>
          <w:rFonts w:ascii="MS PGothic" w:cs="MS PGothic" w:eastAsia="MS PGothic" w:hAnsi="MS PGothic"/>
          <w:sz w:val="18"/>
          <w:szCs w:val="18"/>
          <w:color w:val="auto"/>
        </w:rPr>
        <w:t>‑</w:t>
      </w:r>
      <w:r>
        <w:rPr>
          <w:rFonts w:ascii="Arial" w:cs="Arial" w:eastAsia="Arial" w:hAnsi="Arial"/>
          <w:sz w:val="18"/>
          <w:szCs w:val="18"/>
          <w:color w:val="auto"/>
        </w:rPr>
        <w:t>up approach determines fair value by estimating the costs related to fulfilling the obligations plus a normal profit margin. These fair value adjustments reduce the revenues recognizable over the remaining support contract term of the Company’s acquired contracts. For the three months ended June 30, 2021 and 2020, the fair value adjustments to reduce revenue were $998 and $79, respectively, and $1,010 and $195 for the six months ended June 30, 2021 and 2020, respectively.</w:t>
      </w:r>
    </w:p>
    <w:p>
      <w:pPr>
        <w:spacing w:after="0" w:line="2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purchase accounting for the eight acquisitions completed for the six months ended June 30, 2021 are not yet completed. Identifiable assets acquired and liabilities assumed were provisionally recorded at their estimated fair values on the respective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1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Acquisition and integration costs are expensed as incurred and are recorded 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in the consolidated statements of operations. For the three months ended June 30, 2021 and 2020, the Company incurred acquisition and integration costs of $10,233 and $265, respectively, and $17,094 and $1,078 for the six months ended June 30, 2021 and 2020, respectively, which include costs related to legal, accounting, valuation, general administrative, and other consulting fees. For the three and six months ended June 30, 2021, $9,180 and $15,896, respectively, of the Company’s acquisition and integration costs related to the acquisition of Seequent.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4"/>
          </w:tcPr>
          <w:p>
            <w:pPr>
              <w:jc w:val="right"/>
              <w:ind w:right="1191"/>
              <w:spacing w:after="0"/>
              <w:rPr>
                <w:sz w:val="20"/>
                <w:szCs w:val="20"/>
                <w:color w:val="auto"/>
              </w:rPr>
            </w:pPr>
            <w:r>
              <w:rPr>
                <w:rFonts w:ascii="Arial" w:cs="Arial" w:eastAsia="Arial" w:hAnsi="Arial"/>
                <w:sz w:val="16"/>
                <w:szCs w:val="16"/>
                <w:b w:val="1"/>
                <w:bCs w:val="1"/>
                <w:color w:val="auto"/>
              </w:rPr>
              <w:t>Acquisitions Completed in</w:t>
            </w:r>
          </w:p>
        </w:tc>
      </w:tr>
      <w:tr>
        <w:trPr>
          <w:trHeight w:val="207"/>
        </w:trPr>
        <w:tc>
          <w:tcPr>
            <w:tcW w:w="30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Six Months Ended</w:t>
            </w:r>
          </w:p>
        </w:tc>
        <w:tc>
          <w:tcPr>
            <w:tcW w:w="240" w:type="dxa"/>
            <w:vAlign w:val="bottom"/>
          </w:tcPr>
          <w:p>
            <w:pPr>
              <w:spacing w:after="0"/>
              <w:rPr>
                <w:sz w:val="17"/>
                <w:szCs w:val="17"/>
                <w:color w:val="auto"/>
              </w:rPr>
            </w:pPr>
          </w:p>
        </w:tc>
        <w:tc>
          <w:tcPr>
            <w:tcW w:w="1860" w:type="dxa"/>
            <w:vAlign w:val="bottom"/>
          </w:tcPr>
          <w:p>
            <w:pPr>
              <w:jc w:val="right"/>
              <w:ind w:right="551"/>
              <w:spacing w:after="0"/>
              <w:rPr>
                <w:sz w:val="20"/>
                <w:szCs w:val="20"/>
                <w:color w:val="auto"/>
              </w:rPr>
            </w:pPr>
            <w:r>
              <w:rPr>
                <w:rFonts w:ascii="Arial" w:cs="Arial" w:eastAsia="Arial" w:hAnsi="Arial"/>
                <w:sz w:val="16"/>
                <w:szCs w:val="16"/>
                <w:b w:val="1"/>
                <w:bCs w:val="1"/>
                <w:color w:val="auto"/>
              </w:rPr>
              <w:t>Year Ended</w:t>
            </w:r>
          </w:p>
        </w:tc>
      </w:tr>
      <w:tr>
        <w:trPr>
          <w:trHeight w:val="219"/>
        </w:trPr>
        <w:tc>
          <w:tcPr>
            <w:tcW w:w="30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June 30, 2021</w:t>
            </w:r>
          </w:p>
        </w:tc>
        <w:tc>
          <w:tcPr>
            <w:tcW w:w="240" w:type="dxa"/>
            <w:vAlign w:val="bottom"/>
          </w:tcPr>
          <w:p>
            <w:pPr>
              <w:spacing w:after="0"/>
              <w:rPr>
                <w:sz w:val="19"/>
                <w:szCs w:val="19"/>
                <w:color w:val="auto"/>
              </w:rPr>
            </w:pPr>
          </w:p>
        </w:tc>
        <w:tc>
          <w:tcPr>
            <w:tcW w:w="18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 2020</w:t>
            </w:r>
          </w:p>
        </w:tc>
      </w:tr>
      <w:tr>
        <w:trPr>
          <w:trHeight w:val="213"/>
        </w:trPr>
        <w:tc>
          <w:tcPr>
            <w:tcW w:w="6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26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Cash paid at closing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1,039,398</w:t>
            </w:r>
          </w:p>
        </w:tc>
        <w:tc>
          <w:tcPr>
            <w:tcW w:w="2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98,298</w:t>
            </w: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Shares issued at closing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182,390</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Contingent consideration</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4,991</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2,380</w:t>
            </w: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non-contingent consideration, net</w:t>
            </w:r>
          </w:p>
        </w:tc>
        <w:tc>
          <w:tcPr>
            <w:tcW w:w="26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2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23"/>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Total consideration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1,236,372</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102,094</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6"/>
        </w:trPr>
        <w:tc>
          <w:tcPr>
            <w:tcW w:w="68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Assets acquired and liabilities assumed:</w:t>
            </w:r>
          </w:p>
        </w:tc>
        <w:tc>
          <w:tcPr>
            <w:tcW w:w="2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36,847</w:t>
            </w:r>
          </w:p>
        </w:tc>
        <w:tc>
          <w:tcPr>
            <w:tcW w:w="2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5,266</w:t>
            </w: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21,594</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w:t>
            </w: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12,418</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2,529</w:t>
            </w: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2,211</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w w:val="98"/>
              </w:rPr>
              <w:t>Software and technology (weighted average useful life of 5 and 3 years, respectively)</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44,735</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2,207</w:t>
            </w: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 (weighted average useful life of 9 and 6 years, respectively)</w:t>
            </w: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140,299</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w:t>
            </w: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Trademarks (weighted average useful life of 10 and 7 years, respectively)</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41,417</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3,953</w:t>
            </w: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Non-compete agreement (useful life of 5 years)</w:t>
            </w:r>
          </w:p>
        </w:tc>
        <w:tc>
          <w:tcPr>
            <w:tcW w:w="26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6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w:t>
            </w:r>
          </w:p>
        </w:tc>
        <w:tc>
          <w:tcPr>
            <w:tcW w:w="2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identifiable assets acquired excluding goodwill</w:t>
            </w:r>
          </w:p>
        </w:tc>
        <w:tc>
          <w:tcPr>
            <w:tcW w:w="26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310,654</w:t>
            </w:r>
          </w:p>
        </w:tc>
        <w:tc>
          <w:tcPr>
            <w:tcW w:w="2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34,762</w:t>
            </w:r>
          </w:p>
        </w:tc>
      </w:tr>
      <w:tr>
        <w:trPr>
          <w:trHeight w:val="25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Accruals and other current liabilities</w:t>
            </w:r>
          </w:p>
        </w:tc>
        <w:tc>
          <w:tcPr>
            <w:tcW w:w="2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(24,580)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(4,991)</w:t>
            </w: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(16,041)</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(12,336)</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(2,529)</w:t>
            </w: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(54,142)</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r>
      <w:tr>
        <w:trPr>
          <w:trHeight w:val="270"/>
        </w:trPr>
        <w:tc>
          <w:tcPr>
            <w:tcW w:w="6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50"/>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(107,994)</w:t>
            </w:r>
          </w:p>
        </w:tc>
        <w:tc>
          <w:tcPr>
            <w:tcW w:w="2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(14,658)</w:t>
            </w:r>
          </w:p>
        </w:tc>
      </w:tr>
      <w:tr>
        <w:trPr>
          <w:trHeight w:val="223"/>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Net identifiable assets acquired excluding goodwill</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202,660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20,104</w:t>
            </w: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1,033,712</w:t>
            </w:r>
          </w:p>
        </w:tc>
        <w:tc>
          <w:tcPr>
            <w:tcW w:w="2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81,990</w:t>
            </w:r>
          </w:p>
        </w:tc>
      </w:tr>
      <w:tr>
        <w:trPr>
          <w:trHeight w:val="223"/>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1,236,372</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102,094</w:t>
            </w:r>
          </w:p>
        </w:tc>
      </w:tr>
      <w:tr>
        <w:trPr>
          <w:trHeight w:val="20"/>
        </w:trPr>
        <w:tc>
          <w:tcPr>
            <w:tcW w:w="3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line="223" w:lineRule="exact"/>
        <w:tabs>
          <w:tab w:leader="none" w:pos="3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the total 3,141,342 shares issued at closing, 83,627 shares are subject to forfeiture if post</w:t>
      </w:r>
      <w:r>
        <w:rPr>
          <w:rFonts w:ascii="MS PGothic" w:cs="MS PGothic" w:eastAsia="MS PGothic" w:hAnsi="MS PGothic"/>
          <w:sz w:val="18"/>
          <w:szCs w:val="18"/>
          <w:color w:val="auto"/>
        </w:rPr>
        <w:t>‑</w:t>
      </w:r>
      <w:r>
        <w:rPr>
          <w:rFonts w:ascii="Arial" w:cs="Arial" w:eastAsia="Arial" w:hAnsi="Arial"/>
          <w:sz w:val="18"/>
          <w:szCs w:val="18"/>
          <w:color w:val="auto"/>
        </w:rPr>
        <w:t>closing employment service conditions are not met. Accordingly, $5,452 is being recorded as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over the related forfeiture period of two years.</w:t>
      </w:r>
    </w:p>
    <w:p>
      <w:pPr>
        <w:spacing w:after="0" w:line="148"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fair value adjustment of $16,943 was applied to the stock consideration due to restrictions on the transfer of securities.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fair values of the working capital, other assets (liabilities), and property and equipment approximated their respective carrying values as of the acquisition date.</w:t>
      </w:r>
    </w:p>
    <w:p>
      <w:pPr>
        <w:spacing w:after="0" w:line="170"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As discussed above, the fair values of deferred revenues were determined using the cost</w:t>
      </w:r>
      <w:r>
        <w:rPr>
          <w:rFonts w:ascii="MS PGothic" w:cs="MS PGothic" w:eastAsia="MS PGothic" w:hAnsi="MS PGothic"/>
          <w:sz w:val="18"/>
          <w:szCs w:val="18"/>
          <w:color w:val="auto"/>
        </w:rPr>
        <w:t>‑</w:t>
      </w:r>
      <w:r>
        <w:rPr>
          <w:rFonts w:ascii="Arial" w:cs="Arial" w:eastAsia="Arial" w:hAnsi="Arial"/>
          <w:sz w:val="18"/>
          <w:szCs w:val="18"/>
          <w:color w:val="auto"/>
        </w:rPr>
        <w:t>build</w:t>
      </w:r>
      <w:r>
        <w:rPr>
          <w:rFonts w:ascii="MS PGothic" w:cs="MS PGothic" w:eastAsia="MS PGothic" w:hAnsi="MS PGothic"/>
          <w:sz w:val="18"/>
          <w:szCs w:val="18"/>
          <w:color w:val="auto"/>
        </w:rPr>
        <w:t>‑</w:t>
      </w:r>
      <w:r>
        <w:rPr>
          <w:rFonts w:ascii="Arial" w:cs="Arial" w:eastAsia="Arial" w:hAnsi="Arial"/>
          <w:sz w:val="18"/>
          <w:szCs w:val="18"/>
          <w:color w:val="auto"/>
        </w:rPr>
        <w:t>up approach.</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98"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w:t>
      </w:r>
      <w:r>
        <w:rPr>
          <w:rFonts w:ascii="MS PGothic" w:cs="MS PGothic" w:eastAsia="MS PGothic" w:hAnsi="MS PGothic"/>
          <w:sz w:val="18"/>
          <w:szCs w:val="18"/>
          <w:color w:val="auto"/>
        </w:rPr>
        <w:t>‑</w:t>
      </w:r>
      <w:r>
        <w:rPr>
          <w:rFonts w:ascii="Arial" w:cs="Arial" w:eastAsia="Arial" w:hAnsi="Arial"/>
          <w:sz w:val="18"/>
          <w:szCs w:val="18"/>
          <w:color w:val="auto"/>
        </w:rPr>
        <w: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2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Goodwill recorded in connection with the acquisitions was attributable to synergies expected to arise from cost saving opportunities, as well as future expected cash flows. Of the goodwill recorded as of June 30, 2021, $16,606 is expected to be deductible for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Had the acquisition of Seequent been made at the beginning of 2020, unaudited pro forma total revenues for the three months ended June 30, 2021 and 2020 would have been $241,762 and $199,339, respectively, and $497,545 and $419,180 for the six months ended June 30, 2021 and 2020, respectively. Net income, net income per share, basic, and net income per share, diluted for the three and six months ended June 30, 2021 and 2020 would not have been materially different than the amounts reported primarily due to the pro forma adjustments to reflect the amortization of purchased intangibles and the cost to finance the transaction, net of the related tax effects.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financial information is for informational purposes only and is not indicative of the results of operations that would have been achieved if the acquisition had taken place at the beginning of 2020. The unaudited pro forma financial information combines the historical results of the Company, the adjusted historical results of Seequent considering the date the Company completed the acquisition of Seequent, and the effects of the pro forma adjustments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Subsequent to June 30, 2021</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July 2021, the Company completed two acquisitions. The acquisitions are not expected to be material to the Company’s consolidated statements of operations and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34,639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33,094</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44,369</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14,857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12,849</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97,256</w:t>
            </w:r>
          </w:p>
        </w:tc>
      </w:tr>
      <w:tr>
        <w:trPr>
          <w:trHeight w:val="270"/>
        </w:trPr>
        <w:tc>
          <w:tcPr>
            <w:tcW w:w="7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(73,552)</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(68,842)</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31,439</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was $2,617 and $2,503 for the three months ended June 30, 2021 and 2020, respectively, and $5,114 and $4,926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w w:val="95"/>
              </w:rPr>
              <w:t>Note 6: Goodwill and Other Intangible 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60" w:type="dxa"/>
            <w:vAlign w:val="bottom"/>
            <w:gridSpan w:val="6"/>
          </w:tcPr>
          <w:p>
            <w:pPr>
              <w:ind w:left="340"/>
              <w:spacing w:after="0"/>
              <w:rPr>
                <w:sz w:val="20"/>
                <w:szCs w:val="20"/>
                <w:color w:val="auto"/>
              </w:rPr>
            </w:pPr>
            <w:r>
              <w:rPr>
                <w:rFonts w:ascii="Arial" w:cs="Arial" w:eastAsia="Arial" w:hAnsi="Arial"/>
                <w:sz w:val="18"/>
                <w:szCs w:val="18"/>
                <w:color w:val="auto"/>
                <w:w w:val="92"/>
              </w:rPr>
              <w:t>The changes in the carrying amount of goodwill are as follows: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581,174</w:t>
            </w:r>
          </w:p>
        </w:tc>
        <w:tc>
          <w:tcPr>
            <w:tcW w:w="0" w:type="dxa"/>
            <w:vAlign w:val="bottom"/>
          </w:tcPr>
          <w:p>
            <w:pPr>
              <w:spacing w:after="0"/>
              <w:rPr>
                <w:sz w:val="1"/>
                <w:szCs w:val="1"/>
                <w:color w:val="auto"/>
              </w:rPr>
            </w:pPr>
          </w:p>
        </w:tc>
      </w:tr>
      <w:tr>
        <w:trPr>
          <w:trHeight w:val="270"/>
        </w:trPr>
        <w:tc>
          <w:tcPr>
            <w:tcW w:w="244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1,033,712</w:t>
            </w:r>
          </w:p>
        </w:tc>
        <w:tc>
          <w:tcPr>
            <w:tcW w:w="0" w:type="dxa"/>
            <w:vAlign w:val="bottom"/>
          </w:tcPr>
          <w:p>
            <w:pPr>
              <w:spacing w:after="0"/>
              <w:rPr>
                <w:sz w:val="1"/>
                <w:szCs w:val="1"/>
                <w:color w:val="auto"/>
              </w:rPr>
            </w:pPr>
          </w:p>
        </w:tc>
      </w:tr>
      <w:tr>
        <w:trPr>
          <w:trHeight w:val="270"/>
        </w:trPr>
        <w:tc>
          <w:tcPr>
            <w:tcW w:w="3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(21,084)</w:t>
            </w:r>
          </w:p>
        </w:tc>
        <w:tc>
          <w:tcPr>
            <w:tcW w:w="0" w:type="dxa"/>
            <w:vAlign w:val="bottom"/>
          </w:tcPr>
          <w:p>
            <w:pPr>
              <w:spacing w:after="0"/>
              <w:rPr>
                <w:sz w:val="1"/>
                <w:szCs w:val="1"/>
                <w:color w:val="auto"/>
              </w:rPr>
            </w:pPr>
          </w:p>
        </w:tc>
      </w:tr>
      <w:tr>
        <w:trPr>
          <w:trHeight w:val="270"/>
        </w:trPr>
        <w:tc>
          <w:tcPr>
            <w:tcW w:w="2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adjustments</w:t>
            </w: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1,593,670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6"/>
            <w:vMerge w:val="restart"/>
          </w:tcPr>
          <w:p>
            <w:pPr>
              <w:ind w:left="340"/>
              <w:spacing w:after="0"/>
              <w:rPr>
                <w:sz w:val="20"/>
                <w:szCs w:val="20"/>
                <w:color w:val="auto"/>
              </w:rPr>
            </w:pPr>
            <w:r>
              <w:rPr>
                <w:rFonts w:ascii="Arial" w:cs="Arial" w:eastAsia="Arial" w:hAnsi="Arial"/>
                <w:sz w:val="18"/>
                <w:szCs w:val="18"/>
                <w:color w:val="auto"/>
                <w:w w:val="93"/>
              </w:rPr>
              <w:t>Details of intangible assets other than goodwill are as follows:</w:t>
            </w: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96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June 30, 2021</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December 31, 2020</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Estimated</w:t>
            </w: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1"/>
              </w:rPr>
              <w:t>Net Book</w:t>
            </w: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6"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238"/>
              <w:spacing w:after="0"/>
              <w:rPr>
                <w:sz w:val="20"/>
                <w:szCs w:val="20"/>
                <w:color w:val="auto"/>
              </w:rPr>
            </w:pPr>
            <w:r>
              <w:rPr>
                <w:rFonts w:ascii="Arial" w:cs="Arial" w:eastAsia="Arial" w:hAnsi="Arial"/>
                <w:sz w:val="13"/>
                <w:szCs w:val="13"/>
                <w:b w:val="1"/>
                <w:bCs w:val="1"/>
                <w:color w:val="auto"/>
              </w:rPr>
              <w:t>Net Book</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Useful Life</w:t>
            </w:r>
          </w:p>
        </w:tc>
        <w:tc>
          <w:tcPr>
            <w:tcW w:w="2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Value</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Amortization</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338"/>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93"/>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subject to</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440" w:type="dxa"/>
            <w:vAlign w:val="bottom"/>
          </w:tcPr>
          <w:p>
            <w:pPr>
              <w:ind w:left="180"/>
              <w:spacing w:after="0"/>
              <w:rPr>
                <w:sz w:val="20"/>
                <w:szCs w:val="20"/>
                <w:color w:val="auto"/>
              </w:rPr>
            </w:pPr>
            <w:r>
              <w:rPr>
                <w:rFonts w:ascii="Arial" w:cs="Arial" w:eastAsia="Arial" w:hAnsi="Arial"/>
                <w:sz w:val="16"/>
                <w:szCs w:val="16"/>
                <w:color w:val="auto"/>
              </w:rPr>
              <w:t>Software and technology</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3-5 years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111,455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(65,064)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46,391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67,691</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(63,046)</w:t>
            </w:r>
          </w:p>
        </w:tc>
        <w:tc>
          <w:tcPr>
            <w:tcW w:w="6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4,645</w:t>
            </w:r>
          </w:p>
        </w:tc>
        <w:tc>
          <w:tcPr>
            <w:tcW w:w="0" w:type="dxa"/>
            <w:vAlign w:val="bottom"/>
          </w:tcPr>
          <w:p>
            <w:pPr>
              <w:spacing w:after="0"/>
              <w:rPr>
                <w:sz w:val="1"/>
                <w:szCs w:val="1"/>
                <w:color w:val="auto"/>
              </w:rPr>
            </w:pPr>
          </w:p>
        </w:tc>
      </w:tr>
      <w:tr>
        <w:trPr>
          <w:trHeight w:val="246"/>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3-10 years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162,177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97,008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30,978</w:t>
            </w:r>
          </w:p>
        </w:tc>
        <w:tc>
          <w:tcPr>
            <w:tcW w:w="0" w:type="dxa"/>
            <w:vAlign w:val="bottom"/>
          </w:tcPr>
          <w:p>
            <w:pPr>
              <w:spacing w:after="0"/>
              <w:rPr>
                <w:sz w:val="1"/>
                <w:szCs w:val="1"/>
                <w:color w:val="auto"/>
              </w:rPr>
            </w:pPr>
          </w:p>
        </w:tc>
      </w:tr>
      <w:tr>
        <w:trPr>
          <w:trHeight w:val="240"/>
        </w:trPr>
        <w:tc>
          <w:tcPr>
            <w:tcW w:w="2440" w:type="dxa"/>
            <w:vAlign w:val="bottom"/>
          </w:tcPr>
          <w:p>
            <w:pPr>
              <w:ind w:left="180"/>
              <w:spacing w:after="0"/>
              <w:rPr>
                <w:sz w:val="20"/>
                <w:szCs w:val="20"/>
                <w:color w:val="auto"/>
              </w:rPr>
            </w:pPr>
            <w:r>
              <w:rPr>
                <w:rFonts w:ascii="Arial" w:cs="Arial" w:eastAsia="Arial" w:hAnsi="Arial"/>
                <w:sz w:val="16"/>
                <w:szCs w:val="16"/>
                <w:color w:val="auto"/>
              </w:rPr>
              <w:t>Trademarks</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3-10 years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67,265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49,202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26,610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(16,888)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9,722</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Non-compete agreements</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5 years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413,613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(155,596)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258,017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191,659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(146,032)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45,627</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not subject to</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40" w:type="dxa"/>
            <w:vAlign w:val="bottom"/>
          </w:tcPr>
          <w:p>
            <w:pPr>
              <w:ind w:left="180"/>
              <w:spacing w:after="0"/>
              <w:rPr>
                <w:sz w:val="20"/>
                <w:szCs w:val="20"/>
                <w:color w:val="auto"/>
              </w:rPr>
            </w:pPr>
            <w:r>
              <w:rPr>
                <w:rFonts w:ascii="Arial" w:cs="Arial" w:eastAsia="Arial" w:hAnsi="Arial"/>
                <w:sz w:val="16"/>
                <w:szCs w:val="16"/>
                <w:color w:val="auto"/>
              </w:rPr>
              <w:t>In-process research and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development</w:t>
            </w: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417,830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(155,596)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262,234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191,659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(146,032)</w:t>
            </w: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45,627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aggregate amortization expense for purchased intangible assets with finite lives was reflected in the Company’s consolidated statements of operations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2600" w:type="dxa"/>
            <w:vAlign w:val="bottom"/>
            <w:gridSpan w:val="4"/>
          </w:tcPr>
          <w:p>
            <w:pPr>
              <w:jc w:val="right"/>
              <w:ind w:right="21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8"/>
                <w:szCs w:val="18"/>
                <w:color w:val="auto"/>
              </w:rPr>
            </w:pPr>
          </w:p>
        </w:tc>
      </w:tr>
      <w:tr>
        <w:trPr>
          <w:trHeight w:val="219"/>
        </w:trPr>
        <w:tc>
          <w:tcPr>
            <w:tcW w:w="47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6"/>
                <w:szCs w:val="16"/>
                <w:b w:val="1"/>
                <w:bCs w:val="1"/>
                <w:color w:val="auto"/>
              </w:rPr>
              <w:t>June 30,</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10"/>
        </w:trPr>
        <w:tc>
          <w:tcPr>
            <w:tcW w:w="47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1,148</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r>
      <w:tr>
        <w:trPr>
          <w:trHeight w:val="22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purchased intangibles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4,589</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3,679</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8,027</w:t>
            </w: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w:t>
            </w: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5,684</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4,827</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June 2021, in connection with the acquisition of Seequent, the Company recorded an equity method investment arising from a pre</w:t>
      </w:r>
      <w:r>
        <w:rPr>
          <w:rFonts w:ascii="MS PGothic" w:cs="MS PGothic" w:eastAsia="MS PGothic" w:hAnsi="MS PGothic"/>
          <w:sz w:val="18"/>
          <w:szCs w:val="18"/>
          <w:color w:val="auto"/>
        </w:rPr>
        <w:t>‑</w:t>
      </w:r>
      <w:r>
        <w:rPr>
          <w:rFonts w:ascii="Arial" w:cs="Arial" w:eastAsia="Arial" w:hAnsi="Arial"/>
          <w:sz w:val="18"/>
          <w:szCs w:val="18"/>
          <w:color w:val="auto"/>
        </w:rPr>
        <w:t>existing investment made by a Seequent subsidiary. The investee offers a broad range of data and software related services with a focus on the mining and exploration industry. As of June 30, 2021, the carrying amount of the Company’s equity method investment was $2,234.</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September 2020, the Company acquired an interest in a software company with a focus on digital twin integration in the energy sector, which the Company accounts for using the cost method. As of June 30, 2021 and December 31, 2020, the carrying amount of the Company’s cost method investment was $3,440.</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198"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In September 2019, the Company and Topcon Positioning Systems, Inc. (“Topcon”) formed Digital Construction Works, Inc. (“DCW”), a joint venture which operates as a digital integrator of software and cloud services for the construction industry, which the Company accounts for using the equity method. DCW’s focus is to transform the construction industry from its legacy document</w:t>
      </w:r>
      <w:r>
        <w:rPr>
          <w:rFonts w:ascii="MS PGothic" w:cs="MS PGothic" w:eastAsia="MS PGothic" w:hAnsi="MS PGothic"/>
          <w:sz w:val="18"/>
          <w:szCs w:val="18"/>
          <w:color w:val="auto"/>
        </w:rPr>
        <w:t>‑</w:t>
      </w:r>
      <w:r>
        <w:rPr>
          <w:rFonts w:ascii="Arial" w:cs="Arial" w:eastAsia="Arial" w:hAnsi="Arial"/>
          <w:sz w:val="18"/>
          <w:szCs w:val="18"/>
          <w:color w:val="auto"/>
        </w:rPr>
        <w:t>centric paradigm by simplifying and enabling digital automated workflows and processes, technology integration, and digital twinning services for infrastructure. The Company and Topcon each have a 50% ownership in DCW. For the six months ended June 30, 2021, the Company invested $200 in DCW. As of June 30, 2021 and December 31, 2020, the carrying amount of the Company’s investment in DCW was $174 and $2,251, respectively.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tests its investments for impairment whenever circumstances indicate that the carrying value of the investment may not be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were not impaired as of June 30, 2021.</w:t>
      </w:r>
    </w:p>
    <w:p>
      <w:pPr>
        <w:spacing w:after="0" w:line="211"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Related Party Disclosures </w:t>
      </w:r>
      <w:r>
        <w:rPr>
          <w:rFonts w:ascii="Arial" w:cs="Arial" w:eastAsia="Arial" w:hAnsi="Arial"/>
          <w:sz w:val="18"/>
          <w:szCs w:val="18"/>
          <w:color w:val="auto"/>
        </w:rPr>
        <w:t>— Pursuant to Accounting Standards Codification (“ASC”) 850</w:t>
      </w:r>
      <w:r>
        <w:rPr>
          <w:rFonts w:ascii="MS PGothic" w:cs="MS PGothic" w:eastAsia="MS PGothic" w:hAnsi="MS PGothic"/>
          <w:sz w:val="18"/>
          <w:szCs w:val="18"/>
          <w:color w:val="auto"/>
        </w:rPr>
        <w:t>‑</w:t>
      </w: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20,</w:t>
      </w:r>
      <w:r>
        <w:rPr>
          <w:rFonts w:ascii="Arial" w:cs="Arial" w:eastAsia="Arial" w:hAnsi="Arial"/>
          <w:sz w:val="18"/>
          <w:szCs w:val="18"/>
          <w:i w:val="1"/>
          <w:iCs w:val="1"/>
          <w:color w:val="auto"/>
        </w:rPr>
        <w:t xml:space="preserve"> Related Party Disclosures</w:t>
      </w:r>
      <w:r>
        <w:rPr>
          <w:rFonts w:ascii="Arial" w:cs="Arial" w:eastAsia="Arial" w:hAnsi="Arial"/>
          <w:sz w:val="18"/>
          <w:szCs w:val="18"/>
          <w:color w:val="auto"/>
        </w:rPr>
        <w:t>,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that DCW is a related party. For the three and six months ended June 30, 2021 and 2020, transactions between the Company and DCW were not material to the Company’s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operating leases consist of office facilities, office equipment, and automobiles, and the Company’s finance lease consists of computer equipment. The finance lease is not material for the periods presented. As of June 30, 2021, the Company’s leases have remaining terms of less than one year to nine years, some of which include one or more options to renew, with renewal terms from one year to ten years and some of which include options to terminate the leases from less than one year to five years.</w:t>
      </w:r>
    </w:p>
    <w:p>
      <w:pPr>
        <w:spacing w:after="0" w:line="187"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For contracts with lease and non</w:t>
      </w:r>
      <w:r>
        <w:rPr>
          <w:rFonts w:ascii="MS PGothic" w:cs="MS PGothic" w:eastAsia="MS PGothic" w:hAnsi="MS PGothic"/>
          <w:sz w:val="16"/>
          <w:szCs w:val="16"/>
          <w:color w:val="auto"/>
        </w:rPr>
        <w:t>‑</w:t>
      </w:r>
      <w:r>
        <w:rPr>
          <w:rFonts w:ascii="Arial" w:cs="Arial" w:eastAsia="Arial" w:hAnsi="Arial"/>
          <w:sz w:val="16"/>
          <w:szCs w:val="16"/>
          <w:color w:val="auto"/>
        </w:rPr>
        <w:t>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utilities, and fluctuations in rent due to a change in an index or rate. The Company has elected not to recognize a right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asset or lease liability for short</w:t>
      </w:r>
      <w:r>
        <w:rPr>
          <w:rFonts w:ascii="MS PGothic" w:cs="MS PGothic" w:eastAsia="MS PGothic" w:hAnsi="MS PGothic"/>
          <w:sz w:val="16"/>
          <w:szCs w:val="16"/>
          <w:color w:val="auto"/>
        </w:rPr>
        <w:t>‑</w:t>
      </w:r>
      <w:r>
        <w:rPr>
          <w:rFonts w:ascii="Arial" w:cs="Arial" w:eastAsia="Arial" w:hAnsi="Arial"/>
          <w:sz w:val="16"/>
          <w:szCs w:val="16"/>
          <w:color w:val="auto"/>
        </w:rPr>
        <w:t>term leases (leases with a term of twelve months or less). Short</w:t>
      </w:r>
      <w:r>
        <w:rPr>
          <w:rFonts w:ascii="MS PGothic" w:cs="MS PGothic" w:eastAsia="MS PGothic" w:hAnsi="MS PGothic"/>
          <w:sz w:val="16"/>
          <w:szCs w:val="16"/>
          <w:color w:val="auto"/>
        </w:rPr>
        <w:t>‑</w:t>
      </w:r>
      <w:r>
        <w:rPr>
          <w:rFonts w:ascii="Arial" w:cs="Arial" w:eastAsia="Arial" w:hAnsi="Arial"/>
          <w:sz w:val="16"/>
          <w:szCs w:val="16"/>
          <w:color w:val="auto"/>
        </w:rPr>
        <w:t>term leases are recognized in the consolidated statement of operations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lease term. Short</w:t>
      </w:r>
      <w:r>
        <w:rPr>
          <w:rFonts w:ascii="MS PGothic" w:cs="MS PGothic" w:eastAsia="MS PGothic" w:hAnsi="MS PGothic"/>
          <w:sz w:val="16"/>
          <w:szCs w:val="16"/>
          <w:color w:val="auto"/>
        </w:rPr>
        <w:t>‑</w:t>
      </w:r>
      <w:r>
        <w:rPr>
          <w:rFonts w:ascii="Arial" w:cs="Arial" w:eastAsia="Arial" w:hAnsi="Arial"/>
          <w:sz w:val="16"/>
          <w:szCs w:val="16"/>
          <w:color w:val="auto"/>
        </w:rPr>
        <w:t>term lease expense was not material for the periods presented.</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212529"/>
        </w:rPr>
        <w:t>The components of operating lease cost reflected in the consolidated statement of operations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0" w:type="dxa"/>
            <w:vAlign w:val="bottom"/>
            <w:gridSpan w:val="4"/>
          </w:tcPr>
          <w:p>
            <w:pPr>
              <w:jc w:val="right"/>
              <w:ind w:right="21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6"/>
                <w:szCs w:val="16"/>
                <w:b w:val="1"/>
                <w:bCs w:val="1"/>
                <w:color w:val="auto"/>
              </w:rPr>
              <w:t>June 30,</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47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(1)</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4,845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4,514</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920</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1,888</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3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Total operating lease cost</w:t>
            </w:r>
          </w:p>
        </w:tc>
        <w:tc>
          <w:tcPr>
            <w:tcW w:w="92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5,772</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5,357</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11,287</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10,748</w:t>
            </w:r>
          </w:p>
        </w:tc>
      </w:tr>
      <w:tr>
        <w:trPr>
          <w:trHeight w:val="20"/>
        </w:trPr>
        <w:tc>
          <w:tcPr>
            <w:tcW w:w="3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3000" w:type="dxa"/>
            <w:vAlign w:val="bottom"/>
            <w:tcBorders>
              <w:bottom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21" w:lineRule="exact"/>
        <w:rPr>
          <w:sz w:val="20"/>
          <w:szCs w:val="20"/>
          <w:color w:val="auto"/>
        </w:rPr>
      </w:pPr>
    </w:p>
    <w:p>
      <w:pPr>
        <w:ind w:left="340" w:hanging="332"/>
        <w:spacing w:after="0" w:line="277" w:lineRule="auto"/>
        <w:tabs>
          <w:tab w:leader="none" w:pos="3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lease cost includes rent cost related to operating leases for office facilities of $4,618 and $4,325 for the three months ended June 30, 2021 and 2020, respectively, and $8,969 and $8,471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Other information related to leases </w:t>
      </w:r>
      <w:r>
        <w:rPr>
          <w:rFonts w:ascii="Arial" w:cs="Arial" w:eastAsia="Arial" w:hAnsi="Arial"/>
          <w:sz w:val="18"/>
          <w:szCs w:val="18"/>
          <w:color w:val="212529"/>
        </w:rPr>
        <w:t>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Six Months Ended</w:t>
            </w:r>
          </w:p>
        </w:tc>
        <w:tc>
          <w:tcPr>
            <w:tcW w:w="900" w:type="dxa"/>
            <w:vAlign w:val="bottom"/>
          </w:tcPr>
          <w:p>
            <w:pPr>
              <w:spacing w:after="0"/>
              <w:rPr>
                <w:sz w:val="18"/>
                <w:szCs w:val="18"/>
                <w:color w:val="auto"/>
              </w:rPr>
            </w:pPr>
          </w:p>
        </w:tc>
      </w:tr>
      <w:tr>
        <w:trPr>
          <w:trHeight w:val="219"/>
        </w:trPr>
        <w:tc>
          <w:tcPr>
            <w:tcW w:w="8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10"/>
        </w:trPr>
        <w:tc>
          <w:tcPr>
            <w:tcW w:w="8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w w:val="89"/>
              </w:rPr>
              <w:t>2020</w:t>
            </w:r>
          </w:p>
        </w:tc>
      </w:tr>
      <w:tr>
        <w:trPr>
          <w:trHeight w:val="21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810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9,573</w:t>
            </w:r>
          </w:p>
        </w:tc>
        <w:tc>
          <w:tcPr>
            <w:tcW w:w="260" w:type="dxa"/>
            <w:vAlign w:val="bottom"/>
          </w:tcPr>
          <w:p>
            <w:pPr>
              <w:spacing w:after="0"/>
              <w:rPr>
                <w:sz w:val="23"/>
                <w:szCs w:val="23"/>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9,003</w:t>
            </w:r>
          </w:p>
        </w:tc>
      </w:tr>
      <w:tr>
        <w:trPr>
          <w:trHeight w:val="229"/>
        </w:trPr>
        <w:tc>
          <w:tcPr>
            <w:tcW w:w="8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Right-of-use assets obtained in exchange for new operating lease liabilities </w:t>
            </w:r>
            <w:r>
              <w:rPr>
                <w:rFonts w:ascii="Arial" w:cs="Arial" w:eastAsia="Arial" w:hAnsi="Arial"/>
                <w:sz w:val="23"/>
                <w:szCs w:val="23"/>
                <w:color w:val="auto"/>
                <w:vertAlign w:val="superscript"/>
              </w:rPr>
              <w:t>(1)</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3,457</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30" w:lineRule="exact"/>
        <w:rPr>
          <w:sz w:val="20"/>
          <w:szCs w:val="20"/>
          <w:color w:val="auto"/>
        </w:rPr>
      </w:pPr>
    </w:p>
    <w:p>
      <w:pPr>
        <w:ind w:left="340" w:right="20" w:hanging="332"/>
        <w:spacing w:after="0" w:line="223" w:lineRule="exact"/>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Right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use assets obtained in exchange for new operating lease liabilities does not include the impact from acquisitions of $12,418 and $1,668 for the six months ended June 30, 2021 and 2020, respectively.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remaining lease term for operating leases was 3.9 years and 3.7 years as of June 30, 2021 and December 31,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discount rate was 2.1% and 2.1% as of June 30, 2021 and December 31, 2020, respectively.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operating lease liabilities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w:t>
            </w:r>
          </w:p>
        </w:tc>
      </w:tr>
      <w:tr>
        <w:trPr>
          <w:trHeight w:val="230"/>
        </w:trPr>
        <w:tc>
          <w:tcPr>
            <w:tcW w:w="936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17,228</w:t>
            </w:r>
          </w:p>
        </w:tc>
      </w:tr>
      <w:tr>
        <w:trPr>
          <w:trHeight w:val="229"/>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w:t>
            </w:r>
          </w:p>
        </w:tc>
      </w:tr>
      <w:tr>
        <w:trPr>
          <w:trHeight w:val="230"/>
        </w:trPr>
        <w:tc>
          <w:tcPr>
            <w:tcW w:w="936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7,341</w:t>
            </w:r>
          </w:p>
        </w:tc>
      </w:tr>
      <w:tr>
        <w:trPr>
          <w:trHeight w:val="229"/>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r>
      <w:tr>
        <w:trPr>
          <w:trHeight w:val="230"/>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w:t>
            </w:r>
          </w:p>
        </w:tc>
      </w:tr>
      <w:tr>
        <w:trPr>
          <w:trHeight w:val="223"/>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56,880</w:t>
            </w:r>
          </w:p>
        </w:tc>
      </w:tr>
      <w:tr>
        <w:trPr>
          <w:trHeight w:val="270"/>
        </w:trPr>
        <w:tc>
          <w:tcPr>
            <w:tcW w:w="9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w:t>
            </w:r>
          </w:p>
        </w:tc>
      </w:tr>
      <w:tr>
        <w:trPr>
          <w:trHeight w:val="248"/>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54,662</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2021, the Company had additional operating lease minimum lease payments of $6,523 for executed leases that have not yet commenced, primarily for office locations.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the financing lease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420" w:type="dxa"/>
            <w:vAlign w:val="bottom"/>
            <w:shd w:val="clear" w:color="auto" w:fill="CCEEFF"/>
          </w:tcPr>
          <w:p>
            <w:pPr>
              <w:jc w:val="right"/>
              <w:ind w:right="123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(348)</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20" w:type="dxa"/>
            <w:vAlign w:val="bottom"/>
            <w:tcBorders>
              <w:bottom w:val="single" w:sz="8" w:color="auto"/>
            </w:tcBorders>
            <w:shd w:val="clear" w:color="auto" w:fill="CCEEFF"/>
          </w:tcPr>
          <w:p>
            <w:pPr>
              <w:jc w:val="right"/>
              <w:ind w:right="123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1420" w:type="dxa"/>
            <w:vAlign w:val="bottom"/>
            <w:shd w:val="clear" w:color="auto" w:fill="CCEEFF"/>
          </w:tcPr>
          <w:p>
            <w:pPr>
              <w:jc w:val="right"/>
              <w:ind w:right="123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42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48"/>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financing lease liabilities</w:t>
            </w:r>
          </w:p>
        </w:tc>
        <w:tc>
          <w:tcPr>
            <w:tcW w:w="1420" w:type="dxa"/>
            <w:vAlign w:val="bottom"/>
            <w:tcBorders>
              <w:top w:val="single" w:sz="8" w:color="auto"/>
              <w:bottom w:val="single" w:sz="8" w:color="auto"/>
            </w:tcBorders>
            <w:shd w:val="clear" w:color="auto" w:fill="CCEEFF"/>
          </w:tcPr>
          <w:p>
            <w:pPr>
              <w:jc w:val="right"/>
              <w:ind w:right="123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Accruals and Other Current Liabilities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Accruals and other current liabilities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December 31, 2020</w:t>
            </w:r>
          </w:p>
        </w:tc>
        <w:tc>
          <w:tcPr>
            <w:tcW w:w="0" w:type="dxa"/>
            <w:vAlign w:val="bottom"/>
          </w:tcPr>
          <w:p>
            <w:pPr>
              <w:spacing w:after="0"/>
              <w:rPr>
                <w:sz w:val="1"/>
                <w:szCs w:val="1"/>
                <w:color w:val="auto"/>
              </w:rPr>
            </w:pP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CSS deposits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164,645</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110,291</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Accrued benefits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46,701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36,613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22,131</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Due to customers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9,869</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indirect taxes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Accrued cloud provisioning costs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Accrued acquisition stay bonus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 contributions (see Note 13)</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Accrued facility costs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severance and realignment costs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and current liabilities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19,847</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10,858</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accruals and other current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314,529</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226,793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spacing w:after="0" w:line="207" w:lineRule="exact"/>
              <w:rPr>
                <w:sz w:val="20"/>
                <w:szCs w:val="20"/>
                <w:color w:val="auto"/>
              </w:rPr>
            </w:pPr>
            <w:r>
              <w:rPr>
                <w:rFonts w:ascii="Arial" w:cs="Arial" w:eastAsia="Arial" w:hAnsi="Arial"/>
                <w:sz w:val="18"/>
                <w:szCs w:val="18"/>
                <w:b w:val="1"/>
                <w:bCs w:val="1"/>
                <w:color w:val="auto"/>
              </w:rPr>
              <w:t>Note 10: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Debt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40" w:type="dxa"/>
            <w:vAlign w:val="bottom"/>
          </w:tcPr>
          <w:p>
            <w:pPr>
              <w:ind w:left="34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consists of the following:</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24"/>
                <w:szCs w:val="24"/>
                <w:color w:val="auto"/>
              </w:rPr>
            </w:pPr>
          </w:p>
        </w:tc>
        <w:tc>
          <w:tcPr>
            <w:tcW w:w="168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December 31, 2020</w:t>
            </w:r>
          </w:p>
        </w:tc>
        <w:tc>
          <w:tcPr>
            <w:tcW w:w="0" w:type="dxa"/>
            <w:vAlign w:val="bottom"/>
          </w:tcPr>
          <w:p>
            <w:pPr>
              <w:spacing w:after="0"/>
              <w:rPr>
                <w:sz w:val="1"/>
                <w:szCs w:val="1"/>
                <w:color w:val="auto"/>
              </w:rPr>
            </w:pPr>
          </w:p>
        </w:tc>
      </w:tr>
      <w:tr>
        <w:trPr>
          <w:trHeight w:val="21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240" w:type="dxa"/>
            <w:vAlign w:val="bottom"/>
          </w:tcPr>
          <w:p>
            <w:pPr>
              <w:ind w:left="180"/>
              <w:spacing w:after="0"/>
              <w:rPr>
                <w:sz w:val="20"/>
                <w:szCs w:val="20"/>
                <w:color w:val="auto"/>
              </w:rPr>
            </w:pPr>
            <w:r>
              <w:rPr>
                <w:rFonts w:ascii="Arial" w:cs="Arial" w:eastAsia="Arial" w:hAnsi="Arial"/>
                <w:sz w:val="18"/>
                <w:szCs w:val="18"/>
                <w:color w:val="auto"/>
              </w:rPr>
              <w:t>Senior secured revolving loan facility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36,387</w:t>
            </w:r>
          </w:p>
        </w:tc>
        <w:tc>
          <w:tcPr>
            <w:tcW w:w="2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246,000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24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690,000</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(16,493)</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carrying value</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673,507</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Notes: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24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575,000</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(15,052)</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carrying value</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559,948</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1,269,842</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246,000</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Credit Facility</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On January 25, 2021, the Company entered into the Second Amendment to the Amended and Restated Credit Agreement dated December 19, 2017, which increased the senior secured revolving loan facility from $500,000 to $850,000 and extended the maturity date from December 18, 2022 to November 15, 2025 (the “Credit Facility”). In connection with the Second Amendment, certain lenders exited the Credit Facility. The Company performed an extinguishment versus modification assessment on a lender</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lender basis resulting in the write</w:t>
      </w:r>
      <w:r>
        <w:rPr>
          <w:rFonts w:ascii="MS PGothic" w:cs="MS PGothic" w:eastAsia="MS PGothic" w:hAnsi="MS PGothic"/>
          <w:sz w:val="18"/>
          <w:szCs w:val="18"/>
          <w:color w:val="auto"/>
        </w:rPr>
        <w:t>‑</w:t>
      </w:r>
      <w:r>
        <w:rPr>
          <w:rFonts w:ascii="Arial" w:cs="Arial" w:eastAsia="Arial" w:hAnsi="Arial"/>
          <w:sz w:val="18"/>
          <w:szCs w:val="18"/>
          <w:color w:val="auto"/>
        </w:rPr>
        <w:t>off of unamortized debt issuance costs of $353 and the capitalization of fees paid to lenders and third parties of $3,577. Debt issuance costs are amortized to interest expense through the maturity date of November 15, 2025.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June 22, 2021, the Company entered into the Third Amendment to the Credit Facility, which increased the aggregate amount of approved convertible debt to permit the issuance and sale of additional convertible senior notes. See the section titled “—Convertible Senior Notes—2027 Notes” below.</w:t>
      </w:r>
    </w:p>
    <w:p>
      <w:pPr>
        <w:spacing w:after="0" w:line="18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addition to the senior secured revolving loan facility, the Credit Facility also provides up to $50,000 of letters of credit and other incremental borrowings subject to availability, including a $85,000 multi</w:t>
      </w:r>
      <w:r>
        <w:rPr>
          <w:rFonts w:ascii="MS PGothic" w:cs="MS PGothic" w:eastAsia="MS PGothic" w:hAnsi="MS PGothic"/>
          <w:sz w:val="18"/>
          <w:szCs w:val="18"/>
          <w:color w:val="auto"/>
        </w:rPr>
        <w:t>‑</w:t>
      </w:r>
      <w:r>
        <w:rPr>
          <w:rFonts w:ascii="Arial" w:cs="Arial" w:eastAsia="Arial" w:hAnsi="Arial"/>
          <w:sz w:val="18"/>
          <w:szCs w:val="18"/>
          <w:color w:val="auto"/>
        </w:rPr>
        <w:t>currency swing</w:t>
      </w:r>
      <w:r>
        <w:rPr>
          <w:rFonts w:ascii="MS PGothic" w:cs="MS PGothic" w:eastAsia="MS PGothic" w:hAnsi="MS PGothic"/>
          <w:sz w:val="18"/>
          <w:szCs w:val="18"/>
          <w:color w:val="auto"/>
        </w:rPr>
        <w:t>‑</w:t>
      </w:r>
      <w:r>
        <w:rPr>
          <w:rFonts w:ascii="Arial" w:cs="Arial" w:eastAsia="Arial" w:hAnsi="Arial"/>
          <w:sz w:val="18"/>
          <w:szCs w:val="18"/>
          <w:color w:val="auto"/>
        </w:rPr>
        <w:t>line sub</w:t>
      </w:r>
      <w:r>
        <w:rPr>
          <w:rFonts w:ascii="MS PGothic" w:cs="MS PGothic" w:eastAsia="MS PGothic" w:hAnsi="MS PGothic"/>
          <w:sz w:val="18"/>
          <w:szCs w:val="18"/>
          <w:color w:val="auto"/>
        </w:rPr>
        <w:t>‑</w:t>
      </w:r>
      <w:r>
        <w:rPr>
          <w:rFonts w:ascii="Arial" w:cs="Arial" w:eastAsia="Arial" w:hAnsi="Arial"/>
          <w:sz w:val="18"/>
          <w:szCs w:val="18"/>
          <w:color w:val="auto"/>
        </w:rPr>
        <w:t>facility and a $200,000 incremental “accordion” sub</w:t>
      </w:r>
      <w:r>
        <w:rPr>
          <w:rFonts w:ascii="MS PGothic" w:cs="MS PGothic" w:eastAsia="MS PGothic" w:hAnsi="MS PGothic"/>
          <w:sz w:val="18"/>
          <w:szCs w:val="18"/>
          <w:color w:val="auto"/>
        </w:rPr>
        <w:t>‑</w:t>
      </w:r>
      <w:r>
        <w:rPr>
          <w:rFonts w:ascii="Arial" w:cs="Arial" w:eastAsia="Arial" w:hAnsi="Arial"/>
          <w:sz w:val="18"/>
          <w:szCs w:val="18"/>
          <w:color w:val="auto"/>
        </w:rPr>
        <w:t>facility. The Company had $150 of letters of credit and surety bonds outstanding as of June 30, 2021 and December 31, 2020. As of June 30, 2021 and December 31, 2020, the Company had $813,463 and $253,850 available under the Credit Facility.</w:t>
      </w:r>
    </w:p>
    <w:p>
      <w:pPr>
        <w:spacing w:after="0" w:line="13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Under the Credit Facility, the Company may make either Euro currency or non</w:t>
      </w:r>
      <w:r>
        <w:rPr>
          <w:rFonts w:ascii="MS PGothic" w:cs="MS PGothic" w:eastAsia="MS PGothic" w:hAnsi="MS PGothic"/>
          <w:sz w:val="16"/>
          <w:szCs w:val="16"/>
          <w:color w:val="auto"/>
        </w:rPr>
        <w:t>‑</w:t>
      </w:r>
      <w:r>
        <w:rPr>
          <w:rFonts w:ascii="Arial" w:cs="Arial" w:eastAsia="Arial" w:hAnsi="Arial"/>
          <w:sz w:val="16"/>
          <w:szCs w:val="16"/>
          <w:color w:val="auto"/>
        </w:rPr>
        <w:t>Euro currency interest rate elections. Interest on the Euro currency borrowings bear a base interest rate of LIBOR plus a spread ranging from 125 basis points (“bps”) to 225 bps as determined by the Company’s net leverage ratio. Under the non</w:t>
      </w:r>
      <w:r>
        <w:rPr>
          <w:rFonts w:ascii="MS PGothic" w:cs="MS PGothic" w:eastAsia="MS PGothic" w:hAnsi="MS PGothic"/>
          <w:sz w:val="16"/>
          <w:szCs w:val="16"/>
          <w:color w:val="auto"/>
        </w:rPr>
        <w:t>‑</w:t>
      </w:r>
      <w:r>
        <w:rPr>
          <w:rFonts w:ascii="Arial" w:cs="Arial" w:eastAsia="Arial" w:hAnsi="Arial"/>
          <w:sz w:val="16"/>
          <w:szCs w:val="16"/>
          <w:color w:val="auto"/>
        </w:rPr>
        <w:t>Euro currency elections, Credit Facility borrowings bear a base interest rate of the highest of (i) the prime rate, (ii) the overnight bank funding effective rate plus 50 bps, or (iii) LIBOR plus 100 bps, plus a spread ranging from 25 bps to 125 bps as determined by the Company’s leverage ratio. In addition, a commitment fee for the unused Credit Facility ranges from 20 bps to 30 bps as determined by the Company’s net leverage ratio.</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Borrowings under the Credit Facility are guaranteed by all of the Company’s first tier domestic subsidiaries and are secured by a first priority security interest in substantially all of the Company’s and the guarantors’ U.S. assets and 65% of the stock of their directly owned foreign subsidiaries. The Credit Facility contains both affirmative and negative covenants, including maximum leverage ratios. As of June 30, 2021 and December 31, 2020, the Company was in compliance with all covenants in its Credit Facility debt agreements.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agreement governing the Credit Facility contains customary events of default, including, without limitation, payment defaults, breaches of representations and warranties, covenants defaults, cross-defaults to certain other indebtedness in excess of $50,000, certain events of bankruptcy and insolvency, judgment defaults in excess of $10,000, failure of any security document supporting the Credit Facility to be in full force and effect, and a change of control.</w:t>
      </w:r>
    </w:p>
    <w:p>
      <w:pPr>
        <w:spacing w:after="0" w:line="18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Voluntary prepayments of amounts outstanding under the Credit Facility, in whole or in part, are permitted at any time, so long as the Company gives notice as required by the Credit Facility. However, if prepayment is made with respect to a LIBOR</w:t>
      </w:r>
      <w:r>
        <w:rPr>
          <w:rFonts w:ascii="MS PGothic" w:cs="MS PGothic" w:eastAsia="MS PGothic" w:hAnsi="MS PGothic"/>
          <w:sz w:val="18"/>
          <w:szCs w:val="18"/>
          <w:color w:val="auto"/>
        </w:rPr>
        <w:t>‑</w:t>
      </w:r>
      <w:r>
        <w:rPr>
          <w:rFonts w:ascii="Arial" w:cs="Arial" w:eastAsia="Arial" w:hAnsi="Arial"/>
          <w:sz w:val="18"/>
          <w:szCs w:val="18"/>
          <w:color w:val="auto"/>
        </w:rPr>
        <w:t>based loan and the prepayment is made on a date other than an interest payment date, the Company must pay customary breakage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On January 26, 2021, the Company completed a private offering of $690,000 of 0.125% convertible senior notes due 2026. The 2026 Notes were issued pursuant to an indenture, dated as of January 26, 2021, between the Company and Wilmington Trust, National Association, as trustee (the “2026 Trustee”) (the “2026 Indenture”). Interest will accrue from January 26, 2021 and will be payable semi</w:t>
      </w:r>
      <w:r>
        <w:rPr>
          <w:rFonts w:ascii="MS PGothic" w:cs="MS PGothic" w:eastAsia="MS PGothic" w:hAnsi="MS PGothic"/>
          <w:sz w:val="16"/>
          <w:szCs w:val="16"/>
          <w:color w:val="auto"/>
        </w:rPr>
        <w:t>‑</w:t>
      </w:r>
      <w:r>
        <w:rPr>
          <w:rFonts w:ascii="Arial" w:cs="Arial" w:eastAsia="Arial" w:hAnsi="Arial"/>
          <w:sz w:val="16"/>
          <w:szCs w:val="16"/>
          <w:color w:val="auto"/>
        </w:rPr>
        <w:t>annually in arrears in cash on January 15 and July 15 of each year, with the first payment due on July 15, 2021. The 2026 Notes will mature on January 15, 2026, unless earlier converted, redeemed or repurchased. The Company incurred $18,055 of expenses in connection with the 2026 Notes offering consisting of transaction costs. The Company used $25,530 of the net proceeds from the sale of the 2026 Notes to pay the premiums of the capped call options described further below, and approximately $250,500 to repay outstanding indebtedness under the Credit Facility and to pay related fees and expenses. The Company used the remainder of the net proceeds from the sale of the 2026 Notes for general corporate purposes and towards funding certain acquisitions, including Seequent (see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2026 Indenture; and (4) if the Company calls the 2026 Notes for redemption. On or after October 15, 2025 until 5:00 p.m., New York City time, on the second scheduled trading day immediately before the maturity date, the 2026 Notes will be convertible at the option of the holder at any time.</w:t>
      </w:r>
    </w:p>
    <w:p>
      <w:pPr>
        <w:spacing w:after="0" w:line="16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15.5925 shares of the Company’s Class B Common Stock per $1 principal amount of 2026 Notes, which represents an initial conversion price of approximately $64.13 per share, and is subject to adjustment as described in the 2026 Indenture. If a “make-whole fundamental change” (as defined in the 2026 Indenture) occurs, then the Company will, in certain circumstances, increase the conversion rate for a specified period of time.</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have the option to redeem the 2026 Notes in whole or in part at any time on or after January 20,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2026 Notes to be redeemed, plus accrued and unpaid interest, if any, to, but excluding, the redemption date.</w:t>
      </w:r>
    </w:p>
    <w:p>
      <w:pPr>
        <w:spacing w:after="0" w:line="192"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Upon a fundamental change (as defined in the 2026 Indenture), holders may, subject to certain exceptions, require the Company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(as defined in the 2026 Indenture), the Company will, under certain circumstances, increase the applicable conversion rate for a holder that elects to convert its 2026 Notes in connection with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is either less than $44.23 per share or greater than $210.00 per share. The Company will not increase the conversion rate to an amount that exceeds 22.6090 shares per $1 principal amount of 2026 Notes, subject to adjustment. The 2026 Indenture also contains a customary merger covenant.</w:t>
      </w:r>
    </w:p>
    <w:p>
      <w:pPr>
        <w:spacing w:after="0" w:line="20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Under the 2026 Indenture, the 2026 Notes may be accelerated upon the occurrence of certain customary events of default. If certain bankruptcy and insolvency</w:t>
      </w:r>
      <w:r>
        <w:rPr>
          <w:rFonts w:ascii="MS PGothic" w:cs="MS PGothic" w:eastAsia="MS PGothic" w:hAnsi="MS PGothic"/>
          <w:sz w:val="16"/>
          <w:szCs w:val="16"/>
          <w:color w:val="auto"/>
        </w:rPr>
        <w:t>‑</w:t>
      </w:r>
      <w:r>
        <w:rPr>
          <w:rFonts w:ascii="Arial" w:cs="Arial" w:eastAsia="Arial" w:hAnsi="Arial"/>
          <w:sz w:val="16"/>
          <w:szCs w:val="16"/>
          <w:color w:val="auto"/>
        </w:rPr>
        <w:t>related events of default with respect to the Company occur, the principal of, and accrued and unpaid interest on, all of the then outstanding 2026 Notes shall automatically become due and payable. If any other event of default occurs and is continuing, the 2026 Trustee by notice to the Company, or the holders of the 2026 Notes of at least 25% in principal amount of the outstanding 2026 Notes by notice to the Company and the 2026 Trustee, may declare the principal of, and accrued and unpaid interest on, all of the then outstanding 2026 Notes to be due and payable. Notwithstanding the foregoing, the 2026 Indenture provides that, to the extent the Company elects, the sole remedy for an event of default relating to certain failures by the Company to comply with reporting covenant in the 2026 Indenture consists exclusively of the right to receive additional interest on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As discussed in Note 2, the Company early adopted ASU 2020</w:t>
      </w:r>
      <w:r>
        <w:rPr>
          <w:rFonts w:ascii="MS PGothic" w:cs="MS PGothic" w:eastAsia="MS PGothic" w:hAnsi="MS PGothic"/>
          <w:sz w:val="18"/>
          <w:szCs w:val="18"/>
          <w:color w:val="auto"/>
        </w:rPr>
        <w:t>‑</w:t>
      </w:r>
      <w:r>
        <w:rPr>
          <w:rFonts w:ascii="Arial" w:cs="Arial" w:eastAsia="Arial" w:hAnsi="Arial"/>
          <w:sz w:val="18"/>
          <w:szCs w:val="18"/>
          <w:color w:val="auto"/>
        </w:rPr>
        <w:t>06 as of January 1, 2021 and concluded the 2026 Notes will be accounted for as debt, with no bifurcation of the embedded conversion feature. Transaction costs were recorded as a direct deduction from the related debt liability in the consolidated balance sheet and are amortized to interest expense using the effective interest method over the term of the 2026 Notes. The effective interest rate for the 2026 Notes is 0.658%.</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none of the conditions of the 2026 Notes to early convert has been met.</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2026 Notes are the Company’s senior, unsecured obligations that rank senior in right of payment to the Company’s future indebtedness that is expressly subordinated to the 2026 Notes, rank equally in right of payment with the Company’s existing and future senior unsecured indebtedness that is not so subordinated (including the Company’s 2027 Notes, see the section titled “—2027 Notes” below), effectively subordinated to the Company’s existing and future secured indebtedness (including obligations under the Company’s senior secured credit facilities), to the extent of the value of the collateral securing such indebtedness, and structurally subordinated to all existing and future indebtedness and other liabilities (including trade payables and preferred equity (to the extent the Company is not a holder thereof)) of the Company’s subsidiaries. The 2026 Notes contain both affirmative and negative covenants. As of June 30, 2021, the Company was in compliance with all covenants in the 2026 Notes.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Capped Call Options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pricing of the 2026 Notes, the Company entered into capped call options with certain of the initial purchasers or their respective affiliates and certain other financial institutions. The Company incurred $150 of expenses in connection with the capped call options.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the Company’s Class B Common Stock on the Nasdaq Global Select Market on January 21, 2021 and is subject to customary adjustments under the terms of the capped call options.</w:t>
      </w:r>
    </w:p>
    <w:p>
      <w:pPr>
        <w:spacing w:after="0" w:line="19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the Company accounts for the capped call options separately from the 2026 Notes. The capped call options are indexed to the Company’s own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2027 Notes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On June 28, 2021, the Company completed a private offering of $575,000 of 0.375% convertible senior notes due 2027. The 2027 Notes were issued pursuant to an indenture, dated as of June 28, 2021, between the Company and Wilmington Trust, National Association, as trustee (the “2027 Trustee”) (the “2027 Indenture”). Interest will accrue from June 28, 2021 and will be payable semi</w:t>
      </w:r>
      <w:r>
        <w:rPr>
          <w:rFonts w:ascii="MS PGothic" w:cs="MS PGothic" w:eastAsia="MS PGothic" w:hAnsi="MS PGothic"/>
          <w:sz w:val="17"/>
          <w:szCs w:val="17"/>
          <w:color w:val="auto"/>
        </w:rPr>
        <w:t>‑</w:t>
      </w:r>
      <w:r>
        <w:rPr>
          <w:rFonts w:ascii="Arial" w:cs="Arial" w:eastAsia="Arial" w:hAnsi="Arial"/>
          <w:sz w:val="17"/>
          <w:szCs w:val="17"/>
          <w:color w:val="auto"/>
        </w:rPr>
        <w:t xml:space="preserve">annually in arrears in cash on January 1 and July 1 of each year, with the first payment due on January 1, 2022. The 2027 Notes will mature on July 1, 2027, unless earlier converted, redeemed or repurchased. The Company incurred $15,065 of expenses in connection with the 2027 Notes offering consisting of transaction costs. As of June 30, 2021, $300 and $392 of the transaction costs were recorded in </w:t>
      </w:r>
      <w:r>
        <w:rPr>
          <w:rFonts w:ascii="Arial" w:cs="Arial" w:eastAsia="Arial" w:hAnsi="Arial"/>
          <w:sz w:val="17"/>
          <w:szCs w:val="17"/>
          <w:i w:val="1"/>
          <w:iCs w:val="1"/>
          <w:color w:val="auto"/>
        </w:rPr>
        <w:t>Accounts payable</w:t>
      </w:r>
      <w:r>
        <w:rPr>
          <w:rFonts w:ascii="Arial" w:cs="Arial" w:eastAsia="Arial" w:hAnsi="Arial"/>
          <w:sz w:val="17"/>
          <w:szCs w:val="17"/>
          <w:color w:val="auto"/>
        </w:rPr>
        <w:t xml:space="preserve"> and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in the consolidated balance sheet, respectively. The Company used $25,875 of the net proceeds from the sale of the 2027 Notes to pay the premiums of the capped call options described further below, and $536,062 to repay outstanding indebtedness under the Credit Facility and to pay related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2027 Indenture; and (4) if the Company calls the 2027 Notes for redemption. On or after April 1, 2027 until 5:00 p.m., New York City time, on the second scheduled trading day immediately before the maturity date, the 2027 Notes will be convertible at the option of the holder at any time.</w:t>
      </w:r>
    </w:p>
    <w:p>
      <w:pPr>
        <w:spacing w:after="0" w:line="16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12.0153 shares of the Company’s Class B Common Stock per $1 principal amount of 2027 Notes, which represents an initial conversion price of approximately $83.23 per share, and is subject to adjustment as described in the 2027 Indenture. If a “make-whole fundamental change” (as defined in the 2027 Indenture) occurs, then the Company will, in certain circumstances, increase the conversion rate for a specified period of time.</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have the option to redeem the 2027 Notes in whole or in part at any time on or after July 5,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2027 Notes to be redeemed, plus accrued and unpaid interest, if any, to, but excluding, the redemption date.</w:t>
      </w:r>
    </w:p>
    <w:p>
      <w:pPr>
        <w:spacing w:after="0" w:line="192"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Upon a fundamental change (as defined in the 2027 Indenture), holders may, subject to certain exceptions, require the Company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(as defined in the 2027 Indenture), the Company will, under certain circumstances, increase the applicable conversion rate for a holder that elects to convert its 2027 Notes in connection with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is either less than $61.65 per share or greater than $325.00 per share. The Company will not increase the conversion rate to an amount that exceeds 16.2206 shares per $1 principal amount of 2027 Notes, subject to adjustment. The 2027 Indenture also contains a customary merger covenant.</w:t>
      </w:r>
    </w:p>
    <w:p>
      <w:pPr>
        <w:spacing w:after="0" w:line="20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Under the 2027 Indenture, the 2027 Notes may be accelerated upon the occurrence of certain customary events of default. If certain bankruptcy and insolvency</w:t>
      </w:r>
      <w:r>
        <w:rPr>
          <w:rFonts w:ascii="MS PGothic" w:cs="MS PGothic" w:eastAsia="MS PGothic" w:hAnsi="MS PGothic"/>
          <w:sz w:val="16"/>
          <w:szCs w:val="16"/>
          <w:color w:val="auto"/>
        </w:rPr>
        <w:t>‑</w:t>
      </w:r>
      <w:r>
        <w:rPr>
          <w:rFonts w:ascii="Arial" w:cs="Arial" w:eastAsia="Arial" w:hAnsi="Arial"/>
          <w:sz w:val="16"/>
          <w:szCs w:val="16"/>
          <w:color w:val="auto"/>
        </w:rPr>
        <w:t>related events of default with respect to the Company occur, the principal of, and accrued and unpaid interest on, all of the then outstanding 2027 Notes shall automatically become due and payable. If any other event of default occurs and is continuing, the 2027 Trustee by notice to the Company, or the holders of the 2027 Notes of at least 25% in principal amount of the outstanding 2027 Notes by notice to the Company and the 2027 Trustee, may declare the principal of, and accrued and unpaid interest on, all of the then outstanding 2027 Notes to be due and payable. Notwithstanding the foregoing, the 2027 Indenture provides that, to the extent the Company elects, the sole remedy for an event of default relating to certain failures by the Company to comply with reporting covenant in the 2027 Indenture consists exclusively of the right to receive additional interest on the 2027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8"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As discussed in Note 2, the Company early adopted ASU 2020</w:t>
      </w:r>
      <w:r>
        <w:rPr>
          <w:rFonts w:ascii="MS PGothic" w:cs="MS PGothic" w:eastAsia="MS PGothic" w:hAnsi="MS PGothic"/>
          <w:sz w:val="18"/>
          <w:szCs w:val="18"/>
          <w:color w:val="auto"/>
        </w:rPr>
        <w:t>‑</w:t>
      </w:r>
      <w:r>
        <w:rPr>
          <w:rFonts w:ascii="Arial" w:cs="Arial" w:eastAsia="Arial" w:hAnsi="Arial"/>
          <w:sz w:val="18"/>
          <w:szCs w:val="18"/>
          <w:color w:val="auto"/>
        </w:rPr>
        <w:t>06 as of January 1, 2021 and concluded the 2027 Notes will be accounted for as debt, with no bifurcation of the embedded conversion feature. Transaction costs were recorded as a direct deduction from the related debt liability in the consolidated balance sheet and are amortized to interest expense using the effective interest method over the term of the 2027 Notes. The effective interest rate for the 2027 Notes is 0.864%.</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none of the conditions of the 2027 Notes to early convert has been met.</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2027 Notes are the Company’s senior, unsecured obligations that rank senior in right of payment to the Company’s future indebtedness that is expressly subordinated to the 2027 Notes, rank equally in right of payment with the Company’s existing and future senior unsecured indebtedness that is not so subordinated (including the Company’s 2026 Notes), effectively subordinated to the Company’s existing and future secured indebtedness (including obligations under the Company’s senior secured credit facilities), to the extent of the value of the collateral securing such indebtedness, and structurally subordinated to all existing and future indebtedness and other liabilities (including trade payables and preferred equity (to the extent the Company is not a holder thereof)) of the Company’s subsidiaries. The 2027 Notes contain both affirmative and negative covenants. As of June 30, 2021, the Company was in compliance with all covenants in the 2027 Notes.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Capped Call Options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connection with the pricing of the 2027 Notes, the Company entered into capped call options with certain of the initial purchasers or their respective affiliates and certain other financial institutions. The Company incurred $50 of expenses in connection with the capped call options, which were recorded in </w:t>
      </w:r>
      <w:r>
        <w:rPr>
          <w:rFonts w:ascii="Arial" w:cs="Arial" w:eastAsia="Arial" w:hAnsi="Arial"/>
          <w:sz w:val="16"/>
          <w:szCs w:val="16"/>
          <w:i w:val="1"/>
          <w:iCs w:val="1"/>
          <w:color w:val="auto"/>
        </w:rPr>
        <w:t xml:space="preserve">Accruals and other current liabilities </w:t>
      </w:r>
      <w:r>
        <w:rPr>
          <w:rFonts w:ascii="Arial" w:cs="Arial" w:eastAsia="Arial" w:hAnsi="Arial"/>
          <w:sz w:val="16"/>
          <w:szCs w:val="16"/>
          <w:color w:val="auto"/>
        </w:rPr>
        <w:t>in the consolidated balance sheet as of June 30, 2021. The capped call options are expected to reduce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dilution to the Company’s Class B Common Stock upon any conversion of 2027 Notes and/or offset any cash payments the Company is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the Company’s Class B Common Stock on the Nasdaq Global Select Market on June 23, 2021 and is subject to customary adjustments under the terms of the capped call options.</w:t>
      </w:r>
    </w:p>
    <w:p>
      <w:pPr>
        <w:spacing w:after="0" w:line="16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the Company accounts for the capped call options separately from the 2027 Notes. The capped call options are indexed to the Company’s own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56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Six Months Ended</w:t>
            </w:r>
          </w:p>
        </w:tc>
      </w:tr>
      <w:tr>
        <w:trPr>
          <w:trHeight w:val="219"/>
        </w:trPr>
        <w:tc>
          <w:tcPr>
            <w:tcW w:w="3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r>
      <w:tr>
        <w:trPr>
          <w:trHeight w:val="212"/>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70"/>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 xml:space="preserve">Senior secured revolving loan facility </w:t>
            </w:r>
            <w:r>
              <w:rPr>
                <w:rFonts w:ascii="Arial" w:cs="Arial" w:eastAsia="Arial" w:hAnsi="Arial"/>
                <w:sz w:val="23"/>
                <w:szCs w:val="23"/>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850</w:t>
            </w:r>
          </w:p>
        </w:tc>
        <w:tc>
          <w:tcPr>
            <w:tcW w:w="2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1,004</w:t>
            </w:r>
          </w:p>
        </w:tc>
        <w:tc>
          <w:tcPr>
            <w:tcW w:w="2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1,579</w:t>
            </w:r>
          </w:p>
        </w:tc>
        <w:tc>
          <w:tcPr>
            <w:tcW w:w="26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2,544</w:t>
            </w:r>
          </w:p>
        </w:tc>
      </w:tr>
      <w:tr>
        <w:trPr>
          <w:trHeight w:val="27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Amortization and write-off of deferred debt issuance costs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23"/>
        </w:trPr>
        <w:tc>
          <w:tcPr>
            <w:tcW w:w="30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r>
      <w:tr>
        <w:trPr>
          <w:trHeight w:val="20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2026 Notes: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Coupon interest</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907</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1,561</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2027 Notes: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Coupon interest</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obligations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bl>
    <w:p>
      <w:pPr>
        <w:spacing w:after="0" w:line="121" w:lineRule="exact"/>
        <w:rPr>
          <w:sz w:val="20"/>
          <w:szCs w:val="20"/>
          <w:color w:val="auto"/>
        </w:rPr>
      </w:pPr>
    </w:p>
    <w:p>
      <w:pPr>
        <w:ind w:left="340" w:hanging="332"/>
        <w:spacing w:after="0" w:line="277"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weighted average interest rate was 2.11% and 1.48% for the three months ended June 30, 2021 and 2020, respectively, and 2.02% and 2.18% for the six months ended June 30, 2021 and 2020, respectively.</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Interest rate risk associated with the Credit Facility is managed through an interest rate swap which the Company executed on March 31, 2020. The swap has an effective date of April 2, 2020 and a termination date of April 2, 2030. Under the terms of the swap, the Company fixed its LIBOR borrowing rate at 0.73% on a notional amount of $200,000. The interest rate swap is not designated as a hedging instrument for accounting purposes. The Company accounts for the swap as either an asset or a liability on the consolidated balance sheet and carries the derivative at fair value. Gains and losses from the change in fair value are recognized in </w:t>
      </w:r>
      <w:r>
        <w:rPr>
          <w:rFonts w:ascii="Arial" w:cs="Arial" w:eastAsia="Arial" w:hAnsi="Arial"/>
          <w:sz w:val="16"/>
          <w:szCs w:val="16"/>
          <w:i w:val="1"/>
          <w:iCs w:val="1"/>
          <w:color w:val="auto"/>
        </w:rPr>
        <w:t>Other (expense) income, net</w:t>
      </w:r>
      <w:r>
        <w:rPr>
          <w:rFonts w:ascii="Arial" w:cs="Arial" w:eastAsia="Arial" w:hAnsi="Arial"/>
          <w:sz w:val="16"/>
          <w:szCs w:val="16"/>
          <w:color w:val="auto"/>
        </w:rPr>
        <w:t xml:space="preserve"> in the consolidated statement of operations. As of June 30, 2021 and December 31, 2020, the Company recorded a swap related asset at fair value of $8,082 and $347, respectively,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the consolidated balance sheets.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Executive Bonus Plan</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Certain of the Company’s key employees, including its named executive officers, participate in the Bentley Systems, Incorporated Bonus Pool Plan, as amended and restated, effective as of September 22, 2020 (the “Bonus Plan”). Pursuant to the Bonus Plan, participants are eligible to receive incentive bonuses that are determined based on the Company’s adjusted Management Report Operating Income (“MROI”), as defined in the plan agreement and before deduction for such plan payments. For purposes of the Bonus Plan, the bonus pool thereunder may be funded with up to an aggregate of 20% of the Company’s adjusted MROI, subject to approval by the board of directors, with payments made to plan participants based on each such participant’s allocated interest in the bonus pool. The plan permits the deduction of certain holdback amounts from the plan’s pool, from which amounts can then be allocated to fund items including equity and/or cash incentive compensation for non</w:t>
      </w:r>
      <w:r>
        <w:rPr>
          <w:rFonts w:ascii="MS PGothic" w:cs="MS PGothic" w:eastAsia="MS PGothic" w:hAnsi="MS PGothic"/>
          <w:sz w:val="16"/>
          <w:szCs w:val="16"/>
          <w:color w:val="auto"/>
        </w:rPr>
        <w:t>‑</w:t>
      </w:r>
      <w:r>
        <w:rPr>
          <w:rFonts w:ascii="Arial" w:cs="Arial" w:eastAsia="Arial" w:hAnsi="Arial"/>
          <w:sz w:val="16"/>
          <w:szCs w:val="16"/>
          <w:color w:val="auto"/>
        </w:rPr>
        <w:t>plan participants and participant charitable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8"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A participant may defer any portion, or all, of such participant’s incentive bonus payable pursuant to the Bonus Plan into the amended and restated Bentley Systems, Incorporated Nonqualified Deferred Compensation Plan (the “DCP”) (see Note 12). Prior to September 22, 2020, a participant’s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was payable in cash. Effective September 22, 2020, the Bonus Plan provides, in part, that a participant may elect to receive any portion, or all, of such participant’s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in the form of shares of fully vested Class B Common Stock issued under the Bentley Systems, Incorporated 2020 Omnibus Incentive Plan (the “2020 Incentive Award Plan”) beginning in the fourth quarter of 2020, subject to the limitation described below. The Company records the election of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in the form of shares of fully vested Class B Common Stock as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in the consolidated statement of operations (see Note 15). Such election must be made prior to the start of the applicable calendar quarter for which the incentive bonus is to be paid, and the number of shares of Class B Common Stock payable in respect of such elected amount is calculated using a volume-weighted average price of the Company’s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payments, if, in any calendar quarter, the aggregate U.S. Dollar value of shares of fully vested Class B Common Stock payable in respect of the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bonuses exceeds $7,500, the portion of each participant’s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payable in shares of fully vested Class B Common Stock will be reduced pro rata such that the $7,500 limit is not exceeded, and, for each affected participant, the amount of such reduction will be payable in cash.</w:t>
      </w:r>
    </w:p>
    <w:p>
      <w:pPr>
        <w:spacing w:after="0" w:line="2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For the three months ended June 30, 2021 and 2020, the incentive compensation, including cash payments, election to receive shares of fully vested Class B Common Stock beginning in the fourth quarter of 2020, and deferred compensation to plan participants, recognized under this plan (net of all applicable holdbacks) was $7,683 and $8,467, respectively, and $16,558 and $16,564 for the six months ended June 30, 2021 and 2020,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Plans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also has a nonqualified DCP, which was amended and restated effective September 22, 2020, under which certain officers and key colleagues may defer all or any part of their incentive compensation, and the Company may make discretionary awards on behalf of such participants. Elective participant deferrals and discretionary Company awards are required to be in the form of phantom shares of the Company’s Class B Common Stock, which are valued for tax and accounting purposes in the same manner as actual shares of Class B Common Stock. The Company’s discretionary awards made prior to January 1, 2016 vest 20% on the date of grant and 20% on each of the four subsequent anniversary dates. The Company’s discretionary awards made on or after January 1, 2016 are 100% vested at the time of grant. No discretionary contributions were made to the DCP for both the three and six months ended June 30, 2021 and 2020. As of June 30, 2021 and December 31, 2020, phantom shares issuable by the DCP were 27,130,916 and 30,590,955, respectively.</w:t>
      </w:r>
    </w:p>
    <w:p>
      <w:pPr>
        <w:spacing w:after="0" w:line="192"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Amounts in the DCP attributable to certain non</w:t>
      </w:r>
      <w:r>
        <w:rPr>
          <w:rFonts w:ascii="MS PGothic" w:cs="MS PGothic" w:eastAsia="MS PGothic" w:hAnsi="MS PGothic"/>
          <w:sz w:val="18"/>
          <w:szCs w:val="18"/>
          <w:color w:val="auto"/>
        </w:rPr>
        <w:t>‑</w:t>
      </w:r>
      <w:r>
        <w:rPr>
          <w:rFonts w:ascii="Arial" w:cs="Arial" w:eastAsia="Arial" w:hAnsi="Arial"/>
          <w:sz w:val="18"/>
          <w:szCs w:val="18"/>
          <w:color w:val="auto"/>
        </w:rPr>
        <w:t>colleague participants are settled in cash and are classified as liabilities which are marked to market at the end of each reporting period. The total liability related to the DCP for non</w:t>
      </w:r>
      <w:r>
        <w:rPr>
          <w:rFonts w:ascii="MS PGothic" w:cs="MS PGothic" w:eastAsia="MS PGothic" w:hAnsi="MS PGothic"/>
          <w:sz w:val="18"/>
          <w:szCs w:val="18"/>
          <w:color w:val="auto"/>
        </w:rPr>
        <w:t>‑</w:t>
      </w:r>
      <w:r>
        <w:rPr>
          <w:rFonts w:ascii="Arial" w:cs="Arial" w:eastAsia="Arial" w:hAnsi="Arial"/>
          <w:sz w:val="18"/>
          <w:szCs w:val="18"/>
          <w:color w:val="auto"/>
        </w:rPr>
        <w:t>colleague participants was $2,777 and $2,591 as of June 30, 2021 and December 31, 2020,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Repurchases, and Issuances of Company Common Stock</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June 17, 2021, the Company issued 3,141,342 shares of the Company’s Class B Common Stock pursuant to the acquisition of Seequent (see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both"/>
        <w:ind w:firstLine="324"/>
        <w:spacing w:after="0" w:line="301" w:lineRule="auto"/>
        <w:rPr>
          <w:sz w:val="20"/>
          <w:szCs w:val="20"/>
          <w:color w:val="auto"/>
        </w:rPr>
      </w:pPr>
      <w:r>
        <w:rPr>
          <w:rFonts w:ascii="Arial" w:cs="Arial" w:eastAsia="Arial" w:hAnsi="Arial"/>
          <w:sz w:val="16"/>
          <w:szCs w:val="16"/>
          <w:color w:val="auto"/>
        </w:rPr>
        <w:t>In September 2016, the Company entered into a Class B Common Stock Purchase Agreement with a strategic investor (the “Common Stock Purchase Agreement”), pursuant to which the investor could acquire in a series of transactions up to $200,000 of the Company’s Class B Common Stock at the then prevailing fair market value, either directly from selling stockholders, in which case the Company would act as pass through agent, or by funding the Company’s repurchase and subsequent sale to the investor of shares acquired by the Company from existing Company stockholders.</w:t>
      </w:r>
    </w:p>
    <w:p>
      <w:pPr>
        <w:spacing w:after="0" w:line="15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Common Stock Purchase Agreement grants to the strategic investor certain informational and protective rights, including, for so long as the Company remains party to a long-term strategic collaboration agreement with the investor, a pre</w:t>
      </w:r>
      <w:r>
        <w:rPr>
          <w:rFonts w:ascii="MS PGothic" w:cs="MS PGothic" w:eastAsia="MS PGothic" w:hAnsi="MS PGothic"/>
          <w:sz w:val="18"/>
          <w:szCs w:val="18"/>
          <w:color w:val="auto"/>
        </w:rPr>
        <w:t>‑</w:t>
      </w:r>
      <w:r>
        <w:rPr>
          <w:rFonts w:ascii="Arial" w:cs="Arial" w:eastAsia="Arial" w:hAnsi="Arial"/>
          <w:sz w:val="18"/>
          <w:szCs w:val="18"/>
          <w:color w:val="auto"/>
        </w:rPr>
        <w:t>IPO right of first refusal on any sale of the Company and a post</w:t>
      </w:r>
      <w:r>
        <w:rPr>
          <w:rFonts w:ascii="MS PGothic" w:cs="MS PGothic" w:eastAsia="MS PGothic" w:hAnsi="MS PGothic"/>
          <w:sz w:val="18"/>
          <w:szCs w:val="18"/>
          <w:color w:val="auto"/>
        </w:rPr>
        <w:t>‑</w:t>
      </w:r>
      <w:r>
        <w:rPr>
          <w:rFonts w:ascii="Arial" w:cs="Arial" w:eastAsia="Arial" w:hAnsi="Arial"/>
          <w:sz w:val="18"/>
          <w:szCs w:val="18"/>
          <w:color w:val="auto"/>
        </w:rPr>
        <w:t>IPO right to participate in any sale process the Company may undertake. The strategic investor’s right of first refusal terminated upon the effectiveness of the Company’s IPO registration statement.</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23, 2018, the Company entered into an amendment to the Common Stock Purchase Agreement, which (i) increased the maximum purchase amount from $200,000 to $250,000 thereunder, (ii) extended the expiration of the agreement from 2026 to 2030, and (iii) granted the Company the right to retain a portion of the shares that would otherwise be sold to the investor.</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the six months ended June 30, 2020, the investor purchased 4,574,567 shares under the Common Stock Purchase Agreement, with 3,769,346 of such shares having been repurchased by the Company and re-sold to the investor for consideration of $58,349 and 805,053 shares acquired directly by the investor for consideration of $12,462. As of December 31, 2020, the investor reached the maximum purchase amount of $250,000.</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six months ended June 30, 2021, the Company issued 3,657,058 shares of Class B Common Stock to colleagues who exercised their stock options, net of 860,335 shares withheld at exercise to pay for the cost of the stock options, as well as for $29,027 of applicable income tax withholdings. The Company received $4,324 in proceeds from the exercise of stock options.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six months ended June 30, 2020, the Company issued 2,184,628 shares of Class B Common Stock to colleagues who exercised their stock options, net of 1,225,926 shares withheld at exercise to pay for the cost of the stock options, as well as for $3,064 of applicable income tax withholdings. The Company received $2,237 in proceeds from the exercise of stock options. For the six months ended June 30, 2020, the Company paid $1,454 for 128,176 shares sold back to the Company upon exercise of the Put and Call provisions under its applicable equity incentive plans. Upon the completion of the IPO, the Put and Call provisions of the Company’s Amended and Restated 2015 Equity Incentive Plan (the “2015 Equity Incentive Plan”) terminated automatically.</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six months ended June 30, 2021, the Company issued 149,447 shares of Class B Common Stock in connection with Bonus Plan incentive compensation, net of shares withheld. Of the total 249,189 shares awarded, 99,742 shares were sold back to the Company to pay for applicable income tax withholdings of $4,716.</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six months ended June 30, 2021 and 2020, the Company issued 2,202,079 and 2,959,731 shares of Class B Common Stock to DCP participants in connection with distributions from the plan. The distribution in shares for the six months ended June 30, 2021 totaled 3,527,023 shares of which 1,324,944 shares were sold back to the Company in the same period to pay for applicable income tax withholdings of $61,912. The distribution in shares for the six months ended June 30, 2020 totaled 3,137,961 shares of which 178,230 shares were sold back to the Company to pay for the cost of applicable income tax withholding of $1,830.</w:t>
      </w:r>
    </w:p>
    <w:p>
      <w:pPr>
        <w:spacing w:after="0" w:line="188"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For the six months ended June 30, 2021, the Company did not repurchase shares from its profit</w:t>
      </w:r>
      <w:r>
        <w:rPr>
          <w:rFonts w:ascii="MS PGothic" w:cs="MS PGothic" w:eastAsia="MS PGothic" w:hAnsi="MS PGothic"/>
          <w:sz w:val="18"/>
          <w:szCs w:val="18"/>
          <w:color w:val="auto"/>
        </w:rPr>
        <w:t>‑</w:t>
      </w:r>
      <w:r>
        <w:rPr>
          <w:rFonts w:ascii="Arial" w:cs="Arial" w:eastAsia="Arial" w:hAnsi="Arial"/>
          <w:sz w:val="18"/>
          <w:szCs w:val="18"/>
          <w:color w:val="auto"/>
        </w:rPr>
        <w:t>sharing plan. The Company repurchased 385,568 shares from its profit</w:t>
      </w:r>
      <w:r>
        <w:rPr>
          <w:rFonts w:ascii="MS PGothic" w:cs="MS PGothic" w:eastAsia="MS PGothic" w:hAnsi="MS PGothic"/>
          <w:sz w:val="18"/>
          <w:szCs w:val="18"/>
          <w:color w:val="auto"/>
        </w:rPr>
        <w:t>‑</w:t>
      </w:r>
      <w:r>
        <w:rPr>
          <w:rFonts w:ascii="Arial" w:cs="Arial" w:eastAsia="Arial" w:hAnsi="Arial"/>
          <w:sz w:val="18"/>
          <w:szCs w:val="18"/>
          <w:color w:val="auto"/>
        </w:rPr>
        <w:t>sharing plan for $4,428 for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 The Company declared cash dividends during the periods presented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Dividend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Per Share</w:t>
            </w:r>
          </w:p>
        </w:tc>
        <w:tc>
          <w:tcPr>
            <w:tcW w:w="260" w:type="dxa"/>
            <w:vAlign w:val="bottom"/>
          </w:tcPr>
          <w:p>
            <w:pPr>
              <w:spacing w:after="0"/>
              <w:rPr>
                <w:sz w:val="19"/>
                <w:szCs w:val="19"/>
                <w:color w:val="auto"/>
              </w:rPr>
            </w:pPr>
          </w:p>
        </w:tc>
        <w:tc>
          <w:tcPr>
            <w:tcW w:w="1180" w:type="dxa"/>
            <w:vAlign w:val="bottom"/>
          </w:tcPr>
          <w:p>
            <w:pPr>
              <w:jc w:val="right"/>
              <w:ind w:right="352"/>
              <w:spacing w:after="0"/>
              <w:rPr>
                <w:sz w:val="20"/>
                <w:szCs w:val="20"/>
                <w:color w:val="auto"/>
              </w:rPr>
            </w:pPr>
            <w:r>
              <w:rPr>
                <w:rFonts w:ascii="Arial" w:cs="Arial" w:eastAsia="Arial" w:hAnsi="Arial"/>
                <w:sz w:val="16"/>
                <w:szCs w:val="16"/>
                <w:b w:val="1"/>
                <w:bCs w:val="1"/>
                <w:color w:val="auto"/>
              </w:rPr>
              <w:t>Amount</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70"/>
        </w:trPr>
        <w:tc>
          <w:tcPr>
            <w:tcW w:w="810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8,372</w:t>
            </w:r>
          </w:p>
        </w:tc>
      </w:tr>
      <w:tr>
        <w:trPr>
          <w:trHeight w:val="27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7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w:t>
            </w:r>
          </w:p>
        </w:tc>
      </w:tr>
      <w:tr>
        <w:trPr>
          <w:trHeight w:val="270"/>
        </w:trPr>
        <w:tc>
          <w:tcPr>
            <w:tcW w:w="810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7,666</w:t>
            </w:r>
          </w:p>
        </w:tc>
      </w:tr>
    </w:tbl>
    <w:p>
      <w:pPr>
        <w:spacing w:after="0" w:line="25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Global Employee Stock Purchase Plan </w:t>
      </w:r>
      <w:r>
        <w:rPr>
          <w:rFonts w:ascii="Arial" w:cs="Arial" w:eastAsia="Arial" w:hAnsi="Arial"/>
          <w:sz w:val="16"/>
          <w:szCs w:val="16"/>
          <w:color w:val="auto"/>
        </w:rPr>
        <w:t>— Effective September 22, 2020, the Company’s Board and its stockholders adopted and approved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Bentley Systems, Incorporated Global Employee Stock Purchase Plan (the “ESPP”). The ESPP provides eligible colleagues of the Company with an opportunity to contribute up to 15% of their eligible compensation toward the purchase of the Company’s Class B Common Stock at a discounted price, up to a maximum of $25 per year and subject to any other plan limitations. The ESPP has 25,000,000 shares of Class B Common Stock reserved for issuance. The ESPP has been implemented by means of consecutive offering periods, with the first offering period commencing on the first trading day on or after January 1, 2021 and ending on the last trading day on or before June 30, 2021. Unless otherwise determined by the board of directors, offering periods will run from January 1st (or the first trading day thereafter) through June 30th (or the first trading day prior to such date), and from July 1st (or the first trading day thereafter) through December 31st (or the first trading day prior to such date). The purchase price per share at which shares of Class B Common Stock are sold in an offering period under the ESPP will be equal to the lesser of 85% of the fair market value of a share of Class B Common Stock (i) on the first trading day of the offering period, or (ii) on the purchase date (i.e., the last trading day of the purchase period). As of June 30, 2021, $3,851 of ESPP withholding via colleague payroll deduction were recorded in </w:t>
      </w:r>
      <w:r>
        <w:rPr>
          <w:rFonts w:ascii="Arial" w:cs="Arial" w:eastAsia="Arial" w:hAnsi="Arial"/>
          <w:sz w:val="16"/>
          <w:szCs w:val="16"/>
          <w:i w:val="1"/>
          <w:iCs w:val="1"/>
          <w:color w:val="auto"/>
        </w:rPr>
        <w:t>Accruals and other current liabilities</w:t>
      </w:r>
      <w:r>
        <w:rPr>
          <w:rFonts w:ascii="Arial" w:cs="Arial" w:eastAsia="Arial" w:hAnsi="Arial"/>
          <w:sz w:val="16"/>
          <w:szCs w:val="16"/>
          <w:color w:val="auto"/>
        </w:rPr>
        <w:t xml:space="preserve">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loss consists of the following during the three months ended June 30, 2021 and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(34,401)</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(35,394)</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(19,513)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(19,483)</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(19,513)</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(19,492)</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(53,914)</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(27,993)</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(29,003)</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loss consists of the following during the six months ended June 30, 2021 and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(25,219)</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(26,233)</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(28,695)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(28,636)</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(28,695)</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(28,653)</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(53,914)</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21"/>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(22,908)</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(4,462)</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(4,503)</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(4,477)</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15: Equity Awards and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3"/>
          </w:tcPr>
          <w:p>
            <w:pPr>
              <w:jc w:val="right"/>
              <w:ind w:right="21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6"/>
                <w:szCs w:val="16"/>
                <w:b w:val="1"/>
                <w:bCs w:val="1"/>
                <w:color w:val="auto"/>
              </w:rPr>
              <w:t>June 30,</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 expense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1,422</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r>
      <w:tr>
        <w:trPr>
          <w:trHeight w:val="270"/>
        </w:trPr>
        <w:tc>
          <w:tcPr>
            <w:tcW w:w="4720" w:type="dxa"/>
            <w:vAlign w:val="bottom"/>
            <w:gridSpan w:val="2"/>
          </w:tcPr>
          <w:p>
            <w:pPr>
              <w:ind w:left="20"/>
              <w:spacing w:after="0"/>
              <w:rPr>
                <w:sz w:val="20"/>
                <w:szCs w:val="20"/>
                <w:color w:val="auto"/>
              </w:rPr>
            </w:pPr>
            <w:r>
              <w:rPr>
                <w:rFonts w:ascii="Arial" w:cs="Arial" w:eastAsia="Arial" w:hAnsi="Arial"/>
                <w:sz w:val="18"/>
                <w:szCs w:val="18"/>
                <w:color w:val="auto"/>
                <w:w w:val="97"/>
              </w:rPr>
              <w:t>Restricted stock and restricted stock units (“RSUs”) expense</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4,961</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6,458</w:t>
            </w: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grants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Bonus Plan expense (see Note 11)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5,471</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11,595</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ESPP expense (see Note 13)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Total pre-tax expense </w:t>
            </w:r>
            <w:r>
              <w:rPr>
                <w:rFonts w:ascii="Arial" w:cs="Arial" w:eastAsia="Arial" w:hAnsi="Arial"/>
                <w:sz w:val="23"/>
                <w:szCs w:val="23"/>
                <w:color w:val="auto"/>
                <w:vertAlign w:val="superscript"/>
              </w:rPr>
              <w:t>(1)</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12,033</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1,559</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21,101</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3,212</w:t>
            </w:r>
          </w:p>
        </w:tc>
      </w:tr>
      <w:tr>
        <w:trPr>
          <w:trHeight w:val="20"/>
        </w:trPr>
        <w:tc>
          <w:tcPr>
            <w:tcW w:w="3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121" w:lineRule="exact"/>
        <w:rPr>
          <w:sz w:val="20"/>
          <w:szCs w:val="20"/>
          <w:color w:val="auto"/>
        </w:rPr>
      </w:pPr>
    </w:p>
    <w:p>
      <w:pPr>
        <w:ind w:left="340" w:right="20" w:hanging="332"/>
        <w:spacing w:after="0" w:line="277"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As of June 30, 2021 and December 31, 2020, $6,169 and $6,835 remained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respectively.</w:t>
      </w:r>
    </w:p>
    <w:p>
      <w:pPr>
        <w:spacing w:after="0" w:line="170" w:lineRule="exact"/>
        <w:rPr>
          <w:rFonts w:ascii="Arial" w:cs="Arial" w:eastAsia="Arial" w:hAnsi="Arial"/>
          <w:sz w:val="18"/>
          <w:szCs w:val="18"/>
          <w:color w:val="auto"/>
        </w:rPr>
      </w:pPr>
    </w:p>
    <w:p>
      <w:pPr>
        <w:ind w:left="340"/>
        <w:spacing w:after="0" w:line="207" w:lineRule="exact"/>
        <w:rPr>
          <w:rFonts w:ascii="Arial" w:cs="Arial" w:eastAsia="Arial" w:hAnsi="Arial"/>
          <w:sz w:val="18"/>
          <w:szCs w:val="18"/>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included in the consolidated statements of operations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3"/>
          </w:tcPr>
          <w:p>
            <w:pPr>
              <w:jc w:val="right"/>
              <w:ind w:right="21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8"/>
                <w:szCs w:val="18"/>
                <w:color w:val="auto"/>
              </w:rPr>
            </w:pPr>
          </w:p>
        </w:tc>
      </w:tr>
      <w:tr>
        <w:trPr>
          <w:trHeight w:val="219"/>
        </w:trPr>
        <w:tc>
          <w:tcPr>
            <w:tcW w:w="4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6"/>
                <w:szCs w:val="16"/>
                <w:b w:val="1"/>
                <w:bCs w:val="1"/>
                <w:color w:val="auto"/>
              </w:rPr>
              <w:t>June 30,</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10"/>
        </w:trPr>
        <w:tc>
          <w:tcPr>
            <w:tcW w:w="47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1,515</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2,303</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2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2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pre-tax expense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12,033</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1,559</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21,101</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r>
      <w:tr>
        <w:trPr>
          <w:trHeight w:val="20"/>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measured at the grant date fair value of the award and is recognized ratably over the requisite service period, which is generally the vesting period. The Company accounts for forfeitures of equity awards as those forfeitures occur.</w:t>
      </w:r>
    </w:p>
    <w:p>
      <w:pPr>
        <w:spacing w:after="0" w:line="203"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fair value of the common stock during periods prior to the IPO was determined by the board of directors at each award grant date based upon a variety of factors, including the results obtained from independent third</w:t>
      </w:r>
      <w:r>
        <w:rPr>
          <w:rFonts w:ascii="MS PGothic" w:cs="MS PGothic" w:eastAsia="MS PGothic" w:hAnsi="MS PGothic"/>
          <w:sz w:val="18"/>
          <w:szCs w:val="18"/>
          <w:color w:val="auto"/>
        </w:rPr>
        <w:t>‑</w:t>
      </w:r>
      <w:r>
        <w:rPr>
          <w:rFonts w:ascii="Arial" w:cs="Arial" w:eastAsia="Arial" w:hAnsi="Arial"/>
          <w:sz w:val="18"/>
          <w:szCs w:val="18"/>
          <w:color w:val="auto"/>
        </w:rPr>
        <w:t>party valuations, the Company’s financial position, and historical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stock option activity and related information under the Company’s applicable equity incentive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Weighted</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Average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8"/>
                <w:szCs w:val="18"/>
                <w:color w:val="auto"/>
              </w:rPr>
            </w:pPr>
          </w:p>
        </w:tc>
        <w:tc>
          <w:tcPr>
            <w:tcW w:w="124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Aggregate</w:t>
            </w:r>
          </w:p>
        </w:tc>
      </w:tr>
      <w:tr>
        <w:trPr>
          <w:trHeight w:val="216"/>
        </w:trPr>
        <w:tc>
          <w:tcPr>
            <w:tcW w:w="46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Contractual</w:t>
            </w:r>
          </w:p>
        </w:tc>
        <w:tc>
          <w:tcPr>
            <w:tcW w:w="260" w:type="dxa"/>
            <w:vAlign w:val="bottom"/>
          </w:tcPr>
          <w:p>
            <w:pPr>
              <w:spacing w:after="0"/>
              <w:rPr>
                <w:sz w:val="18"/>
                <w:szCs w:val="18"/>
                <w:color w:val="auto"/>
              </w:rPr>
            </w:pPr>
          </w:p>
        </w:tc>
        <w:tc>
          <w:tcPr>
            <w:tcW w:w="1240" w:type="dxa"/>
            <w:vAlign w:val="bottom"/>
          </w:tcPr>
          <w:p>
            <w:pPr>
              <w:jc w:val="center"/>
              <w:ind w:right="175"/>
              <w:spacing w:after="0"/>
              <w:rPr>
                <w:sz w:val="20"/>
                <w:szCs w:val="20"/>
                <w:color w:val="auto"/>
              </w:rPr>
            </w:pPr>
            <w:r>
              <w:rPr>
                <w:rFonts w:ascii="Arial" w:cs="Arial" w:eastAsia="Arial" w:hAnsi="Arial"/>
                <w:sz w:val="16"/>
                <w:szCs w:val="16"/>
                <w:b w:val="1"/>
                <w:bCs w:val="1"/>
                <w:color w:val="auto"/>
                <w:w w:val="93"/>
              </w:rPr>
              <w:t>Intrinsic</w:t>
            </w:r>
          </w:p>
        </w:tc>
      </w:tr>
      <w:tr>
        <w:trPr>
          <w:trHeight w:val="219"/>
        </w:trPr>
        <w:tc>
          <w:tcPr>
            <w:tcW w:w="466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Options</w:t>
            </w:r>
          </w:p>
        </w:tc>
        <w:tc>
          <w:tcPr>
            <w:tcW w:w="160" w:type="dxa"/>
            <w:vAlign w:val="bottom"/>
          </w:tcPr>
          <w:p>
            <w:pPr>
              <w:spacing w:after="0"/>
              <w:rPr>
                <w:sz w:val="19"/>
                <w:szCs w:val="19"/>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Per Share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Life (in years)</w:t>
            </w:r>
          </w:p>
        </w:tc>
        <w:tc>
          <w:tcPr>
            <w:tcW w:w="260" w:type="dxa"/>
            <w:vAlign w:val="bottom"/>
          </w:tcPr>
          <w:p>
            <w:pPr>
              <w:spacing w:after="0"/>
              <w:rPr>
                <w:sz w:val="19"/>
                <w:szCs w:val="19"/>
                <w:color w:val="auto"/>
              </w:rPr>
            </w:pPr>
          </w:p>
        </w:tc>
        <w:tc>
          <w:tcPr>
            <w:tcW w:w="124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Value</w:t>
            </w:r>
          </w:p>
        </w:tc>
      </w:tr>
      <w:tr>
        <w:trPr>
          <w:trHeight w:val="226"/>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12,842,226</w:t>
            </w: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440" w:type="dxa"/>
            <w:vAlign w:val="bottom"/>
          </w:tcPr>
          <w:p>
            <w:pPr>
              <w:jc w:val="right"/>
              <w:spacing w:after="0"/>
              <w:rPr>
                <w:sz w:val="20"/>
                <w:szCs w:val="20"/>
                <w:color w:val="auto"/>
              </w:rPr>
            </w:pPr>
            <w:r>
              <w:rPr>
                <w:rFonts w:ascii="Arial" w:cs="Arial" w:eastAsia="Arial" w:hAnsi="Arial"/>
                <w:sz w:val="18"/>
                <w:szCs w:val="18"/>
                <w:color w:val="auto"/>
              </w:rPr>
              <w:t>(4,517,393)</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(120,500)</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Outstanding, June 30,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8,204,333</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1.97</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488,976</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June 30,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4,973,958</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1.67</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297,780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the six months ended June 30, 2021 and 2020, the Company received cash proceeds of $4,324 and $2,237, respectively, related to the exercise of stock options. The total intrinsic value of stock options exercised for the six months ended June 30, 2021 and 2020 was $206,097 and $30,536, respectively.</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June 30, 2021, there was $4,642 of unrecognized compensation expense related to unvested stock options, which is expected to be recognized over a weighted average period of approximately 1.5 years.</w:t>
      </w:r>
    </w:p>
    <w:p>
      <w:pPr>
        <w:spacing w:after="0" w:line="170"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b w:val="1"/>
          <w:bCs w:val="1"/>
          <w:i w:val="1"/>
          <w:iCs w:val="1"/>
          <w:color w:val="auto"/>
        </w:rPr>
        <w:t xml:space="preserve">Acquisition Options </w:t>
      </w:r>
      <w:r>
        <w:rPr>
          <w:rFonts w:ascii="Arial" w:cs="Arial" w:eastAsia="Arial" w:hAnsi="Arial"/>
          <w:sz w:val="18"/>
          <w:szCs w:val="18"/>
          <w:color w:val="auto"/>
        </w:rPr>
        <w:t>— In addition to stock options granted under the Company’s equity incentive plans, in connection with an acquisition completed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March 2018, the Company issued to certain selling shareholder entities options to acquire an aggregate of up to 900,000 shares of Class B Common Stock. The options have a five</w:t>
      </w:r>
      <w:r>
        <w:rPr>
          <w:rFonts w:ascii="MS PGothic" w:cs="MS PGothic" w:eastAsia="MS PGothic" w:hAnsi="MS PGothic"/>
          <w:sz w:val="18"/>
          <w:szCs w:val="18"/>
          <w:color w:val="auto"/>
        </w:rPr>
        <w:t>‑</w:t>
      </w:r>
      <w:r>
        <w:rPr>
          <w:rFonts w:ascii="Arial" w:cs="Arial" w:eastAsia="Arial" w:hAnsi="Arial"/>
          <w:sz w:val="18"/>
          <w:szCs w:val="18"/>
          <w:color w:val="auto"/>
        </w:rPr>
        <w:t>year term, are exercisable on the fourth anniversary of the closing of the acquisition, and have an initial exercise price of $6.805 per share. The options had a four</w:t>
      </w:r>
      <w:r>
        <w:rPr>
          <w:rFonts w:ascii="MS PGothic" w:cs="MS PGothic" w:eastAsia="MS PGothic" w:hAnsi="MS PGothic"/>
          <w:sz w:val="18"/>
          <w:szCs w:val="18"/>
          <w:color w:val="auto"/>
        </w:rPr>
        <w:t>‑</w:t>
      </w:r>
      <w:r>
        <w:rPr>
          <w:rFonts w:ascii="Arial" w:cs="Arial" w:eastAsia="Arial" w:hAnsi="Arial"/>
          <w:sz w:val="18"/>
          <w:szCs w:val="18"/>
          <w:color w:val="auto"/>
        </w:rPr>
        <w:t>year service condition, which terminated automatically upon the completion of the IPO, and therefore, 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associated with these options was fully recognized as of September 30, 2020. The exercise price of the options is subject to a cap and collar adjustment mechanism that automatically reduces (but not to less than $0.01) or increases the exercise price based on the difference between the exercise price and the fair market value of the Company’s Class B Common Stock on the exercise date. As of June 30, 2021, all options to acquire 900,000 shares remain outstanding. As of June 30, 2021, these options are non</w:t>
      </w:r>
      <w:r>
        <w:rPr>
          <w:rFonts w:ascii="MS PGothic" w:cs="MS PGothic" w:eastAsia="MS PGothic" w:hAnsi="MS PGothic"/>
          <w:sz w:val="18"/>
          <w:szCs w:val="18"/>
          <w:color w:val="auto"/>
        </w:rPr>
        <w:t>‑</w:t>
      </w:r>
      <w:r>
        <w:rPr>
          <w:rFonts w:ascii="Arial" w:cs="Arial" w:eastAsia="Arial" w:hAnsi="Arial"/>
          <w:sz w:val="18"/>
          <w:szCs w:val="18"/>
          <w:color w:val="auto"/>
        </w:rPr>
        <w:t>exercisable and have an aggregate intrinsic value of $7,992.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RSUs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Under the equity incentive plans, the Company may grant both time</w:t>
      </w:r>
      <w:r>
        <w:rPr>
          <w:rFonts w:ascii="MS PGothic" w:cs="MS PGothic" w:eastAsia="MS PGothic" w:hAnsi="MS PGothic"/>
          <w:sz w:val="18"/>
          <w:szCs w:val="18"/>
          <w:color w:val="auto"/>
        </w:rPr>
        <w:t>‑</w:t>
      </w:r>
      <w:r>
        <w:rPr>
          <w:rFonts w:ascii="Arial" w:cs="Arial" w:eastAsia="Arial" w:hAnsi="Arial"/>
          <w:sz w:val="18"/>
          <w:szCs w:val="18"/>
          <w:color w:val="auto"/>
        </w:rPr>
        <w:t>based and performance</w:t>
      </w:r>
      <w:r>
        <w:rPr>
          <w:rFonts w:ascii="MS PGothic" w:cs="MS PGothic" w:eastAsia="MS PGothic" w:hAnsi="MS PGothic"/>
          <w:sz w:val="18"/>
          <w:szCs w:val="18"/>
          <w:color w:val="auto"/>
        </w:rPr>
        <w:t>‑</w:t>
      </w:r>
      <w:r>
        <w:rPr>
          <w:rFonts w:ascii="Arial" w:cs="Arial" w:eastAsia="Arial" w:hAnsi="Arial"/>
          <w:sz w:val="18"/>
          <w:szCs w:val="18"/>
          <w:color w:val="auto"/>
        </w:rPr>
        <w:t>based shares of restricted Class B Common Stock and RSUs to eligible colleagues. Time</w:t>
      </w:r>
      <w:r>
        <w:rPr>
          <w:rFonts w:ascii="MS PGothic" w:cs="MS PGothic" w:eastAsia="MS PGothic" w:hAnsi="MS PGothic"/>
          <w:sz w:val="18"/>
          <w:szCs w:val="18"/>
          <w:color w:val="auto"/>
        </w:rPr>
        <w:t>‑</w:t>
      </w:r>
      <w:r>
        <w:rPr>
          <w:rFonts w:ascii="Arial" w:cs="Arial" w:eastAsia="Arial" w:hAnsi="Arial"/>
          <w:sz w:val="18"/>
          <w:szCs w:val="18"/>
          <w:color w:val="auto"/>
        </w:rPr>
        <w:t>based awards generally vest ratably on each of the first four anniversaries of the grant date. Performance</w:t>
      </w:r>
      <w:r>
        <w:rPr>
          <w:rFonts w:ascii="MS PGothic" w:cs="MS PGothic" w:eastAsia="MS PGothic" w:hAnsi="MS PGothic"/>
          <w:sz w:val="18"/>
          <w:szCs w:val="18"/>
          <w:color w:val="auto"/>
        </w:rPr>
        <w:t>‑</w:t>
      </w:r>
      <w:r>
        <w:rPr>
          <w:rFonts w:ascii="Arial" w:cs="Arial" w:eastAsia="Arial" w:hAnsi="Arial"/>
          <w:sz w:val="18"/>
          <w:szCs w:val="18"/>
          <w:color w:val="auto"/>
        </w:rPr>
        <w:t>based awards vesting is determined by the achievement of certain business profitability and growth targets, which include growth in annual recurring revenues, as well as actual bookings for perpetual licenses and non</w:t>
      </w:r>
      <w:r>
        <w:rPr>
          <w:rFonts w:ascii="MS PGothic" w:cs="MS PGothic" w:eastAsia="MS PGothic" w:hAnsi="MS PGothic"/>
          <w:sz w:val="18"/>
          <w:szCs w:val="18"/>
          <w:color w:val="auto"/>
        </w:rPr>
        <w:t>‑</w:t>
      </w:r>
      <w:r>
        <w:rPr>
          <w:rFonts w:ascii="Arial" w:cs="Arial" w:eastAsia="Arial" w:hAnsi="Arial"/>
          <w:sz w:val="18"/>
          <w:szCs w:val="18"/>
          <w:color w:val="auto"/>
        </w:rPr>
        <w:t>recurring services, and certain non</w:t>
      </w:r>
      <w:r>
        <w:rPr>
          <w:rFonts w:ascii="MS PGothic" w:cs="MS PGothic" w:eastAsia="MS PGothic" w:hAnsi="MS PGothic"/>
          <w:sz w:val="18"/>
          <w:szCs w:val="18"/>
          <w:color w:val="auto"/>
        </w:rPr>
        <w:t>‑</w:t>
      </w:r>
      <w:r>
        <w:rPr>
          <w:rFonts w:ascii="Arial" w:cs="Arial" w:eastAsia="Arial" w:hAnsi="Arial"/>
          <w:sz w:val="18"/>
          <w:szCs w:val="18"/>
          <w:color w:val="auto"/>
        </w:rPr>
        <w:t>financial performance targets. Performance targets are set for annual performance periods.</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restricted stock and RSUs is determined by the product of the number of shares granted and the Company’s common stock price (as described above)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ind w:firstLine="324"/>
        <w:spacing w:after="0" w:line="277" w:lineRule="auto"/>
        <w:rPr>
          <w:sz w:val="20"/>
          <w:szCs w:val="20"/>
          <w:color w:val="auto"/>
        </w:rPr>
      </w:pPr>
      <w:r>
        <w:rPr>
          <w:rFonts w:ascii="Arial" w:cs="Arial" w:eastAsia="Arial" w:hAnsi="Arial"/>
          <w:sz w:val="18"/>
          <w:szCs w:val="18"/>
          <w:color w:val="auto"/>
        </w:rPr>
        <w:t>The following is a summary of unvested restricted stock and RSU activity and related information under the Company’s applicable equity incentive plans:</w:t>
      </w:r>
    </w:p>
    <w:p>
      <w:pPr>
        <w:spacing w:after="0" w:line="202" w:lineRule="exact"/>
        <w:rPr>
          <w:sz w:val="20"/>
          <w:szCs w:val="20"/>
          <w:color w:val="auto"/>
        </w:rPr>
      </w:pPr>
    </w:p>
    <w:tbl>
      <w:tblPr>
        <w:tblLayout w:type="fixed"/>
        <w:tblInd w:w="366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80" w:type="dxa"/>
            <w:vAlign w:val="bottom"/>
          </w:tcPr>
          <w:p>
            <w:pPr>
              <w:jc w:val="center"/>
              <w:ind w:left="28"/>
              <w:spacing w:after="0"/>
              <w:rPr>
                <w:sz w:val="20"/>
                <w:szCs w:val="20"/>
                <w:color w:val="auto"/>
              </w:rPr>
            </w:pPr>
            <w:r>
              <w:rPr>
                <w:rFonts w:ascii="Arial" w:cs="Arial" w:eastAsia="Arial" w:hAnsi="Arial"/>
                <w:sz w:val="14"/>
                <w:szCs w:val="14"/>
                <w:b w:val="1"/>
                <w:bCs w:val="1"/>
                <w:color w:val="auto"/>
                <w:w w:val="96"/>
              </w:rPr>
              <w:t>Time-</w:t>
            </w:r>
          </w:p>
        </w:tc>
        <w:tc>
          <w:tcPr>
            <w:tcW w:w="1220" w:type="dxa"/>
            <w:vAlign w:val="bottom"/>
          </w:tcPr>
          <w:p>
            <w:pPr>
              <w:jc w:val="center"/>
              <w:ind w:left="308"/>
              <w:spacing w:after="0"/>
              <w:rPr>
                <w:sz w:val="20"/>
                <w:szCs w:val="20"/>
                <w:color w:val="auto"/>
              </w:rPr>
            </w:pPr>
            <w:r>
              <w:rPr>
                <w:rFonts w:ascii="Arial" w:cs="Arial" w:eastAsia="Arial" w:hAnsi="Arial"/>
                <w:sz w:val="14"/>
                <w:szCs w:val="14"/>
                <w:b w:val="1"/>
                <w:bCs w:val="1"/>
                <w:color w:val="auto"/>
                <w:w w:val="93"/>
              </w:rPr>
              <w:t>Performance-</w:t>
            </w:r>
          </w:p>
        </w:tc>
      </w:tr>
      <w:tr>
        <w:trPr>
          <w:trHeight w:val="189"/>
        </w:trPr>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80" w:type="dxa"/>
            <w:vAlign w:val="bottom"/>
          </w:tcPr>
          <w:p>
            <w:pPr>
              <w:jc w:val="center"/>
              <w:ind w:left="28"/>
              <w:spacing w:after="0"/>
              <w:rPr>
                <w:sz w:val="20"/>
                <w:szCs w:val="20"/>
                <w:color w:val="auto"/>
              </w:rPr>
            </w:pPr>
            <w:r>
              <w:rPr>
                <w:rFonts w:ascii="Arial" w:cs="Arial" w:eastAsia="Arial" w:hAnsi="Arial"/>
                <w:sz w:val="14"/>
                <w:szCs w:val="14"/>
                <w:b w:val="1"/>
                <w:bCs w:val="1"/>
                <w:color w:val="auto"/>
                <w:w w:val="85"/>
              </w:rPr>
              <w:t>Based</w:t>
            </w:r>
          </w:p>
        </w:tc>
        <w:tc>
          <w:tcPr>
            <w:tcW w:w="1220" w:type="dxa"/>
            <w:vAlign w:val="bottom"/>
          </w:tcPr>
          <w:p>
            <w:pPr>
              <w:jc w:val="center"/>
              <w:ind w:left="308"/>
              <w:spacing w:after="0"/>
              <w:rPr>
                <w:sz w:val="20"/>
                <w:szCs w:val="20"/>
                <w:color w:val="auto"/>
              </w:rPr>
            </w:pPr>
            <w:r>
              <w:rPr>
                <w:rFonts w:ascii="Arial" w:cs="Arial" w:eastAsia="Arial" w:hAnsi="Arial"/>
                <w:sz w:val="14"/>
                <w:szCs w:val="14"/>
                <w:b w:val="1"/>
                <w:bCs w:val="1"/>
                <w:color w:val="auto"/>
                <w:w w:val="85"/>
              </w:rPr>
              <w:t>Based</w:t>
            </w:r>
          </w:p>
        </w:tc>
      </w:tr>
      <w:tr>
        <w:trPr>
          <w:trHeight w:val="189"/>
        </w:trPr>
        <w:tc>
          <w:tcPr>
            <w:tcW w:w="1200" w:type="dxa"/>
            <w:vAlign w:val="bottom"/>
          </w:tcPr>
          <w:p>
            <w:pPr>
              <w:spacing w:after="0"/>
              <w:rPr>
                <w:sz w:val="16"/>
                <w:szCs w:val="16"/>
                <w:color w:val="auto"/>
              </w:rPr>
            </w:pPr>
          </w:p>
        </w:tc>
        <w:tc>
          <w:tcPr>
            <w:tcW w:w="1600" w:type="dxa"/>
            <w:vAlign w:val="bottom"/>
          </w:tcPr>
          <w:p>
            <w:pPr>
              <w:jc w:val="center"/>
              <w:ind w:left="108"/>
              <w:spacing w:after="0"/>
              <w:rPr>
                <w:sz w:val="20"/>
                <w:szCs w:val="20"/>
                <w:color w:val="auto"/>
              </w:rPr>
            </w:pPr>
            <w:r>
              <w:rPr>
                <w:rFonts w:ascii="Arial" w:cs="Arial" w:eastAsia="Arial" w:hAnsi="Arial"/>
                <w:sz w:val="14"/>
                <w:szCs w:val="14"/>
                <w:b w:val="1"/>
                <w:bCs w:val="1"/>
                <w:color w:val="auto"/>
              </w:rPr>
              <w:t>Time-</w:t>
            </w:r>
          </w:p>
        </w:tc>
        <w:tc>
          <w:tcPr>
            <w:tcW w:w="1760" w:type="dxa"/>
            <w:vAlign w:val="bottom"/>
          </w:tcPr>
          <w:p>
            <w:pPr>
              <w:jc w:val="center"/>
              <w:ind w:right="26"/>
              <w:spacing w:after="0"/>
              <w:rPr>
                <w:sz w:val="20"/>
                <w:szCs w:val="20"/>
                <w:color w:val="auto"/>
              </w:rPr>
            </w:pPr>
            <w:r>
              <w:rPr>
                <w:rFonts w:ascii="Arial" w:cs="Arial" w:eastAsia="Arial" w:hAnsi="Arial"/>
                <w:sz w:val="14"/>
                <w:szCs w:val="14"/>
                <w:b w:val="1"/>
                <w:bCs w:val="1"/>
                <w:color w:val="auto"/>
                <w:w w:val="95"/>
              </w:rPr>
              <w:t>Performance-</w:t>
            </w:r>
          </w:p>
        </w:tc>
        <w:tc>
          <w:tcPr>
            <w:tcW w:w="158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Weighted</w:t>
            </w:r>
          </w:p>
        </w:tc>
        <w:tc>
          <w:tcPr>
            <w:tcW w:w="1220" w:type="dxa"/>
            <w:vAlign w:val="bottom"/>
          </w:tcPr>
          <w:p>
            <w:pPr>
              <w:jc w:val="center"/>
              <w:ind w:left="308"/>
              <w:spacing w:after="0"/>
              <w:rPr>
                <w:sz w:val="20"/>
                <w:szCs w:val="20"/>
                <w:color w:val="auto"/>
              </w:rPr>
            </w:pPr>
            <w:r>
              <w:rPr>
                <w:rFonts w:ascii="Arial" w:cs="Arial" w:eastAsia="Arial" w:hAnsi="Arial"/>
                <w:sz w:val="14"/>
                <w:szCs w:val="14"/>
                <w:b w:val="1"/>
                <w:bCs w:val="1"/>
                <w:color w:val="auto"/>
                <w:w w:val="95"/>
              </w:rPr>
              <w:t>Weighted</w:t>
            </w:r>
          </w:p>
        </w:tc>
      </w:tr>
      <w:tr>
        <w:trPr>
          <w:trHeight w:val="189"/>
        </w:trPr>
        <w:tc>
          <w:tcPr>
            <w:tcW w:w="1200" w:type="dxa"/>
            <w:vAlign w:val="bottom"/>
          </w:tcPr>
          <w:p>
            <w:pPr>
              <w:jc w:val="center"/>
              <w:ind w:right="488"/>
              <w:spacing w:after="0"/>
              <w:rPr>
                <w:sz w:val="20"/>
                <w:szCs w:val="20"/>
                <w:color w:val="auto"/>
              </w:rPr>
            </w:pPr>
            <w:r>
              <w:rPr>
                <w:rFonts w:ascii="Arial" w:cs="Arial" w:eastAsia="Arial" w:hAnsi="Arial"/>
                <w:sz w:val="14"/>
                <w:szCs w:val="14"/>
                <w:b w:val="1"/>
                <w:bCs w:val="1"/>
                <w:color w:val="auto"/>
                <w:w w:val="95"/>
              </w:rPr>
              <w:t>Total</w:t>
            </w:r>
          </w:p>
        </w:tc>
        <w:tc>
          <w:tcPr>
            <w:tcW w:w="1600" w:type="dxa"/>
            <w:vAlign w:val="bottom"/>
          </w:tcPr>
          <w:p>
            <w:pPr>
              <w:jc w:val="center"/>
              <w:ind w:left="108"/>
              <w:spacing w:after="0"/>
              <w:rPr>
                <w:sz w:val="20"/>
                <w:szCs w:val="20"/>
                <w:color w:val="auto"/>
              </w:rPr>
            </w:pPr>
            <w:r>
              <w:rPr>
                <w:rFonts w:ascii="Arial" w:cs="Arial" w:eastAsia="Arial" w:hAnsi="Arial"/>
                <w:sz w:val="14"/>
                <w:szCs w:val="14"/>
                <w:b w:val="1"/>
                <w:bCs w:val="1"/>
                <w:color w:val="auto"/>
                <w:w w:val="90"/>
              </w:rPr>
              <w:t>Based</w:t>
            </w:r>
          </w:p>
        </w:tc>
        <w:tc>
          <w:tcPr>
            <w:tcW w:w="1760" w:type="dxa"/>
            <w:vAlign w:val="bottom"/>
          </w:tcPr>
          <w:p>
            <w:pPr>
              <w:jc w:val="center"/>
              <w:ind w:right="26"/>
              <w:spacing w:after="0"/>
              <w:rPr>
                <w:sz w:val="20"/>
                <w:szCs w:val="20"/>
                <w:color w:val="auto"/>
              </w:rPr>
            </w:pPr>
            <w:r>
              <w:rPr>
                <w:rFonts w:ascii="Arial" w:cs="Arial" w:eastAsia="Arial" w:hAnsi="Arial"/>
                <w:sz w:val="14"/>
                <w:szCs w:val="14"/>
                <w:b w:val="1"/>
                <w:bCs w:val="1"/>
                <w:color w:val="auto"/>
                <w:w w:val="90"/>
              </w:rPr>
              <w:t>Based</w:t>
            </w:r>
          </w:p>
        </w:tc>
        <w:tc>
          <w:tcPr>
            <w:tcW w:w="158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Average</w:t>
            </w:r>
          </w:p>
        </w:tc>
        <w:tc>
          <w:tcPr>
            <w:tcW w:w="1220" w:type="dxa"/>
            <w:vAlign w:val="bottom"/>
          </w:tcPr>
          <w:p>
            <w:pPr>
              <w:jc w:val="center"/>
              <w:ind w:left="288"/>
              <w:spacing w:after="0"/>
              <w:rPr>
                <w:sz w:val="20"/>
                <w:szCs w:val="20"/>
                <w:color w:val="auto"/>
              </w:rPr>
            </w:pPr>
            <w:r>
              <w:rPr>
                <w:rFonts w:ascii="Arial" w:cs="Arial" w:eastAsia="Arial" w:hAnsi="Arial"/>
                <w:sz w:val="14"/>
                <w:szCs w:val="14"/>
                <w:b w:val="1"/>
                <w:bCs w:val="1"/>
                <w:color w:val="auto"/>
                <w:w w:val="90"/>
              </w:rPr>
              <w:t>Average</w:t>
            </w:r>
          </w:p>
        </w:tc>
      </w:tr>
      <w:tr>
        <w:trPr>
          <w:trHeight w:val="189"/>
        </w:trPr>
        <w:tc>
          <w:tcPr>
            <w:tcW w:w="1200" w:type="dxa"/>
            <w:vAlign w:val="bottom"/>
          </w:tcPr>
          <w:p>
            <w:pPr>
              <w:jc w:val="center"/>
              <w:ind w:right="488"/>
              <w:spacing w:after="0"/>
              <w:rPr>
                <w:sz w:val="20"/>
                <w:szCs w:val="20"/>
                <w:color w:val="auto"/>
              </w:rPr>
            </w:pPr>
            <w:r>
              <w:rPr>
                <w:rFonts w:ascii="Arial" w:cs="Arial" w:eastAsia="Arial" w:hAnsi="Arial"/>
                <w:sz w:val="14"/>
                <w:szCs w:val="14"/>
                <w:b w:val="1"/>
                <w:bCs w:val="1"/>
                <w:color w:val="auto"/>
                <w:w w:val="93"/>
              </w:rPr>
              <w:t>Restricted</w:t>
            </w:r>
          </w:p>
        </w:tc>
        <w:tc>
          <w:tcPr>
            <w:tcW w:w="1600" w:type="dxa"/>
            <w:vAlign w:val="bottom"/>
          </w:tcPr>
          <w:p>
            <w:pPr>
              <w:jc w:val="center"/>
              <w:ind w:left="108"/>
              <w:spacing w:after="0"/>
              <w:rPr>
                <w:sz w:val="20"/>
                <w:szCs w:val="20"/>
                <w:color w:val="auto"/>
              </w:rPr>
            </w:pPr>
            <w:r>
              <w:rPr>
                <w:rFonts w:ascii="Arial" w:cs="Arial" w:eastAsia="Arial" w:hAnsi="Arial"/>
                <w:sz w:val="14"/>
                <w:szCs w:val="14"/>
                <w:b w:val="1"/>
                <w:bCs w:val="1"/>
                <w:color w:val="auto"/>
                <w:w w:val="90"/>
              </w:rPr>
              <w:t>Restricted</w:t>
            </w:r>
          </w:p>
        </w:tc>
        <w:tc>
          <w:tcPr>
            <w:tcW w:w="1760" w:type="dxa"/>
            <w:vAlign w:val="bottom"/>
          </w:tcPr>
          <w:p>
            <w:pPr>
              <w:jc w:val="center"/>
              <w:ind w:right="26"/>
              <w:spacing w:after="0"/>
              <w:rPr>
                <w:sz w:val="20"/>
                <w:szCs w:val="20"/>
                <w:color w:val="auto"/>
              </w:rPr>
            </w:pPr>
            <w:r>
              <w:rPr>
                <w:rFonts w:ascii="Arial" w:cs="Arial" w:eastAsia="Arial" w:hAnsi="Arial"/>
                <w:sz w:val="14"/>
                <w:szCs w:val="14"/>
                <w:b w:val="1"/>
                <w:bCs w:val="1"/>
                <w:color w:val="auto"/>
                <w:w w:val="90"/>
              </w:rPr>
              <w:t>Restricted</w:t>
            </w:r>
          </w:p>
        </w:tc>
        <w:tc>
          <w:tcPr>
            <w:tcW w:w="158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Grant Date</w:t>
            </w:r>
          </w:p>
        </w:tc>
        <w:tc>
          <w:tcPr>
            <w:tcW w:w="1220" w:type="dxa"/>
            <w:vAlign w:val="bottom"/>
          </w:tcPr>
          <w:p>
            <w:pPr>
              <w:jc w:val="center"/>
              <w:ind w:left="288"/>
              <w:spacing w:after="0"/>
              <w:rPr>
                <w:sz w:val="20"/>
                <w:szCs w:val="20"/>
                <w:color w:val="auto"/>
              </w:rPr>
            </w:pPr>
            <w:r>
              <w:rPr>
                <w:rFonts w:ascii="Arial" w:cs="Arial" w:eastAsia="Arial" w:hAnsi="Arial"/>
                <w:sz w:val="14"/>
                <w:szCs w:val="14"/>
                <w:b w:val="1"/>
                <w:bCs w:val="1"/>
                <w:color w:val="auto"/>
                <w:w w:val="97"/>
              </w:rPr>
              <w:t>Grant Date</w:t>
            </w:r>
          </w:p>
        </w:tc>
      </w:tr>
      <w:tr>
        <w:trPr>
          <w:trHeight w:val="189"/>
        </w:trPr>
        <w:tc>
          <w:tcPr>
            <w:tcW w:w="1200" w:type="dxa"/>
            <w:vAlign w:val="bottom"/>
          </w:tcPr>
          <w:p>
            <w:pPr>
              <w:jc w:val="center"/>
              <w:ind w:right="468"/>
              <w:spacing w:after="0"/>
              <w:rPr>
                <w:sz w:val="20"/>
                <w:szCs w:val="20"/>
                <w:color w:val="auto"/>
              </w:rPr>
            </w:pPr>
            <w:r>
              <w:rPr>
                <w:rFonts w:ascii="Arial" w:cs="Arial" w:eastAsia="Arial" w:hAnsi="Arial"/>
                <w:sz w:val="14"/>
                <w:szCs w:val="14"/>
                <w:b w:val="1"/>
                <w:bCs w:val="1"/>
                <w:color w:val="auto"/>
                <w:w w:val="89"/>
              </w:rPr>
              <w:t>Stock</w:t>
            </w:r>
          </w:p>
        </w:tc>
        <w:tc>
          <w:tcPr>
            <w:tcW w:w="1600" w:type="dxa"/>
            <w:vAlign w:val="bottom"/>
          </w:tcPr>
          <w:p>
            <w:pPr>
              <w:jc w:val="center"/>
              <w:ind w:left="108"/>
              <w:spacing w:after="0"/>
              <w:rPr>
                <w:sz w:val="20"/>
                <w:szCs w:val="20"/>
                <w:color w:val="auto"/>
              </w:rPr>
            </w:pPr>
            <w:r>
              <w:rPr>
                <w:rFonts w:ascii="Arial" w:cs="Arial" w:eastAsia="Arial" w:hAnsi="Arial"/>
                <w:sz w:val="14"/>
                <w:szCs w:val="14"/>
                <w:b w:val="1"/>
                <w:bCs w:val="1"/>
                <w:color w:val="auto"/>
                <w:w w:val="89"/>
              </w:rPr>
              <w:t>Stock</w:t>
            </w:r>
          </w:p>
        </w:tc>
        <w:tc>
          <w:tcPr>
            <w:tcW w:w="176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Stock</w:t>
            </w:r>
          </w:p>
        </w:tc>
        <w:tc>
          <w:tcPr>
            <w:tcW w:w="158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Fair Value</w:t>
            </w:r>
          </w:p>
        </w:tc>
        <w:tc>
          <w:tcPr>
            <w:tcW w:w="1220" w:type="dxa"/>
            <w:vAlign w:val="bottom"/>
          </w:tcPr>
          <w:p>
            <w:pPr>
              <w:jc w:val="center"/>
              <w:ind w:left="308"/>
              <w:spacing w:after="0"/>
              <w:rPr>
                <w:sz w:val="20"/>
                <w:szCs w:val="20"/>
                <w:color w:val="auto"/>
              </w:rPr>
            </w:pPr>
            <w:r>
              <w:rPr>
                <w:rFonts w:ascii="Arial" w:cs="Arial" w:eastAsia="Arial" w:hAnsi="Arial"/>
                <w:sz w:val="14"/>
                <w:szCs w:val="14"/>
                <w:b w:val="1"/>
                <w:bCs w:val="1"/>
                <w:color w:val="auto"/>
                <w:w w:val="95"/>
              </w:rPr>
              <w:t>Fair Value</w:t>
            </w:r>
          </w:p>
        </w:tc>
      </w:tr>
      <w:tr>
        <w:trPr>
          <w:trHeight w:val="222"/>
        </w:trPr>
        <w:tc>
          <w:tcPr>
            <w:tcW w:w="1200" w:type="dxa"/>
            <w:vAlign w:val="bottom"/>
          </w:tcPr>
          <w:p>
            <w:pPr>
              <w:jc w:val="center"/>
              <w:ind w:right="488"/>
              <w:spacing w:after="0"/>
              <w:rPr>
                <w:sz w:val="20"/>
                <w:szCs w:val="20"/>
                <w:color w:val="auto"/>
              </w:rPr>
            </w:pPr>
            <w:r>
              <w:rPr>
                <w:rFonts w:ascii="Arial" w:cs="Arial" w:eastAsia="Arial" w:hAnsi="Arial"/>
                <w:sz w:val="14"/>
                <w:szCs w:val="14"/>
                <w:b w:val="1"/>
                <w:bCs w:val="1"/>
                <w:color w:val="auto"/>
                <w:w w:val="90"/>
              </w:rPr>
              <w:t>and RSUs</w:t>
            </w:r>
          </w:p>
        </w:tc>
        <w:tc>
          <w:tcPr>
            <w:tcW w:w="160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and RSUs</w:t>
            </w:r>
          </w:p>
        </w:tc>
        <w:tc>
          <w:tcPr>
            <w:tcW w:w="1760" w:type="dxa"/>
            <w:vAlign w:val="bottom"/>
          </w:tcPr>
          <w:p>
            <w:pPr>
              <w:jc w:val="center"/>
              <w:ind w:right="26"/>
              <w:spacing w:after="0"/>
              <w:rPr>
                <w:sz w:val="20"/>
                <w:szCs w:val="20"/>
                <w:color w:val="auto"/>
              </w:rPr>
            </w:pPr>
            <w:r>
              <w:rPr>
                <w:rFonts w:ascii="Arial" w:cs="Arial" w:eastAsia="Arial" w:hAnsi="Arial"/>
                <w:sz w:val="16"/>
                <w:szCs w:val="16"/>
                <w:b w:val="1"/>
                <w:bCs w:val="1"/>
                <w:color w:val="auto"/>
                <w:w w:val="92"/>
              </w:rPr>
              <w:t>and RSUs</w:t>
            </w:r>
          </w:p>
        </w:tc>
        <w:tc>
          <w:tcPr>
            <w:tcW w:w="158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Per Share</w:t>
            </w:r>
          </w:p>
        </w:tc>
        <w:tc>
          <w:tcPr>
            <w:tcW w:w="1220" w:type="dxa"/>
            <w:vAlign w:val="bottom"/>
          </w:tcPr>
          <w:p>
            <w:pPr>
              <w:jc w:val="center"/>
              <w:ind w:left="308"/>
              <w:spacing w:after="0"/>
              <w:rPr>
                <w:sz w:val="20"/>
                <w:szCs w:val="20"/>
                <w:color w:val="auto"/>
              </w:rPr>
            </w:pPr>
            <w:r>
              <w:rPr>
                <w:rFonts w:ascii="Arial" w:cs="Arial" w:eastAsia="Arial" w:hAnsi="Arial"/>
                <w:sz w:val="14"/>
                <w:szCs w:val="14"/>
                <w:b w:val="1"/>
                <w:bCs w:val="1"/>
                <w:color w:val="auto"/>
                <w:w w:val="91"/>
              </w:rPr>
              <w:t>Per 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Unvested, December 31, 2020</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1,423,715</w:t>
            </w:r>
          </w:p>
        </w:tc>
      </w:tr>
      <w:tr>
        <w:trPr>
          <w:trHeight w:val="269"/>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602,616</w:t>
            </w:r>
          </w:p>
        </w:tc>
      </w:tr>
      <w:tr>
        <w:trPr>
          <w:trHeight w:val="27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1280" w:type="dxa"/>
            <w:vAlign w:val="bottom"/>
          </w:tcPr>
          <w:p>
            <w:pPr>
              <w:jc w:val="right"/>
              <w:spacing w:after="0"/>
              <w:rPr>
                <w:sz w:val="20"/>
                <w:szCs w:val="20"/>
                <w:color w:val="auto"/>
              </w:rPr>
            </w:pPr>
            <w:r>
              <w:rPr>
                <w:rFonts w:ascii="Arial" w:cs="Arial" w:eastAsia="Arial" w:hAnsi="Arial"/>
                <w:sz w:val="18"/>
                <w:szCs w:val="18"/>
                <w:color w:val="auto"/>
              </w:rPr>
              <w:t>(41,695)</w:t>
            </w:r>
          </w:p>
        </w:tc>
      </w:tr>
      <w:tr>
        <w:trPr>
          <w:trHeight w:val="27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(147,672)</w:t>
            </w:r>
          </w:p>
        </w:tc>
      </w:tr>
      <w:tr>
        <w:trPr>
          <w:trHeight w:val="22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Unvested, June 30, 2021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1,836,964</w:t>
            </w:r>
          </w:p>
        </w:tc>
      </w:tr>
      <w:tr>
        <w:trPr>
          <w:trHeight w:val="21"/>
        </w:trPr>
        <w:tc>
          <w:tcPr>
            <w:tcW w:w="3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1,263,193</w:t>
            </w:r>
          </w:p>
        </w:tc>
        <w:tc>
          <w:tcPr>
            <w:tcW w:w="24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160,522</w:t>
            </w:r>
          </w:p>
        </w:tc>
        <w:tc>
          <w:tcPr>
            <w:tcW w:w="480" w:type="dxa"/>
            <w:vAlign w:val="bottom"/>
          </w:tcPr>
          <w:p>
            <w:pPr>
              <w:jc w:val="right"/>
              <w:ind w:right="282"/>
              <w:spacing w:after="0"/>
              <w:rPr>
                <w:sz w:val="20"/>
                <w:szCs w:val="20"/>
                <w:color w:val="auto"/>
              </w:rPr>
            </w:pPr>
            <w:r>
              <w:rPr>
                <w:rFonts w:ascii="Arial" w:cs="Arial" w:eastAsia="Arial" w:hAnsi="Arial"/>
                <w:sz w:val="12"/>
                <w:szCs w:val="12"/>
                <w:color w:val="auto"/>
                <w:w w:val="81"/>
              </w:rPr>
              <w:t>(3)</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26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w:t>
            </w:r>
          </w:p>
        </w:tc>
      </w:tr>
      <w:tr>
        <w:trPr>
          <w:trHeight w:val="269"/>
        </w:trPr>
        <w:tc>
          <w:tcPr>
            <w:tcW w:w="1280" w:type="dxa"/>
            <w:vAlign w:val="bottom"/>
          </w:tcPr>
          <w:p>
            <w:pPr>
              <w:jc w:val="right"/>
              <w:spacing w:after="0"/>
              <w:rPr>
                <w:sz w:val="20"/>
                <w:szCs w:val="20"/>
                <w:color w:val="auto"/>
              </w:rPr>
            </w:pPr>
            <w:r>
              <w:rPr>
                <w:rFonts w:ascii="Arial" w:cs="Arial" w:eastAsia="Arial" w:hAnsi="Arial"/>
                <w:sz w:val="18"/>
                <w:szCs w:val="18"/>
                <w:color w:val="auto"/>
              </w:rPr>
              <w:t>502,808</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99,808</w:t>
            </w:r>
          </w:p>
        </w:tc>
        <w:tc>
          <w:tcPr>
            <w:tcW w:w="480" w:type="dxa"/>
            <w:vAlign w:val="bottom"/>
          </w:tcPr>
          <w:p>
            <w:pPr>
              <w:jc w:val="right"/>
              <w:ind w:right="282"/>
              <w:spacing w:after="0"/>
              <w:rPr>
                <w:sz w:val="20"/>
                <w:szCs w:val="20"/>
                <w:color w:val="auto"/>
              </w:rPr>
            </w:pPr>
            <w:r>
              <w:rPr>
                <w:rFonts w:ascii="Arial" w:cs="Arial" w:eastAsia="Arial" w:hAnsi="Arial"/>
                <w:sz w:val="12"/>
                <w:szCs w:val="12"/>
                <w:color w:val="auto"/>
                <w:w w:val="81"/>
              </w:rPr>
              <w:t>(4)</w:t>
            </w:r>
          </w:p>
        </w:tc>
        <w:tc>
          <w:tcPr>
            <w:tcW w:w="4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49.85</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49.93</w:t>
            </w:r>
          </w:p>
        </w:tc>
      </w:tr>
      <w:tr>
        <w:trPr>
          <w:trHeight w:val="310"/>
        </w:trPr>
        <w:tc>
          <w:tcPr>
            <w:tcW w:w="1280" w:type="dxa"/>
            <w:vAlign w:val="bottom"/>
          </w:tcPr>
          <w:p>
            <w:pPr>
              <w:jc w:val="right"/>
              <w:spacing w:after="0"/>
              <w:rPr>
                <w:sz w:val="20"/>
                <w:szCs w:val="20"/>
                <w:color w:val="auto"/>
              </w:rPr>
            </w:pPr>
            <w:r>
              <w:rPr>
                <w:rFonts w:ascii="Arial" w:cs="Arial" w:eastAsia="Arial" w:hAnsi="Arial"/>
                <w:sz w:val="18"/>
                <w:szCs w:val="18"/>
                <w:color w:val="auto"/>
              </w:rPr>
              <w:t>(6,765)</w:t>
            </w:r>
          </w:p>
        </w:tc>
        <w:tc>
          <w:tcPr>
            <w:tcW w:w="240" w:type="dxa"/>
            <w:vAlign w:val="bottom"/>
          </w:tcPr>
          <w:p>
            <w:pPr>
              <w:spacing w:after="0"/>
              <w:rPr>
                <w:sz w:val="24"/>
                <w:szCs w:val="24"/>
                <w:color w:val="auto"/>
              </w:rPr>
            </w:pPr>
          </w:p>
        </w:tc>
        <w:tc>
          <w:tcPr>
            <w:tcW w:w="1780" w:type="dxa"/>
            <w:vAlign w:val="bottom"/>
            <w:gridSpan w:val="2"/>
          </w:tcPr>
          <w:p>
            <w:pPr>
              <w:jc w:val="right"/>
              <w:ind w:right="282"/>
              <w:spacing w:after="0"/>
              <w:rPr>
                <w:sz w:val="20"/>
                <w:szCs w:val="20"/>
                <w:color w:val="auto"/>
              </w:rPr>
            </w:pPr>
            <w:r>
              <w:rPr>
                <w:rFonts w:ascii="Arial" w:cs="Arial" w:eastAsia="Arial" w:hAnsi="Arial"/>
                <w:sz w:val="18"/>
                <w:szCs w:val="18"/>
                <w:color w:val="auto"/>
              </w:rPr>
              <w:t xml:space="preserve">(34,930) </w:t>
            </w:r>
            <w:r>
              <w:rPr>
                <w:rFonts w:ascii="Arial" w:cs="Arial" w:eastAsia="Arial" w:hAnsi="Arial"/>
                <w:sz w:val="23"/>
                <w:szCs w:val="23"/>
                <w:color w:val="auto"/>
                <w:vertAlign w:val="superscript"/>
              </w:rPr>
              <w:t>(3)</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24.15</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17.53</w:t>
            </w:r>
          </w:p>
        </w:tc>
      </w:tr>
      <w:tr>
        <w:trPr>
          <w:trHeight w:val="230"/>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(22,080)</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(125,592)</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17.17</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16.36</w:t>
            </w:r>
          </w:p>
        </w:tc>
      </w:tr>
      <w:tr>
        <w:trPr>
          <w:trHeight w:val="223"/>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1,737,156</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99,808</w:t>
            </w:r>
          </w:p>
        </w:tc>
        <w:tc>
          <w:tcPr>
            <w:tcW w:w="4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w:t>
            </w:r>
          </w:p>
        </w:tc>
      </w:tr>
      <w:tr>
        <w:trPr>
          <w:trHeight w:val="21"/>
        </w:trPr>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-530860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-187960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63" w:lineRule="exact"/>
        <w:rPr>
          <w:sz w:val="20"/>
          <w:szCs w:val="20"/>
          <w:color w:val="auto"/>
        </w:rPr>
      </w:pPr>
    </w:p>
    <w:p>
      <w:pPr>
        <w:sectPr>
          <w:pgSz w:w="11900" w:h="16838" w:orient="portrait"/>
          <w:cols w:equalWidth="0" w:num="3">
            <w:col w:w="4620" w:space="20"/>
            <w:col w:w="140" w:space="340"/>
            <w:col w:w="6120"/>
          </w:cols>
          <w:pgMar w:left="320" w:top="1421" w:right="339" w:bottom="1440" w:gutter="0" w:footer="0" w:header="0"/>
          <w:type w:val="continuous"/>
        </w:sectPr>
      </w:pPr>
    </w:p>
    <w:p>
      <w:pPr>
        <w:ind w:left="340" w:hanging="332"/>
        <w:spacing w:after="0" w:line="250" w:lineRule="auto"/>
        <w:tabs>
          <w:tab w:leader="none" w:pos="328" w:val="left"/>
        </w:tabs>
        <w:numPr>
          <w:ilvl w:val="0"/>
          <w:numId w:val="16"/>
        </w:numPr>
        <w:rPr>
          <w:rFonts w:ascii="Arial" w:cs="Arial" w:eastAsia="Arial" w:hAnsi="Arial"/>
          <w:sz w:val="20"/>
          <w:szCs w:val="20"/>
          <w:color w:val="231F20"/>
        </w:rPr>
      </w:pPr>
      <w:r>
        <w:rPr>
          <w:rFonts w:ascii="Arial" w:cs="Arial" w:eastAsia="Arial" w:hAnsi="Arial"/>
          <w:sz w:val="18"/>
          <w:szCs w:val="18"/>
          <w:color w:val="auto"/>
        </w:rPr>
        <w:t>For the six months ended June 30, 2021, the Company only granted RSUs. No shares of restricted stock were granted during the six months ended June 30, 2021.</w:t>
      </w:r>
    </w:p>
    <w:p>
      <w:pPr>
        <w:spacing w:after="0" w:line="138" w:lineRule="exact"/>
        <w:rPr>
          <w:rFonts w:ascii="Arial" w:cs="Arial" w:eastAsia="Arial" w:hAnsi="Arial"/>
          <w:sz w:val="20"/>
          <w:szCs w:val="20"/>
          <w:color w:val="231F20"/>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56,360 RSUs which are expected to be settled in cash.</w:t>
      </w:r>
    </w:p>
    <w:p>
      <w:pPr>
        <w:spacing w:after="0" w:line="171" w:lineRule="exact"/>
        <w:rPr>
          <w:rFonts w:ascii="Arial" w:cs="Arial" w:eastAsia="Arial" w:hAnsi="Arial"/>
          <w:sz w:val="18"/>
          <w:szCs w:val="18"/>
          <w:color w:val="auto"/>
        </w:rPr>
      </w:pPr>
    </w:p>
    <w:p>
      <w:pPr>
        <w:ind w:left="340" w:hanging="332"/>
        <w:spacing w:after="0" w:line="223" w:lineRule="exact"/>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Relates to the 2020 annual performance period. 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associated with these awards was fully recognized as of December 31, 2020.</w:t>
      </w:r>
    </w:p>
    <w:p>
      <w:pPr>
        <w:spacing w:after="0" w:line="148"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Relates to the 2021 annual performance period.</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For the six months ended June 30, 2020, the Company granted 12,454 shares of restricted stock, which were subject to a quarterly time</w:t>
      </w:r>
      <w:r>
        <w:rPr>
          <w:rFonts w:ascii="MS PGothic" w:cs="MS PGothic" w:eastAsia="MS PGothic" w:hAnsi="MS PGothic"/>
          <w:sz w:val="18"/>
          <w:szCs w:val="18"/>
          <w:color w:val="auto"/>
        </w:rPr>
        <w:t>‑</w:t>
      </w:r>
      <w:r>
        <w:rPr>
          <w:rFonts w:ascii="Arial" w:cs="Arial" w:eastAsia="Arial" w:hAnsi="Arial"/>
          <w:sz w:val="18"/>
          <w:szCs w:val="18"/>
          <w:color w:val="auto"/>
        </w:rPr>
        <w:t>based vesting schedule ending March 31, 2021, and had a weighted average grant date fair value of $10.84. No performance shares were granted during the six months ended June 30, 2020.</w:t>
      </w:r>
    </w:p>
    <w:p>
      <w:pPr>
        <w:spacing w:after="0" w:line="204"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For the six months ended June 30, 2021, the weighted average grant date fair value of time</w:t>
      </w:r>
      <w:r>
        <w:rPr>
          <w:rFonts w:ascii="MS PGothic" w:cs="MS PGothic" w:eastAsia="MS PGothic" w:hAnsi="MS PGothic"/>
          <w:sz w:val="18"/>
          <w:szCs w:val="18"/>
          <w:color w:val="auto"/>
        </w:rPr>
        <w:t>‑</w:t>
      </w:r>
      <w:r>
        <w:rPr>
          <w:rFonts w:ascii="Arial" w:cs="Arial" w:eastAsia="Arial" w:hAnsi="Arial"/>
          <w:sz w:val="18"/>
          <w:szCs w:val="18"/>
          <w:color w:val="auto"/>
        </w:rPr>
        <w:t>based and performance</w:t>
      </w:r>
      <w:r>
        <w:rPr>
          <w:rFonts w:ascii="MS PGothic" w:cs="MS PGothic" w:eastAsia="MS PGothic" w:hAnsi="MS PGothic"/>
          <w:sz w:val="18"/>
          <w:szCs w:val="18"/>
          <w:color w:val="auto"/>
        </w:rPr>
        <w:t>‑</w:t>
      </w:r>
      <w:r>
        <w:rPr>
          <w:rFonts w:ascii="Arial" w:cs="Arial" w:eastAsia="Arial" w:hAnsi="Arial"/>
          <w:sz w:val="18"/>
          <w:szCs w:val="18"/>
          <w:color w:val="auto"/>
        </w:rPr>
        <w:t>based RSUs was $49.85 and $49.93, respectively. No RSUs were granted during the six months ended June 30, 2020.</w:t>
      </w:r>
    </w:p>
    <w:p>
      <w:pPr>
        <w:spacing w:after="0" w:line="203"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In 2016, the Company granted RSUs subject to performance</w:t>
      </w:r>
      <w:r>
        <w:rPr>
          <w:rFonts w:ascii="MS PGothic" w:cs="MS PGothic" w:eastAsia="MS PGothic" w:hAnsi="MS PGothic"/>
          <w:sz w:val="17"/>
          <w:szCs w:val="17"/>
          <w:color w:val="auto"/>
        </w:rPr>
        <w:t>‑</w:t>
      </w:r>
      <w:r>
        <w:rPr>
          <w:rFonts w:ascii="Arial" w:cs="Arial" w:eastAsia="Arial" w:hAnsi="Arial"/>
          <w:sz w:val="17"/>
          <w:szCs w:val="17"/>
          <w:color w:val="auto"/>
        </w:rPr>
        <w:t>based vesting as determined by the achievement of certain business growth targets. Certain colleagues elected to defer delivery of such shares upon vesting. During the six months ended June 30, 2021 and 2020, 10,864 and 9,830 shares, respectively, were delivered to colleagues, and 23 and 211 additional shares, respectively, were earned as a result of dividends. As of June 30, 2021 and December 31, 2020, 20,199 and 31,040 shares, respectively, of these RSUs remained outstanding.</w:t>
      </w:r>
    </w:p>
    <w:p>
      <w:pPr>
        <w:spacing w:after="0" w:line="2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six months ended June 30, 2021 and 2020, restricted stock and RSUs were issued net of 14,869 and 11,942 shares, respectively, which were sold back to the Company to settle applicable income tax withholdings of $708 and $120, respectively.</w:t>
      </w:r>
    </w:p>
    <w:p>
      <w:pPr>
        <w:spacing w:after="0" w:line="17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As of June 30, 2021, there was $41,102 of unrecognized compensation expense related to unvested time</w:t>
      </w:r>
      <w:r>
        <w:rPr>
          <w:rFonts w:ascii="MS PGothic" w:cs="MS PGothic" w:eastAsia="MS PGothic" w:hAnsi="MS PGothic"/>
          <w:sz w:val="17"/>
          <w:szCs w:val="17"/>
          <w:color w:val="auto"/>
        </w:rPr>
        <w:t>‑</w:t>
      </w:r>
      <w:r>
        <w:rPr>
          <w:rFonts w:ascii="Arial" w:cs="Arial" w:eastAsia="Arial" w:hAnsi="Arial"/>
          <w:sz w:val="17"/>
          <w:szCs w:val="17"/>
          <w:color w:val="auto"/>
        </w:rPr>
        <w:t>based restricted stock and RSUs, which is expected to be recognized over a weighted average period of approximately 3.5 years. There was no remaining unrecognized compensation expense related to unvested performance</w:t>
      </w:r>
      <w:r>
        <w:rPr>
          <w:rFonts w:ascii="MS PGothic" w:cs="MS PGothic" w:eastAsia="MS PGothic" w:hAnsi="MS PGothic"/>
          <w:sz w:val="17"/>
          <w:szCs w:val="17"/>
          <w:color w:val="auto"/>
        </w:rPr>
        <w:t>‑</w:t>
      </w:r>
      <w:r>
        <w:rPr>
          <w:rFonts w:ascii="Arial" w:cs="Arial" w:eastAsia="Arial" w:hAnsi="Arial"/>
          <w:sz w:val="17"/>
          <w:szCs w:val="17"/>
          <w:color w:val="auto"/>
        </w:rPr>
        <w:t>based restricted stock. As of June 30, 2021, there was $2,043 of unrecognized compensation expense related to unvested performance</w:t>
      </w:r>
      <w:r>
        <w:rPr>
          <w:rFonts w:ascii="MS PGothic" w:cs="MS PGothic" w:eastAsia="MS PGothic" w:hAnsi="MS PGothic"/>
          <w:sz w:val="17"/>
          <w:szCs w:val="17"/>
          <w:color w:val="auto"/>
        </w:rPr>
        <w:t>‑</w:t>
      </w:r>
      <w:r>
        <w:rPr>
          <w:rFonts w:ascii="Arial" w:cs="Arial" w:eastAsia="Arial" w:hAnsi="Arial"/>
          <w:sz w:val="17"/>
          <w:szCs w:val="17"/>
          <w:color w:val="auto"/>
        </w:rPr>
        <w:t>based RSUs, which is expected to be recognized over a weighted average period of approximately 0.5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Stock Grants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six months ended June 30, 2021 and 2020, the Company granted 7,824 and 17,411 fully vested shares of Class B Common Stock, respectively, with a fair value of $450 and $219,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ESPP</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accordance with the guidance in ASC 718-50, </w:t>
      </w:r>
      <w:r>
        <w:rPr>
          <w:rFonts w:ascii="Arial" w:cs="Arial" w:eastAsia="Arial" w:hAnsi="Arial"/>
          <w:sz w:val="18"/>
          <w:szCs w:val="18"/>
          <w:i w:val="1"/>
          <w:iCs w:val="1"/>
          <w:color w:val="auto"/>
        </w:rPr>
        <w:t>Compensation</w:t>
      </w:r>
      <w:r>
        <w:rPr>
          <w:rFonts w:ascii="Arial" w:cs="Arial" w:eastAsia="Arial" w:hAnsi="Arial"/>
          <w:sz w:val="18"/>
          <w:szCs w:val="18"/>
          <w:color w:val="auto"/>
        </w:rPr>
        <w:t>—</w:t>
      </w:r>
      <w:r>
        <w:rPr>
          <w:rFonts w:ascii="Arial" w:cs="Arial" w:eastAsia="Arial" w:hAnsi="Arial"/>
          <w:sz w:val="18"/>
          <w:szCs w:val="18"/>
          <w:i w:val="1"/>
          <w:iCs w:val="1"/>
          <w:color w:val="auto"/>
        </w:rPr>
        <w:t>Stock Compensation</w:t>
      </w:r>
      <w:r>
        <w:rPr>
          <w:rFonts w:ascii="Arial" w:cs="Arial" w:eastAsia="Arial" w:hAnsi="Arial"/>
          <w:sz w:val="18"/>
          <w:szCs w:val="18"/>
          <w:color w:val="auto"/>
        </w:rPr>
        <w:t>, the ability to purchase shares of the Company’s Class B Common Stock for 85% of the of the lower of the price of the first day of the offering period or the last day of the offering period (i.e., the purchase date) represents an option and, therefore, the ESPP is a compensatory plan under this guidance.</w:t>
      </w:r>
    </w:p>
    <w:p>
      <w:pPr>
        <w:spacing w:after="0" w:line="184" w:lineRule="exact"/>
        <w:rPr>
          <w:sz w:val="20"/>
          <w:szCs w:val="20"/>
          <w:color w:val="auto"/>
        </w:rPr>
      </w:pPr>
    </w:p>
    <w:p>
      <w:pPr>
        <w:jc w:val="both"/>
        <w:ind w:right="20" w:firstLine="324"/>
        <w:spacing w:after="0" w:line="220" w:lineRule="exact"/>
        <w:rPr>
          <w:sz w:val="20"/>
          <w:szCs w:val="20"/>
          <w:color w:val="auto"/>
        </w:rPr>
      </w:pPr>
      <w:r>
        <w:rPr>
          <w:rFonts w:ascii="Arial" w:cs="Arial" w:eastAsia="Arial" w:hAnsi="Arial"/>
          <w:sz w:val="18"/>
          <w:szCs w:val="18"/>
          <w:color w:val="auto"/>
        </w:rPr>
        <w:t>The fair value of each purchase right under the ESPP was calculated as a sum of its components, which includes the discount, a six</w:t>
      </w:r>
      <w:r>
        <w:rPr>
          <w:rFonts w:ascii="MS PGothic" w:cs="MS PGothic" w:eastAsia="MS PGothic" w:hAnsi="MS PGothic"/>
          <w:sz w:val="18"/>
          <w:szCs w:val="18"/>
          <w:color w:val="auto"/>
        </w:rPr>
        <w:t>‑</w:t>
      </w:r>
      <w:r>
        <w:rPr>
          <w:rFonts w:ascii="Arial" w:cs="Arial" w:eastAsia="Arial" w:hAnsi="Arial"/>
          <w:sz w:val="18"/>
          <w:szCs w:val="18"/>
          <w:color w:val="auto"/>
        </w:rPr>
        <w:t>month call option, and a six</w:t>
      </w:r>
      <w:r>
        <w:rPr>
          <w:rFonts w:ascii="MS PGothic" w:cs="MS PGothic" w:eastAsia="MS PGothic" w:hAnsi="MS PGothic"/>
          <w:sz w:val="18"/>
          <w:szCs w:val="18"/>
          <w:color w:val="auto"/>
        </w:rPr>
        <w:t>‑</w:t>
      </w:r>
      <w:r>
        <w:rPr>
          <w:rFonts w:ascii="Arial" w:cs="Arial" w:eastAsia="Arial" w:hAnsi="Arial"/>
          <w:sz w:val="18"/>
          <w:szCs w:val="18"/>
          <w:color w:val="auto"/>
        </w:rPr>
        <w:t>month put option. The call and put options were valued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recognized ratably over the six</w:t>
      </w:r>
      <w:r>
        <w:rPr>
          <w:rFonts w:ascii="MS PGothic" w:cs="MS PGothic" w:eastAsia="MS PGothic" w:hAnsi="MS PGothic"/>
          <w:sz w:val="18"/>
          <w:szCs w:val="18"/>
          <w:color w:val="auto"/>
        </w:rPr>
        <w:t>‑</w:t>
      </w:r>
      <w:r>
        <w:rPr>
          <w:rFonts w:ascii="Arial" w:cs="Arial" w:eastAsia="Arial" w:hAnsi="Arial"/>
          <w:sz w:val="18"/>
          <w:szCs w:val="18"/>
          <w:color w:val="auto"/>
        </w:rPr>
        <w:t>month offering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Subsequent to June 30, 2021</w:t>
      </w:r>
    </w:p>
    <w:p>
      <w:pPr>
        <w:spacing w:after="0" w:line="225"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In July 2021, the Company granted 90,400 time</w:t>
      </w:r>
      <w:r>
        <w:rPr>
          <w:rFonts w:ascii="MS PGothic" w:cs="MS PGothic" w:eastAsia="MS PGothic" w:hAnsi="MS PGothic"/>
          <w:sz w:val="18"/>
          <w:szCs w:val="18"/>
          <w:color w:val="auto"/>
        </w:rPr>
        <w:t>‑</w:t>
      </w:r>
      <w:r>
        <w:rPr>
          <w:rFonts w:ascii="Arial" w:cs="Arial" w:eastAsia="Arial" w:hAnsi="Arial"/>
          <w:sz w:val="18"/>
          <w:szCs w:val="18"/>
          <w:color w:val="auto"/>
        </w:rPr>
        <w:t>based RSUs. The unrecognized compensation expense related to these RSUs is approximately $5,300, which is expected to be recognized over a weighted average period of approximately three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 xml:space="preserve">The Company calculates its interim income tax provision in accordance with ASC Topics 270, </w:t>
      </w:r>
      <w:r>
        <w:rPr>
          <w:rFonts w:ascii="Arial" w:cs="Arial" w:eastAsia="Arial" w:hAnsi="Arial"/>
          <w:sz w:val="16"/>
          <w:szCs w:val="16"/>
          <w:i w:val="1"/>
          <w:iCs w:val="1"/>
          <w:color w:val="auto"/>
        </w:rPr>
        <w:t>Interim Reporting,</w:t>
      </w:r>
      <w:r>
        <w:rPr>
          <w:rFonts w:ascii="Arial" w:cs="Arial" w:eastAsia="Arial" w:hAnsi="Arial"/>
          <w:sz w:val="16"/>
          <w:szCs w:val="16"/>
          <w:color w:val="auto"/>
        </w:rPr>
        <w:t xml:space="preserve"> and 740, </w:t>
      </w:r>
      <w:r>
        <w:rPr>
          <w:rFonts w:ascii="Arial" w:cs="Arial" w:eastAsia="Arial" w:hAnsi="Arial"/>
          <w:sz w:val="16"/>
          <w:szCs w:val="16"/>
          <w:i w:val="1"/>
          <w:iCs w:val="1"/>
          <w:color w:val="auto"/>
        </w:rPr>
        <w:t>Income Taxes</w:t>
      </w:r>
      <w:r>
        <w:rPr>
          <w:rFonts w:ascii="Arial" w:cs="Arial" w:eastAsia="Arial" w:hAnsi="Arial"/>
          <w:sz w:val="16"/>
          <w:szCs w:val="16"/>
          <w:color w:val="auto"/>
        </w:rPr>
        <w:t>. At the end of each interim period, the Company makes an estimate of the annual U.S. domestic and foreign jurisdictions’ expected effective tax rates and applies these rates to its respective year</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date taxable income or loss. The computation of the estimated effective tax rates at each interim period requires certain estimates and assumptions including, but not limited to, the expected operating income for the fiscal year, projections of the proportion of income (or loss) earned and taxed in the U.S. and foreign tax jurisdictions, along with permanent differences, and the likelihood of deferred tax asset utilization. The Company’s estimates and assumptions may change as new events occur, additional information is obtained, or as the tax environment changes. Should facts and circumstances change during a period causing a material change to the estimated effective income tax rate, a cumulative adjustment will be recorded.</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The income tax provisions for the three months ended June 30, 2021 and 2020 were based on the estimated annual effective income tax rates adjusted for discrete items occurring during the periods presented. For the three months ended June 30, 2021 and 2020, the Company recognized an aggregate consolidated income tax (benefit) expense of $(20,746) and $4,264, respectively, for U.S. domestic and foreign income taxes. For the three months ended June 30, 2021 and 2020, the Company recorded a discrete tax benefit of $28,967 and $5,281, respectively,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The effective income tax rate of (79.8)% for the three months ended June 30, 2021 was lower than the effective income tax rate of 9.7% for the three months ended June 30, 2020 primarily due to the tax benefit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partially offset by the impact from officer compensation limitation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jc w:val="both"/>
        <w:ind w:firstLine="324"/>
        <w:spacing w:after="0" w:line="218" w:lineRule="exact"/>
        <w:rPr>
          <w:sz w:val="20"/>
          <w:szCs w:val="20"/>
          <w:color w:val="auto"/>
        </w:rPr>
      </w:pPr>
      <w:r>
        <w:rPr>
          <w:rFonts w:ascii="Arial" w:cs="Arial" w:eastAsia="Arial" w:hAnsi="Arial"/>
          <w:sz w:val="18"/>
          <w:szCs w:val="18"/>
          <w:color w:val="auto"/>
        </w:rPr>
        <w:t>The income tax provisions for the six months ended June 30, 2021 and 2020 were based on the estimated annual effective income tax rates adjusted for discrete items occurring during the periods presented. For the six months ended June 30, 2021 and 2020, the Company recognized an aggregate consolidated income tax (benefit) expense of $(10,388) and $11,440, respectively, for U.S. domestic and foreign income taxes. For the six months ended June 30, 2021 and 2020, the Company recorded a discrete tax benefit of $36,452 and $6,423, respectively,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The effective income tax rate of (11.1)% for the six months ended June 30, 2021 was lower than the effective income tax rate of 14.1% for the six months ended June 30, 2020 primarily due to the tax benefit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partially offset by the impact from officer compensation limitation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w:t>
      </w:r>
    </w:p>
    <w:p>
      <w:pPr>
        <w:spacing w:after="0" w:line="225"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color w:val="auto"/>
        </w:rPr>
        <w:t>On March 31, 2020, the Company entered into an interest rate swap with a notional amount of $200,000 and a ten</w:t>
      </w:r>
      <w:r>
        <w:rPr>
          <w:rFonts w:ascii="MS PGothic" w:cs="MS PGothic" w:eastAsia="MS PGothic" w:hAnsi="MS PGothic"/>
          <w:sz w:val="16"/>
          <w:szCs w:val="16"/>
          <w:color w:val="auto"/>
        </w:rPr>
        <w:t>‑</w:t>
      </w:r>
      <w:r>
        <w:rPr>
          <w:rFonts w:ascii="Arial" w:cs="Arial" w:eastAsia="Arial" w:hAnsi="Arial"/>
          <w:sz w:val="16"/>
          <w:szCs w:val="16"/>
          <w:color w:val="auto"/>
        </w:rPr>
        <w:t>year term to reduce the interest rate risk associated with the Company’s Credit Facility. The interest rate swap is not designated as a hedging instrument for accounting purposes. The Company accounts for the swap as either an asset or a liability on the consolidated balance sheet and carries the derivative at fair value.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interest rate swap activity and the location the activity is recognized in the consolidated statements of operations: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2"/>
              </w:rPr>
              <w:t>Six Months Ended</w:t>
            </w:r>
          </w:p>
        </w:tc>
        <w:tc>
          <w:tcPr>
            <w:tcW w:w="284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6"/>
                <w:szCs w:val="16"/>
                <w:b w:val="1"/>
                <w:bCs w:val="1"/>
                <w:color w:val="auto"/>
                <w:w w:val="90"/>
              </w:rPr>
              <w:t>June 30,</w:t>
            </w:r>
          </w:p>
        </w:tc>
        <w:tc>
          <w:tcPr>
            <w:tcW w:w="7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6"/>
                <w:szCs w:val="16"/>
                <w:b w:val="1"/>
                <w:bCs w:val="1"/>
                <w:color w:val="auto"/>
                <w:w w:val="90"/>
              </w:rPr>
              <w:t>June 30,</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6"/>
                <w:szCs w:val="16"/>
                <w:b w:val="1"/>
                <w:bCs w:val="1"/>
                <w:color w:val="auto"/>
                <w:w w:val="89"/>
              </w:rPr>
              <w:t>Recognized in Consolidated</w:t>
            </w:r>
          </w:p>
        </w:tc>
      </w:tr>
      <w:tr>
        <w:trPr>
          <w:trHeight w:val="213"/>
        </w:trPr>
        <w:tc>
          <w:tcPr>
            <w:tcW w:w="3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Statements of Operations</w:t>
            </w:r>
          </w:p>
        </w:tc>
      </w:tr>
      <w:tr>
        <w:trPr>
          <w:trHeight w:val="233"/>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spacing w:after="0"/>
              <w:rPr>
                <w:sz w:val="20"/>
                <w:szCs w:val="20"/>
                <w:color w:val="auto"/>
              </w:rPr>
            </w:pPr>
          </w:p>
        </w:tc>
      </w:tr>
      <w:tr>
        <w:trPr>
          <w:trHeight w:val="270"/>
        </w:trPr>
        <w:tc>
          <w:tcPr>
            <w:tcW w:w="3340" w:type="dxa"/>
            <w:vAlign w:val="bottom"/>
          </w:tcPr>
          <w:p>
            <w:pPr>
              <w:ind w:left="180"/>
              <w:spacing w:after="0"/>
              <w:rPr>
                <w:sz w:val="20"/>
                <w:szCs w:val="20"/>
                <w:color w:val="auto"/>
              </w:rPr>
            </w:pPr>
            <w:r>
              <w:rPr>
                <w:rFonts w:ascii="Arial" w:cs="Arial" w:eastAsia="Arial" w:hAnsi="Arial"/>
                <w:sz w:val="18"/>
                <w:szCs w:val="18"/>
                <w:color w:val="auto"/>
              </w:rPr>
              <w:t>(Loss) gain from change in fair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(5,926)</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(4,174)</w:t>
            </w:r>
          </w:p>
        </w:tc>
        <w:tc>
          <w:tcPr>
            <w:tcW w:w="24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7,735</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(4,174)</w:t>
            </w:r>
          </w:p>
        </w:tc>
        <w:tc>
          <w:tcPr>
            <w:tcW w:w="260" w:type="dxa"/>
            <w:vAlign w:val="bottom"/>
          </w:tcPr>
          <w:p>
            <w:pPr>
              <w:spacing w:after="0"/>
              <w:rPr>
                <w:sz w:val="23"/>
                <w:szCs w:val="23"/>
                <w:color w:val="auto"/>
              </w:rPr>
            </w:pPr>
          </w:p>
        </w:tc>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Other (expense) income, net</w:t>
            </w: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23"/>
                <w:szCs w:val="23"/>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Interest expense, net</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7"/>
          <w:szCs w:val="17"/>
          <w:color w:val="auto"/>
        </w:rPr>
        <w:t xml:space="preserve">The Company applies the provisions of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for fair value measurements of financial assets and financial liabilities and for fair value measurements of non</w:t>
      </w:r>
      <w:r>
        <w:rPr>
          <w:rFonts w:ascii="MS PGothic" w:cs="MS PGothic" w:eastAsia="MS PGothic" w:hAnsi="MS PGothic"/>
          <w:sz w:val="17"/>
          <w:szCs w:val="17"/>
          <w:color w:val="auto"/>
        </w:rPr>
        <w:t>‑</w:t>
      </w:r>
      <w:r>
        <w:rPr>
          <w:rFonts w:ascii="Arial" w:cs="Arial" w:eastAsia="Arial" w:hAnsi="Arial"/>
          <w:sz w:val="17"/>
          <w:szCs w:val="17"/>
          <w:color w:val="auto"/>
        </w:rPr>
        <w:t>financial items that are recognized or disclosed at fair value in the consolidated financial statements.</w:t>
      </w:r>
    </w:p>
    <w:p>
      <w:pPr>
        <w:spacing w:after="0" w:line="202"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 Company’s financial instruments include cash equivalents, account receivables, certain other assets, accounts payable, accruals, certain other current and long</w:t>
      </w:r>
      <w:r>
        <w:rPr>
          <w:rFonts w:ascii="MS PGothic" w:cs="MS PGothic" w:eastAsia="MS PGothic" w:hAnsi="MS PGothic"/>
          <w:sz w:val="18"/>
          <w:szCs w:val="18"/>
          <w:color w:val="auto"/>
        </w:rPr>
        <w:t>‑</w:t>
      </w:r>
      <w:r>
        <w:rPr>
          <w:rFonts w:ascii="Arial" w:cs="Arial" w:eastAsia="Arial" w:hAnsi="Arial"/>
          <w:sz w:val="18"/>
          <w:szCs w:val="18"/>
          <w:color w:val="auto"/>
        </w:rPr>
        <w:t>term liabilities, and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The carrying values of the Company’s financial instruments excluding long</w:t>
      </w:r>
      <w:r>
        <w:rPr>
          <w:rFonts w:ascii="MS PGothic" w:cs="MS PGothic" w:eastAsia="MS PGothic" w:hAnsi="MS PGothic"/>
          <w:sz w:val="16"/>
          <w:szCs w:val="16"/>
          <w:color w:val="auto"/>
        </w:rPr>
        <w:t>‑</w:t>
      </w:r>
      <w:r>
        <w:rPr>
          <w:rFonts w:ascii="Arial" w:cs="Arial" w:eastAsia="Arial" w:hAnsi="Arial"/>
          <w:sz w:val="16"/>
          <w:szCs w:val="16"/>
          <w:color w:val="auto"/>
        </w:rPr>
        <w:t>term debt approximate their fair value due to the short</w:t>
      </w:r>
      <w:r>
        <w:rPr>
          <w:rFonts w:ascii="MS PGothic" w:cs="MS PGothic" w:eastAsia="MS PGothic" w:hAnsi="MS PGothic"/>
          <w:sz w:val="16"/>
          <w:szCs w:val="16"/>
          <w:color w:val="auto"/>
        </w:rPr>
        <w:t>‑</w:t>
      </w:r>
      <w:r>
        <w:rPr>
          <w:rFonts w:ascii="Arial" w:cs="Arial" w:eastAsia="Arial" w:hAnsi="Arial"/>
          <w:sz w:val="16"/>
          <w:szCs w:val="16"/>
          <w:color w:val="auto"/>
        </w:rPr>
        <w:t>term nature of those instruments. Additionally, as of December 31, 2020, the fair value of the Company’s borrowings under its Credit Facility approximated its carrying value based upon discounted cash flows at current market rates for instruments with similar remaining terms. The Company considers these valuation inputs to be Level 2 inputs in the fair value hierarchy. The estimated fair value of the 2026 Notes and 2027 Notes was $825,620 and $591,238, respectively, as of June 30, 2021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8" w:name="page39"/>
    <w:bookmarkEnd w:id="38"/>
    <w:p>
      <w:pPr>
        <w:spacing w:after="0" w:line="19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inputs are unobservable inputs based on management’s own assumptions used to measure assets and liabilities at fair value.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the financial assets and financial liabilities carried at fair value measured on a recurring basis: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gridSpan w:val="3"/>
          </w:tcPr>
          <w:p>
            <w:pPr>
              <w:ind w:left="20"/>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13"/>
        </w:trPr>
        <w:tc>
          <w:tcPr>
            <w:tcW w:w="52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5220" w:type="dxa"/>
            <w:vAlign w:val="bottom"/>
            <w:gridSpan w:val="3"/>
          </w:tcPr>
          <w:p>
            <w:pPr>
              <w:ind w:left="18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w:t>
            </w:r>
          </w:p>
        </w:tc>
      </w:tr>
      <w:tr>
        <w:trPr>
          <w:trHeight w:val="223"/>
        </w:trPr>
        <w:tc>
          <w:tcPr>
            <w:tcW w:w="522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8,082</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8,104</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22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5220" w:type="dxa"/>
            <w:vAlign w:val="bottom"/>
            <w:gridSpan w:val="3"/>
          </w:tcPr>
          <w:p>
            <w:pPr>
              <w:ind w:left="18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8,728</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8,728</w:t>
            </w:r>
          </w:p>
        </w:tc>
      </w:tr>
      <w:tr>
        <w:trPr>
          <w:trHeight w:val="270"/>
        </w:trPr>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r>
      <w:tr>
        <w:trPr>
          <w:trHeight w:val="270"/>
        </w:trPr>
        <w:tc>
          <w:tcPr>
            <w:tcW w:w="5220" w:type="dxa"/>
            <w:vAlign w:val="bottom"/>
            <w:gridSpan w:val="3"/>
          </w:tcPr>
          <w:p>
            <w:pPr>
              <w:ind w:left="18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(5)</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699</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48"/>
        </w:trPr>
        <w:tc>
          <w:tcPr>
            <w:tcW w:w="52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8,728</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12,204</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522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24"/>
                <w:szCs w:val="24"/>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13"/>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5220" w:type="dxa"/>
            <w:vAlign w:val="bottom"/>
            <w:gridSpan w:val="3"/>
          </w:tcPr>
          <w:p>
            <w:pPr>
              <w:ind w:left="18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34,696</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34,696</w:t>
            </w:r>
          </w:p>
        </w:tc>
      </w:tr>
      <w:tr>
        <w:trPr>
          <w:trHeight w:val="27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522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34,696</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35,043</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5220" w:type="dxa"/>
            <w:vAlign w:val="bottom"/>
            <w:gridSpan w:val="3"/>
          </w:tcPr>
          <w:p>
            <w:pPr>
              <w:ind w:left="18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4,299</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4,299</w:t>
            </w:r>
          </w:p>
        </w:tc>
      </w:tr>
      <w:tr>
        <w:trPr>
          <w:trHeight w:val="270"/>
        </w:trPr>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r>
      <w:tr>
        <w:trPr>
          <w:trHeight w:val="270"/>
        </w:trPr>
        <w:tc>
          <w:tcPr>
            <w:tcW w:w="5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(5)</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2920" w:type="dxa"/>
            <w:vAlign w:val="bottom"/>
            <w:tcBorders>
              <w:bottom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34"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in the consolidated balance sheets.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consolidated balance sheets.</w:t>
      </w:r>
    </w:p>
    <w:p>
      <w:pPr>
        <w:spacing w:after="0" w:line="171" w:lineRule="exact"/>
        <w:rPr>
          <w:rFonts w:ascii="Arial" w:cs="Arial" w:eastAsia="Arial" w:hAnsi="Arial"/>
          <w:sz w:val="18"/>
          <w:szCs w:val="18"/>
          <w:color w:val="auto"/>
        </w:rPr>
      </w:pPr>
    </w:p>
    <w:p>
      <w:pPr>
        <w:jc w:val="both"/>
        <w:ind w:left="340" w:hanging="332"/>
        <w:spacing w:after="0" w:line="279" w:lineRule="auto"/>
        <w:tabs>
          <w:tab w:leader="none" w:pos="334"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Included in </w:t>
      </w:r>
      <w:r>
        <w:rPr>
          <w:rFonts w:ascii="Arial" w:cs="Arial" w:eastAsia="Arial" w:hAnsi="Arial"/>
          <w:sz w:val="17"/>
          <w:szCs w:val="17"/>
          <w:i w:val="1"/>
          <w:iCs w:val="1"/>
          <w:color w:val="auto"/>
        </w:rPr>
        <w:t>Other liabilities</w:t>
      </w:r>
      <w:r>
        <w:rPr>
          <w:rFonts w:ascii="Arial" w:cs="Arial" w:eastAsia="Arial" w:hAnsi="Arial"/>
          <w:sz w:val="17"/>
          <w:szCs w:val="17"/>
          <w:color w:val="auto"/>
        </w:rPr>
        <w:t xml:space="preserve">, except for current liabilities of $6,561 and $2,884 as of June 30, 2021 and December 31, 2020, respectively, which are included in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in the consolidated balance sheets. Acquisition contingent consideration liability is measured at fair value and is 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8" w:lineRule="exact"/>
        <w:rPr>
          <w:sz w:val="20"/>
          <w:szCs w:val="20"/>
          <w:color w:val="auto"/>
        </w:rPr>
      </w:pPr>
    </w:p>
    <w:p>
      <w:pPr>
        <w:ind w:left="340" w:hanging="332"/>
        <w:spacing w:after="0" w:line="277"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except for current liabilities of $201 and $169 as of June 30, 2021 and December 31, 2020, respectively, which are included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is a reconciliation of the changes in fair value of the Company’s financial liabilities which have been classified as Level 3 in the fair value hierarchy.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Six Months Ended</w:t>
            </w:r>
          </w:p>
        </w:tc>
        <w:tc>
          <w:tcPr>
            <w:tcW w:w="240" w:type="dxa"/>
            <w:vAlign w:val="bottom"/>
          </w:tcPr>
          <w:p>
            <w:pPr>
              <w:spacing w:after="0"/>
              <w:rPr>
                <w:sz w:val="18"/>
                <w:szCs w:val="18"/>
                <w:color w:val="auto"/>
              </w:rPr>
            </w:pPr>
          </w:p>
        </w:tc>
        <w:tc>
          <w:tcPr>
            <w:tcW w:w="1860" w:type="dxa"/>
            <w:vAlign w:val="bottom"/>
          </w:tcPr>
          <w:p>
            <w:pPr>
              <w:jc w:val="right"/>
              <w:ind w:right="552"/>
              <w:spacing w:after="0"/>
              <w:rPr>
                <w:sz w:val="20"/>
                <w:szCs w:val="20"/>
                <w:color w:val="auto"/>
              </w:rPr>
            </w:pPr>
            <w:r>
              <w:rPr>
                <w:rFonts w:ascii="Arial" w:cs="Arial" w:eastAsia="Arial" w:hAnsi="Arial"/>
                <w:sz w:val="16"/>
                <w:szCs w:val="16"/>
                <w:b w:val="1"/>
                <w:bCs w:val="1"/>
                <w:color w:val="auto"/>
              </w:rPr>
              <w:t>Year Ended</w:t>
            </w:r>
          </w:p>
        </w:tc>
      </w:tr>
      <w:tr>
        <w:trPr>
          <w:trHeight w:val="219"/>
        </w:trPr>
        <w:tc>
          <w:tcPr>
            <w:tcW w:w="6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0"/>
              </w:rPr>
              <w:t>June 30, 2021</w:t>
            </w:r>
          </w:p>
        </w:tc>
        <w:tc>
          <w:tcPr>
            <w:tcW w:w="240" w:type="dxa"/>
            <w:vAlign w:val="bottom"/>
          </w:tcPr>
          <w:p>
            <w:pPr>
              <w:spacing w:after="0"/>
              <w:rPr>
                <w:sz w:val="19"/>
                <w:szCs w:val="19"/>
                <w:color w:val="auto"/>
              </w:rPr>
            </w:pPr>
          </w:p>
        </w:tc>
        <w:tc>
          <w:tcPr>
            <w:tcW w:w="1860" w:type="dxa"/>
            <w:vAlign w:val="bottom"/>
          </w:tcPr>
          <w:p>
            <w:pPr>
              <w:jc w:val="right"/>
              <w:ind w:right="312"/>
              <w:spacing w:after="0"/>
              <w:rPr>
                <w:sz w:val="20"/>
                <w:szCs w:val="20"/>
                <w:color w:val="auto"/>
              </w:rPr>
            </w:pPr>
            <w:r>
              <w:rPr>
                <w:rFonts w:ascii="Arial" w:cs="Arial" w:eastAsia="Arial" w:hAnsi="Arial"/>
                <w:sz w:val="16"/>
                <w:szCs w:val="16"/>
                <w:b w:val="1"/>
                <w:bCs w:val="1"/>
                <w:color w:val="auto"/>
                <w:w w:val="99"/>
              </w:rPr>
              <w:t>December 31, 2020</w:t>
            </w:r>
          </w:p>
        </w:tc>
      </w:tr>
      <w:tr>
        <w:trPr>
          <w:trHeight w:val="226"/>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(544)</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(3,425)</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w:t>
            </w: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260" w:type="dxa"/>
            <w:vAlign w:val="bottom"/>
          </w:tcPr>
          <w:p>
            <w:pPr>
              <w:spacing w:after="0"/>
              <w:rPr>
                <w:sz w:val="23"/>
                <w:szCs w:val="23"/>
                <w:color w:val="auto"/>
              </w:rPr>
            </w:pPr>
          </w:p>
        </w:tc>
        <w:tc>
          <w:tcPr>
            <w:tcW w:w="2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(1,340)</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w:t>
            </w:r>
          </w:p>
        </w:tc>
      </w:tr>
      <w:tr>
        <w:trPr>
          <w:trHeight w:val="21"/>
        </w:trPr>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have any transfers between levels within the fair value hierarchy.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b w:val="1"/>
          <w:bCs w:val="1"/>
          <w:i w:val="1"/>
          <w:iCs w:val="1"/>
          <w:color w:val="auto"/>
        </w:rPr>
        <w:t xml:space="preserve">Purchase Commitment </w:t>
      </w:r>
      <w:r>
        <w:rPr>
          <w:rFonts w:ascii="Arial" w:cs="Arial" w:eastAsia="Arial" w:hAnsi="Arial"/>
          <w:sz w:val="17"/>
          <w:szCs w:val="17"/>
          <w:color w:val="auto"/>
        </w:rPr>
        <w:t>— In the normal course of business, the Company enters into various purchase commitments for goods and services.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2021, the non</w:t>
      </w:r>
      <w:r>
        <w:rPr>
          <w:rFonts w:ascii="MS PGothic" w:cs="MS PGothic" w:eastAsia="MS PGothic" w:hAnsi="MS PGothic"/>
          <w:sz w:val="17"/>
          <w:szCs w:val="17"/>
          <w:color w:val="auto"/>
        </w:rPr>
        <w:t>‑</w:t>
      </w:r>
      <w:r>
        <w:rPr>
          <w:rFonts w:ascii="Arial" w:cs="Arial" w:eastAsia="Arial" w:hAnsi="Arial"/>
          <w:sz w:val="17"/>
          <w:szCs w:val="17"/>
          <w:color w:val="auto"/>
        </w:rPr>
        <w:t>cancelable future cash purchase commitment for services related to the cloud provisioning of the Company’s software solutions was $67,598 through May 2023. The Company expects to fully consume its contractual commitment in the ordinary course of operations.</w:t>
      </w:r>
    </w:p>
    <w:p>
      <w:pPr>
        <w:spacing w:after="0" w:line="202"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b w:val="1"/>
          <w:bCs w:val="1"/>
          <w:i w:val="1"/>
          <w:iCs w:val="1"/>
          <w:color w:val="auto"/>
        </w:rPr>
        <w:t xml:space="preserve">Operating Leases </w:t>
      </w:r>
      <w:r>
        <w:rPr>
          <w:rFonts w:ascii="Arial" w:cs="Arial" w:eastAsia="Arial" w:hAnsi="Arial"/>
          <w:sz w:val="18"/>
          <w:szCs w:val="18"/>
          <w:color w:val="auto"/>
        </w:rPr>
        <w:t>— The Company leases certain facilities, automobiles, and equipment under operating leases having initial or remaining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cancelable terms in excess of one year (see Note 8).</w:t>
      </w: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From time to time, the Company is involved in certain legal actions arising in the ordinary course of business. In management’s opinion,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upon the advice of counsel, the outcome of such actions is not expected to have a material adverse effect on the Company’s future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Geographic Data</w:t>
      </w:r>
    </w:p>
    <w:p>
      <w:pPr>
        <w:spacing w:after="0" w:line="229" w:lineRule="exact"/>
        <w:rPr>
          <w:sz w:val="20"/>
          <w:szCs w:val="20"/>
          <w:color w:val="auto"/>
        </w:rPr>
      </w:pPr>
    </w:p>
    <w:p>
      <w:pPr>
        <w:jc w:val="both"/>
        <w:ind w:right="20" w:firstLine="324"/>
        <w:spacing w:after="0" w:line="223" w:lineRule="exact"/>
        <w:rPr>
          <w:sz w:val="20"/>
          <w:szCs w:val="20"/>
          <w:color w:val="auto"/>
        </w:rPr>
      </w:pPr>
      <w:r>
        <w:rPr>
          <w:rFonts w:ascii="Arial" w:cs="Arial" w:eastAsia="Arial" w:hAnsi="Arial"/>
          <w:sz w:val="18"/>
          <w:szCs w:val="18"/>
          <w:color w:val="auto"/>
        </w:rPr>
        <w:t>Revenues by geographic area are presented as part of the discussion in Note 3. The following table presents the Company’s long</w:t>
      </w:r>
      <w:r>
        <w:rPr>
          <w:rFonts w:ascii="MS PGothic" w:cs="MS PGothic" w:eastAsia="MS PGothic" w:hAnsi="MS PGothic"/>
          <w:sz w:val="18"/>
          <w:szCs w:val="18"/>
          <w:color w:val="auto"/>
        </w:rPr>
        <w:t>‑</w:t>
      </w:r>
      <w:r>
        <w:rPr>
          <w:rFonts w:ascii="Arial" w:cs="Arial" w:eastAsia="Arial" w:hAnsi="Arial"/>
          <w:sz w:val="18"/>
          <w:szCs w:val="18"/>
          <w:color w:val="auto"/>
        </w:rPr>
        <w:t>lived assets (other than goodwill), net of depreciation and amortization by geographic region (see Notes 5, 6, and 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680" w:type="dxa"/>
            <w:vAlign w:val="bottom"/>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r>
      <w:tr>
        <w:trPr>
          <w:trHeight w:val="213"/>
        </w:trPr>
        <w:tc>
          <w:tcPr>
            <w:tcW w:w="7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70"/>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105,884</w:t>
            </w:r>
          </w:p>
        </w:tc>
        <w:tc>
          <w:tcPr>
            <w:tcW w:w="2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50,306</w:t>
            </w:r>
          </w:p>
        </w:tc>
      </w:tr>
      <w:tr>
        <w:trPr>
          <w:trHeight w:val="270"/>
        </w:trPr>
        <w:tc>
          <w:tcPr>
            <w:tcW w:w="7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8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51,136</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56,322</w:t>
            </w:r>
          </w:p>
        </w:tc>
      </w:tr>
      <w:tr>
        <w:trPr>
          <w:trHeight w:val="270"/>
        </w:trPr>
        <w:tc>
          <w:tcPr>
            <w:tcW w:w="7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APAC</w:t>
            </w:r>
          </w:p>
        </w:tc>
        <w:tc>
          <w:tcPr>
            <w:tcW w:w="2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189,252</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w:t>
            </w:r>
          </w:p>
        </w:tc>
      </w:tr>
      <w:tr>
        <w:trPr>
          <w:trHeight w:val="248"/>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346,272</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120,169</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r>
    </w:tbl>
    <w:p>
      <w:pPr>
        <w:spacing w:after="0" w:line="12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Americas includes the U.S., Canada, and Latin America (including the Caribbean).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700"/>
        <w:spacing w:after="0"/>
        <w:rPr>
          <w:rFonts w:ascii="Arial" w:cs="Arial" w:eastAsia="Arial" w:hAnsi="Arial"/>
          <w:sz w:val="18"/>
          <w:szCs w:val="18"/>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20: Interest Expense,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net is comprised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580" w:type="dxa"/>
            <w:vAlign w:val="bottom"/>
            <w:gridSpan w:val="4"/>
          </w:tcPr>
          <w:p>
            <w:pPr>
              <w:jc w:val="right"/>
              <w:ind w:right="193"/>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8"/>
                <w:szCs w:val="18"/>
                <w:color w:val="auto"/>
              </w:rPr>
            </w:pPr>
          </w:p>
        </w:tc>
      </w:tr>
      <w:tr>
        <w:trPr>
          <w:trHeight w:val="219"/>
        </w:trPr>
        <w:tc>
          <w:tcPr>
            <w:tcW w:w="47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6"/>
                <w:szCs w:val="16"/>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(2,582)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(1,156)</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(2,453)</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(1,128)</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Other (Expense) Income,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income, net is comprised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580" w:type="dxa"/>
            <w:vAlign w:val="bottom"/>
            <w:gridSpan w:val="4"/>
          </w:tcPr>
          <w:p>
            <w:pPr>
              <w:jc w:val="right"/>
              <w:ind w:right="193"/>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6"/>
                <w:szCs w:val="16"/>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47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Foreign exchange gain (loss) </w:t>
            </w:r>
            <w:r>
              <w:rPr>
                <w:rFonts w:ascii="Arial" w:cs="Arial" w:eastAsia="Arial" w:hAnsi="Arial"/>
                <w:sz w:val="23"/>
                <w:szCs w:val="23"/>
                <w:color w:val="auto"/>
                <w:vertAlign w:val="superscript"/>
              </w:rPr>
              <w:t>(1)</w:t>
            </w: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1,406</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r>
      <w:tr>
        <w:trPr>
          <w:trHeight w:val="230"/>
        </w:trPr>
        <w:tc>
          <w:tcPr>
            <w:tcW w:w="47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(expense) income, net </w:t>
            </w:r>
            <w:r>
              <w:rPr>
                <w:rFonts w:ascii="Arial" w:cs="Arial" w:eastAsia="Arial" w:hAnsi="Arial"/>
                <w:sz w:val="23"/>
                <w:szCs w:val="23"/>
                <w:color w:val="auto"/>
                <w:vertAlign w:val="superscript"/>
              </w:rPr>
              <w:t>(2)</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(5,183)</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(4,113)</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8,507</w:t>
            </w: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90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(3,777)</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(6,985)</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3000" w:type="dxa"/>
            <w:vAlign w:val="bottom"/>
            <w:tcBorders>
              <w:bottom w:val="single" w:sz="8" w:color="auto"/>
            </w:tcBorders>
          </w:tcPr>
          <w:p>
            <w:pPr>
              <w:spacing w:after="0"/>
              <w:rPr>
                <w:sz w:val="15"/>
                <w:szCs w:val="15"/>
                <w:color w:val="auto"/>
              </w:rPr>
            </w:pPr>
          </w:p>
        </w:tc>
        <w:tc>
          <w:tcPr>
            <w:tcW w:w="1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34" w:lineRule="exact"/>
        <w:rPr>
          <w:sz w:val="20"/>
          <w:szCs w:val="20"/>
          <w:color w:val="auto"/>
        </w:rPr>
      </w:pPr>
    </w:p>
    <w:p>
      <w:pPr>
        <w:jc w:val="both"/>
        <w:ind w:left="340" w:hanging="332"/>
        <w:spacing w:after="0" w:line="259"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exchange gain (loss) is primarily attributable to foreign currency translation derived primarily from U.S. Dollar denominated cash and cash equivalents, account receivables, and intercompany balances held by foreign subsidiaries. Intercompany finance transactions denominated in U.S. Dollars resulted in unrealized foreign exchange gains (losses) of $963 and $5,012 for the three months ended June 30, 2021 and 2020, respectively, $1,443 and $(1,765) for the six months ended June 30, 2021 and 2020, respectively.</w:t>
      </w:r>
    </w:p>
    <w:p>
      <w:pPr>
        <w:spacing w:after="0" w:line="132" w:lineRule="exact"/>
        <w:rPr>
          <w:rFonts w:ascii="Arial" w:cs="Arial" w:eastAsia="Arial" w:hAnsi="Arial"/>
          <w:sz w:val="18"/>
          <w:szCs w:val="18"/>
          <w:color w:val="auto"/>
        </w:rPr>
      </w:pPr>
    </w:p>
    <w:p>
      <w:pPr>
        <w:jc w:val="both"/>
        <w:ind w:left="340" w:hanging="332"/>
        <w:spacing w:after="0" w:line="257"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three months ended June 30, 2021 and 2020, other (expense) income, net includes a loss from the change in fair value of the Company’s interest rate swap of $5,926 and $4,174, respectively (see Note 17). For the six months ended June 30, 2021, other (expense) income, net includes a gain from the change in fair value of the Company’s interest rate swap of $7,735 (see Note 17). For the six months ended June 30, 2020, other (expense) income, net includes a loss from the change in fair value of the Company’s interest rate swap of $4,174 (see Note 17), partly offset by a gain from the change in fair value of acquisition contingent consideration of $1,390.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Note 22: Realignment Costs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6"/>
          <w:szCs w:val="16"/>
          <w:color w:val="auto"/>
        </w:rPr>
        <w:t>During the third quarter of 2020, the Company initiated a strategic realignment program in order to better serve the Company’s users and to better align resources with the evolving needs of the business (the “2020 Program”). The Company incurred realignment costs of $10,046 for the year ended December 31, 2020 related to the aforementioned program, which represents termination benefits for colleagues whose positions were eliminated. The 2020 Program activities have been broadly implemented across the Company’s various businesses with substantially all actions completed in mid</w:t>
      </w:r>
      <w:r>
        <w:rPr>
          <w:rFonts w:ascii="MS PGothic" w:cs="MS PGothic" w:eastAsia="MS PGothic" w:hAnsi="MS PGothic"/>
          <w:sz w:val="16"/>
          <w:szCs w:val="16"/>
          <w:color w:val="auto"/>
        </w:rPr>
        <w:t>‑</w:t>
      </w:r>
      <w:r>
        <w:rPr>
          <w:rFonts w:ascii="Arial" w:cs="Arial" w:eastAsia="Arial" w:hAnsi="Arial"/>
          <w:sz w:val="16"/>
          <w:szCs w:val="16"/>
          <w:color w:val="auto"/>
        </w:rPr>
        <w:t>2021.</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Accruals and other current liabilities </w:t>
      </w:r>
      <w:r>
        <w:rPr>
          <w:rFonts w:ascii="Arial" w:cs="Arial" w:eastAsia="Arial" w:hAnsi="Arial"/>
          <w:sz w:val="18"/>
          <w:szCs w:val="18"/>
          <w:color w:val="auto"/>
        </w:rPr>
        <w:t>in the consolidated balance sheets included amounts related to the realignment activities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r>
      <w:tr>
        <w:trPr>
          <w:trHeight w:val="270"/>
        </w:trPr>
        <w:tc>
          <w:tcPr>
            <w:tcW w:w="9680" w:type="dxa"/>
            <w:vAlign w:val="bottom"/>
            <w:gridSpan w:val="2"/>
          </w:tcPr>
          <w:p>
            <w:pPr>
              <w:ind w:left="180"/>
              <w:spacing w:after="0"/>
              <w:rPr>
                <w:sz w:val="20"/>
                <w:szCs w:val="20"/>
                <w:color w:val="auto"/>
              </w:rPr>
            </w:pPr>
            <w:r>
              <w:rPr>
                <w:rFonts w:ascii="Arial" w:cs="Arial" w:eastAsia="Arial" w:hAnsi="Arial"/>
                <w:sz w:val="18"/>
                <w:szCs w:val="18"/>
                <w:color w:val="auto"/>
              </w:rPr>
              <w:t>Payments</w:t>
            </w: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(5,356)</w:t>
            </w:r>
          </w:p>
        </w:tc>
      </w:tr>
      <w:tr>
        <w:trPr>
          <w:trHeight w:val="270"/>
        </w:trPr>
        <w:tc>
          <w:tcPr>
            <w:tcW w:w="9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5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Balance, June 30, 2021</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r>
      <w:tr>
        <w:trPr>
          <w:trHeight w:val="21"/>
        </w:trPr>
        <w:tc>
          <w:tcPr>
            <w:tcW w:w="30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6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Adjustments includes foreign currency translation.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Earnings Per Share</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 xml:space="preserve">Earnings per share (“EPS”) </w:t>
      </w:r>
      <w:r>
        <w:rPr>
          <w:rFonts w:ascii="Arial" w:cs="Arial" w:eastAsia="Arial" w:hAnsi="Arial"/>
          <w:sz w:val="18"/>
          <w:szCs w:val="18"/>
          <w:color w:val="212529"/>
        </w:rPr>
        <w:t>of Class A and Class B Common Stock</w:t>
      </w:r>
      <w:r>
        <w:rPr>
          <w:rFonts w:ascii="Arial" w:cs="Arial" w:eastAsia="Arial" w:hAnsi="Arial"/>
          <w:sz w:val="18"/>
          <w:szCs w:val="18"/>
          <w:color w:val="auto"/>
        </w:rPr>
        <w:t xml:space="preserve"> amounts are computed </w:t>
      </w:r>
      <w:r>
        <w:rPr>
          <w:rFonts w:ascii="Arial" w:cs="Arial" w:eastAsia="Arial" w:hAnsi="Arial"/>
          <w:sz w:val="18"/>
          <w:szCs w:val="18"/>
          <w:color w:val="212529"/>
        </w:rPr>
        <w:t>using the two</w:t>
      </w:r>
      <w:r>
        <w:rPr>
          <w:rFonts w:ascii="MS PGothic" w:cs="MS PGothic" w:eastAsia="MS PGothic" w:hAnsi="MS PGothic"/>
          <w:sz w:val="18"/>
          <w:szCs w:val="18"/>
          <w:color w:val="212529"/>
        </w:rPr>
        <w:t>‑</w:t>
      </w:r>
      <w:r>
        <w:rPr>
          <w:rFonts w:ascii="Arial" w:cs="Arial" w:eastAsia="Arial" w:hAnsi="Arial"/>
          <w:sz w:val="18"/>
          <w:szCs w:val="18"/>
          <w:color w:val="212529"/>
        </w:rPr>
        <w:t>class method required for participating</w:t>
      </w:r>
      <w:r>
        <w:rPr>
          <w:rFonts w:ascii="Arial" w:cs="Arial" w:eastAsia="Arial" w:hAnsi="Arial"/>
          <w:sz w:val="18"/>
          <w:szCs w:val="18"/>
          <w:color w:val="auto"/>
        </w:rPr>
        <w:t xml:space="preserve"> </w:t>
      </w:r>
      <w:r>
        <w:rPr>
          <w:rFonts w:ascii="Arial" w:cs="Arial" w:eastAsia="Arial" w:hAnsi="Arial"/>
          <w:sz w:val="18"/>
          <w:szCs w:val="18"/>
          <w:color w:val="212529"/>
        </w:rPr>
        <w:t xml:space="preserve">securities and using the </w:t>
      </w:r>
      <w:r>
        <w:rPr>
          <w:rFonts w:ascii="Arial" w:cs="Arial" w:eastAsia="Arial" w:hAnsi="Arial"/>
          <w:sz w:val="18"/>
          <w:szCs w:val="18"/>
          <w:color w:val="000000"/>
        </w:rPr>
        <w:t>if</w:t>
      </w:r>
      <w:r>
        <w:rPr>
          <w:rFonts w:ascii="MS PGothic" w:cs="MS PGothic" w:eastAsia="MS PGothic" w:hAnsi="MS PGothic"/>
          <w:sz w:val="18"/>
          <w:szCs w:val="18"/>
          <w:color w:val="000000"/>
        </w:rPr>
        <w:t>‑</w:t>
      </w:r>
      <w:r>
        <w:rPr>
          <w:rFonts w:ascii="Arial" w:cs="Arial" w:eastAsia="Arial" w:hAnsi="Arial"/>
          <w:sz w:val="18"/>
          <w:szCs w:val="18"/>
          <w:color w:val="000000"/>
        </w:rPr>
        <w:t>converted method for the convertible senior notes</w:t>
      </w:r>
      <w:r>
        <w:rPr>
          <w:rFonts w:ascii="Arial" w:cs="Arial" w:eastAsia="Arial" w:hAnsi="Arial"/>
          <w:sz w:val="18"/>
          <w:szCs w:val="18"/>
          <w:color w:val="212529"/>
        </w:rPr>
        <w:t xml:space="preserve"> i</w:t>
      </w:r>
      <w:r>
        <w:rPr>
          <w:rFonts w:ascii="Arial" w:cs="Arial" w:eastAsia="Arial" w:hAnsi="Arial"/>
          <w:sz w:val="18"/>
          <w:szCs w:val="18"/>
          <w:color w:val="000000"/>
        </w:rPr>
        <w:t>n accordance with ASU 2020</w:t>
      </w:r>
      <w:r>
        <w:rPr>
          <w:rFonts w:ascii="MS PGothic" w:cs="MS PGothic" w:eastAsia="MS PGothic" w:hAnsi="MS PGothic"/>
          <w:sz w:val="18"/>
          <w:szCs w:val="18"/>
          <w:color w:val="000000"/>
        </w:rPr>
        <w:t>‑</w:t>
      </w:r>
      <w:r>
        <w:rPr>
          <w:rFonts w:ascii="Arial" w:cs="Arial" w:eastAsia="Arial" w:hAnsi="Arial"/>
          <w:sz w:val="18"/>
          <w:szCs w:val="18"/>
          <w:color w:val="000000"/>
        </w:rPr>
        <w:t>06</w:t>
      </w:r>
      <w:r>
        <w:rPr>
          <w:rFonts w:ascii="Arial" w:cs="Arial" w:eastAsia="Arial" w:hAnsi="Arial"/>
          <w:sz w:val="18"/>
          <w:szCs w:val="18"/>
          <w:color w:val="212529"/>
        </w:rPr>
        <w:t>.</w:t>
      </w:r>
    </w:p>
    <w:p>
      <w:pPr>
        <w:spacing w:after="0" w:line="20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212529"/>
        </w:rPr>
        <w:t xml:space="preserve">The Company issues certain restricted stock awards determined to be participating securities because holders of such shares have non-forfeitable dividend rights in the event of the Company’s declaration of a dividend for common shares. As of </w:t>
      </w:r>
      <w:r>
        <w:rPr>
          <w:rFonts w:ascii="Arial" w:cs="Arial" w:eastAsia="Arial" w:hAnsi="Arial"/>
          <w:sz w:val="18"/>
          <w:szCs w:val="18"/>
          <w:color w:val="000000"/>
        </w:rPr>
        <w:t>June 30, 2021</w:t>
      </w:r>
      <w:r>
        <w:rPr>
          <w:rFonts w:ascii="Arial" w:cs="Arial" w:eastAsia="Arial" w:hAnsi="Arial"/>
          <w:sz w:val="18"/>
          <w:szCs w:val="18"/>
          <w:color w:val="212529"/>
        </w:rPr>
        <w:t xml:space="preserve">, there were 99,808 participating securities outstanding. As of </w:t>
      </w:r>
      <w:r>
        <w:rPr>
          <w:rFonts w:ascii="Arial" w:cs="Arial" w:eastAsia="Arial" w:hAnsi="Arial"/>
          <w:sz w:val="18"/>
          <w:szCs w:val="18"/>
          <w:color w:val="000000"/>
        </w:rPr>
        <w:t>June 30, 2020</w:t>
      </w:r>
      <w:r>
        <w:rPr>
          <w:rFonts w:ascii="Arial" w:cs="Arial" w:eastAsia="Arial" w:hAnsi="Arial"/>
          <w:sz w:val="18"/>
          <w:szCs w:val="18"/>
          <w:color w:val="212529"/>
        </w:rPr>
        <w:t>, there were no participating securities outstanding.</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12529"/>
        </w:rPr>
        <w:t>Undistributed earnings allocated to participating securities are subtracted from net income in determining basic net income attributable to common stockholders. Basic EPS is computed by dividing basic net income attributable to common stockholders by the weighted average number of shares</w:t>
      </w:r>
      <w:r>
        <w:rPr>
          <w:rFonts w:ascii="Arial" w:cs="Arial" w:eastAsia="Arial" w:hAnsi="Arial"/>
          <w:sz w:val="18"/>
          <w:szCs w:val="18"/>
          <w:color w:val="000000"/>
        </w:rPr>
        <w:t>,</w:t>
      </w:r>
      <w:r>
        <w:rPr>
          <w:rFonts w:ascii="Arial" w:cs="Arial" w:eastAsia="Arial" w:hAnsi="Arial"/>
          <w:sz w:val="18"/>
          <w:szCs w:val="18"/>
          <w:color w:val="212529"/>
        </w:rPr>
        <w:t xml:space="preserve"> </w:t>
      </w:r>
      <w:r>
        <w:rPr>
          <w:rFonts w:ascii="Arial" w:cs="Arial" w:eastAsia="Arial" w:hAnsi="Arial"/>
          <w:sz w:val="18"/>
          <w:szCs w:val="18"/>
          <w:color w:val="000000"/>
        </w:rPr>
        <w:t>inclusive of undistributed shares held in the DCP as phantom shares</w:t>
      </w:r>
      <w:r>
        <w:rPr>
          <w:rFonts w:ascii="Arial" w:cs="Arial" w:eastAsia="Arial" w:hAnsi="Arial"/>
          <w:sz w:val="18"/>
          <w:szCs w:val="18"/>
          <w:color w:val="212529"/>
        </w:rPr>
        <w:t>.</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212529"/>
        </w:rPr>
        <w:t xml:space="preserve">For the Company’s diluted EPS numerator, interest expense, net of tax, attributable to the conversion of the </w:t>
      </w:r>
      <w:r>
        <w:rPr>
          <w:rFonts w:ascii="Arial" w:cs="Arial" w:eastAsia="Arial" w:hAnsi="Arial"/>
          <w:sz w:val="17"/>
          <w:szCs w:val="17"/>
          <w:color w:val="000000"/>
        </w:rPr>
        <w:t>convertible senior notes</w:t>
      </w:r>
      <w:r>
        <w:rPr>
          <w:rFonts w:ascii="Arial" w:cs="Arial" w:eastAsia="Arial" w:hAnsi="Arial"/>
          <w:sz w:val="17"/>
          <w:szCs w:val="17"/>
          <w:color w:val="212529"/>
        </w:rPr>
        <w:t xml:space="preserve"> is added back to basic net income attributable to common stockholders. For the Company’s diluted EPS denominator, the basic weighted average number of shares is adjusted by the effect of dilutive securities, including awards under the Company’s equity compensation plans and ESPP, and by the dilutive </w:t>
      </w:r>
      <w:r>
        <w:rPr>
          <w:rFonts w:ascii="Arial" w:cs="Arial" w:eastAsia="Arial" w:hAnsi="Arial"/>
          <w:sz w:val="17"/>
          <w:szCs w:val="17"/>
          <w:color w:val="000000"/>
        </w:rPr>
        <w:t>effect of the</w:t>
      </w:r>
      <w:r>
        <w:rPr>
          <w:rFonts w:ascii="Arial" w:cs="Arial" w:eastAsia="Arial" w:hAnsi="Arial"/>
          <w:sz w:val="17"/>
          <w:szCs w:val="17"/>
          <w:color w:val="212529"/>
        </w:rPr>
        <w:t xml:space="preserve"> </w:t>
      </w:r>
      <w:r>
        <w:rPr>
          <w:rFonts w:ascii="Arial" w:cs="Arial" w:eastAsia="Arial" w:hAnsi="Arial"/>
          <w:sz w:val="17"/>
          <w:szCs w:val="17"/>
          <w:color w:val="000000"/>
        </w:rPr>
        <w:t xml:space="preserve">assumed conversion of the convertible senior notes. </w:t>
      </w:r>
      <w:r>
        <w:rPr>
          <w:rFonts w:ascii="Arial" w:cs="Arial" w:eastAsia="Arial" w:hAnsi="Arial"/>
          <w:sz w:val="17"/>
          <w:szCs w:val="17"/>
          <w:color w:val="212529"/>
        </w:rPr>
        <w:t>Diluted EPS attributable to common stockholders is computed by dividing diluted net income</w:t>
      </w:r>
      <w:r>
        <w:rPr>
          <w:rFonts w:ascii="Arial" w:cs="Arial" w:eastAsia="Arial" w:hAnsi="Arial"/>
          <w:sz w:val="17"/>
          <w:szCs w:val="17"/>
          <w:color w:val="000000"/>
        </w:rPr>
        <w:t xml:space="preserve"> </w:t>
      </w:r>
      <w:r>
        <w:rPr>
          <w:rFonts w:ascii="Arial" w:cs="Arial" w:eastAsia="Arial" w:hAnsi="Arial"/>
          <w:sz w:val="17"/>
          <w:szCs w:val="17"/>
          <w:color w:val="212529"/>
        </w:rPr>
        <w:t>attributable to common stockholders by the weighted average number of fully diluted common shares.</w:t>
      </w:r>
    </w:p>
    <w:p>
      <w:pPr>
        <w:spacing w:after="0" w:line="176"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earnings per share would not differ under the two</w:t>
      </w:r>
      <w:r>
        <w:rPr>
          <w:rFonts w:ascii="MS PGothic" w:cs="MS PGothic" w:eastAsia="MS PGothic" w:hAnsi="MS PGothic"/>
          <w:sz w:val="18"/>
          <w:szCs w:val="18"/>
          <w:color w:val="auto"/>
        </w:rPr>
        <w:t>‑</w:t>
      </w:r>
      <w:r>
        <w:rPr>
          <w:rFonts w:ascii="Arial" w:cs="Arial" w:eastAsia="Arial" w:hAnsi="Arial"/>
          <w:sz w:val="18"/>
          <w:szCs w:val="18"/>
          <w:color w:val="auto"/>
        </w:rPr>
        <w:t>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color w:val="auto"/>
        </w:rPr>
        <w:t>The details of basic and diluted EPS are as follows</w:t>
      </w:r>
      <w:r>
        <w:rPr>
          <w:rFonts w:ascii="Arial" w:cs="Arial" w:eastAsia="Arial" w:hAnsi="Arial"/>
          <w:sz w:val="18"/>
          <w:szCs w:val="18"/>
          <w:color w:val="212529"/>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86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Six Months Ended</w:t>
            </w:r>
          </w:p>
        </w:tc>
      </w:tr>
      <w:tr>
        <w:trPr>
          <w:trHeight w:val="219"/>
        </w:trPr>
        <w:tc>
          <w:tcPr>
            <w:tcW w:w="4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120" w:type="dxa"/>
            <w:vAlign w:val="bottom"/>
            <w:tcBorders>
              <w:bottom w:val="single" w:sz="8" w:color="auto"/>
            </w:tcBorders>
          </w:tcPr>
          <w:p>
            <w:pPr>
              <w:spacing w:after="0"/>
              <w:rPr>
                <w:sz w:val="19"/>
                <w:szCs w:val="19"/>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12"/>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44,910</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39,076</w:t>
            </w:r>
          </w:p>
        </w:tc>
        <w:tc>
          <w:tcPr>
            <w:tcW w:w="2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101,916</w:t>
            </w:r>
          </w:p>
        </w:tc>
        <w:tc>
          <w:tcPr>
            <w:tcW w:w="2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68,745</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participating securities</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700" w:type="dxa"/>
            <w:vAlign w:val="bottom"/>
          </w:tcPr>
          <w:p>
            <w:pPr>
              <w:ind w:left="360"/>
              <w:spacing w:after="0"/>
              <w:rPr>
                <w:sz w:val="20"/>
                <w:szCs w:val="20"/>
                <w:color w:val="auto"/>
              </w:rPr>
            </w:pPr>
            <w:r>
              <w:rPr>
                <w:rFonts w:ascii="Arial" w:cs="Arial" w:eastAsia="Arial" w:hAnsi="Arial"/>
                <w:sz w:val="18"/>
                <w:szCs w:val="18"/>
                <w:color w:val="auto"/>
                <w:w w:val="96"/>
              </w:rPr>
              <w:t>Net income attributable to Class A and Class B common</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57"/>
        </w:trPr>
        <w:tc>
          <w:tcPr>
            <w:tcW w:w="4700" w:type="dxa"/>
            <w:vAlign w:val="bottom"/>
          </w:tcPr>
          <w:p>
            <w:pPr>
              <w:ind w:left="360"/>
              <w:spacing w:after="0"/>
              <w:rPr>
                <w:sz w:val="20"/>
                <w:szCs w:val="20"/>
                <w:color w:val="auto"/>
              </w:rPr>
            </w:pPr>
            <w:r>
              <w:rPr>
                <w:rFonts w:ascii="Arial" w:cs="Arial" w:eastAsia="Arial" w:hAnsi="Arial"/>
                <w:sz w:val="18"/>
                <w:szCs w:val="18"/>
                <w:color w:val="auto"/>
              </w:rPr>
              <w:t>stockholders, basic</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44,907</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39,076</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101,913</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68,745</w:t>
            </w: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Add: Interest expense, net of tax, attributable to assumed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convertible senior notes</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700" w:type="dxa"/>
            <w:vAlign w:val="bottom"/>
          </w:tcPr>
          <w:p>
            <w:pPr>
              <w:ind w:left="360"/>
              <w:spacing w:after="0"/>
              <w:rPr>
                <w:sz w:val="20"/>
                <w:szCs w:val="20"/>
                <w:color w:val="auto"/>
              </w:rPr>
            </w:pPr>
            <w:r>
              <w:rPr>
                <w:rFonts w:ascii="Arial" w:cs="Arial" w:eastAsia="Arial" w:hAnsi="Arial"/>
                <w:sz w:val="18"/>
                <w:szCs w:val="18"/>
                <w:color w:val="auto"/>
                <w:w w:val="96"/>
              </w:rPr>
              <w:t>Net income attributable to Class A and Class B common</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stockholders, diluted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45,748</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39,076</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103,343</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68,745</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basic</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304,066,038</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286,945,592</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303,311,423</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286,068,766</w:t>
            </w: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w w:val="97"/>
              </w:rPr>
              <w:t>Dilutive effect of stock options, restricted stock, and RSUs</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9,389,339</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8,241,602</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10,388,725</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9,526,468</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ESPP</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110,355</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112,360</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6"/>
              </w:rPr>
              <w:t>Dilutive effect of assumed conversion of convertible senior</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7"/>
        </w:trPr>
        <w:tc>
          <w:tcPr>
            <w:tcW w:w="4700" w:type="dxa"/>
            <w:vAlign w:val="bottom"/>
          </w:tcPr>
          <w:p>
            <w:pPr>
              <w:ind w:left="360"/>
              <w:spacing w:after="0"/>
              <w:rPr>
                <w:sz w:val="20"/>
                <w:szCs w:val="20"/>
                <w:color w:val="auto"/>
              </w:rPr>
            </w:pPr>
            <w:r>
              <w:rPr>
                <w:rFonts w:ascii="Arial" w:cs="Arial" w:eastAsia="Arial" w:hAnsi="Arial"/>
                <w:sz w:val="18"/>
                <w:szCs w:val="18"/>
                <w:color w:val="auto"/>
              </w:rPr>
              <w:t>notes</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10,912,354</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9,281,537</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324,478,086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295,187,194</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323,094,045</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295,595,234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rPr>
              <w:t>Net income per share, 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0.14</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0.13</w:t>
            </w:r>
          </w:p>
        </w:tc>
        <w:tc>
          <w:tcPr>
            <w:tcW w:w="26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0.32</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 following potential common shares were excluded from the calculation of diluted net income per share attributable to common stockholders because their effect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420" w:type="dxa"/>
            <w:vAlign w:val="bottom"/>
            <w:gridSpan w:val="3"/>
          </w:tcPr>
          <w:p>
            <w:pPr>
              <w:jc w:val="center"/>
              <w:ind w:left="855"/>
              <w:spacing w:after="0"/>
              <w:rPr>
                <w:sz w:val="20"/>
                <w:szCs w:val="20"/>
                <w:color w:val="auto"/>
              </w:rPr>
            </w:pPr>
            <w:r>
              <w:rPr>
                <w:rFonts w:ascii="Arial" w:cs="Arial" w:eastAsia="Arial" w:hAnsi="Arial"/>
                <w:sz w:val="16"/>
                <w:szCs w:val="16"/>
                <w:b w:val="1"/>
                <w:bCs w:val="1"/>
                <w:color w:val="auto"/>
                <w:w w:val="93"/>
              </w:rPr>
              <w:t>Three Months Ended</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3"/>
          </w:tcPr>
          <w:p>
            <w:pPr>
              <w:jc w:val="center"/>
              <w:ind w:left="895"/>
              <w:spacing w:after="0"/>
              <w:rPr>
                <w:sz w:val="20"/>
                <w:szCs w:val="20"/>
                <w:color w:val="auto"/>
              </w:rPr>
            </w:pPr>
            <w:r>
              <w:rPr>
                <w:rFonts w:ascii="Arial" w:cs="Arial" w:eastAsia="Arial" w:hAnsi="Arial"/>
                <w:sz w:val="16"/>
                <w:szCs w:val="16"/>
                <w:b w:val="1"/>
                <w:bCs w:val="1"/>
                <w:color w:val="auto"/>
                <w:w w:val="92"/>
              </w:rPr>
              <w:t>Six Months Ended</w:t>
            </w:r>
          </w:p>
        </w:tc>
        <w:tc>
          <w:tcPr>
            <w:tcW w:w="980" w:type="dxa"/>
            <w:vAlign w:val="bottom"/>
          </w:tcPr>
          <w:p>
            <w:pPr>
              <w:spacing w:after="0"/>
              <w:rPr>
                <w:sz w:val="18"/>
                <w:szCs w:val="18"/>
                <w:color w:val="auto"/>
              </w:rPr>
            </w:pPr>
          </w:p>
        </w:tc>
      </w:tr>
      <w:tr>
        <w:trPr>
          <w:trHeight w:val="219"/>
        </w:trPr>
        <w:tc>
          <w:tcPr>
            <w:tcW w:w="4280" w:type="dxa"/>
            <w:vAlign w:val="bottom"/>
          </w:tcPr>
          <w:p>
            <w:pPr>
              <w:spacing w:after="0"/>
              <w:rPr>
                <w:sz w:val="19"/>
                <w:szCs w:val="19"/>
                <w:color w:val="auto"/>
              </w:rPr>
            </w:pPr>
          </w:p>
        </w:tc>
        <w:tc>
          <w:tcPr>
            <w:tcW w:w="2420" w:type="dxa"/>
            <w:vAlign w:val="bottom"/>
            <w:tcBorders>
              <w:bottom w:val="single" w:sz="8" w:color="auto"/>
            </w:tcBorders>
            <w:gridSpan w:val="3"/>
          </w:tcPr>
          <w:p>
            <w:pPr>
              <w:jc w:val="center"/>
              <w:ind w:left="835"/>
              <w:spacing w:after="0"/>
              <w:rPr>
                <w:sz w:val="20"/>
                <w:szCs w:val="20"/>
                <w:color w:val="auto"/>
              </w:rPr>
            </w:pPr>
            <w:r>
              <w:rPr>
                <w:rFonts w:ascii="Arial" w:cs="Arial" w:eastAsia="Arial" w:hAnsi="Arial"/>
                <w:sz w:val="16"/>
                <w:szCs w:val="16"/>
                <w:b w:val="1"/>
                <w:bCs w:val="1"/>
                <w:color w:val="auto"/>
                <w:w w:val="90"/>
              </w:rPr>
              <w:t>June 30,</w:t>
            </w: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tcBorders>
              <w:bottom w:val="single" w:sz="8" w:color="auto"/>
            </w:tcBorders>
            <w:gridSpan w:val="3"/>
          </w:tcPr>
          <w:p>
            <w:pPr>
              <w:jc w:val="center"/>
              <w:ind w:left="895"/>
              <w:spacing w:after="0"/>
              <w:rPr>
                <w:sz w:val="20"/>
                <w:szCs w:val="20"/>
                <w:color w:val="auto"/>
              </w:rPr>
            </w:pPr>
            <w:r>
              <w:rPr>
                <w:rFonts w:ascii="Arial" w:cs="Arial" w:eastAsia="Arial" w:hAnsi="Arial"/>
                <w:sz w:val="16"/>
                <w:szCs w:val="16"/>
                <w:b w:val="1"/>
                <w:bCs w:val="1"/>
                <w:color w:val="auto"/>
                <w:w w:val="87"/>
              </w:rPr>
              <w:t>June 30,</w:t>
            </w:r>
          </w:p>
        </w:tc>
        <w:tc>
          <w:tcPr>
            <w:tcW w:w="980" w:type="dxa"/>
            <w:vAlign w:val="bottom"/>
            <w:tcBorders>
              <w:bottom w:val="single" w:sz="8" w:color="auto"/>
            </w:tcBorders>
          </w:tcPr>
          <w:p>
            <w:pPr>
              <w:spacing w:after="0"/>
              <w:rPr>
                <w:sz w:val="19"/>
                <w:szCs w:val="19"/>
                <w:color w:val="auto"/>
              </w:rPr>
            </w:pPr>
          </w:p>
        </w:tc>
      </w:tr>
      <w:tr>
        <w:trPr>
          <w:trHeight w:val="210"/>
        </w:trPr>
        <w:tc>
          <w:tcPr>
            <w:tcW w:w="42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4"/>
              </w:rPr>
              <w:t>2020</w:t>
            </w: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restricted stock, and RSUs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495,368</w:t>
            </w:r>
          </w:p>
        </w:tc>
        <w:tc>
          <w:tcPr>
            <w:tcW w:w="2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495,368</w:t>
            </w:r>
          </w:p>
        </w:tc>
        <w:tc>
          <w:tcPr>
            <w:tcW w:w="2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anti-dilutive securities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495,368</w:t>
            </w:r>
          </w:p>
        </w:tc>
        <w:tc>
          <w:tcPr>
            <w:tcW w:w="2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495,368</w:t>
            </w:r>
          </w:p>
        </w:tc>
        <w:tc>
          <w:tcPr>
            <w:tcW w:w="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r>
      <w:tr>
        <w:trPr>
          <w:trHeight w:val="20"/>
        </w:trPr>
        <w:tc>
          <w:tcPr>
            <w:tcW w:w="42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The following discussion should be read in conjunction with our unaudited consolidated financial statements and notes thereto appearing in Part I, Item 1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and with our audited consolidated financial statements and notes thereto included in Part II, Item 8 of our 2020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on file with the U.S. Securities and Exchange Commission (“SEC”). In addition to historical information, this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involve risks, uncertainties, and assumptions that could cause actual results to differ materially from management’s expectations. Factors that could cause such differences are set forth in Part II, Item 1A. Risk Factors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w:t>
      </w:r>
    </w:p>
    <w:p>
      <w:pPr>
        <w:spacing w:after="0" w:line="20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We are a leading global provider of software for infrastructure engineering, enabling the work of civil, structural, geotechnical, and plant engineering practitioners, their project delivery enterprises, and owner</w:t>
      </w:r>
      <w:r>
        <w:rPr>
          <w:rFonts w:ascii="MS PGothic" w:cs="MS PGothic" w:eastAsia="MS PGothic" w:hAnsi="MS PGothic"/>
          <w:sz w:val="18"/>
          <w:szCs w:val="18"/>
          <w:color w:val="auto"/>
        </w:rPr>
        <w:t>‑</w:t>
      </w:r>
      <w:r>
        <w:rPr>
          <w:rFonts w:ascii="Arial" w:cs="Arial" w:eastAsia="Arial" w:hAnsi="Arial"/>
          <w:sz w:val="18"/>
          <w:szCs w:val="18"/>
          <w:color w:val="auto"/>
        </w:rPr>
        <w:t>operators of infrastructure assets. We were founded in 1984 by the Bentley brothers and on September 25, 2020, we completed our IPO.</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w:t>
      </w:r>
      <w:r>
        <w:rPr>
          <w:rFonts w:ascii="MS PGothic" w:cs="MS PGothic" w:eastAsia="MS PGothic" w:hAnsi="MS PGothic"/>
          <w:sz w:val="18"/>
          <w:szCs w:val="18"/>
          <w:color w:val="auto"/>
        </w:rPr>
        <w:t>‑</w:t>
      </w:r>
      <w:r>
        <w:rPr>
          <w:rFonts w:ascii="Arial" w:cs="Arial" w:eastAsia="Arial" w:hAnsi="Arial"/>
          <w:sz w:val="18"/>
          <w:szCs w:val="18"/>
          <w:color w:val="auto"/>
        </w:rPr>
        <w:t>premises servers, cloud</w:t>
      </w:r>
      <w:r>
        <w:rPr>
          <w:rFonts w:ascii="MS PGothic" w:cs="MS PGothic" w:eastAsia="MS PGothic" w:hAnsi="MS PGothic"/>
          <w:sz w:val="18"/>
          <w:szCs w:val="18"/>
          <w:color w:val="auto"/>
        </w:rPr>
        <w:t>‑</w:t>
      </w:r>
      <w:r>
        <w:rPr>
          <w:rFonts w:ascii="Arial" w:cs="Arial" w:eastAsia="Arial" w:hAnsi="Arial"/>
          <w:sz w:val="18"/>
          <w:szCs w:val="18"/>
          <w:color w:val="auto"/>
        </w:rPr>
        <w:t>native services, mobile devices, and web browsers. We deliver our solutions via on</w:t>
      </w:r>
      <w:r>
        <w:rPr>
          <w:rFonts w:ascii="MS PGothic" w:cs="MS PGothic" w:eastAsia="MS PGothic" w:hAnsi="MS PGothic"/>
          <w:sz w:val="18"/>
          <w:szCs w:val="18"/>
          <w:color w:val="auto"/>
        </w:rPr>
        <w:t>‑</w:t>
      </w:r>
      <w:r>
        <w:rPr>
          <w:rFonts w:ascii="Arial" w:cs="Arial" w:eastAsia="Arial" w:hAnsi="Arial"/>
          <w:sz w:val="18"/>
          <w:szCs w:val="18"/>
          <w:color w:val="auto"/>
        </w:rPr>
        <w:t>premise, cloud, and hybrid environments. Our users engineer, construct, and operate projects and assets across the following infrastructure sectors:</w:t>
      </w:r>
    </w:p>
    <w:p>
      <w:pPr>
        <w:spacing w:after="0" w:line="205" w:lineRule="exact"/>
        <w:rPr>
          <w:sz w:val="20"/>
          <w:szCs w:val="20"/>
          <w:color w:val="auto"/>
        </w:rPr>
      </w:pPr>
    </w:p>
    <w:p>
      <w:pPr>
        <w:jc w:val="both"/>
        <w:ind w:left="820" w:hanging="245"/>
        <w:spacing w:after="0" w:line="259"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public works </w:t>
      </w:r>
      <w:r>
        <w:rPr>
          <w:rFonts w:ascii="Arial" w:cs="Arial" w:eastAsia="Arial" w:hAnsi="Arial"/>
          <w:sz w:val="18"/>
          <w:szCs w:val="18"/>
          <w:color w:val="auto"/>
        </w:rPr>
        <w:t>(including roads, rail, airports, ports, and water and wastewater networks)/</w:t>
      </w:r>
      <w:r>
        <w:rPr>
          <w:rFonts w:ascii="Arial" w:cs="Arial" w:eastAsia="Arial" w:hAnsi="Arial"/>
          <w:sz w:val="18"/>
          <w:szCs w:val="18"/>
          <w:i w:val="1"/>
          <w:iCs w:val="1"/>
          <w:color w:val="auto"/>
        </w:rPr>
        <w:t xml:space="preserve">utilities </w:t>
      </w:r>
      <w:r>
        <w:rPr>
          <w:rFonts w:ascii="Arial" w:cs="Arial" w:eastAsia="Arial" w:hAnsi="Arial"/>
          <w:sz w:val="18"/>
          <w:szCs w:val="18"/>
          <w:color w:val="auto"/>
        </w:rPr>
        <w:t>(including electric, gas, water,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communications). We estimate that this sector represents 51% of the net infrastructure asset value of the global top 500 infrastructure owners based on the 2020 edition of the </w:t>
      </w:r>
      <w:r>
        <w:rPr>
          <w:rFonts w:ascii="Arial" w:cs="Arial" w:eastAsia="Arial" w:hAnsi="Arial"/>
          <w:sz w:val="18"/>
          <w:szCs w:val="18"/>
          <w:i w:val="1"/>
          <w:iCs w:val="1"/>
          <w:color w:val="auto"/>
        </w:rPr>
        <w:t>Bentley Infrastructure 500 Top Owners</w:t>
      </w:r>
      <w:r>
        <w:rPr>
          <w:rFonts w:ascii="Arial" w:cs="Arial" w:eastAsia="Arial" w:hAnsi="Arial"/>
          <w:sz w:val="18"/>
          <w:szCs w:val="18"/>
          <w:color w:val="auto"/>
        </w:rPr>
        <w:t>, our annual compilation of the world’s largest infrastructure owners ranked by net depreciated value of their tangible fixed assets;</w:t>
      </w:r>
    </w:p>
    <w:p>
      <w:pPr>
        <w:spacing w:after="0" w:line="186" w:lineRule="exact"/>
        <w:rPr>
          <w:rFonts w:ascii="Arial" w:cs="Arial" w:eastAsia="Arial" w:hAnsi="Arial"/>
          <w:sz w:val="18"/>
          <w:szCs w:val="18"/>
          <w:color w:val="auto"/>
        </w:rPr>
      </w:pPr>
    </w:p>
    <w:p>
      <w:pPr>
        <w:jc w:val="both"/>
        <w:ind w:left="820" w:hanging="245"/>
        <w:spacing w:after="0" w:line="342" w:lineRule="auto"/>
        <w:tabs>
          <w:tab w:leader="none" w:pos="815"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industrial </w:t>
      </w:r>
      <w:r>
        <w:rPr>
          <w:rFonts w:ascii="Arial" w:cs="Arial" w:eastAsia="Arial" w:hAnsi="Arial"/>
          <w:sz w:val="16"/>
          <w:szCs w:val="16"/>
          <w:color w:val="auto"/>
        </w:rPr>
        <w:t>(including discrete and process manufacturing, power generation, and water treatment plants)/</w:t>
      </w:r>
      <w:r>
        <w:rPr>
          <w:rFonts w:ascii="Arial" w:cs="Arial" w:eastAsia="Arial" w:hAnsi="Arial"/>
          <w:sz w:val="16"/>
          <w:szCs w:val="16"/>
          <w:i w:val="1"/>
          <w:iCs w:val="1"/>
          <w:color w:val="auto"/>
        </w:rPr>
        <w:t xml:space="preserve">resources </w:t>
      </w:r>
      <w:r>
        <w:rPr>
          <w:rFonts w:ascii="Arial" w:cs="Arial" w:eastAsia="Arial" w:hAnsi="Arial"/>
          <w:sz w:val="16"/>
          <w:szCs w:val="16"/>
          <w:color w:val="auto"/>
        </w:rPr>
        <w:t>(including oil and gas,</w:t>
      </w:r>
      <w:r>
        <w:rPr>
          <w:rFonts w:ascii="Arial" w:cs="Arial" w:eastAsia="Arial" w:hAnsi="Arial"/>
          <w:sz w:val="16"/>
          <w:szCs w:val="16"/>
          <w:i w:val="1"/>
          <w:iCs w:val="1"/>
          <w:color w:val="auto"/>
        </w:rPr>
        <w:t xml:space="preserve"> </w:t>
      </w:r>
      <w:r>
        <w:rPr>
          <w:rFonts w:ascii="Arial" w:cs="Arial" w:eastAsia="Arial" w:hAnsi="Arial"/>
          <w:sz w:val="16"/>
          <w:szCs w:val="16"/>
          <w:color w:val="auto"/>
        </w:rPr>
        <w:t>mining, and offshore). We estimate that this sector represents 37% of the global top 500 infrastructure owners’ net infrastructure asset value; and</w:t>
      </w:r>
    </w:p>
    <w:p>
      <w:pPr>
        <w:spacing w:after="0" w:line="123" w:lineRule="exact"/>
        <w:rPr>
          <w:rFonts w:ascii="Arial" w:cs="Arial" w:eastAsia="Arial" w:hAnsi="Arial"/>
          <w:sz w:val="16"/>
          <w:szCs w:val="16"/>
          <w:color w:val="auto"/>
        </w:rPr>
      </w:pPr>
    </w:p>
    <w:p>
      <w:pPr>
        <w:ind w:left="820" w:hanging="245"/>
        <w:spacing w:after="0" w:line="277"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commercial/facilities </w:t>
      </w:r>
      <w:r>
        <w:rPr>
          <w:rFonts w:ascii="Arial" w:cs="Arial" w:eastAsia="Arial" w:hAnsi="Arial"/>
          <w:sz w:val="18"/>
          <w:szCs w:val="18"/>
          <w:color w:val="auto"/>
        </w:rPr>
        <w:t>(including office buildings, hospitals, and campuses). We estimate that this sector represents 12% of the global top 500</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owners’ net infrastructure asset value.</w:t>
      </w:r>
    </w:p>
    <w:p>
      <w:pPr>
        <w:spacing w:after="0" w:line="17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We offer solutions for enterprises and professionals across the infrastructure lifecycle. Our Project Delivery and Asset and Network Performance solutions are systems provided via cloud and hybrid environments, developed respectively to extend enterprise collaboration during project delivery, and to manage and leverage engineering information during operations and maintenance. Our Design Integration and Digital Cities solutions are primarily desktop applications and cloud</w:t>
      </w:r>
      <w:r>
        <w:rPr>
          <w:rFonts w:ascii="MS PGothic" w:cs="MS PGothic" w:eastAsia="MS PGothic" w:hAnsi="MS PGothic"/>
          <w:sz w:val="18"/>
          <w:szCs w:val="18"/>
          <w:color w:val="auto"/>
        </w:rPr>
        <w:t>‑</w:t>
      </w:r>
      <w:r>
        <w:rPr>
          <w:rFonts w:ascii="Arial" w:cs="Arial" w:eastAsia="Arial" w:hAnsi="Arial"/>
          <w:sz w:val="18"/>
          <w:szCs w:val="18"/>
          <w:color w:val="auto"/>
        </w:rPr>
        <w:t>provisioned solutions for professional practitioners and workgroups.</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w:t>
      </w:r>
      <w:r>
        <w:rPr>
          <w:rFonts w:ascii="MS PGothic" w:cs="MS PGothic" w:eastAsia="MS PGothic" w:hAnsi="MS PGothic"/>
          <w:sz w:val="17"/>
          <w:szCs w:val="17"/>
          <w:color w:val="auto"/>
        </w:rPr>
        <w:t>‑</w:t>
      </w:r>
      <w:r>
        <w:rPr>
          <w:rFonts w:ascii="Arial" w:cs="Arial" w:eastAsia="Arial" w:hAnsi="Arial"/>
          <w:sz w:val="17"/>
          <w:szCs w:val="17"/>
          <w:color w:val="auto"/>
        </w:rPr>
        <w:t>established priorities, input from product managers, and user and sales force feedback.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color w:val="auto"/>
        </w:rPr>
        <w:t>We bring our offerings to market primarily through direct sales channels that generated approximately 92% of our 2020 revenues.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Our sources of revenue growth, in order of magnitude, come from the recurrence of existing subscription revenues, additional revenue and growth from existing accounts using the same products, additional revenue and growth from existing accounts using new products, and growth from new accounts. For the year ended December 31, 2020, subscriptions represented 85% of our revenues, and together with certain professional services revenues that are recurring in nature and represented 2% of our revenues, bring the proportion of our recurring revenues to 87% of total revenues. The remaining 13% of our revenues were generated from the sale of perpetual licenses and the delivery of non</w:t>
      </w:r>
      <w:r>
        <w:rPr>
          <w:rFonts w:ascii="MS PGothic" w:cs="MS PGothic" w:eastAsia="MS PGothic" w:hAnsi="MS PGothic"/>
          <w:sz w:val="16"/>
          <w:szCs w:val="16"/>
          <w:color w:val="auto"/>
        </w:rPr>
        <w:t>‑</w:t>
      </w:r>
      <w:r>
        <w:rPr>
          <w:rFonts w:ascii="Arial" w:cs="Arial" w:eastAsia="Arial" w:hAnsi="Arial"/>
          <w:sz w:val="16"/>
          <w:szCs w:val="16"/>
          <w:color w:val="auto"/>
        </w:rPr>
        <w:t>recurring professional services. We have a highly</w:t>
      </w:r>
      <w:r>
        <w:rPr>
          <w:rFonts w:ascii="MS PGothic" w:cs="MS PGothic" w:eastAsia="MS PGothic" w:hAnsi="MS PGothic"/>
          <w:sz w:val="16"/>
          <w:szCs w:val="16"/>
          <w:color w:val="auto"/>
        </w:rPr>
        <w:t>‑</w:t>
      </w:r>
      <w:r>
        <w:rPr>
          <w:rFonts w:ascii="Arial" w:cs="Arial" w:eastAsia="Arial" w:hAnsi="Arial"/>
          <w:sz w:val="16"/>
          <w:szCs w:val="16"/>
          <w:color w:val="auto"/>
        </w:rPr>
        <w:t>diversified account base, with our largest account representing no more than 2.5% of total revenues in 2020. Our 2020 revenues were also diversified by account type, size, and geography. Additionally, we believe that we have a loyal account base, with 80% of our 2020 revenues from organizations that have been our accounts for over ten years. Between 2000 and 2020, our revenues had an approximately 8% compound annual growth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Offerings: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solutions are made available to our accounts in a broad range of commercial offerings designed to accommodate the diverse preferences of our accounts, which range from owned versus subscribed, short</w:t>
      </w:r>
      <w:r>
        <w:rPr>
          <w:rFonts w:ascii="MS PGothic" w:cs="MS PGothic" w:eastAsia="MS PGothic" w:hAnsi="MS PGothic"/>
          <w:sz w:val="18"/>
          <w:szCs w:val="18"/>
          <w:color w:val="auto"/>
        </w:rPr>
        <w:t>‑</w:t>
      </w:r>
      <w:r>
        <w:rPr>
          <w:rFonts w:ascii="Arial" w:cs="Arial" w:eastAsia="Arial" w:hAnsi="Arial"/>
          <w:sz w:val="18"/>
          <w:szCs w:val="18"/>
          <w:color w:val="auto"/>
        </w:rPr>
        <w:t>term subscriptions versus longer term annual subscriptions, and fee</w:t>
      </w:r>
      <w:r>
        <w:rPr>
          <w:rFonts w:ascii="MS PGothic" w:cs="MS PGothic" w:eastAsia="MS PGothic" w:hAnsi="MS PGothic"/>
          <w:sz w:val="18"/>
          <w:szCs w:val="18"/>
          <w:color w:val="auto"/>
        </w:rPr>
        <w:t>‑</w:t>
      </w:r>
      <w:r>
        <w:rPr>
          <w:rFonts w:ascii="Arial" w:cs="Arial" w:eastAsia="Arial" w:hAnsi="Arial"/>
          <w:sz w:val="18"/>
          <w:szCs w:val="18"/>
          <w:color w:val="auto"/>
        </w:rPr>
        <w:t>certain arrangements versus variable or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arrangements with consumption measurement durations of less than one year. We contract our commercial offerings under a single form of standard contract, which includes liability and other risk protections in our favor, and appropriate standard addendums to the primary contract, which specifically address the commercial offerings provided. Our standard commercial offerings are summarized in the below table, with further descriptions following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137795</wp:posOffset>
            </wp:positionV>
            <wp:extent cx="5349240" cy="22885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924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SELECT Subscriptions. </w:t>
      </w:r>
      <w:r>
        <w:rPr>
          <w:rFonts w:ascii="Arial" w:cs="Arial" w:eastAsia="Arial" w:hAnsi="Arial"/>
          <w:sz w:val="17"/>
          <w:szCs w:val="17"/>
          <w:color w:val="auto"/>
        </w:rPr>
        <w:t>Our SELECT subscription is a prepaid annual recurring subscription that accompanies a new or previously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perpetual license. We believe that the SELECT benefits summarized below support our favorable rates of account retention and growth:</w:t>
      </w:r>
    </w:p>
    <w:p>
      <w:pPr>
        <w:spacing w:after="0" w:line="146" w:lineRule="exact"/>
        <w:rPr>
          <w:sz w:val="20"/>
          <w:szCs w:val="20"/>
          <w:color w:val="auto"/>
        </w:rPr>
      </w:pPr>
    </w:p>
    <w:p>
      <w:pPr>
        <w:ind w:left="820" w:hanging="245"/>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Software upgrades;</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Comprehensive technical support;</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License pooling providing accounts with efficiency advantages;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5" w:name="page46"/>
    <w:bookmarkEnd w:id="45"/>
    <w:p>
      <w:pPr>
        <w:ind w:left="820" w:hanging="245"/>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Portfolio balancing providing accounts the opportunity to exchange unused or under used licenses with other of our license offerings;</w:t>
      </w:r>
    </w:p>
    <w:p>
      <w:pPr>
        <w:spacing w:after="0" w:line="236" w:lineRule="exact"/>
        <w:rPr>
          <w:rFonts w:ascii="Arial" w:cs="Arial" w:eastAsia="Arial" w:hAnsi="Arial"/>
          <w:sz w:val="17"/>
          <w:szCs w:val="17"/>
          <w:color w:val="auto"/>
        </w:rPr>
      </w:pPr>
    </w:p>
    <w:p>
      <w:pPr>
        <w:ind w:left="820" w:hanging="245"/>
        <w:spacing w:after="0" w:line="207" w:lineRule="exact"/>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Learning benefits, Azure</w:t>
      </w:r>
      <w:r>
        <w:rPr>
          <w:rFonts w:ascii="MS PGothic" w:cs="MS PGothic" w:eastAsia="MS PGothic" w:hAnsi="MS PGothic"/>
          <w:sz w:val="18"/>
          <w:szCs w:val="18"/>
          <w:color w:val="auto"/>
        </w:rPr>
        <w:t>‑</w:t>
      </w:r>
      <w:r>
        <w:rPr>
          <w:rFonts w:ascii="Arial" w:cs="Arial" w:eastAsia="Arial" w:hAnsi="Arial"/>
          <w:sz w:val="18"/>
          <w:szCs w:val="18"/>
          <w:color w:val="auto"/>
        </w:rPr>
        <w:t>based cloud collaboration services, and mobility advantages; and</w:t>
      </w:r>
    </w:p>
    <w:p>
      <w:pPr>
        <w:spacing w:after="0" w:line="225" w:lineRule="exact"/>
        <w:rPr>
          <w:rFonts w:ascii="Arial" w:cs="Arial" w:eastAsia="Arial" w:hAnsi="Arial"/>
          <w:sz w:val="18"/>
          <w:szCs w:val="18"/>
          <w:color w:val="auto"/>
        </w:rPr>
      </w:pPr>
    </w:p>
    <w:p>
      <w:pPr>
        <w:ind w:left="820" w:hanging="245"/>
        <w:spacing w:after="0" w:line="277"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Access to our entire application portfolio with usage of licenses not previously purchased monetized quarterly in arrears based on consumption. See the section titled “</w:t>
      </w:r>
      <w:r>
        <w:rPr>
          <w:rFonts w:ascii="Arial" w:cs="Arial" w:eastAsia="Arial" w:hAnsi="Arial"/>
          <w:sz w:val="18"/>
          <w:szCs w:val="18"/>
          <w:b w:val="1"/>
          <w:bCs w:val="1"/>
          <w:i w:val="1"/>
          <w:iCs w:val="1"/>
          <w:color w:val="auto"/>
        </w:rPr>
        <w:t>—</w:t>
      </w:r>
      <w:r>
        <w:rPr>
          <w:rFonts w:ascii="Arial" w:cs="Arial" w:eastAsia="Arial" w:hAnsi="Arial"/>
          <w:sz w:val="18"/>
          <w:szCs w:val="18"/>
          <w:color w:val="auto"/>
        </w:rPr>
        <w:t>Term License Subscriptions” below.</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Enterprise Subscriptions. </w:t>
      </w:r>
      <w:r>
        <w:rPr>
          <w:rFonts w:ascii="Arial" w:cs="Arial" w:eastAsia="Arial" w:hAnsi="Arial"/>
          <w:sz w:val="18"/>
          <w:szCs w:val="18"/>
          <w:color w:val="auto"/>
        </w:rPr>
        <w:t>Our Enterprise subscription offerings provide our largest accounts with complete and unlimited global access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portfolio of solutions.</w:t>
      </w:r>
    </w:p>
    <w:p>
      <w:pPr>
        <w:spacing w:after="0" w:line="170" w:lineRule="exact"/>
        <w:rPr>
          <w:sz w:val="20"/>
          <w:szCs w:val="20"/>
          <w:color w:val="auto"/>
        </w:rPr>
      </w:pPr>
    </w:p>
    <w:p>
      <w:pPr>
        <w:jc w:val="both"/>
        <w:ind w:left="820" w:hanging="245"/>
        <w:spacing w:after="0" w:line="220" w:lineRule="exact"/>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Enterprise License Subscriptions (“ELS”). </w:t>
      </w:r>
      <w:r>
        <w:rPr>
          <w:rFonts w:ascii="Arial" w:cs="Arial" w:eastAsia="Arial" w:hAnsi="Arial"/>
          <w:sz w:val="18"/>
          <w:szCs w:val="18"/>
          <w:color w:val="auto"/>
        </w:rPr>
        <w:t>Our ELS offering provides access to our comprehensive portfolio of solutions for a fixed annual fee.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annual renewals are based on the account’s usage of software in the preceding year, effectively resulting in an annual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 The majority of our ELS subscribers were historically SELECT subscribers that have grown into a position to take full advantage of our ELS offering.</w:t>
      </w:r>
    </w:p>
    <w:p>
      <w:pPr>
        <w:spacing w:after="0" w:line="203" w:lineRule="exact"/>
        <w:rPr>
          <w:rFonts w:ascii="Arial" w:cs="Arial" w:eastAsia="Arial" w:hAnsi="Arial"/>
          <w:sz w:val="18"/>
          <w:szCs w:val="18"/>
          <w:color w:val="auto"/>
        </w:rPr>
      </w:pPr>
    </w:p>
    <w:p>
      <w:pPr>
        <w:jc w:val="both"/>
        <w:ind w:left="820" w:hanging="245"/>
        <w:spacing w:after="0" w:line="271" w:lineRule="auto"/>
        <w:tabs>
          <w:tab w:leader="none" w:pos="815"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Enterprise 365 (“E365”) Subscriptions. </w:t>
      </w:r>
      <w:r>
        <w:rPr>
          <w:rFonts w:ascii="Arial" w:cs="Arial" w:eastAsia="Arial" w:hAnsi="Arial"/>
          <w:sz w:val="17"/>
          <w:szCs w:val="17"/>
          <w:color w:val="auto"/>
        </w:rPr>
        <w:t>Under our E365 subscription, participating accounts have unrestricted access to our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portfolio, similar to ELS, however they are charged based upon daily usage. The daily usage fee also includes a term license component, SELECT maintenance and support, hosting, and Success Plan services, which are designed to achieve business outcomes through more efficient and effective use of our software. The E365 subscription offering was introduced in 2018. We are prioritizing efforts to transition ELS subscribers to E365 subscriptions, primarily to simplify pricing, more closely align consumption to monetization, and to establish Success Plan services as recurring to ensure better business outcomes for our users. To the extent we succeed in transitioning subscribers to E365, we recognize a greater proportion of our revenues on a quarterly basis rather than substantially upfront. See the section titled “</w:t>
      </w:r>
      <w:r>
        <w:rPr>
          <w:rFonts w:ascii="Arial" w:cs="Arial" w:eastAsia="Arial" w:hAnsi="Arial"/>
          <w:sz w:val="17"/>
          <w:szCs w:val="17"/>
          <w:b w:val="1"/>
          <w:bCs w:val="1"/>
          <w:i w:val="1"/>
          <w:iCs w:val="1"/>
          <w:color w:val="auto"/>
        </w:rPr>
        <w:t>—</w:t>
      </w:r>
      <w:r>
        <w:rPr>
          <w:rFonts w:ascii="Arial" w:cs="Arial" w:eastAsia="Arial" w:hAnsi="Arial"/>
          <w:sz w:val="17"/>
          <w:szCs w:val="17"/>
          <w:color w:val="auto"/>
        </w:rPr>
        <w:t>Key Factors Impacting Comparability and Performance.”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License Subscriptions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Annual Term Licenses (“ATL”) Subscription. </w:t>
      </w:r>
      <w:r>
        <w:rPr>
          <w:rFonts w:ascii="Arial" w:cs="Arial" w:eastAsia="Arial" w:hAnsi="Arial"/>
          <w:sz w:val="18"/>
          <w:szCs w:val="18"/>
          <w:color w:val="auto"/>
        </w:rPr>
        <w:t>Annual term licenses are generally prepaid annually for named user access to specific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 our newly introduced Practitioner Licenses. ATL are also used to monetize site or enterprise wide access for certain of our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solutions within given usage bands.</w:t>
      </w:r>
    </w:p>
    <w:p>
      <w:pPr>
        <w:spacing w:after="0" w:line="18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Quarterly Term License (“QTL”) Subscription. </w:t>
      </w:r>
      <w:r>
        <w:rPr>
          <w:rFonts w:ascii="Arial" w:cs="Arial" w:eastAsia="Arial" w:hAnsi="Arial"/>
          <w:sz w:val="18"/>
          <w:szCs w:val="18"/>
          <w:color w:val="auto"/>
        </w:rPr>
        <w:t>Through quarterly term licenses, accounts pay quarterly in arrears for licenses they have used</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usage beyond their contracted quantities. Much like our Enterprise subscription programs, a QTL allows smaller and medium</w:t>
      </w:r>
      <w:r>
        <w:rPr>
          <w:rFonts w:ascii="MS PGothic" w:cs="MS PGothic" w:eastAsia="MS PGothic" w:hAnsi="MS PGothic"/>
          <w:sz w:val="18"/>
          <w:szCs w:val="18"/>
          <w:color w:val="auto"/>
        </w:rPr>
        <w:t>‑</w:t>
      </w:r>
      <w:r>
        <w:rPr>
          <w:rFonts w:ascii="Arial" w:cs="Arial" w:eastAsia="Arial" w:hAnsi="Arial"/>
          <w:sz w:val="18"/>
          <w:szCs w:val="18"/>
          <w:color w:val="auto"/>
        </w:rPr>
        <w:t>sized accounts to match usage to ongoing project requirements.</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Monthly Term License (“MTL”) Subscription. </w:t>
      </w:r>
      <w:r>
        <w:rPr>
          <w:rFonts w:ascii="Arial" w:cs="Arial" w:eastAsia="Arial" w:hAnsi="Arial"/>
          <w:sz w:val="18"/>
          <w:szCs w:val="18"/>
          <w:color w:val="auto"/>
        </w:rPr>
        <w:t>Monthly term licenses are identical to QTL subscriptions, except for the term of the license,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manner in which they are monetized. MTL subscriptions require a Cloud Services Subscription, which is discussed below.</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Visas and Passports. </w:t>
      </w:r>
      <w:r>
        <w:rPr>
          <w:rFonts w:ascii="Arial" w:cs="Arial" w:eastAsia="Arial" w:hAnsi="Arial"/>
          <w:sz w:val="18"/>
          <w:szCs w:val="18"/>
          <w:color w:val="auto"/>
        </w:rPr>
        <w:t>Visas and Passports are quarterly or annual term licenses enabling users to access specific project or enterprise information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entitles our users to certain functionality of our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Generally, a Passport provides desktop, web, and mobile application access to project information and certain functions, and a Visa provides similar access, plus added functionality depending upon the product to which the Visa is aligned.</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While certain legacy arrangements are supported, our standard offering requires Visas and Passports to be fulfilled and contracted via a CSS, which is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6" w:name="page47"/>
    <w:bookmarkEnd w:id="46"/>
    <w:p>
      <w:pPr>
        <w:jc w:val="both"/>
        <w:ind w:firstLine="324"/>
        <w:spacing w:after="0" w:line="279" w:lineRule="auto"/>
        <w:rPr>
          <w:sz w:val="20"/>
          <w:szCs w:val="20"/>
          <w:color w:val="auto"/>
        </w:rPr>
      </w:pPr>
      <w:r>
        <w:rPr>
          <w:rFonts w:ascii="Arial" w:cs="Arial" w:eastAsia="Arial" w:hAnsi="Arial"/>
          <w:sz w:val="17"/>
          <w:szCs w:val="17"/>
          <w:i w:val="1"/>
          <w:iCs w:val="1"/>
          <w:color w:val="auto"/>
        </w:rPr>
        <w:t>Cloud Services Subscription (“CSS”)</w:t>
      </w:r>
      <w:r>
        <w:rPr>
          <w:rFonts w:ascii="Arial" w:cs="Arial" w:eastAsia="Arial" w:hAnsi="Arial"/>
          <w:sz w:val="17"/>
          <w:szCs w:val="17"/>
          <w:color w:val="auto"/>
        </w:rPr>
        <w:t>. CSS is designed to streamline the procurement, administration, and payment process for us and our accounts. A</w:t>
      </w:r>
      <w:r>
        <w:rPr>
          <w:rFonts w:ascii="Arial" w:cs="Arial" w:eastAsia="Arial" w:hAnsi="Arial"/>
          <w:sz w:val="17"/>
          <w:szCs w:val="17"/>
          <w:i w:val="1"/>
          <w:iCs w:val="1"/>
          <w:color w:val="auto"/>
        </w:rPr>
        <w:t xml:space="preserve"> </w:t>
      </w:r>
      <w:r>
        <w:rPr>
          <w:rFonts w:ascii="Arial" w:cs="Arial" w:eastAsia="Arial" w:hAnsi="Arial"/>
          <w:sz w:val="17"/>
          <w:szCs w:val="17"/>
          <w:color w:val="auto"/>
        </w:rPr>
        <w:t>CSS requires an upfront annual estimation of MTL, Visa and Passport consumption, and any Success Plan services expected for the upcoming year. A deposit for the annual estimated consumption is submitted in advance. Actual consumption is monitored and invoiced against the deposit on a calendar quarter basis. Accounts are charged only for what gets used and deposited amounts never expire.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historically have sold perpetual licenses and continue to offer them to our accounts as an available option for most of our applications. Perpetual licenses are available for accounts that prefer to own their software licenses and may be sold with or without attaching a SELECT subscription. Historically, attachment and retention of the SELECT subscription has been high given the benefits of the SELECT subscription.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We offer professional services, including training, implementation, configuration, customization, and strategic consulting services for all types of projects as requested by our accounts. We perform projects on both a time and materials and a fixed fee basis. We also offer our services using contractual structures based on (i) delivery of the services in the form of subscription</w:t>
      </w:r>
      <w:r>
        <w:rPr>
          <w:rFonts w:ascii="MS PGothic" w:cs="MS PGothic" w:eastAsia="MS PGothic" w:hAnsi="MS PGothic"/>
          <w:sz w:val="17"/>
          <w:szCs w:val="17"/>
          <w:color w:val="auto"/>
        </w:rPr>
        <w:t>‑</w:t>
      </w:r>
      <w:r>
        <w:rPr>
          <w:rFonts w:ascii="Arial" w:cs="Arial" w:eastAsia="Arial" w:hAnsi="Arial"/>
          <w:sz w:val="17"/>
          <w:szCs w:val="17"/>
          <w:color w:val="auto"/>
        </w:rPr>
        <w:t>like, packaged offerings that are annually recurring in nature; and (ii) delivery of our growing portfolio of Success Plans in standard offerings that offer a level of subscription service over and above the standard technical support offered to all accounts as part of their SELECT or Enterprise agreement. Over time, we expect professional services revenues using subscription and subscription</w:t>
      </w:r>
      <w:r>
        <w:rPr>
          <w:rFonts w:ascii="MS PGothic" w:cs="MS PGothic" w:eastAsia="MS PGothic" w:hAnsi="MS PGothic"/>
          <w:sz w:val="17"/>
          <w:szCs w:val="17"/>
          <w:color w:val="auto"/>
        </w:rPr>
        <w:t>‑</w:t>
      </w:r>
      <w:r>
        <w:rPr>
          <w:rFonts w:ascii="Arial" w:cs="Arial" w:eastAsia="Arial" w:hAnsi="Arial"/>
          <w:sz w:val="17"/>
          <w:szCs w:val="17"/>
          <w:color w:val="auto"/>
        </w:rPr>
        <w:t>like contractual structures to make up a greater proportion of our professional services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regularly review the following key metrics to evaluate our business, measure our performance, identify trends in our business, prepare financial projections, and make strategic decisions.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gridSpan w:val="3"/>
          </w:tcPr>
          <w:p>
            <w:pPr>
              <w:jc w:val="center"/>
              <w:ind w:left="674"/>
              <w:spacing w:after="0"/>
              <w:rPr>
                <w:sz w:val="20"/>
                <w:szCs w:val="20"/>
                <w:color w:val="auto"/>
              </w:rPr>
            </w:pPr>
            <w:r>
              <w:rPr>
                <w:rFonts w:ascii="Arial" w:cs="Arial" w:eastAsia="Arial" w:hAnsi="Arial"/>
                <w:sz w:val="16"/>
                <w:szCs w:val="16"/>
                <w:b w:val="1"/>
                <w:bCs w:val="1"/>
                <w:color w:val="auto"/>
                <w:w w:val="91"/>
              </w:rPr>
              <w:t>Twelve Months Ended</w:t>
            </w:r>
          </w:p>
        </w:tc>
        <w:tc>
          <w:tcPr>
            <w:tcW w:w="1160" w:type="dxa"/>
            <w:vAlign w:val="bottom"/>
          </w:tcPr>
          <w:p>
            <w:pPr>
              <w:spacing w:after="0"/>
              <w:rPr>
                <w:sz w:val="18"/>
                <w:szCs w:val="18"/>
                <w:color w:val="auto"/>
              </w:rPr>
            </w:pPr>
          </w:p>
        </w:tc>
      </w:tr>
      <w:tr>
        <w:trPr>
          <w:trHeight w:val="219"/>
        </w:trPr>
        <w:tc>
          <w:tcPr>
            <w:tcW w:w="73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6"/>
                <w:szCs w:val="16"/>
                <w:b w:val="1"/>
                <w:bCs w:val="1"/>
                <w:color w:val="auto"/>
                <w:w w:val="90"/>
              </w:rPr>
              <w:t>June 30,</w:t>
            </w:r>
          </w:p>
        </w:tc>
        <w:tc>
          <w:tcPr>
            <w:tcW w:w="1160" w:type="dxa"/>
            <w:vAlign w:val="bottom"/>
            <w:tcBorders>
              <w:bottom w:val="single" w:sz="8" w:color="auto"/>
            </w:tcBorders>
          </w:tcPr>
          <w:p>
            <w:pPr>
              <w:spacing w:after="0"/>
              <w:rPr>
                <w:sz w:val="19"/>
                <w:szCs w:val="19"/>
                <w:color w:val="auto"/>
              </w:rPr>
            </w:pPr>
          </w:p>
        </w:tc>
      </w:tr>
      <w:tr>
        <w:trPr>
          <w:trHeight w:val="210"/>
        </w:trPr>
        <w:tc>
          <w:tcPr>
            <w:tcW w:w="73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w w:val="95"/>
              </w:rPr>
              <w:t>2020</w:t>
            </w:r>
          </w:p>
        </w:tc>
      </w:tr>
      <w:tr>
        <w:trPr>
          <w:trHeight w:val="25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Last twelve-months recurring revenues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746,168</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86"/>
              </w:rPr>
              <w:t>665,659</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Constant Currency:</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Annualized recurring revenues (“ARR”) growth rate</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11 %</w:t>
            </w:r>
          </w:p>
        </w:tc>
      </w:tr>
      <w:tr>
        <w:trPr>
          <w:trHeight w:val="270"/>
        </w:trPr>
        <w:tc>
          <w:tcPr>
            <w:tcW w:w="7380" w:type="dxa"/>
            <w:vAlign w:val="bottom"/>
          </w:tcPr>
          <w:p>
            <w:pPr>
              <w:ind w:left="180"/>
              <w:spacing w:after="0"/>
              <w:rPr>
                <w:sz w:val="20"/>
                <w:szCs w:val="20"/>
                <w:color w:val="auto"/>
              </w:rPr>
            </w:pPr>
            <w:r>
              <w:rPr>
                <w:rFonts w:ascii="Arial" w:cs="Arial" w:eastAsia="Arial" w:hAnsi="Arial"/>
                <w:sz w:val="18"/>
                <w:szCs w:val="18"/>
                <w:color w:val="auto"/>
              </w:rPr>
              <w:t>Account retention rate</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98 %</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 xml:space="preserve">98 % </w:t>
            </w:r>
            <w:r>
              <w:rPr>
                <w:rFonts w:ascii="Arial" w:cs="Arial" w:eastAsia="Arial" w:hAnsi="Arial"/>
                <w:sz w:val="23"/>
                <w:szCs w:val="23"/>
                <w:color w:val="auto"/>
                <w:vertAlign w:val="superscript"/>
              </w:rPr>
              <w:t>(1)</w:t>
            </w:r>
          </w:p>
        </w:tc>
      </w:tr>
      <w:tr>
        <w:trPr>
          <w:trHeight w:val="27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Recurring revenues dollar-based net retention rate</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 xml:space="preserve">110 % </w:t>
            </w:r>
            <w:r>
              <w:rPr>
                <w:rFonts w:ascii="Arial" w:cs="Arial" w:eastAsia="Arial" w:hAnsi="Arial"/>
                <w:sz w:val="23"/>
                <w:szCs w:val="23"/>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30" w:lineRule="exact"/>
        <w:rPr>
          <w:sz w:val="20"/>
          <w:szCs w:val="20"/>
          <w:color w:val="auto"/>
        </w:rPr>
      </w:pPr>
    </w:p>
    <w:p>
      <w:pPr>
        <w:jc w:val="both"/>
        <w:ind w:left="340" w:hanging="332"/>
        <w:spacing w:after="0" w:line="218" w:lineRule="exact"/>
        <w:tabs>
          <w:tab w:leader="none" w:pos="3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January 1, 2019, we adopted ASU No. 2014</w:t>
      </w:r>
      <w:r>
        <w:rPr>
          <w:rFonts w:ascii="MS PGothic" w:cs="MS PGothic" w:eastAsia="MS PGothic" w:hAnsi="MS PGothic"/>
          <w:sz w:val="18"/>
          <w:szCs w:val="18"/>
          <w:color w:val="auto"/>
        </w:rPr>
        <w:t>‑</w:t>
      </w:r>
      <w:r>
        <w:rPr>
          <w:rFonts w:ascii="Arial" w:cs="Arial" w:eastAsia="Arial" w:hAnsi="Arial"/>
          <w:sz w:val="18"/>
          <w:szCs w:val="18"/>
          <w:color w:val="auto"/>
        </w:rPr>
        <w:t xml:space="preserve">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related amendments (“Topic 606”), which superseded the guidance provided by Accounting Standards Codification (“ASC”) 985</w:t>
      </w:r>
      <w:r>
        <w:rPr>
          <w:rFonts w:ascii="MS PGothic" w:cs="MS PGothic" w:eastAsia="MS PGothic" w:hAnsi="MS PGothic"/>
          <w:sz w:val="18"/>
          <w:szCs w:val="18"/>
          <w:color w:val="auto"/>
        </w:rPr>
        <w:t>‑</w:t>
      </w:r>
      <w:r>
        <w:rPr>
          <w:rFonts w:ascii="Arial" w:cs="Arial" w:eastAsia="Arial" w:hAnsi="Arial"/>
          <w:sz w:val="18"/>
          <w:szCs w:val="18"/>
          <w:color w:val="auto"/>
        </w:rPr>
        <w:t xml:space="preserve">605, </w:t>
      </w:r>
      <w:r>
        <w:rPr>
          <w:rFonts w:ascii="Arial" w:cs="Arial" w:eastAsia="Arial" w:hAnsi="Arial"/>
          <w:sz w:val="18"/>
          <w:szCs w:val="18"/>
          <w:i w:val="1"/>
          <w:iCs w:val="1"/>
          <w:color w:val="auto"/>
        </w:rPr>
        <w:t>Software-Revenue Recognition</w:t>
      </w:r>
      <w:r>
        <w:rPr>
          <w:rFonts w:ascii="Arial" w:cs="Arial" w:eastAsia="Arial" w:hAnsi="Arial"/>
          <w:sz w:val="18"/>
          <w:szCs w:val="18"/>
          <w:color w:val="auto"/>
        </w:rPr>
        <w:t>, and Topic 605</w:t>
      </w:r>
      <w:r>
        <w:rPr>
          <w:rFonts w:ascii="MS PGothic" w:cs="MS PGothic" w:eastAsia="MS PGothic" w:hAnsi="MS PGothic"/>
          <w:sz w:val="18"/>
          <w:szCs w:val="18"/>
          <w:color w:val="auto"/>
        </w:rPr>
        <w:t>‑</w:t>
      </w:r>
      <w:r>
        <w:rPr>
          <w:rFonts w:ascii="Arial" w:cs="Arial" w:eastAsia="Arial" w:hAnsi="Arial"/>
          <w:sz w:val="18"/>
          <w:szCs w:val="18"/>
          <w:color w:val="auto"/>
        </w:rPr>
        <w:t xml:space="preserve">25, </w:t>
      </w:r>
      <w:r>
        <w:rPr>
          <w:rFonts w:ascii="Arial" w:cs="Arial" w:eastAsia="Arial" w:hAnsi="Arial"/>
          <w:sz w:val="18"/>
          <w:szCs w:val="18"/>
          <w:i w:val="1"/>
          <w:iCs w:val="1"/>
          <w:color w:val="auto"/>
        </w:rPr>
        <w:t>Revenue Recognition, Multiple-Element Arrangements</w:t>
      </w:r>
      <w:r>
        <w:rPr>
          <w:rFonts w:ascii="Arial" w:cs="Arial" w:eastAsia="Arial" w:hAnsi="Arial"/>
          <w:sz w:val="18"/>
          <w:szCs w:val="18"/>
          <w:color w:val="auto"/>
        </w:rPr>
        <w:t>. We refer to ASC 985</w:t>
      </w:r>
      <w:r>
        <w:rPr>
          <w:rFonts w:ascii="MS PGothic" w:cs="MS PGothic" w:eastAsia="MS PGothic" w:hAnsi="MS PGothic"/>
          <w:sz w:val="18"/>
          <w:szCs w:val="18"/>
          <w:color w:val="auto"/>
        </w:rPr>
        <w:t>‑</w:t>
      </w:r>
      <w:r>
        <w:rPr>
          <w:rFonts w:ascii="Arial" w:cs="Arial" w:eastAsia="Arial" w:hAnsi="Arial"/>
          <w:sz w:val="18"/>
          <w:szCs w:val="18"/>
          <w:color w:val="auto"/>
        </w:rPr>
        <w:t>605 and Topic 605</w:t>
      </w:r>
      <w:r>
        <w:rPr>
          <w:rFonts w:ascii="MS PGothic" w:cs="MS PGothic" w:eastAsia="MS PGothic" w:hAnsi="MS PGothic"/>
          <w:sz w:val="18"/>
          <w:szCs w:val="18"/>
          <w:color w:val="auto"/>
        </w:rPr>
        <w:t>‑</w:t>
      </w:r>
      <w:r>
        <w:rPr>
          <w:rFonts w:ascii="Arial" w:cs="Arial" w:eastAsia="Arial" w:hAnsi="Arial"/>
          <w:sz w:val="18"/>
          <w:szCs w:val="18"/>
          <w:color w:val="auto"/>
        </w:rPr>
        <w:t>25 collectively as “Topic 605.” Prior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2020, the account retention rate and 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 were calculated using revenues recognized pursuant to Topic 605 for all periods in order to enhance comparability during our transition to Topic 606 as we did not have all information that was necessary to calculate account retention rate pursuant to Topic 606 for earlier periods. For further information on the impact upon adoption of Topic 606 as of January 1, 2019, see Note 3 to our audited consolidated financial statements included in Part II, Item 8 of our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 For further information on the comparability of recurring revenues recognized under Topic 606 versus Topic 605, see the section titled “—Key Factors Impacting Comparability and Performance” included in Part II, Item 7 of our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7" w:name="page48"/>
    <w:bookmarkEnd w:id="47"/>
    <w:p>
      <w:pPr>
        <w:jc w:val="both"/>
        <w:ind w:firstLine="324"/>
        <w:spacing w:after="0" w:line="221" w:lineRule="exact"/>
        <w:rPr>
          <w:sz w:val="20"/>
          <w:szCs w:val="20"/>
          <w:color w:val="auto"/>
        </w:rPr>
      </w:pPr>
      <w:r>
        <w:rPr>
          <w:rFonts w:ascii="Arial" w:cs="Arial" w:eastAsia="Arial" w:hAnsi="Arial"/>
          <w:sz w:val="16"/>
          <w:szCs w:val="16"/>
          <w:b w:val="1"/>
          <w:bCs w:val="1"/>
          <w:i w:val="1"/>
          <w:iCs w:val="1"/>
          <w:color w:val="auto"/>
        </w:rPr>
        <w:t>Last twelve</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months recurring revenues. </w:t>
      </w:r>
      <w:r>
        <w:rPr>
          <w:rFonts w:ascii="Arial" w:cs="Arial" w:eastAsia="Arial" w:hAnsi="Arial"/>
          <w:sz w:val="16"/>
          <w:szCs w:val="16"/>
          <w:color w:val="auto"/>
        </w:rPr>
        <w:t>Last twelve</w:t>
      </w:r>
      <w:r>
        <w:rPr>
          <w:rFonts w:ascii="MS PGothic" w:cs="MS PGothic" w:eastAsia="MS PGothic" w:hAnsi="MS PGothic"/>
          <w:sz w:val="16"/>
          <w:szCs w:val="16"/>
          <w:color w:val="auto"/>
        </w:rPr>
        <w:t>‑</w:t>
      </w:r>
      <w:r>
        <w:rPr>
          <w:rFonts w:ascii="Arial" w:cs="Arial" w:eastAsia="Arial" w:hAnsi="Arial"/>
          <w:sz w:val="16"/>
          <w:szCs w:val="16"/>
          <w:color w:val="auto"/>
        </w:rPr>
        <w:t>months recurring revenues is calculated as recurring revenues recognized over the preceding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twelve</w:t>
      </w:r>
      <w:r>
        <w:rPr>
          <w:rFonts w:ascii="MS PGothic" w:cs="MS PGothic" w:eastAsia="MS PGothic" w:hAnsi="MS PGothic"/>
          <w:sz w:val="16"/>
          <w:szCs w:val="16"/>
          <w:color w:val="auto"/>
        </w:rPr>
        <w:t>‑</w:t>
      </w:r>
      <w:r>
        <w:rPr>
          <w:rFonts w:ascii="Arial" w:cs="Arial" w:eastAsia="Arial" w:hAnsi="Arial"/>
          <w:sz w:val="16"/>
          <w:szCs w:val="16"/>
          <w:color w:val="auto"/>
        </w:rPr>
        <w:t>month period. We define recurring revenues as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We believe that last twelve</w:t>
      </w:r>
      <w:r>
        <w:rPr>
          <w:rFonts w:ascii="MS PGothic" w:cs="MS PGothic" w:eastAsia="MS PGothic" w:hAnsi="MS PGothic"/>
          <w:sz w:val="18"/>
          <w:szCs w:val="18"/>
          <w:color w:val="auto"/>
        </w:rPr>
        <w:t>‑</w:t>
      </w:r>
      <w:r>
        <w:rPr>
          <w:rFonts w:ascii="Arial" w:cs="Arial" w:eastAsia="Arial" w:hAnsi="Arial"/>
          <w:sz w:val="18"/>
          <w:szCs w:val="18"/>
          <w:color w:val="auto"/>
        </w:rPr>
        <w:t>months recurring revenues is an important indicator of our performance during the immediately preceding twelve</w:t>
      </w:r>
      <w:r>
        <w:rPr>
          <w:rFonts w:ascii="MS PGothic" w:cs="MS PGothic" w:eastAsia="MS PGothic" w:hAnsi="MS PGothic"/>
          <w:sz w:val="18"/>
          <w:szCs w:val="18"/>
          <w:color w:val="auto"/>
        </w:rPr>
        <w:t>‑</w:t>
      </w:r>
      <w:r>
        <w:rPr>
          <w:rFonts w:ascii="Arial" w:cs="Arial" w:eastAsia="Arial" w:hAnsi="Arial"/>
          <w:sz w:val="18"/>
          <w:szCs w:val="18"/>
          <w:color w:val="auto"/>
        </w:rPr>
        <w:t>month time period. We believe that we will continue to experience favorable growth in recurring revenues due to our strong account retention and 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rates, as well as the addition of new accounts with recurring revenues. The last twelve</w:t>
      </w:r>
      <w:r>
        <w:rPr>
          <w:rFonts w:ascii="MS PGothic" w:cs="MS PGothic" w:eastAsia="MS PGothic" w:hAnsi="MS PGothic"/>
          <w:sz w:val="18"/>
          <w:szCs w:val="18"/>
          <w:color w:val="auto"/>
        </w:rPr>
        <w:t>‑</w:t>
      </w:r>
      <w:r>
        <w:rPr>
          <w:rFonts w:ascii="Arial" w:cs="Arial" w:eastAsia="Arial" w:hAnsi="Arial"/>
          <w:sz w:val="18"/>
          <w:szCs w:val="18"/>
          <w:color w:val="auto"/>
        </w:rPr>
        <w:t>months recurring revenues for the periods ended June 30, 2021 compared to the last twelve</w:t>
      </w:r>
      <w:r>
        <w:rPr>
          <w:rFonts w:ascii="MS PGothic" w:cs="MS PGothic" w:eastAsia="MS PGothic" w:hAnsi="MS PGothic"/>
          <w:sz w:val="18"/>
          <w:szCs w:val="18"/>
          <w:color w:val="auto"/>
        </w:rPr>
        <w:t>‑</w:t>
      </w:r>
      <w:r>
        <w:rPr>
          <w:rFonts w:ascii="Arial" w:cs="Arial" w:eastAsia="Arial" w:hAnsi="Arial"/>
          <w:sz w:val="18"/>
          <w:szCs w:val="18"/>
          <w:color w:val="auto"/>
        </w:rPr>
        <w:t>months of the preceding twelve</w:t>
      </w:r>
      <w:r>
        <w:rPr>
          <w:rFonts w:ascii="MS PGothic" w:cs="MS PGothic" w:eastAsia="MS PGothic" w:hAnsi="MS PGothic"/>
          <w:sz w:val="18"/>
          <w:szCs w:val="18"/>
          <w:color w:val="auto"/>
        </w:rPr>
        <w:t>‑</w:t>
      </w:r>
      <w:r>
        <w:rPr>
          <w:rFonts w:ascii="Arial" w:cs="Arial" w:eastAsia="Arial" w:hAnsi="Arial"/>
          <w:sz w:val="18"/>
          <w:szCs w:val="18"/>
          <w:color w:val="auto"/>
        </w:rPr>
        <w:t>month period increased by $80,509. This increase was primarily due to growth in ARR, which is primarily the result of growth in our 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 as well as additional recurring revenues resulting from new accounts and acquisitions. For the twelve months ended June 30, 2021, 86% of our revenues were recurring revenues.</w:t>
      </w:r>
    </w:p>
    <w:p>
      <w:pPr>
        <w:spacing w:after="0" w:line="203"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b w:val="1"/>
          <w:bCs w:val="1"/>
          <w:i w:val="1"/>
          <w:iCs w:val="1"/>
          <w:color w:val="auto"/>
        </w:rPr>
        <w:t>Constant currency metrics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we calculate the effects of foreign currency fluctuations and constant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accounting principles generally accepted in the United States of America (“U.S. GAAP”).</w:t>
      </w:r>
    </w:p>
    <w:p>
      <w:pPr>
        <w:spacing w:after="0" w:line="205"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i w:val="1"/>
          <w:iCs w:val="1"/>
          <w:color w:val="auto"/>
        </w:rPr>
        <w:t xml:space="preserve">ARR growth rate. </w:t>
      </w:r>
      <w:r>
        <w:rPr>
          <w:rFonts w:ascii="Arial" w:cs="Arial" w:eastAsia="Arial" w:hAnsi="Arial"/>
          <w:sz w:val="17"/>
          <w:szCs w:val="17"/>
          <w:color w:val="auto"/>
        </w:rPr>
        <w:t>Our ARR growth rate is the growth rate of our ARR, measured on a constant currency basis. Our ARR is defined as the sum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annualized value of our portfolio of contracts that produce recurring revenue as of the last day of the reporting period, and the annualized value of the last three months of recognized revenues for our contractually recurring consumption</w:t>
      </w:r>
      <w:r>
        <w:rPr>
          <w:rFonts w:ascii="MS PGothic" w:cs="MS PGothic" w:eastAsia="MS PGothic" w:hAnsi="MS PGothic"/>
          <w:sz w:val="17"/>
          <w:szCs w:val="17"/>
          <w:color w:val="auto"/>
        </w:rPr>
        <w:t>‑</w:t>
      </w:r>
      <w:r>
        <w:rPr>
          <w:rFonts w:ascii="Arial" w:cs="Arial" w:eastAsia="Arial" w:hAnsi="Arial"/>
          <w:sz w:val="17"/>
          <w:szCs w:val="17"/>
          <w:color w:val="auto"/>
        </w:rPr>
        <w:t>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36% and 29% as of June 30, 2021 and 2020, respectively. Within our consumption</w:t>
      </w:r>
      <w:r>
        <w:rPr>
          <w:rFonts w:ascii="MS PGothic" w:cs="MS PGothic" w:eastAsia="MS PGothic" w:hAnsi="MS PGothic"/>
          <w:sz w:val="17"/>
          <w:szCs w:val="17"/>
          <w:color w:val="auto"/>
        </w:rPr>
        <w:t>‑</w:t>
      </w:r>
      <w:r>
        <w:rPr>
          <w:rFonts w:ascii="Arial" w:cs="Arial" w:eastAsia="Arial" w:hAnsi="Arial"/>
          <w:sz w:val="17"/>
          <w:szCs w:val="17"/>
          <w:color w:val="auto"/>
        </w:rPr>
        <w:t>measured ARR, the continuous uptake of our E365 subscription offering has introduced daily consumption</w:t>
      </w:r>
      <w:r>
        <w:rPr>
          <w:rFonts w:ascii="MS PGothic" w:cs="MS PGothic" w:eastAsia="MS PGothic" w:hAnsi="MS PGothic"/>
          <w:sz w:val="17"/>
          <w:szCs w:val="17"/>
          <w:color w:val="auto"/>
        </w:rPr>
        <w:t>‑</w:t>
      </w:r>
      <w:r>
        <w:rPr>
          <w:rFonts w:ascii="Arial" w:cs="Arial" w:eastAsia="Arial" w:hAnsi="Arial"/>
          <w:sz w:val="17"/>
          <w:szCs w:val="17"/>
          <w:color w:val="auto"/>
        </w:rPr>
        <w:t>measured ARR, representing 27% of total ARR as of June 30, 2021. ARR is inclusive of the ARR of acquired companies as of the date they are acquired. We believe that ARR and ARR growth are important metrics indicating the scale and growth of our business. Furthermore, we believe ARR, considered in connection with our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is a leading indicator of revenue growth. Our ARR as of June 30, 2021 was $882,415, calculated using the spot foreign exchange rates as of June 30, 2021.</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ARR growth rate was favorably impacted from the Seequent acquisition by 13% for the twelve months ended June 30, 2021.</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 xml:space="preserve">Account retention rate. </w:t>
      </w:r>
      <w:r>
        <w:rPr>
          <w:rFonts w:ascii="Arial" w:cs="Arial" w:eastAsia="Arial" w:hAnsi="Arial"/>
          <w:sz w:val="18"/>
          <w:szCs w:val="18"/>
          <w:color w:val="auto"/>
        </w:rPr>
        <w:t>Our account retention rate for any given twelve-month period is calculated using the average currency exchange rates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period, as follows: the prior period recurring revenues from all accounts with recurring revenues in the current and prior period, divided by total recurring revenues from all accounts during the prior period. Our account retention rate is an important indicator that provides insight into the long</w:t>
      </w:r>
      <w:r>
        <w:rPr>
          <w:rFonts w:ascii="MS PGothic" w:cs="MS PGothic" w:eastAsia="MS PGothic" w:hAnsi="MS PGothic"/>
          <w:sz w:val="18"/>
          <w:szCs w:val="18"/>
          <w:color w:val="auto"/>
        </w:rPr>
        <w:t>‑</w:t>
      </w:r>
      <w:r>
        <w:rPr>
          <w:rFonts w:ascii="Arial" w:cs="Arial" w:eastAsia="Arial" w:hAnsi="Arial"/>
          <w:sz w:val="18"/>
          <w:szCs w:val="18"/>
          <w:color w:val="auto"/>
        </w:rPr>
        <w:t>term value of our account relationships and our ability to retain our account base. We believe that our consistent and high account retention rates illustrate our ability to retain and cultivate long</w:t>
      </w:r>
      <w:r>
        <w:rPr>
          <w:rFonts w:ascii="MS PGothic" w:cs="MS PGothic" w:eastAsia="MS PGothic" w:hAnsi="MS PGothic"/>
          <w:sz w:val="18"/>
          <w:szCs w:val="18"/>
          <w:color w:val="auto"/>
        </w:rPr>
        <w:t>‑</w:t>
      </w:r>
      <w:r>
        <w:rPr>
          <w:rFonts w:ascii="Arial" w:cs="Arial" w:eastAsia="Arial" w:hAnsi="Arial"/>
          <w:sz w:val="18"/>
          <w:szCs w:val="18"/>
          <w:color w:val="auto"/>
        </w:rPr>
        <w:t>term relationships with our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 w:name="page49"/>
    <w:bookmarkEnd w:id="48"/>
    <w:p>
      <w:pPr>
        <w:jc w:val="both"/>
        <w:ind w:firstLine="324"/>
        <w:spacing w:after="0" w:line="218" w:lineRule="exact"/>
        <w:rPr>
          <w:sz w:val="20"/>
          <w:szCs w:val="20"/>
          <w:color w:val="auto"/>
        </w:rPr>
      </w:pPr>
      <w:r>
        <w:rPr>
          <w:rFonts w:ascii="Arial" w:cs="Arial" w:eastAsia="Arial" w:hAnsi="Arial"/>
          <w:sz w:val="16"/>
          <w:szCs w:val="16"/>
          <w:i w:val="1"/>
          <w:iCs w:val="1"/>
          <w:color w:val="auto"/>
        </w:rPr>
        <w:t>Recurring revenues dollar</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based net retention rate. </w:t>
      </w:r>
      <w:r>
        <w:rPr>
          <w:rFonts w:ascii="Arial" w:cs="Arial" w:eastAsia="Arial" w:hAnsi="Arial"/>
          <w:sz w:val="16"/>
          <w:szCs w:val="16"/>
          <w:color w:val="auto"/>
        </w:rPr>
        <w:t>Our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is calculated using the average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We believe our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is a key indicator of our success in growing our revenues within our existing accounts. Given that recurring revenues represented 86% of our total revenues for the twelve months ended June 30, 2021, this metric helps explain our revenue performance as primarily growth into existing accounts. We believe that our consistent and high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illustrates our ability to consistently retain accounts and grow them.</w:t>
      </w:r>
    </w:p>
    <w:p>
      <w:pPr>
        <w:spacing w:after="0" w:line="204"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Our calculation of these metrics may not be comparable to other companies with similarly</w:t>
      </w:r>
      <w:r>
        <w:rPr>
          <w:rFonts w:ascii="MS PGothic" w:cs="MS PGothic" w:eastAsia="MS PGothic" w:hAnsi="MS PGothic"/>
          <w:sz w:val="18"/>
          <w:szCs w:val="18"/>
          <w:color w:val="auto"/>
        </w:rPr>
        <w:t>‑</w:t>
      </w:r>
      <w:r>
        <w:rPr>
          <w:rFonts w:ascii="Arial" w:cs="Arial" w:eastAsia="Arial" w:hAnsi="Arial"/>
          <w:sz w:val="18"/>
          <w:szCs w:val="18"/>
          <w:color w:val="auto"/>
        </w:rPr>
        <w:t>titled metrics.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In addition to our results determined in accordance with U.S. GAAP, we also use the below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to evaluate our ongoing operations and for internal planning and forecasting purposes.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18"/>
                <w:szCs w:val="18"/>
                <w:color w:val="auto"/>
              </w:rPr>
            </w:pPr>
          </w:p>
        </w:tc>
        <w:tc>
          <w:tcPr>
            <w:tcW w:w="2600" w:type="dxa"/>
            <w:vAlign w:val="bottom"/>
            <w:gridSpan w:val="4"/>
          </w:tcPr>
          <w:p>
            <w:pPr>
              <w:jc w:val="center"/>
              <w:ind w:right="233"/>
              <w:spacing w:after="0"/>
              <w:rPr>
                <w:sz w:val="20"/>
                <w:szCs w:val="20"/>
                <w:color w:val="auto"/>
              </w:rPr>
            </w:pPr>
            <w:r>
              <w:rPr>
                <w:rFonts w:ascii="Arial" w:cs="Arial" w:eastAsia="Arial" w:hAnsi="Arial"/>
                <w:sz w:val="16"/>
                <w:szCs w:val="16"/>
                <w:b w:val="1"/>
                <w:bCs w:val="1"/>
                <w:color w:val="auto"/>
                <w:w w:val="92"/>
              </w:rPr>
              <w:t>Six Months Ended</w:t>
            </w:r>
          </w:p>
        </w:tc>
      </w:tr>
      <w:tr>
        <w:trPr>
          <w:trHeight w:val="219"/>
        </w:trPr>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15"/>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15"/>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Borders>
              <w:bottom w:val="single" w:sz="8" w:color="auto"/>
            </w:tcBorders>
          </w:tcPr>
          <w:p>
            <w:pPr>
              <w:spacing w:after="0"/>
              <w:rPr>
                <w:sz w:val="19"/>
                <w:szCs w:val="19"/>
                <w:color w:val="auto"/>
              </w:rPr>
            </w:pPr>
          </w:p>
        </w:tc>
      </w:tr>
      <w:tr>
        <w:trPr>
          <w:trHeight w:val="210"/>
        </w:trPr>
        <w:tc>
          <w:tcPr>
            <w:tcW w:w="5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69,139</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151,948</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115,506</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74,316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46,047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138,320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89,203</w:t>
            </w:r>
          </w:p>
        </w:tc>
      </w:tr>
    </w:tbl>
    <w:p>
      <w:pPr>
        <w:spacing w:after="0" w:line="29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We define Adjusted EBITDA as net income adjusted for interest expense, net, provision (benefit) for income taxes,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acquisition expenses, realignment expenses,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and expense, net, and (income) loss from investment accounted for using the equity method, net of tax.</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Adjusted Net Income</w:t>
      </w:r>
      <w:r>
        <w:rPr>
          <w:rFonts w:ascii="Arial" w:cs="Arial" w:eastAsia="Arial" w:hAnsi="Arial"/>
          <w:sz w:val="18"/>
          <w:szCs w:val="18"/>
          <w:color w:val="auto"/>
        </w:rPr>
        <w:t>. We define Adjusted Net Income as net income adjusted for the following: amortization of purchased intangibles and developed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acquisition expenses, realignment expenses,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and expense, net, the tax effect of the above adjustments to net income, non</w:t>
      </w:r>
      <w:r>
        <w:rPr>
          <w:rFonts w:ascii="MS PGothic" w:cs="MS PGothic" w:eastAsia="MS PGothic" w:hAnsi="MS PGothic"/>
          <w:sz w:val="18"/>
          <w:szCs w:val="18"/>
          <w:color w:val="auto"/>
        </w:rPr>
        <w:t>‑</w:t>
      </w:r>
      <w:r>
        <w:rPr>
          <w:rFonts w:ascii="Arial" w:cs="Arial" w:eastAsia="Arial" w:hAnsi="Arial"/>
          <w:sz w:val="18"/>
          <w:szCs w:val="18"/>
          <w:color w:val="auto"/>
        </w:rPr>
        <w:t>recurring income tax expense and benefit, and (income) loss from investment accounted for using the equity method, net of tax. The tax effect of adjustments to net income is based on the estimated marginal effective tax rates in the jurisdictions impacted by such adjustments.</w:t>
      </w:r>
    </w:p>
    <w:p>
      <w:pPr>
        <w:spacing w:after="0" w:line="20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Adjusted EBITDA and Adjusted Net Income are not presentations made in accordance with U.S. GAAP, and our use of the terms Adjusted EBITDA and Adjusted Net Income may vary from the use of similarly titled measures by others in our industry due to the potential inconsistencies in the method of calculation and differences due to items subject to interpretation. We believe the presentation of Adjusted EBITDA and Adjusted Net Income provides useful information to management and investors regarding financial and business trends related to our results of operations and that when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is viewed with U.S. GAAP financial information, investors are provided with a more meaningful understanding of our ongoing operating performance. We also use Adjusted EBITDA and Adjusted Net Income to compare our results to those of our competitors and to consistently measure our performance from period to period.</w:t>
      </w:r>
    </w:p>
    <w:p>
      <w:pPr>
        <w:spacing w:after="0" w:line="2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and Adjusted Net Income should not be considered as alternatives to net income, operating income, or any other performance measures derived in accordance with U.S. GAAP as measures of operating performance. Adjusted EBITDA and Adjusted Net Income have important limitations as analytical tools and should not be considered in isolation or as a substitute for analysis of our results as reported under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Reconciliation of net income to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520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3"/>
          <w:szCs w:val="13"/>
          <w:color w:val="auto"/>
        </w:rPr>
        <w:t>$</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(Benefit) provision for income taxes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(3)</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(4)</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Realignment expenses </w:t>
      </w:r>
      <w:r>
        <w:rPr>
          <w:rFonts w:ascii="Arial" w:cs="Arial" w:eastAsia="Arial" w:hAnsi="Arial"/>
          <w:sz w:val="23"/>
          <w:szCs w:val="23"/>
          <w:color w:val="auto"/>
          <w:vertAlign w:val="superscript"/>
        </w:rPr>
        <w:t>(5)</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Other expense (income), net </w:t>
      </w:r>
      <w:r>
        <w:rPr>
          <w:rFonts w:ascii="Arial" w:cs="Arial" w:eastAsia="Arial" w:hAnsi="Arial"/>
          <w:sz w:val="23"/>
          <w:szCs w:val="23"/>
          <w:color w:val="auto"/>
          <w:vertAlign w:val="superscript"/>
        </w:rPr>
        <w:t>(6)</w:t>
      </w:r>
    </w:p>
    <w:p>
      <w:pPr>
        <w:spacing w:after="0" w:line="17" w:lineRule="exact"/>
        <w:rPr>
          <w:sz w:val="20"/>
          <w:szCs w:val="20"/>
          <w:color w:val="auto"/>
        </w:rPr>
      </w:pPr>
    </w:p>
    <w:p>
      <w:pPr>
        <w:ind w:left="360" w:right="220" w:hanging="161"/>
        <w:spacing w:after="0" w:line="258" w:lineRule="auto"/>
        <w:rPr>
          <w:sz w:val="20"/>
          <w:szCs w:val="20"/>
          <w:color w:val="auto"/>
        </w:rPr>
      </w:pPr>
      <w:r>
        <w:rPr>
          <w:rFonts w:ascii="Arial" w:cs="Arial" w:eastAsia="Arial" w:hAnsi="Arial"/>
          <w:sz w:val="18"/>
          <w:szCs w:val="18"/>
          <w:color w:val="auto"/>
        </w:rPr>
        <w:t>Loss from investment accounted for using the equity method, net of tax</w:t>
      </w:r>
    </w:p>
    <w:p>
      <w:pPr>
        <w:spacing w:after="0" w:line="25" w:lineRule="exact"/>
        <w:rPr>
          <w:sz w:val="20"/>
          <w:szCs w:val="20"/>
          <w:color w:val="auto"/>
        </w:rPr>
      </w:pPr>
    </w:p>
    <w:p>
      <w:pPr>
        <w:ind w:left="20"/>
        <w:spacing w:after="0"/>
        <w:tabs>
          <w:tab w:leader="none" w:pos="520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3"/>
          <w:szCs w:val="13"/>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net income to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520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3"/>
          <w:szCs w:val="13"/>
          <w:color w:val="auto"/>
        </w:rPr>
        <w:t>$</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Non-GAAP adjustments, prior to income taxes: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Amortization of purchased intangibles and developed technologies</w:t>
      </w:r>
    </w:p>
    <w:p>
      <w:pPr>
        <w:ind w:left="520"/>
        <w:spacing w:after="0"/>
        <w:rPr>
          <w:sz w:val="20"/>
          <w:szCs w:val="20"/>
          <w:color w:val="auto"/>
        </w:rPr>
      </w:pPr>
      <w:r>
        <w:rPr>
          <w:rFonts w:ascii="Arial" w:cs="Arial" w:eastAsia="Arial" w:hAnsi="Arial"/>
          <w:sz w:val="12"/>
          <w:szCs w:val="12"/>
          <w:color w:val="auto"/>
        </w:rPr>
        <w:t>(2)</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(3)</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(4)</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Realignment expenses </w:t>
      </w:r>
      <w:r>
        <w:rPr>
          <w:rFonts w:ascii="Arial" w:cs="Arial" w:eastAsia="Arial" w:hAnsi="Arial"/>
          <w:sz w:val="23"/>
          <w:szCs w:val="23"/>
          <w:color w:val="auto"/>
          <w:vertAlign w:val="superscript"/>
        </w:rPr>
        <w:t>(5)</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Other expense (income), net </w:t>
      </w:r>
      <w:r>
        <w:rPr>
          <w:rFonts w:ascii="Arial" w:cs="Arial" w:eastAsia="Arial" w:hAnsi="Arial"/>
          <w:sz w:val="23"/>
          <w:szCs w:val="23"/>
          <w:color w:val="auto"/>
          <w:vertAlign w:val="superscript"/>
        </w:rPr>
        <w:t>(6)</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non-GAAP adjustments, prior to income taxes</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tax effect of non-GAAP adjustments</w:t>
      </w:r>
    </w:p>
    <w:p>
      <w:pPr>
        <w:spacing w:after="0" w:line="63" w:lineRule="exact"/>
        <w:rPr>
          <w:sz w:val="20"/>
          <w:szCs w:val="20"/>
          <w:color w:val="auto"/>
        </w:rPr>
      </w:pPr>
    </w:p>
    <w:p>
      <w:pPr>
        <w:ind w:left="520" w:right="260" w:hanging="161"/>
        <w:spacing w:after="0" w:line="277" w:lineRule="auto"/>
        <w:rPr>
          <w:sz w:val="20"/>
          <w:szCs w:val="20"/>
          <w:color w:val="auto"/>
        </w:rPr>
      </w:pPr>
      <w:r>
        <w:rPr>
          <w:rFonts w:ascii="Arial" w:cs="Arial" w:eastAsia="Arial" w:hAnsi="Arial"/>
          <w:sz w:val="18"/>
          <w:szCs w:val="18"/>
          <w:color w:val="auto"/>
        </w:rPr>
        <w:t>Loss from investment accounted for using the equity method, net of tax</w:t>
      </w:r>
    </w:p>
    <w:p>
      <w:pPr>
        <w:spacing w:after="0" w:line="8" w:lineRule="exact"/>
        <w:rPr>
          <w:sz w:val="20"/>
          <w:szCs w:val="20"/>
          <w:color w:val="auto"/>
        </w:rPr>
      </w:pPr>
    </w:p>
    <w:p>
      <w:pPr>
        <w:ind w:left="20"/>
        <w:spacing w:after="0"/>
        <w:tabs>
          <w:tab w:leader="none" w:pos="5200" w:val="left"/>
        </w:tabs>
        <w:rPr>
          <w:sz w:val="20"/>
          <w:szCs w:val="20"/>
          <w:color w:val="auto"/>
        </w:rPr>
      </w:pPr>
      <w:r>
        <w:rPr>
          <w:rFonts w:ascii="Arial" w:cs="Arial" w:eastAsia="Arial" w:hAnsi="Arial"/>
          <w:sz w:val="18"/>
          <w:szCs w:val="18"/>
          <w:color w:val="auto"/>
        </w:rPr>
        <w:t>Adjusted Net Income</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19030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66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142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r>
      <w:tr>
        <w:trPr>
          <w:trHeight w:val="210"/>
        </w:trPr>
        <w:tc>
          <w:tcPr>
            <w:tcW w:w="1080" w:type="dxa"/>
            <w:vAlign w:val="bottom"/>
          </w:tcPr>
          <w:p>
            <w:pPr>
              <w:jc w:val="right"/>
              <w:ind w:right="672"/>
              <w:spacing w:after="0"/>
              <w:rPr>
                <w:sz w:val="20"/>
                <w:szCs w:val="20"/>
                <w:color w:val="auto"/>
              </w:rPr>
            </w:pPr>
            <w:r>
              <w:rPr>
                <w:rFonts w:ascii="Arial" w:cs="Arial" w:eastAsia="Arial" w:hAnsi="Arial"/>
                <w:sz w:val="16"/>
                <w:szCs w:val="16"/>
                <w:b w:val="1"/>
                <w:bCs w:val="1"/>
                <w:color w:val="auto"/>
                <w:w w:val="84"/>
              </w:rPr>
              <w:t>2021</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r>
      <w:tr>
        <w:trPr>
          <w:trHeight w:val="229"/>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44,910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39,076</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101,916</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68,745</w:t>
            </w:r>
          </w:p>
        </w:tc>
      </w:tr>
      <w:tr>
        <w:trPr>
          <w:trHeight w:val="269"/>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2,453</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1,128</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4,772</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2,516</w:t>
            </w:r>
          </w:p>
        </w:tc>
      </w:tr>
      <w:tr>
        <w:trPr>
          <w:trHeight w:val="270"/>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(20,746)</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4,264</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(10,388)</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11,440</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10,287</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8,614</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19,280</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16,664</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11,685</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1,559</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20,598</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3,212</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14,944</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2,734</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24,200</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5,009</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3,777</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(10,705)</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6,985</w:t>
            </w:r>
          </w:p>
        </w:tc>
      </w:tr>
      <w:tr>
        <w:trPr>
          <w:trHeight w:val="486"/>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1,829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r>
      <w:tr>
        <w:trPr>
          <w:trHeight w:val="223"/>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69,139</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57,575</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151,948</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115,506</w:t>
            </w:r>
          </w:p>
        </w:tc>
      </w:tr>
      <w:tr>
        <w:trPr>
          <w:trHeight w:val="21"/>
        </w:trPr>
        <w:tc>
          <w:tcPr>
            <w:tcW w:w="1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-1525270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-1182370</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-839470</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-496570</wp:posOffset>
            </wp:positionV>
            <wp:extent cx="7132320" cy="4972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49720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-1851025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-1996440</wp:posOffset>
            </wp:positionV>
            <wp:extent cx="18345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142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r>
      <w:tr>
        <w:trPr>
          <w:trHeight w:val="210"/>
        </w:trPr>
        <w:tc>
          <w:tcPr>
            <w:tcW w:w="1080" w:type="dxa"/>
            <w:vAlign w:val="bottom"/>
          </w:tcPr>
          <w:p>
            <w:pPr>
              <w:jc w:val="right"/>
              <w:ind w:right="672"/>
              <w:spacing w:after="0"/>
              <w:rPr>
                <w:sz w:val="20"/>
                <w:szCs w:val="20"/>
                <w:color w:val="auto"/>
              </w:rPr>
            </w:pPr>
            <w:r>
              <w:rPr>
                <w:rFonts w:ascii="Arial" w:cs="Arial" w:eastAsia="Arial" w:hAnsi="Arial"/>
                <w:sz w:val="16"/>
                <w:szCs w:val="16"/>
                <w:b w:val="1"/>
                <w:bCs w:val="1"/>
                <w:color w:val="auto"/>
                <w:w w:val="84"/>
              </w:rPr>
              <w:t>2021</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r>
      <w:tr>
        <w:trPr>
          <w:trHeight w:val="229"/>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44,910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39,076</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101,916</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68,745</w:t>
            </w:r>
          </w:p>
        </w:tc>
      </w:tr>
      <w:tr>
        <w:trPr>
          <w:trHeight w:val="674"/>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5,781</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4,919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10,464</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9,458</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11,685</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1,559</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20,598</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3,212</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14,944</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2,734</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24,200</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5,009</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3,777</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(10,705)</w:t>
            </w:r>
          </w:p>
        </w:tc>
        <w:tc>
          <w:tcPr>
            <w:tcW w:w="2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6,985</w:t>
            </w:r>
          </w:p>
        </w:tc>
      </w:tr>
      <w:tr>
        <w:trPr>
          <w:trHeight w:val="25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36,187</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8,884</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44,557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24,733</w:t>
            </w:r>
          </w:p>
        </w:tc>
      </w:tr>
      <w:tr>
        <w:trPr>
          <w:trHeight w:val="270"/>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(8,610)</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(2,441)</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(10,428)</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(5,141)</w:t>
            </w:r>
          </w:p>
        </w:tc>
      </w:tr>
      <w:tr>
        <w:trPr>
          <w:trHeight w:val="486"/>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1,829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r>
      <w:tr>
        <w:trPr>
          <w:trHeight w:val="223"/>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74,316</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46,047</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138,320</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89,203</w:t>
            </w:r>
          </w:p>
        </w:tc>
      </w:tr>
      <w:tr>
        <w:trPr>
          <w:trHeight w:val="20"/>
        </w:trPr>
        <w:tc>
          <w:tcPr>
            <w:tcW w:w="1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-1782445</wp:posOffset>
            </wp:positionV>
            <wp:extent cx="7132320" cy="2571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-1353820</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-1010920</wp:posOffset>
            </wp:positionV>
            <wp:extent cx="7132320" cy="10115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-2108200</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-2253615</wp:posOffset>
            </wp:positionV>
            <wp:extent cx="18345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80"/>
            <w:col w:w="5560"/>
          </w:cols>
          <w:pgMar w:left="320" w:top="1421" w:right="339" w:bottom="1440" w:gutter="0" w:footer="0" w:header="0"/>
        </w:sect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Further explanation of certain of our adjustments in arriving at Adjusted EBITDA and Adjusted Net Income are as follows:</w:t>
      </w:r>
    </w:p>
    <w:p>
      <w:pPr>
        <w:spacing w:after="0" w:line="225" w:lineRule="exact"/>
        <w:rPr>
          <w:sz w:val="20"/>
          <w:szCs w:val="20"/>
          <w:color w:val="auto"/>
        </w:rPr>
      </w:pPr>
    </w:p>
    <w:p>
      <w:pPr>
        <w:jc w:val="both"/>
        <w:ind w:left="340" w:hanging="332"/>
        <w:spacing w:after="0" w:line="263"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includes amortization of $1,785 and $1,058 for the three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2020, respectively, $3,472 and $2,022 for the six months ended June 30, 2021 and 2020, respectively, related to certain projects under our Accelerated Commercial Development Program (“ACDP”).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50" w:name="page51"/>
    <w:bookmarkEnd w:id="50"/>
    <w:p>
      <w:pPr>
        <w:jc w:val="both"/>
        <w:ind w:left="332" w:hanging="332"/>
        <w:spacing w:after="0" w:line="218" w:lineRule="exact"/>
        <w:tabs>
          <w:tab w:leader="none" w:pos="32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Amortization of purchased intangibles and developed technologies</w:t>
      </w:r>
      <w:r>
        <w:rPr>
          <w:rFonts w:ascii="Arial" w:cs="Arial" w:eastAsia="Arial" w:hAnsi="Arial"/>
          <w:sz w:val="18"/>
          <w:szCs w:val="18"/>
          <w:color w:val="auto"/>
        </w:rPr>
        <w:t>. Amortization of purchased intangibles varies in amount and frequency and is</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significantly impacted by the timing and size of our acquisitions. Amortization of acquisition related developed technologies under our ACDP was $97 and $92 for the three months ended June 30, 2021 and 2020, respectively, $191 and $182 for the six months ended June 30, 2021 and 2020, respectively. Management finds it useful to exclude these non</w:t>
      </w:r>
      <w:r>
        <w:rPr>
          <w:rFonts w:ascii="MS PGothic" w:cs="MS PGothic" w:eastAsia="MS PGothic" w:hAnsi="MS PGothic"/>
          <w:sz w:val="18"/>
          <w:szCs w:val="18"/>
          <w:color w:val="auto"/>
        </w:rPr>
        <w:t>‑</w:t>
      </w:r>
      <w:r>
        <w:rPr>
          <w:rFonts w:ascii="Arial" w:cs="Arial" w:eastAsia="Arial" w:hAnsi="Arial"/>
          <w:sz w:val="18"/>
          <w:szCs w:val="18"/>
          <w:color w:val="auto"/>
        </w:rPr>
        <w:t>cash charges from our operating expenses to assist in budgeting, planning, and forecasting future periods. The use of intangible assets and developed technologies contributed to our revenues earned during the periods presented and will also contribute to our revenues in future periods. Amortization of purchased intangible assets and developed technologies will recur in future periods.</w:t>
      </w:r>
    </w:p>
    <w:p>
      <w:pPr>
        <w:spacing w:after="0" w:line="206" w:lineRule="exact"/>
        <w:rPr>
          <w:rFonts w:ascii="Arial" w:cs="Arial" w:eastAsia="Arial" w:hAnsi="Arial"/>
          <w:sz w:val="18"/>
          <w:szCs w:val="18"/>
          <w:color w:val="auto"/>
        </w:rPr>
      </w:pPr>
    </w:p>
    <w:p>
      <w:pPr>
        <w:jc w:val="both"/>
        <w:ind w:left="332" w:hanging="332"/>
        <w:spacing w:after="0" w:line="219" w:lineRule="exact"/>
        <w:tabs>
          <w:tab w:leader="none" w:pos="32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Stock</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compensation</w:t>
      </w:r>
      <w:r>
        <w:rPr>
          <w:rFonts w:ascii="Arial" w:cs="Arial" w:eastAsia="Arial" w:hAnsi="Arial"/>
          <w:sz w:val="18"/>
          <w:szCs w:val="18"/>
          <w:color w:val="auto"/>
        </w:rPr>
        <w:t>. We exclude certain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expenses from our non</w:t>
      </w:r>
      <w:r>
        <w:rPr>
          <w:rFonts w:ascii="MS PGothic" w:cs="MS PGothic" w:eastAsia="MS PGothic" w:hAnsi="MS PGothic"/>
          <w:sz w:val="18"/>
          <w:szCs w:val="18"/>
          <w:color w:val="auto"/>
        </w:rPr>
        <w:t>‑</w:t>
      </w:r>
      <w:r>
        <w:rPr>
          <w:rFonts w:ascii="Arial" w:cs="Arial" w:eastAsia="Arial" w:hAnsi="Arial"/>
          <w:sz w:val="18"/>
          <w:szCs w:val="18"/>
          <w:color w:val="auto"/>
        </w:rPr>
        <w:t>GAAP measures primarily because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cash expenses and management finds it useful to exclude certain non</w:t>
      </w:r>
      <w:r>
        <w:rPr>
          <w:rFonts w:ascii="MS PGothic" w:cs="MS PGothic" w:eastAsia="MS PGothic" w:hAnsi="MS PGothic"/>
          <w:sz w:val="18"/>
          <w:szCs w:val="18"/>
          <w:color w:val="auto"/>
        </w:rPr>
        <w:t>‑</w:t>
      </w:r>
      <w:r>
        <w:rPr>
          <w:rFonts w:ascii="Arial" w:cs="Arial" w:eastAsia="Arial" w:hAnsi="Arial"/>
          <w:sz w:val="18"/>
          <w:szCs w:val="18"/>
          <w:color w:val="auto"/>
        </w:rPr>
        <w:t xml:space="preserve">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believe excluding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expenses allows investors to make meaningful comparisons between our recurring core business results of operations and those of other companies.</w:t>
      </w:r>
    </w:p>
    <w:p>
      <w:pPr>
        <w:spacing w:after="0" w:line="202" w:lineRule="exact"/>
        <w:rPr>
          <w:rFonts w:ascii="Arial" w:cs="Arial" w:eastAsia="Arial" w:hAnsi="Arial"/>
          <w:sz w:val="18"/>
          <w:szCs w:val="18"/>
          <w:color w:val="auto"/>
        </w:rPr>
      </w:pPr>
    </w:p>
    <w:p>
      <w:pPr>
        <w:jc w:val="both"/>
        <w:ind w:left="332" w:hanging="332"/>
        <w:spacing w:after="0" w:line="271" w:lineRule="auto"/>
        <w:tabs>
          <w:tab w:leader="none" w:pos="326"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Acquisition expenses</w:t>
      </w:r>
      <w:r>
        <w:rPr>
          <w:rFonts w:ascii="Arial" w:cs="Arial" w:eastAsia="Arial" w:hAnsi="Arial"/>
          <w:sz w:val="17"/>
          <w:szCs w:val="17"/>
          <w:color w:val="auto"/>
        </w:rPr>
        <w:t>. We incur expenses for professional services rendered in connection with business combinations, which are included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U.S. GAAP presentation of general and administrative expense. Also included in our acquisition expenses are retention incentives paid to executives of the acquired companies, as well as adjustments related to deferred revenue from acquired companies. We exclude these acquisition expenses when we evaluate our continuing operational performance as we would not have otherwise incurred these expenses in the periods presented as part of our continuing operations. Acquired deferred revenue is recorded on the opening balance sheet at an amount that typically is lower than historical carrying value. The adjustment to acquired deferred revenue has no impact on our business or cash flow, but it does reduce reported U.S. GAAP revenue in the periods following an acquisition. For the three and six months ended June 30, 2021, $9,180 and $15,896, respectively, of our acquisition expenses related to the acquisition of Seequent Holdings Limited (“Seequent”).</w:t>
      </w:r>
    </w:p>
    <w:p>
      <w:pPr>
        <w:spacing w:after="0" w:line="178" w:lineRule="exact"/>
        <w:rPr>
          <w:rFonts w:ascii="Arial" w:cs="Arial" w:eastAsia="Arial" w:hAnsi="Arial"/>
          <w:sz w:val="17"/>
          <w:szCs w:val="17"/>
          <w:color w:val="auto"/>
        </w:rPr>
      </w:pPr>
    </w:p>
    <w:p>
      <w:pPr>
        <w:jc w:val="both"/>
        <w:ind w:left="332" w:hanging="332"/>
        <w:spacing w:after="0" w:line="275" w:lineRule="auto"/>
        <w:tabs>
          <w:tab w:leader="none" w:pos="326"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Realignment expenses</w:t>
      </w:r>
      <w:r>
        <w:rPr>
          <w:rFonts w:ascii="Arial" w:cs="Arial" w:eastAsia="Arial" w:hAnsi="Arial"/>
          <w:sz w:val="17"/>
          <w:szCs w:val="17"/>
          <w:color w:val="auto"/>
        </w:rPr>
        <w:t>. These expenses are associated with realigning our business strategies to better serve our accounts and to better align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evolving needs of the business. In connection with these actions, we recognize costs related to termination benefits for colleagues whose positions were eliminated. We exclude these charges because they are not reflective of our ongoing business and results of operations. We believe it is useful for investors to understand the effects of these items on our total operating expenses. In the ordinary course of operating our business, we incur severance expenses that are not included in this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207645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21" w:right="339" w:bottom="1440" w:gutter="0" w:footer="0" w:header="0"/>
        </w:sectPr>
      </w:pPr>
    </w:p>
    <w:bookmarkStart w:id="51" w:name="page52"/>
    <w:bookmarkEnd w:id="51"/>
    <w:p>
      <w:pPr>
        <w:jc w:val="both"/>
        <w:ind w:left="332" w:hanging="332"/>
        <w:spacing w:after="0" w:line="286" w:lineRule="auto"/>
        <w:tabs>
          <w:tab w:leader="none" w:pos="326"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Other expense (income), net</w:t>
      </w:r>
      <w:r>
        <w:rPr>
          <w:rFonts w:ascii="Arial" w:cs="Arial" w:eastAsia="Arial" w:hAnsi="Arial"/>
          <w:sz w:val="16"/>
          <w:szCs w:val="16"/>
          <w:color w:val="auto"/>
        </w:rPr>
        <w:t>. Primarily consists of foreign exchange (gains) losses of $(1,406) and $(4,518) for the three months ended June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2020, respectively, and $(2,198) and $4,263 for the six months ended June 30, 2021 and 2020, respectively. The foreign exchange (gains) losses derive primarily from U.S. Dollar denominated cash and cash equivalents, accounts receivable, and intercompany balances held by foreign subsidiaries. The gains and losses from such translations are included in </w:t>
      </w:r>
      <w:r>
        <w:rPr>
          <w:rFonts w:ascii="Arial" w:cs="Arial" w:eastAsia="Arial" w:hAnsi="Arial"/>
          <w:sz w:val="16"/>
          <w:szCs w:val="16"/>
          <w:i w:val="1"/>
          <w:iCs w:val="1"/>
          <w:color w:val="auto"/>
        </w:rPr>
        <w:t>Other expense (income), net</w:t>
      </w:r>
      <w:r>
        <w:rPr>
          <w:rFonts w:ascii="Arial" w:cs="Arial" w:eastAsia="Arial" w:hAnsi="Arial"/>
          <w:sz w:val="16"/>
          <w:szCs w:val="16"/>
          <w:color w:val="auto"/>
        </w:rPr>
        <w:t xml:space="preserve"> in the consolidated statements of operations. Intercompany finance transactions denominated in U.S. Dollars resulted in unrealized foreign exchange (gains) losses of $(963) and $(5,012) for the three months ended June 30, 2021 and 2020, respectively, and $(1,443) and $1,765 for the six months ended June 30, 2021 and 2020, respectively. These U.S. Dollar denominated balances are being translated into their functional currencies at the rates in effect at the balance sheet date and are fully eliminated in consolidation. For the three months ended June 30, 2021 and 2020, other expense (income), net also includes a loss from the change in fair value of our interest rate swap of $5,926 and $4,174, respectively. For the six months ended June 30, 2021, other expense (income), net includes a gain from the change in fair value of our interest rate swap of $(7,735). For the six months ended June 30, 2020, other expense (income), net includes a loss from the change in fair value of our interest rate swap of $4,174, partly offset by a gain from the change in fair value of acquisition contingent consideration of $(1,390). We exclude these charges because they are not reflective of ongoing business and results of operations. We believe it is useful for investors to understand the effects of these items on our total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207645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2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Key Factors Impacting Comparability and Performance: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Highlights for the six months ended June 30, 2021</w:t>
      </w:r>
      <w:r>
        <w:rPr>
          <w:rFonts w:ascii="Arial" w:cs="Arial" w:eastAsia="Arial" w:hAnsi="Arial"/>
          <w:sz w:val="18"/>
          <w:szCs w:val="18"/>
          <w:color w:val="auto"/>
        </w:rPr>
        <w:t>. In addition to our performance previously discussed in “—Key Business Metrics” and “—Non-GAAP Financial Measures,” and as discussed further below in “—Results of Operations” and “—Liquidity and Capital Resources,” our consolidated financial statements for the six months ended June 30, 2021 were impacted by the following:</w:t>
      </w:r>
    </w:p>
    <w:p>
      <w:pPr>
        <w:spacing w:after="0" w:line="184" w:lineRule="exact"/>
        <w:rPr>
          <w:sz w:val="20"/>
          <w:szCs w:val="20"/>
          <w:color w:val="auto"/>
        </w:rPr>
      </w:pPr>
    </w:p>
    <w:p>
      <w:pPr>
        <w:jc w:val="both"/>
        <w:ind w:left="660" w:hanging="247"/>
        <w:spacing w:after="0" w:line="311" w:lineRule="auto"/>
        <w:tabs>
          <w:tab w:leader="none" w:pos="655"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color w:val="auto"/>
        </w:rPr>
        <w:t>On June 17, 2021, we completed the acquisition of Seequent, a leader in software for geological and geophysical modeling, geotechnical stability, and cloud services for geodata management and collaboration, for approximately $910,997 in cash, net of cash acquired, plus 3,141,342 shares of our Class B Common Stock. For the six months ended June 30, 2021, we incurred $15,896 of expenses related to the acquisition of Seequent;</w:t>
      </w:r>
    </w:p>
    <w:p>
      <w:pPr>
        <w:spacing w:after="0" w:line="148" w:lineRule="exact"/>
        <w:rPr>
          <w:rFonts w:ascii="Arial" w:cs="Arial" w:eastAsia="Arial" w:hAnsi="Arial"/>
          <w:sz w:val="16"/>
          <w:szCs w:val="16"/>
          <w:b w:val="1"/>
          <w:bCs w:val="1"/>
          <w:i w:val="1"/>
          <w:iCs w:val="1"/>
          <w:color w:val="auto"/>
        </w:rPr>
      </w:pPr>
    </w:p>
    <w:p>
      <w:pPr>
        <w:jc w:val="both"/>
        <w:ind w:left="660" w:hanging="247"/>
        <w:spacing w:after="0" w:line="259" w:lineRule="auto"/>
        <w:tabs>
          <w:tab w:leader="none" w:pos="655"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On June 28, 2021, we completed a private offering of $575,000 of 0.375% convertible senior notes due 2027 (the “2027 Notes”). We incurred $15,065 of expenses in connection with the 2027 Notes offering consisting of transaction costs. Transaction costs were recorded as a direct deduction from the related debt liability in the consolidated balance sheet and are amortized to interest expense using the effective interest method over the term of the 2027 Notes;</w:t>
      </w:r>
    </w:p>
    <w:p>
      <w:pPr>
        <w:spacing w:after="0" w:line="186" w:lineRule="exact"/>
        <w:rPr>
          <w:rFonts w:ascii="Arial" w:cs="Arial" w:eastAsia="Arial" w:hAnsi="Arial"/>
          <w:sz w:val="18"/>
          <w:szCs w:val="18"/>
          <w:b w:val="1"/>
          <w:bCs w:val="1"/>
          <w:i w:val="1"/>
          <w:iCs w:val="1"/>
          <w:color w:val="auto"/>
        </w:rPr>
      </w:pPr>
    </w:p>
    <w:p>
      <w:pPr>
        <w:jc w:val="both"/>
        <w:ind w:left="660" w:hanging="247"/>
        <w:spacing w:after="0" w:line="293" w:lineRule="auto"/>
        <w:tabs>
          <w:tab w:leader="none" w:pos="655"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color w:val="auto"/>
        </w:rPr>
        <w:t xml:space="preserve">In connection with the pricing of the 2027 Notes, we entered into capped call options with certain of the initial purchasers or their respective affiliates and certain other financial institutions. The capped call options are expected to reduce potential dilution to our Class B Common Stock upon any conversion of 2027 Notes and/or offset any cash payments we are required to make in excess of the principal amount of converted notes, as the case may be, with such reduction and/or offset subject to a cap. We paid premiums of $25,875 in connection with the capped call options. The capped call options are indexed to our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4" w:lineRule="exact"/>
        <w:rPr>
          <w:rFonts w:ascii="Arial" w:cs="Arial" w:eastAsia="Arial" w:hAnsi="Arial"/>
          <w:sz w:val="16"/>
          <w:szCs w:val="16"/>
          <w:b w:val="1"/>
          <w:bCs w:val="1"/>
          <w:i w:val="1"/>
          <w:iCs w:val="1"/>
          <w:color w:val="auto"/>
        </w:rPr>
      </w:pPr>
    </w:p>
    <w:p>
      <w:pPr>
        <w:jc w:val="both"/>
        <w:ind w:left="660" w:hanging="247"/>
        <w:spacing w:after="0" w:line="301" w:lineRule="auto"/>
        <w:tabs>
          <w:tab w:leader="none" w:pos="655"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color w:val="auto"/>
        </w:rPr>
        <w:t>On January 26, 2021, we completed a private offering of $690,000 of 0.125% convertible senior notes due 2026 (the “2026 Notes”). We incurred $18,055 of expenses in connection with the 2026 Notes offering consisting of the payment of initial purchasers’ discounts and commissions, professional fees, and other expenses (“transaction costs”). Transaction costs were recorded as a direct deduction from the related debt liability in the consolidated balance sheet and are amortized to interest expense using the effective interest method over the term of the 2026 Notes;</w:t>
      </w:r>
    </w:p>
    <w:p>
      <w:pPr>
        <w:spacing w:after="0" w:line="157" w:lineRule="exact"/>
        <w:rPr>
          <w:rFonts w:ascii="Arial" w:cs="Arial" w:eastAsia="Arial" w:hAnsi="Arial"/>
          <w:sz w:val="16"/>
          <w:szCs w:val="16"/>
          <w:b w:val="1"/>
          <w:bCs w:val="1"/>
          <w:i w:val="1"/>
          <w:iCs w:val="1"/>
          <w:color w:val="auto"/>
        </w:rPr>
      </w:pPr>
    </w:p>
    <w:p>
      <w:pPr>
        <w:jc w:val="both"/>
        <w:ind w:left="660" w:hanging="247"/>
        <w:spacing w:after="0" w:line="293" w:lineRule="auto"/>
        <w:tabs>
          <w:tab w:leader="none" w:pos="655"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color w:val="auto"/>
        </w:rPr>
        <w:t xml:space="preserve">In connection with the pricing of the 2026 Notes, we entered into capped call options with certain of the initial purchasers or their respective affiliates and certain other financial institutions. The capped call options are expected to reduce potential dilution to our Class B Common Stock upon any conversion of 2026 Notes and/or offset any cash payments we are required to make in excess of the principal amount of converted notes, as the case may be, with such reduction and/or offset subject to a cap. We paid premiums of $25,530 in connection with the capped call options. The capped call options are indexed to our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4" w:lineRule="exact"/>
        <w:rPr>
          <w:rFonts w:ascii="Arial" w:cs="Arial" w:eastAsia="Arial" w:hAnsi="Arial"/>
          <w:sz w:val="16"/>
          <w:szCs w:val="16"/>
          <w:b w:val="1"/>
          <w:bCs w:val="1"/>
          <w:i w:val="1"/>
          <w:iCs w:val="1"/>
          <w:color w:val="auto"/>
        </w:rPr>
      </w:pPr>
    </w:p>
    <w:p>
      <w:pPr>
        <w:jc w:val="both"/>
        <w:ind w:left="660" w:hanging="247"/>
        <w:spacing w:after="0" w:line="219" w:lineRule="exact"/>
        <w:tabs>
          <w:tab w:leader="none" w:pos="655"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color w:val="auto"/>
        </w:rPr>
        <w:t>On January 25, 2021, we entered into the Second Amendment to the Amended and Restated Credit Agreement dated December 19, 2017, which increased the senior secured revolving loan facility from $500,000 to $850,000 and extended the maturity date from December 18, 2022 to November 15, 2025 (the “Credit Facility”). We performed an extinguishment versus modification assessment on a lender</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lender basis resulting in the write</w:t>
      </w:r>
      <w:r>
        <w:rPr>
          <w:rFonts w:ascii="MS PGothic" w:cs="MS PGothic" w:eastAsia="MS PGothic" w:hAnsi="MS PGothic"/>
          <w:sz w:val="17"/>
          <w:szCs w:val="17"/>
          <w:color w:val="auto"/>
        </w:rPr>
        <w:t>‑</w:t>
      </w:r>
      <w:r>
        <w:rPr>
          <w:rFonts w:ascii="Arial" w:cs="Arial" w:eastAsia="Arial" w:hAnsi="Arial"/>
          <w:sz w:val="17"/>
          <w:szCs w:val="17"/>
          <w:color w:val="auto"/>
        </w:rPr>
        <w:t>off of unamortized debt issuance costs of $353 and the capitalization of fees paid to lenders and third parties of $3,577. Debt issuance costs are amortized to interest expense through the maturity date of November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3" w:name="page54"/>
    <w:bookmarkEnd w:id="53"/>
    <w:p>
      <w:pPr>
        <w:jc w:val="both"/>
        <w:ind w:left="660" w:hanging="247"/>
        <w:spacing w:after="0" w:line="220" w:lineRule="exact"/>
        <w:tabs>
          <w:tab w:leader="none" w:pos="655" w:val="left"/>
        </w:tabs>
        <w:numPr>
          <w:ilvl w:val="0"/>
          <w:numId w:val="30"/>
        </w:numPr>
        <w:rPr>
          <w:rFonts w:ascii="Arial" w:cs="Arial" w:eastAsia="Arial" w:hAnsi="Arial"/>
          <w:sz w:val="16"/>
          <w:szCs w:val="16"/>
          <w:b w:val="1"/>
          <w:bCs w:val="1"/>
          <w:i w:val="1"/>
          <w:iCs w:val="1"/>
          <w:color w:val="auto"/>
        </w:rPr>
      </w:pPr>
      <w:r>
        <w:rPr>
          <w:rFonts w:ascii="Arial" w:cs="Arial" w:eastAsia="Arial" w:hAnsi="Arial"/>
          <w:sz w:val="16"/>
          <w:szCs w:val="16"/>
          <w:color w:val="auto"/>
        </w:rPr>
        <w:t>Effective as of the beginning of the fourth quarter of 2020, participants in the Bentley Systems, Incorporated Bonus Pool Plan, as amended and restated, effective as of September 22, 2020 (the “Bonus Plan”) may elect to receive any portion, or all, of such participants’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in the form of shares of fully vested Class B Common Stock instead of cash payments and subject to a combined quarterly limit of $7,500. For the six months ended June 30, 2021, we recorded $11,595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related to this plan;</w:t>
      </w:r>
    </w:p>
    <w:p>
      <w:pPr>
        <w:spacing w:after="0" w:line="203" w:lineRule="exact"/>
        <w:rPr>
          <w:rFonts w:ascii="Arial" w:cs="Arial" w:eastAsia="Arial" w:hAnsi="Arial"/>
          <w:sz w:val="16"/>
          <w:szCs w:val="16"/>
          <w:b w:val="1"/>
          <w:bCs w:val="1"/>
          <w:i w:val="1"/>
          <w:iCs w:val="1"/>
          <w:color w:val="auto"/>
        </w:rPr>
      </w:pPr>
    </w:p>
    <w:p>
      <w:pPr>
        <w:jc w:val="both"/>
        <w:ind w:left="660" w:hanging="247"/>
        <w:spacing w:after="0" w:line="220" w:lineRule="exact"/>
        <w:tabs>
          <w:tab w:leader="none" w:pos="655"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color w:val="auto"/>
        </w:rPr>
        <w:t>Effective September 22, 2020, our Board and stockholders adopted and approved the Bentley Systems, Incorporated Global Employee Stock Purchase Plan (the “ESPP”). The ESPP will be implemented by means of consecutive offering periods, with the first offering period commencing on the first trading day on or after January 1, 2021 and ending on the last trading day on or before June 30, 2021. For the six months ended June 30, 2021, we recorded $877 of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this plan.</w:t>
      </w:r>
    </w:p>
    <w:p>
      <w:pPr>
        <w:spacing w:after="0" w:line="2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Impact of foreign currency</w:t>
      </w:r>
      <w:r>
        <w:rPr>
          <w:rFonts w:ascii="Arial" w:cs="Arial" w:eastAsia="Arial" w:hAnsi="Arial"/>
          <w:sz w:val="17"/>
          <w:szCs w:val="17"/>
          <w:color w:val="auto"/>
        </w:rPr>
        <w:t>. A portion of our revenues and operating expenses were derived from outside the United States and as such, were</w:t>
      </w:r>
      <w:r>
        <w:rPr>
          <w:rFonts w:ascii="Arial" w:cs="Arial" w:eastAsia="Arial" w:hAnsi="Arial"/>
          <w:sz w:val="17"/>
          <w:szCs w:val="17"/>
          <w:i w:val="1"/>
          <w:iCs w:val="1"/>
          <w:color w:val="auto"/>
        </w:rPr>
        <w:t xml:space="preserve"> </w:t>
      </w:r>
      <w:r>
        <w:rPr>
          <w:rFonts w:ascii="Arial" w:cs="Arial" w:eastAsia="Arial" w:hAnsi="Arial"/>
          <w:sz w:val="17"/>
          <w:szCs w:val="17"/>
          <w:color w:val="auto"/>
        </w:rPr>
        <w:t>denominated in various foreign currencies, including most significantly: Euros, British Pounds, Australian Dollars, Canadian Dollars, and Chinese Yuan Renminbi. Our financial results are therefore affected by changes in foreign currency rates. In 2020, 43% of our revenues were denominated in various foreign currencies. Correspondingly, in 2020, 47% of our operating expenses were denominated in various foreign currencies. Other than the natural hedge attributable to matching revenues and expenses in the same currencies, we do not currently hedge foreign currency exposure. Accordingly, our results of operations have been, and in the future will be, affected by changes in foreign exchange rates.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identify the effects of foreign currency on our operations and present constant currency growth rates and fluctuations because we believe exchange rates are an important factor in understanding period to period comparisons and enhance the understanding of our results and evaluation of our performance. In reporting period to 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Historically, we have enhanced our business with acquisitions of businesses, software solutions, and technologies. Going forward, we</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selectively acquire adjacent software solutions that can be sold broadly across our account base, as well as to acquire new technologies that we can leverage across our existing software solution portfolio. We completed eight and three acquisitions for the six months ended June 30, 2021 and 2020, respectively.</w:t>
      </w:r>
    </w:p>
    <w:p>
      <w:pPr>
        <w:spacing w:after="0" w:line="18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Impact of COVID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19</w:t>
      </w:r>
      <w:r>
        <w:rPr>
          <w:rFonts w:ascii="Arial" w:cs="Arial" w:eastAsia="Arial" w:hAnsi="Arial"/>
          <w:sz w:val="18"/>
          <w:szCs w:val="18"/>
          <w:color w:val="auto"/>
        </w:rPr>
        <w:t>. As described in our 2020 Form 10-K, in response to the COVID-19 pandemic, we implemented a number of initiatives to ensure</w:t>
      </w:r>
      <w:r>
        <w:rPr>
          <w:rFonts w:ascii="Arial" w:cs="Arial" w:eastAsia="Arial" w:hAnsi="Arial"/>
          <w:sz w:val="18"/>
          <w:szCs w:val="18"/>
          <w:i w:val="1"/>
          <w:iCs w:val="1"/>
          <w:color w:val="auto"/>
        </w:rPr>
        <w:t xml:space="preserve"> </w:t>
      </w:r>
      <w:r>
        <w:rPr>
          <w:rFonts w:ascii="Arial" w:cs="Arial" w:eastAsia="Arial" w:hAnsi="Arial"/>
          <w:sz w:val="18"/>
          <w:szCs w:val="18"/>
          <w:color w:val="auto"/>
        </w:rPr>
        <w:t>the safety of our colleagues and enable them to move to a work from home environment seamlessly and continue working effectively. We continue to monitor the global situation, with the health and safety of our colleagues and users as a top priority. Currently, the majority of our workforce remains remote due to COVID-19.</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Our business model is such that we have experienced minimal disruption to our ability to deliver our solutions to accounts. The COVID</w:t>
      </w:r>
      <w:r>
        <w:rPr>
          <w:rFonts w:ascii="MS PGothic" w:cs="MS PGothic" w:eastAsia="MS PGothic" w:hAnsi="MS PGothic"/>
          <w:sz w:val="16"/>
          <w:szCs w:val="16"/>
          <w:color w:val="auto"/>
        </w:rPr>
        <w:t>‑</w:t>
      </w:r>
      <w:r>
        <w:rPr>
          <w:rFonts w:ascii="Arial" w:cs="Arial" w:eastAsia="Arial" w:hAnsi="Arial"/>
          <w:sz w:val="16"/>
          <w:szCs w:val="16"/>
          <w:color w:val="auto"/>
        </w:rPr>
        <w:t>19 pandemic has had a modest impact on the usage of our solutions by our users. Throughout 2020 and the six months ended June 30, 2021, usage rates fluctuated modestly when compared to the corresponding periods in the prior year. Usage declines have had a minimal impact on our recurring revenues, which are comprised primarily of longer term contracts where short</w:t>
      </w:r>
      <w:r>
        <w:rPr>
          <w:rFonts w:ascii="MS PGothic" w:cs="MS PGothic" w:eastAsia="MS PGothic" w:hAnsi="MS PGothic"/>
          <w:sz w:val="16"/>
          <w:szCs w:val="16"/>
          <w:color w:val="auto"/>
        </w:rPr>
        <w:t>‑</w:t>
      </w:r>
      <w:r>
        <w:rPr>
          <w:rFonts w:ascii="Arial" w:cs="Arial" w:eastAsia="Arial" w:hAnsi="Arial"/>
          <w:sz w:val="16"/>
          <w:szCs w:val="16"/>
          <w:color w:val="auto"/>
        </w:rPr>
        <w:t>term usage rate declines do not adversely impact revenues. However, to the extent declines in usage have also occurred within our recurring revenue contracts with shorter term resets, as is the case with our E365 contracts, the usage declines have modestly impacted revenues. Our revenues from professional services have also been impacted as certain accounts have delayed new projects. Overall, while our rate of growth has been impacted, our revenues have continued to grow given the mission critical nature of our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4" w:name="page55"/>
    <w:bookmarkEnd w:id="54"/>
    <w:p>
      <w:pPr>
        <w:jc w:val="both"/>
        <w:ind w:firstLine="324"/>
        <w:spacing w:after="0" w:line="257" w:lineRule="auto"/>
        <w:rPr>
          <w:sz w:val="20"/>
          <w:szCs w:val="20"/>
          <w:color w:val="auto"/>
        </w:rPr>
      </w:pPr>
      <w:r>
        <w:rPr>
          <w:rFonts w:ascii="Arial" w:cs="Arial" w:eastAsia="Arial" w:hAnsi="Arial"/>
          <w:sz w:val="18"/>
          <w:szCs w:val="18"/>
          <w:color w:val="auto"/>
        </w:rPr>
        <w:t>As a precaution in the COVID-19 environment, we have and continue to actively manage our spending. Actions taken during 2020 included efforts to minimize colleague travel, and to reduce and recharacterize promotional spending with a shift to virtual events. Although compensation levels and incentive plan payouts have returned to normal for 2021, during 2020, our actions also included curtailment in variable compensation plans to align to COVID-19 pandemic related uncertainties. These actions have resulted in substantial cost savings during the pandemic, which are unlikely to be fully sustainable prospectively.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further discussion of the potential impact of COVID-19 on our business, see Part II, Item IA. Risk Factors of this Quarterly Report on Form 10-Q.</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manage our business globally within one operating segment, the development and marketing of computer software and related services, which is consistent with how our chief operating decision maker reviews and manages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revenues from subscriptions, perpetual licenses, and professional services.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Subscriptions</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SELECT subscriptions</w:t>
      </w:r>
      <w:r>
        <w:rPr>
          <w:rFonts w:ascii="Arial" w:cs="Arial" w:eastAsia="Arial" w:hAnsi="Arial"/>
          <w:sz w:val="18"/>
          <w:szCs w:val="18"/>
          <w:color w:val="auto"/>
        </w:rPr>
        <w:t>: We provide annual recurring subscriptions that accounts can elect to add to a new or previously purchased perpetual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8"/>
          <w:szCs w:val="18"/>
          <w:color w:val="auto"/>
        </w:rPr>
        <w:t>‑</w:t>
      </w:r>
      <w:r>
        <w:rPr>
          <w:rFonts w:ascii="Arial" w:cs="Arial" w:eastAsia="Arial" w:hAnsi="Arial"/>
          <w:sz w:val="18"/>
          <w:szCs w:val="18"/>
          <w:color w:val="auto"/>
        </w:rPr>
        <w:t>based cloud collaboration services, mobility advantages, and access to other available benefits. SELECT subscriptions revenues are recognized as distinct performance obligations are satisfied.</w:t>
      </w:r>
    </w:p>
    <w:p>
      <w:pPr>
        <w:spacing w:after="0" w:line="20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Enterprise subscriptions</w:t>
      </w:r>
      <w:r>
        <w:rPr>
          <w:rFonts w:ascii="Arial" w:cs="Arial" w:eastAsia="Arial" w:hAnsi="Arial"/>
          <w:sz w:val="16"/>
          <w:szCs w:val="16"/>
          <w:color w:val="auto"/>
        </w:rPr>
        <w:t>: We provide Enterprise subscription offerings that provides our largest accounts with complete and unlimited global access to</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comprehensive portfolio of solutions. ELS provides access for a prepaid annual fee. Our E365 subscription, which was introduced during the fourth quarter of 2018, provides unrestricted access to our comprehensive software portfolio, similar to ELS, however is charged based upon daily usage. E365 subscriptions can contain quarterly usage floors or collars as accounts transition to the usage model or for accounts within the public sector. The daily usage fee also includes a term license component, SELECT maintenance and support, hosting, and Success Plan services, which are designed to achieve business outcomes through more efficient and effective use of our software. The ELS and E365 offerings both contain a distinct term license component. ELS revenue is recognized as the distinct performance obligations are satisfied. E365 revenue is recognized based upon usage incurred by the account.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Term license subscriptions: </w:t>
      </w:r>
      <w:r>
        <w:rPr>
          <w:rFonts w:ascii="Arial" w:cs="Arial" w:eastAsia="Arial" w:hAnsi="Arial"/>
          <w:sz w:val="18"/>
          <w:szCs w:val="18"/>
          <w:color w:val="auto"/>
        </w:rPr>
        <w:t>We provide annual, quarterly, and monthly term licenses for our software products. ATL subscriptions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prepaid annually for named user access to specific products. QTL subscriptions allow accounts to pay quarterly in arrears for licenses usage that is beyond their SELECT contracted quantities. MTL subscriptions are identical to QTL subscriptions, except for the term of the license, and the manner in which they are monetized. MTL subscriptions require a CSS, which is described below.</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Visas and Passports are quarterly or annual term licenses enabling accounts to access specific project or enterprise information and entitles our users to certain functionality of our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Our standard offerings are usage based with monetization through our CSS program. Annual, quarterly, and monthly term licenses revenues are recognized as the distinct performance obligations for each are satisfied. Billings in advance are recorded as </w:t>
      </w:r>
      <w:r>
        <w:rPr>
          <w:rFonts w:ascii="Arial" w:cs="Arial" w:eastAsia="Arial" w:hAnsi="Arial"/>
          <w:sz w:val="18"/>
          <w:szCs w:val="18"/>
          <w:i w:val="1"/>
          <w:iCs w:val="1"/>
          <w:color w:val="auto"/>
        </w:rPr>
        <w:t>Deferred revenues</w:t>
      </w:r>
      <w:r>
        <w:rPr>
          <w:rFonts w:ascii="Arial" w:cs="Arial" w:eastAsia="Arial" w:hAnsi="Arial"/>
          <w:sz w:val="18"/>
          <w:szCs w:val="18"/>
          <w:color w:val="auto"/>
        </w:rPr>
        <w:t xml:space="preserve"> in the consolidated balance sheets. QTL, MTL, Visas and Passports subscriptions are recognized based upon usage incurred by the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5" w:name="page56"/>
    <w:bookmarkEnd w:id="55"/>
    <w:p>
      <w:pPr>
        <w:jc w:val="both"/>
        <w:ind w:firstLine="324"/>
        <w:spacing w:after="0" w:line="255" w:lineRule="auto"/>
        <w:rPr>
          <w:sz w:val="20"/>
          <w:szCs w:val="20"/>
          <w:color w:val="auto"/>
        </w:rPr>
      </w:pPr>
      <w:r>
        <w:rPr>
          <w:rFonts w:ascii="Arial" w:cs="Arial" w:eastAsia="Arial" w:hAnsi="Arial"/>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provide professional services including training, implementation, configuration, customization, and strategic consulting services. We perform projects on both a time and materials and a fixed fee basis. Our recent and preferred contractual structures for delivering professional services include</w:t>
      </w:r>
    </w:p>
    <w:p>
      <w:pPr>
        <w:jc w:val="both"/>
        <w:ind w:firstLine="8"/>
        <w:spacing w:after="0" w:line="216" w:lineRule="exact"/>
        <w:tabs>
          <w:tab w:leader="none" w:pos="222"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delivery of services in the form of subscription</w:t>
      </w:r>
      <w:r>
        <w:rPr>
          <w:rFonts w:ascii="MS PGothic" w:cs="MS PGothic" w:eastAsia="MS PGothic" w:hAnsi="MS PGothic"/>
          <w:sz w:val="18"/>
          <w:szCs w:val="18"/>
          <w:color w:val="auto"/>
        </w:rPr>
        <w:t>‑</w:t>
      </w:r>
      <w:r>
        <w:rPr>
          <w:rFonts w:ascii="Arial" w:cs="Arial" w:eastAsia="Arial" w:hAnsi="Arial"/>
          <w:sz w:val="18"/>
          <w:szCs w:val="18"/>
          <w:color w:val="auto"/>
        </w:rPr>
        <w:t>like, packaged offerings that are annually recurring in nature, and (ii) delivery of our growing portfolio of Success Plans. Success Plans are standard offerings that offer a level of subscription service above the standard technical support offered to all accounts as part of their SELECT or Enterprise agreement. Revenues are recognized as services are performed.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Headcount-related costs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For the year ended December 31, 2020, 80% of our aggregate cost of revenues, research and development, selling and marketing, and general and administrative costs were represented by what we refer to herein as “headcount-related” costs. These costs include the salary costs of our colleagues (our employees) and the corresponding incentives, benefits, employment taxes, and travel</w:t>
      </w:r>
      <w:r>
        <w:rPr>
          <w:rFonts w:ascii="MS PGothic" w:cs="MS PGothic" w:eastAsia="MS PGothic" w:hAnsi="MS PGothic"/>
          <w:sz w:val="18"/>
          <w:szCs w:val="18"/>
          <w:color w:val="auto"/>
        </w:rPr>
        <w:t>‑</w:t>
      </w:r>
      <w:r>
        <w:rPr>
          <w:rFonts w:ascii="Arial" w:cs="Arial" w:eastAsia="Arial" w:hAnsi="Arial"/>
          <w:sz w:val="18"/>
          <w:szCs w:val="18"/>
          <w:color w:val="auto"/>
        </w:rPr>
        <w:t>related costs. Our headcount</w:t>
      </w:r>
      <w:r>
        <w:rPr>
          <w:rFonts w:ascii="MS PGothic" w:cs="MS PGothic" w:eastAsia="MS PGothic" w:hAnsi="MS PGothic"/>
          <w:sz w:val="18"/>
          <w:szCs w:val="18"/>
          <w:color w:val="auto"/>
        </w:rPr>
        <w:t>‑</w:t>
      </w:r>
      <w:r>
        <w:rPr>
          <w:rFonts w:ascii="Arial" w:cs="Arial" w:eastAsia="Arial" w:hAnsi="Arial"/>
          <w:sz w:val="18"/>
          <w:szCs w:val="18"/>
          <w:color w:val="auto"/>
        </w:rPr>
        <w:t>related costs are variable in nature. We actively manage these costs to align to our trending run rate of revenue performance, with the objective of enhancing visibility and predictability of resulting operating profit margins.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subscriptions, licenses, and services</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i w:val="1"/>
          <w:iCs w:val="1"/>
          <w:color w:val="auto"/>
        </w:rPr>
        <w:t xml:space="preserve">Cost of subscriptions and licenses. </w:t>
      </w:r>
      <w:r>
        <w:rPr>
          <w:rFonts w:ascii="Arial" w:cs="Arial" w:eastAsia="Arial" w:hAnsi="Arial"/>
          <w:sz w:val="17"/>
          <w:szCs w:val="17"/>
          <w:color w:val="auto"/>
        </w:rPr>
        <w:t>Cost of subscriptions and licenses includes salaries and other related costs, including the depreciation of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equipment and the amortization of capitalized software costs associated with servicing software subscriptions, the amortization of intangible assets associated with acquired software and technology, channel partner compensation for providing sales coverage to subscribers, as well as cloud</w:t>
      </w:r>
      <w:r>
        <w:rPr>
          <w:rFonts w:ascii="MS PGothic" w:cs="MS PGothic" w:eastAsia="MS PGothic" w:hAnsi="MS PGothic"/>
          <w:sz w:val="17"/>
          <w:szCs w:val="17"/>
          <w:color w:val="auto"/>
        </w:rPr>
        <w:t>‑</w:t>
      </w:r>
      <w:r>
        <w:rPr>
          <w:rFonts w:ascii="Arial" w:cs="Arial" w:eastAsia="Arial" w:hAnsi="Arial"/>
          <w:sz w:val="17"/>
          <w:szCs w:val="17"/>
          <w:color w:val="auto"/>
        </w:rPr>
        <w:t>related costs incurred for servicing our accounts using cloud provisioned solutions and our license administration platform.</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Cost of services</w:t>
      </w:r>
      <w:r>
        <w:rPr>
          <w:rFonts w:ascii="Arial" w:cs="Arial" w:eastAsia="Arial" w:hAnsi="Arial"/>
          <w:sz w:val="18"/>
          <w:szCs w:val="18"/>
          <w:color w:val="auto"/>
        </w:rPr>
        <w:t>. Cost of services includes salaries for internal and third</w:t>
      </w:r>
      <w:r>
        <w:rPr>
          <w:rFonts w:ascii="MS PGothic" w:cs="MS PGothic" w:eastAsia="MS PGothic" w:hAnsi="MS PGothic"/>
          <w:sz w:val="18"/>
          <w:szCs w:val="18"/>
          <w:color w:val="auto"/>
        </w:rPr>
        <w:t>‑</w:t>
      </w:r>
      <w:r>
        <w:rPr>
          <w:rFonts w:ascii="Arial" w:cs="Arial" w:eastAsia="Arial" w:hAnsi="Arial"/>
          <w:sz w:val="18"/>
          <w:szCs w:val="18"/>
          <w:color w:val="auto"/>
        </w:rPr>
        <w:t>party personnel and related overhead costs, including depreciation of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 for providing training, implementation, configuration, and customization services to accounts, amortization of capitalized software costs, and related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which are generally expensed as incurred, primarily consist of personnel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of our research and development staff, including salaries, benefits, bonuses,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and costs of certain third</w:t>
      </w:r>
      <w:r>
        <w:rPr>
          <w:rFonts w:ascii="MS PGothic" w:cs="MS PGothic" w:eastAsia="MS PGothic" w:hAnsi="MS PGothic"/>
          <w:sz w:val="18"/>
          <w:szCs w:val="18"/>
          <w:color w:val="auto"/>
        </w:rPr>
        <w:t>‑</w:t>
      </w:r>
      <w:r>
        <w:rPr>
          <w:rFonts w:ascii="Arial" w:cs="Arial" w:eastAsia="Arial" w:hAnsi="Arial"/>
          <w:sz w:val="18"/>
          <w:szCs w:val="18"/>
          <w:color w:val="auto"/>
        </w:rPr>
        <w:t>party contractors, as well as allocated overhead costs. We expense software development costs, including costs to develop software products or the software component of products to be sold, leased, or marketed to external accounts, before technological feasibility is reached. Technological feasibility is typically reached shortly before the release of such products and as a result, development costs that meet the criteria for capitalization were not material for the periods presented.</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We capitalize certain development costs related to certain projects under our ACDP (our structured approach to an in</w:t>
      </w:r>
      <w:r>
        <w:rPr>
          <w:rFonts w:ascii="MS PGothic" w:cs="MS PGothic" w:eastAsia="MS PGothic" w:hAnsi="MS PGothic"/>
          <w:sz w:val="17"/>
          <w:szCs w:val="17"/>
          <w:color w:val="auto"/>
        </w:rPr>
        <w:t>‑</w:t>
      </w:r>
      <w:r>
        <w:rPr>
          <w:rFonts w:ascii="Arial" w:cs="Arial" w:eastAsia="Arial" w:hAnsi="Arial"/>
          <w:sz w:val="17"/>
          <w:szCs w:val="17"/>
          <w:color w:val="auto"/>
        </w:rPr>
        <w:t>house business incubator function) once technological feasibility is established. Technological feasibility is established when a detailed program design has been completed and documented; we have established that the necessary skills, hardware, and software technology are available to produce the product; and there are no unresolved high</w:t>
      </w:r>
      <w:r>
        <w:rPr>
          <w:rFonts w:ascii="MS PGothic" w:cs="MS PGothic" w:eastAsia="MS PGothic" w:hAnsi="MS PGothic"/>
          <w:sz w:val="17"/>
          <w:szCs w:val="17"/>
          <w:color w:val="auto"/>
        </w:rPr>
        <w:t>‑</w:t>
      </w:r>
      <w:r>
        <w:rPr>
          <w:rFonts w:ascii="Arial" w:cs="Arial" w:eastAsia="Arial" w:hAnsi="Arial"/>
          <w:sz w:val="17"/>
          <w:szCs w:val="17"/>
          <w:color w:val="auto"/>
        </w:rPr>
        <w:t xml:space="preserve">risk development issues. Once the software is ready for its intended use, amortization is recorded over the software’s estimated useful life (generally three years). Total costs capitalized under the ACDP were $1,606 and $1,776 for the three months ended June 30, 2021 and 2020, respectively, and $2,649 and $4,260 for the six months ended June 30, 2021 and 2020, respectively. Additionally, total ACDP related amortization recorded in </w:t>
      </w:r>
      <w:r>
        <w:rPr>
          <w:rFonts w:ascii="Arial" w:cs="Arial" w:eastAsia="Arial" w:hAnsi="Arial"/>
          <w:sz w:val="17"/>
          <w:szCs w:val="17"/>
          <w:i w:val="1"/>
          <w:iCs w:val="1"/>
          <w:color w:val="auto"/>
        </w:rPr>
        <w:t>Costs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subscriptions and licenses </w:t>
      </w:r>
      <w:r>
        <w:rPr>
          <w:rFonts w:ascii="Arial" w:cs="Arial" w:eastAsia="Arial" w:hAnsi="Arial"/>
          <w:sz w:val="17"/>
          <w:szCs w:val="17"/>
          <w:color w:val="auto"/>
        </w:rPr>
        <w:t>was $1,785 and $1,058 for the three months ended June 30, 2021 and 2020, respectively, and $3,472 and $2,022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2021 and 2020, respectively.</w:t>
      </w:r>
    </w:p>
    <w:p>
      <w:pPr>
        <w:spacing w:after="0" w:line="204"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i w:val="1"/>
          <w:iCs w:val="1"/>
          <w:color w:val="auto"/>
        </w:rPr>
        <w:t xml:space="preserve">Selling and marketing. </w:t>
      </w:r>
      <w:r>
        <w:rPr>
          <w:rFonts w:ascii="Arial" w:cs="Arial" w:eastAsia="Arial" w:hAnsi="Arial"/>
          <w:sz w:val="17"/>
          <w:szCs w:val="17"/>
          <w:color w:val="auto"/>
        </w:rPr>
        <w:t>Selling and marketing expenses include salaries, benefits, bonuses,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for our selling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colleagues, the expense of travel, entertainment, and training for such personnel, online marketing, product marketing and other brand</w:t>
      </w:r>
      <w:r>
        <w:rPr>
          <w:rFonts w:ascii="MS PGothic" w:cs="MS PGothic" w:eastAsia="MS PGothic" w:hAnsi="MS PGothic"/>
          <w:sz w:val="17"/>
          <w:szCs w:val="17"/>
          <w:color w:val="auto"/>
        </w:rPr>
        <w:t>‑</w:t>
      </w:r>
      <w:r>
        <w:rPr>
          <w:rFonts w:ascii="Arial" w:cs="Arial" w:eastAsia="Arial" w:hAnsi="Arial"/>
          <w:sz w:val="17"/>
          <w:szCs w:val="17"/>
          <w:color w:val="auto"/>
        </w:rPr>
        <w:t>building activities, such as advertising, trade shows, and expositions, various sales and promotional programs, and costs of computer equipment and facilities used in selling and marketing activities. We anticipate that we will continue to make strategic investments in our global business systems and methods to enhance major account sales activities and to support our worldwide sales and marketing strategies, and the business in general. We capitalize certain incremental costs of obtaining a contract and recognize these expenses over the period of benefit associated with these costs, resulting in a deferral of certain contract costs each period. The contract costs are amortized based on the economic life of the goods and services to which the contract costs relate. We apply a practical expedient to expense costs as incurred for costs to obtain a contract with a customer when the amortization period would have been one year or less. These costs include our internal sales force compensation program and certain channel partner sales incentive programs for which the annual compensation is commensurate with annual sales activities.</w:t>
      </w:r>
    </w:p>
    <w:p>
      <w:pPr>
        <w:spacing w:after="0" w:line="210"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include salaries, bonuses, benefits, and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human resources, and legal colleagues, the expense of travel, entertainment, and training for such personnel, professional fees for legal and accounting services, and costs of computer equipment and facilities used in general and administrative activities. Following the completion of the IPO, we expect to continue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expect to incur increased expenses in the areas of insurance, investor relations, and professional services. As a result, we expect the dollar amount of our general and administrative expenses to increase for the foreseeable future. We expect, however, that our general and administrative expenses will decrease as a percentage of our revenues over time, although the percentage may fluctuate from period to period depending on fluctuations in our revenue and the timing and extent of our general and administrative expenses.</w:t>
      </w:r>
    </w:p>
    <w:p>
      <w:pPr>
        <w:spacing w:after="0" w:line="207"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7"/>
          <w:szCs w:val="17"/>
          <w:i w:val="1"/>
          <w:iCs w:val="1"/>
          <w:color w:val="auto"/>
        </w:rPr>
        <w:t xml:space="preserve">Amortization of purchased intangibles. </w:t>
      </w:r>
      <w:r>
        <w:rPr>
          <w:rFonts w:ascii="Arial" w:cs="Arial" w:eastAsia="Arial" w:hAnsi="Arial"/>
          <w:sz w:val="17"/>
          <w:szCs w:val="17"/>
          <w:color w:val="auto"/>
        </w:rPr>
        <w:t>Amortization of purchased intangibles includes the amortization of acquired non</w:t>
      </w:r>
      <w:r>
        <w:rPr>
          <w:rFonts w:ascii="MS PGothic" w:cs="MS PGothic" w:eastAsia="MS PGothic" w:hAnsi="MS PGothic"/>
          <w:sz w:val="17"/>
          <w:szCs w:val="17"/>
          <w:color w:val="auto"/>
        </w:rPr>
        <w:t>‑</w:t>
      </w:r>
      <w:r>
        <w:rPr>
          <w:rFonts w:ascii="Arial" w:cs="Arial" w:eastAsia="Arial" w:hAnsi="Arial"/>
          <w:sz w:val="17"/>
          <w:szCs w:val="17"/>
          <w:color w:val="auto"/>
        </w:rPr>
        <w:t>product related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primarily customer relationships, trademarks, and non</w:t>
      </w:r>
      <w:r>
        <w:rPr>
          <w:rFonts w:ascii="MS PGothic" w:cs="MS PGothic" w:eastAsia="MS PGothic" w:hAnsi="MS PGothic"/>
          <w:sz w:val="17"/>
          <w:szCs w:val="17"/>
          <w:color w:val="auto"/>
        </w:rPr>
        <w:t>‑</w:t>
      </w:r>
      <w:r>
        <w:rPr>
          <w:rFonts w:ascii="Arial" w:cs="Arial" w:eastAsia="Arial" w:hAnsi="Arial"/>
          <w:sz w:val="17"/>
          <w:szCs w:val="17"/>
          <w:color w:val="auto"/>
        </w:rPr>
        <w:t>compete agreements recorded in connection with completed acquisitions.</w:t>
      </w:r>
    </w:p>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primarily represents interest associated with the Credit Facility, amortization of deferred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interest income from our investments in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7" w:name="page58"/>
    <w:bookmarkEnd w:id="57"/>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primarily consists of foreign currency translation results derived primarily from U.S. Dollar</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cash and cash equivalents, accounts receivable, and intercompany balances held by foreign subsidiaries with non</w:t>
      </w:r>
      <w:r>
        <w:rPr>
          <w:rFonts w:ascii="MS PGothic" w:cs="MS PGothic" w:eastAsia="MS PGothic" w:hAnsi="MS PGothic"/>
          <w:sz w:val="18"/>
          <w:szCs w:val="18"/>
          <w:color w:val="auto"/>
        </w:rPr>
        <w:t>‑</w:t>
      </w:r>
      <w:r>
        <w:rPr>
          <w:rFonts w:ascii="Arial" w:cs="Arial" w:eastAsia="Arial" w:hAnsi="Arial"/>
          <w:sz w:val="18"/>
          <w:szCs w:val="18"/>
          <w:color w:val="auto"/>
        </w:rPr>
        <w:t>U.S. Dollar functional currencies.</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(Provision) benefit for income taxes includes the aggregate consolidated income tax expense for U.S.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and foreign income taxes.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Loss from investment accounted for using the equity method, net of tax. </w:t>
      </w:r>
      <w:r>
        <w:rPr>
          <w:rFonts w:ascii="Arial" w:cs="Arial" w:eastAsia="Arial" w:hAnsi="Arial"/>
          <w:sz w:val="18"/>
          <w:szCs w:val="18"/>
          <w:color w:val="auto"/>
        </w:rPr>
        <w:t>Loss from investment accounted for using the equity method includes our</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proportional share of loss in a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consolidated statements of operations data for each of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June 30,</w:t>
            </w:r>
          </w:p>
        </w:tc>
        <w:tc>
          <w:tcPr>
            <w:tcW w:w="1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185,452</w:t>
            </w:r>
          </w:p>
        </w:tc>
        <w:tc>
          <w:tcPr>
            <w:tcW w:w="24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157,655</w:t>
            </w:r>
          </w:p>
        </w:tc>
        <w:tc>
          <w:tcPr>
            <w:tcW w:w="26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373,577</w:t>
            </w:r>
          </w:p>
        </w:tc>
        <w:tc>
          <w:tcPr>
            <w:tcW w:w="260" w:type="dxa"/>
            <w:vAlign w:val="bottom"/>
          </w:tcPr>
          <w:p>
            <w:pPr>
              <w:spacing w:after="0"/>
              <w:rPr>
                <w:sz w:val="23"/>
                <w:szCs w:val="23"/>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327,837</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2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21,507</w:t>
            </w:r>
          </w:p>
        </w:tc>
        <w:tc>
          <w:tcPr>
            <w:tcW w:w="26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23,193</w:t>
            </w:r>
          </w:p>
        </w:tc>
        <w:tc>
          <w:tcPr>
            <w:tcW w:w="0" w:type="dxa"/>
            <w:vAlign w:val="bottom"/>
          </w:tcPr>
          <w:p>
            <w:pPr>
              <w:spacing w:after="0"/>
              <w:rPr>
                <w:sz w:val="1"/>
                <w:szCs w:val="1"/>
                <w:color w:val="auto"/>
              </w:rPr>
            </w:pPr>
          </w:p>
        </w:tc>
      </w:tr>
      <w:tr>
        <w:trPr>
          <w:trHeight w:val="250"/>
        </w:trPr>
        <w:tc>
          <w:tcPr>
            <w:tcW w:w="4200" w:type="dxa"/>
            <w:vAlign w:val="bottom"/>
          </w:tcPr>
          <w:p>
            <w:pPr>
              <w:ind w:left="360"/>
              <w:spacing w:after="0"/>
              <w:rPr>
                <w:sz w:val="20"/>
                <w:szCs w:val="20"/>
                <w:color w:val="auto"/>
              </w:rPr>
            </w:pPr>
            <w:r>
              <w:rPr>
                <w:rFonts w:ascii="Arial" w:cs="Arial" w:eastAsia="Arial" w:hAnsi="Arial"/>
                <w:sz w:val="18"/>
                <w:szCs w:val="18"/>
                <w:color w:val="auto"/>
              </w:rPr>
              <w:t>Subscriptions and licenses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196,843</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170,034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395,084</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351,030</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26,088</w:t>
            </w:r>
          </w:p>
        </w:tc>
        <w:tc>
          <w:tcPr>
            <w:tcW w:w="2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14,256</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49,852</w:t>
            </w:r>
          </w:p>
        </w:tc>
        <w:tc>
          <w:tcPr>
            <w:tcW w:w="26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222,931</w:t>
            </w:r>
          </w:p>
        </w:tc>
        <w:tc>
          <w:tcPr>
            <w:tcW w:w="2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184,290</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444,936</w:t>
            </w:r>
          </w:p>
        </w:tc>
        <w:tc>
          <w:tcPr>
            <w:tcW w:w="26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378,980</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80"/>
              <w:spacing w:after="0"/>
              <w:rPr>
                <w:sz w:val="20"/>
                <w:szCs w:val="20"/>
                <w:color w:val="auto"/>
              </w:rPr>
            </w:pPr>
            <w:r>
              <w:rPr>
                <w:rFonts w:ascii="Arial" w:cs="Arial" w:eastAsia="Arial" w:hAnsi="Arial"/>
                <w:sz w:val="18"/>
                <w:szCs w:val="18"/>
                <w:color w:val="auto"/>
              </w:rPr>
              <w:t>Cost of subscriptions and licenses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29,881</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21,801</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58,826</w:t>
            </w: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43,128</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23,570</w:t>
            </w:r>
          </w:p>
        </w:tc>
        <w:tc>
          <w:tcPr>
            <w:tcW w:w="2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14,904</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43,914</w:t>
            </w:r>
          </w:p>
        </w:tc>
        <w:tc>
          <w:tcPr>
            <w:tcW w:w="26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30,836</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53,451</w:t>
            </w:r>
          </w:p>
        </w:tc>
        <w:tc>
          <w:tcPr>
            <w:tcW w:w="2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36,705</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102,740</w:t>
            </w:r>
          </w:p>
        </w:tc>
        <w:tc>
          <w:tcPr>
            <w:tcW w:w="26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73,964</w:t>
            </w:r>
          </w:p>
        </w:tc>
        <w:tc>
          <w:tcPr>
            <w:tcW w:w="0" w:type="dxa"/>
            <w:vAlign w:val="bottom"/>
          </w:tcPr>
          <w:p>
            <w:pPr>
              <w:spacing w:after="0"/>
              <w:rPr>
                <w:sz w:val="1"/>
                <w:szCs w:val="1"/>
                <w:color w:val="auto"/>
              </w:rPr>
            </w:pPr>
          </w:p>
        </w:tc>
      </w:tr>
      <w:tr>
        <w:trPr>
          <w:trHeight w:val="25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169,480</w:t>
            </w:r>
          </w:p>
        </w:tc>
        <w:tc>
          <w:tcPr>
            <w:tcW w:w="2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147,585</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342,196</w:t>
            </w:r>
          </w:p>
        </w:tc>
        <w:tc>
          <w:tcPr>
            <w:tcW w:w="26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305,016</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52,776</w:t>
            </w:r>
          </w:p>
        </w:tc>
        <w:tc>
          <w:tcPr>
            <w:tcW w:w="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44,218</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100,579</w:t>
            </w: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89,353</w:t>
            </w:r>
          </w:p>
        </w:tc>
        <w:tc>
          <w:tcPr>
            <w:tcW w:w="0" w:type="dxa"/>
            <w:vAlign w:val="bottom"/>
          </w:tcPr>
          <w:p>
            <w:pPr>
              <w:spacing w:after="0"/>
              <w:rPr>
                <w:sz w:val="1"/>
                <w:szCs w:val="1"/>
                <w:color w:val="auto"/>
              </w:rPr>
            </w:pPr>
          </w:p>
        </w:tc>
      </w:tr>
      <w:tr>
        <w:trPr>
          <w:trHeight w:val="270"/>
        </w:trPr>
        <w:tc>
          <w:tcPr>
            <w:tcW w:w="420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38,014</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29,632</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70,454</w:t>
            </w: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65,727</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41,878</w:t>
            </w:r>
          </w:p>
        </w:tc>
        <w:tc>
          <w:tcPr>
            <w:tcW w:w="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25,465</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75,266</w:t>
            </w: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52,269</w:t>
            </w:r>
          </w:p>
        </w:tc>
        <w:tc>
          <w:tcPr>
            <w:tcW w:w="0" w:type="dxa"/>
            <w:vAlign w:val="bottom"/>
          </w:tcPr>
          <w:p>
            <w:pPr>
              <w:spacing w:after="0"/>
              <w:rPr>
                <w:sz w:val="1"/>
                <w:szCs w:val="1"/>
                <w:color w:val="auto"/>
              </w:rPr>
            </w:pPr>
          </w:p>
        </w:tc>
      </w:tr>
      <w:tr>
        <w:trPr>
          <w:trHeight w:val="270"/>
        </w:trPr>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2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w:t>
            </w:r>
          </w:p>
        </w:tc>
        <w:tc>
          <w:tcPr>
            <w:tcW w:w="2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8,027</w:t>
            </w:r>
          </w:p>
        </w:tc>
        <w:tc>
          <w:tcPr>
            <w:tcW w:w="26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5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137,257</w:t>
            </w:r>
          </w:p>
        </w:tc>
        <w:tc>
          <w:tcPr>
            <w:tcW w:w="2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102,994</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254,326</w:t>
            </w:r>
          </w:p>
        </w:tc>
        <w:tc>
          <w:tcPr>
            <w:tcW w:w="26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214,464</w:t>
            </w:r>
          </w:p>
        </w:tc>
        <w:tc>
          <w:tcPr>
            <w:tcW w:w="0" w:type="dxa"/>
            <w:vAlign w:val="bottom"/>
          </w:tcPr>
          <w:p>
            <w:pPr>
              <w:spacing w:after="0"/>
              <w:rPr>
                <w:sz w:val="1"/>
                <w:szCs w:val="1"/>
                <w:color w:val="auto"/>
              </w:rPr>
            </w:pPr>
          </w:p>
        </w:tc>
      </w:tr>
      <w:tr>
        <w:trPr>
          <w:trHeight w:val="250"/>
        </w:trPr>
        <w:tc>
          <w:tcPr>
            <w:tcW w:w="4200" w:type="dxa"/>
            <w:vAlign w:val="bottom"/>
          </w:tcPr>
          <w:p>
            <w:pPr>
              <w:ind w:left="36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32,223</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44,591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87,870</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90,552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10,705</w:t>
            </w: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r>
        <w:trPr>
          <w:trHeight w:val="25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25,993</w:t>
            </w: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43,868</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93,803</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81,051</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20,746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10,388</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(11,440)</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Loss from investment accounted for using the equity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method, net of tax</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6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50"/>
        </w:trPr>
        <w:tc>
          <w:tcPr>
            <w:tcW w:w="42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44,910</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39,076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101,916</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68,745</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Less: Net income attributable to participating securities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00" w:type="dxa"/>
            <w:vAlign w:val="bottom"/>
          </w:tcPr>
          <w:p>
            <w:pPr>
              <w:ind w:left="360"/>
              <w:spacing w:after="0"/>
              <w:rPr>
                <w:sz w:val="20"/>
                <w:szCs w:val="20"/>
                <w:color w:val="auto"/>
              </w:rPr>
            </w:pPr>
            <w:r>
              <w:rPr>
                <w:rFonts w:ascii="Arial" w:cs="Arial" w:eastAsia="Arial" w:hAnsi="Arial"/>
                <w:sz w:val="18"/>
                <w:szCs w:val="18"/>
                <w:color w:val="auto"/>
              </w:rPr>
              <w:t>Net income attributable to Class A and</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520"/>
              <w:spacing w:after="0"/>
              <w:rPr>
                <w:sz w:val="20"/>
                <w:szCs w:val="20"/>
                <w:color w:val="auto"/>
              </w:rPr>
            </w:pPr>
            <w:r>
              <w:rPr>
                <w:rFonts w:ascii="Arial" w:cs="Arial" w:eastAsia="Arial" w:hAnsi="Arial"/>
                <w:sz w:val="18"/>
                <w:szCs w:val="18"/>
                <w:color w:val="auto"/>
              </w:rPr>
              <w:t>Class B common stockholders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44,907</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39,076</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101,913</w:t>
            </w:r>
          </w:p>
        </w:tc>
        <w:tc>
          <w:tcPr>
            <w:tcW w:w="26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68,745</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information: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Net income per share, 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6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basic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304,066,038</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286,945,592</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303,311,423</w:t>
            </w: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286,068,766</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324,478,086</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295,187,194</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323,094,045</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295,595,234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13"/>
              <w:spacing w:after="0"/>
              <w:rPr>
                <w:sz w:val="20"/>
                <w:szCs w:val="20"/>
                <w:color w:val="auto"/>
              </w:rPr>
            </w:pPr>
            <w:r>
              <w:rPr>
                <w:rFonts w:ascii="Arial" w:cs="Arial" w:eastAsia="Arial" w:hAnsi="Arial"/>
                <w:sz w:val="16"/>
                <w:szCs w:val="16"/>
                <w:b w:val="1"/>
                <w:bCs w:val="1"/>
                <w:color w:val="auto"/>
                <w:w w:val="87"/>
              </w:rPr>
              <w:t>June 30,</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185,452</w:t>
            </w:r>
          </w:p>
        </w:tc>
        <w:tc>
          <w:tcPr>
            <w:tcW w:w="16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157,655</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27,797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17.6 %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1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0"/>
        </w:trPr>
        <w:tc>
          <w:tcPr>
            <w:tcW w:w="4340" w:type="dxa"/>
            <w:vAlign w:val="bottom"/>
          </w:tcPr>
          <w:p>
            <w:pPr>
              <w:ind w:left="360"/>
              <w:spacing w:after="0"/>
              <w:rPr>
                <w:sz w:val="20"/>
                <w:szCs w:val="20"/>
                <w:color w:val="auto"/>
              </w:rPr>
            </w:pPr>
            <w:r>
              <w:rPr>
                <w:rFonts w:ascii="Arial" w:cs="Arial" w:eastAsia="Arial" w:hAnsi="Arial"/>
                <w:sz w:val="18"/>
                <w:szCs w:val="18"/>
                <w:color w:val="auto"/>
              </w:rPr>
              <w:t>Subscriptions and licenses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196,843</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170,034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26,809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15.8 %</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26,088</w:t>
            </w:r>
          </w:p>
        </w:tc>
        <w:tc>
          <w:tcPr>
            <w:tcW w:w="1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14,256</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75.1 %</w:t>
            </w:r>
          </w:p>
        </w:tc>
        <w:tc>
          <w:tcPr>
            <w:tcW w:w="0" w:type="dxa"/>
            <w:vAlign w:val="bottom"/>
          </w:tcPr>
          <w:p>
            <w:pPr>
              <w:spacing w:after="0"/>
              <w:rPr>
                <w:sz w:val="1"/>
                <w:szCs w:val="1"/>
                <w:color w:val="auto"/>
              </w:rPr>
            </w:pPr>
          </w:p>
        </w:tc>
      </w:tr>
      <w:tr>
        <w:trPr>
          <w:trHeight w:val="223"/>
        </w:trPr>
        <w:tc>
          <w:tcPr>
            <w:tcW w:w="43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222,931</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184,290</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21.0 %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Six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13"/>
              <w:spacing w:after="0"/>
              <w:rPr>
                <w:sz w:val="20"/>
                <w:szCs w:val="20"/>
                <w:color w:val="auto"/>
              </w:rPr>
            </w:pPr>
            <w:r>
              <w:rPr>
                <w:rFonts w:ascii="Arial" w:cs="Arial" w:eastAsia="Arial" w:hAnsi="Arial"/>
                <w:sz w:val="16"/>
                <w:szCs w:val="16"/>
                <w:b w:val="1"/>
                <w:bCs w:val="1"/>
                <w:color w:val="auto"/>
                <w:w w:val="87"/>
              </w:rPr>
              <w:t>June 30,</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373,577</w:t>
            </w:r>
          </w:p>
        </w:tc>
        <w:tc>
          <w:tcPr>
            <w:tcW w:w="16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327,837</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45,740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21,507</w:t>
            </w:r>
          </w:p>
        </w:tc>
        <w:tc>
          <w:tcPr>
            <w:tcW w:w="1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23,193</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0"/>
        </w:trPr>
        <w:tc>
          <w:tcPr>
            <w:tcW w:w="4340" w:type="dxa"/>
            <w:vAlign w:val="bottom"/>
          </w:tcPr>
          <w:p>
            <w:pPr>
              <w:ind w:left="360"/>
              <w:spacing w:after="0"/>
              <w:rPr>
                <w:sz w:val="20"/>
                <w:szCs w:val="20"/>
                <w:color w:val="auto"/>
              </w:rPr>
            </w:pPr>
            <w:r>
              <w:rPr>
                <w:rFonts w:ascii="Arial" w:cs="Arial" w:eastAsia="Arial" w:hAnsi="Arial"/>
                <w:sz w:val="18"/>
                <w:szCs w:val="18"/>
                <w:color w:val="auto"/>
              </w:rPr>
              <w:t>Subscriptions and licenses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395,084</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351,030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44,054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49,852</w:t>
            </w:r>
          </w:p>
        </w:tc>
        <w:tc>
          <w:tcPr>
            <w:tcW w:w="1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70.8 %</w:t>
            </w:r>
          </w:p>
        </w:tc>
        <w:tc>
          <w:tcPr>
            <w:tcW w:w="0" w:type="dxa"/>
            <w:vAlign w:val="bottom"/>
          </w:tcPr>
          <w:p>
            <w:pPr>
              <w:spacing w:after="0"/>
              <w:rPr>
                <w:sz w:val="1"/>
                <w:szCs w:val="1"/>
                <w:color w:val="auto"/>
              </w:rPr>
            </w:pPr>
          </w:p>
        </w:tc>
      </w:tr>
      <w:tr>
        <w:trPr>
          <w:trHeight w:val="223"/>
        </w:trPr>
        <w:tc>
          <w:tcPr>
            <w:tcW w:w="43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444,936</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378,980</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17.4 %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Total revenues increased by $38,641, or 21.0%, to $222,931 for the three months ended June 30, 2021 and by $65,956, or 17.4%, to $444,936 for the six months ended June 30, 2021. This increase was primarily driven by improvements in our business performance in subscription revenues, the impact from acquisitions in services revenues, and the overall positive foreign currency effects due to a weaker U.S. Dollar relative to our other functional currencies. We define business performance as our organic growth results inclusive of the impact from certain programmatic acquisitions, which generally are immaterial, individually and in the aggregate. On a constant currency basis, our revenues increased by 16.5% and 12.9% for the three and six months ended June 30, 2021, respectively, as compared to the prior periods.</w:t>
      </w:r>
    </w:p>
    <w:p>
      <w:pPr>
        <w:spacing w:after="0" w:line="192" w:lineRule="exact"/>
        <w:rPr>
          <w:sz w:val="20"/>
          <w:szCs w:val="20"/>
          <w:color w:val="auto"/>
        </w:rPr>
      </w:pPr>
    </w:p>
    <w:p>
      <w:pPr>
        <w:jc w:val="both"/>
        <w:ind w:left="820" w:hanging="245"/>
        <w:spacing w:after="0" w:line="257"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Subscriptions</w:t>
      </w:r>
      <w:r>
        <w:rPr>
          <w:rFonts w:ascii="Arial" w:cs="Arial" w:eastAsia="Arial" w:hAnsi="Arial"/>
          <w:sz w:val="18"/>
          <w:szCs w:val="18"/>
          <w:color w:val="auto"/>
        </w:rPr>
        <w:t>. For the three months ended June 30, 2021, subscriptions revenues increased by $27,797, or 17.6%, as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This increase was driven primarily by improvements in our business performance, the positive foreign currency effects due to a weaker U.S. Dollar relative to our other functional currencies, and the impact of $3,852 related to our acquisition of Seequent. On a constant currency basis, our subscriptions revenues increased by 13.5% for the three months ended June 30, 2021 as compared to the three months ended June 30, 2020.</w:t>
      </w:r>
    </w:p>
    <w:p>
      <w:pPr>
        <w:spacing w:after="0" w:line="187" w:lineRule="exact"/>
        <w:rPr>
          <w:rFonts w:ascii="Arial" w:cs="Arial" w:eastAsia="Arial" w:hAnsi="Arial"/>
          <w:sz w:val="18"/>
          <w:szCs w:val="18"/>
          <w:color w:val="auto"/>
        </w:rPr>
      </w:pPr>
    </w:p>
    <w:p>
      <w:pPr>
        <w:jc w:val="both"/>
        <w:ind w:left="820" w:right="20"/>
        <w:spacing w:after="0" w:line="279" w:lineRule="auto"/>
        <w:rPr>
          <w:rFonts w:ascii="Arial" w:cs="Arial" w:eastAsia="Arial" w:hAnsi="Arial"/>
          <w:sz w:val="18"/>
          <w:szCs w:val="18"/>
          <w:color w:val="auto"/>
        </w:rPr>
      </w:pPr>
      <w:r>
        <w:rPr>
          <w:rFonts w:ascii="Arial" w:cs="Arial" w:eastAsia="Arial" w:hAnsi="Arial"/>
          <w:sz w:val="17"/>
          <w:szCs w:val="17"/>
          <w:color w:val="auto"/>
        </w:rPr>
        <w:t>For the six months ended June 30, 2021, subscriptions revenues increased by $45,740, or 14.0%, as compared to the six months ended June 30, 2020. This increase was driven primarily by improvements in our business performance and the positive foreign currency effects due to a weaker U.S. Dollar relative to our other functional currencies. On a constant currency basis, our subscriptions revenues increased by 9.7% for the six months ended June 30, 2021 as compared to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0" w:name="page61"/>
    <w:bookmarkEnd w:id="60"/>
    <w:p>
      <w:pPr>
        <w:jc w:val="both"/>
        <w:ind w:left="245"/>
        <w:spacing w:after="0" w:line="286" w:lineRule="auto"/>
        <w:rPr>
          <w:sz w:val="20"/>
          <w:szCs w:val="20"/>
          <w:color w:val="auto"/>
        </w:rPr>
      </w:pPr>
      <w:r>
        <w:rPr>
          <w:rFonts w:ascii="Arial" w:cs="Arial" w:eastAsia="Arial" w:hAnsi="Arial"/>
          <w:sz w:val="17"/>
          <w:szCs w:val="17"/>
          <w:color w:val="auto"/>
        </w:rPr>
        <w:t xml:space="preserve">Our growth in subscriptions is primarily due to expansion within our existing accounts and growth of 3% attributable to new accounts, most notability small and medium sized accounts. The improvements in business performance for the three and six months ended June 30, 2021 was led by our </w:t>
      </w:r>
      <w:r>
        <w:rPr>
          <w:rFonts w:ascii="Arial" w:cs="Arial" w:eastAsia="Arial" w:hAnsi="Arial"/>
          <w:sz w:val="17"/>
          <w:szCs w:val="17"/>
          <w:i w:val="1"/>
          <w:iCs w:val="1"/>
          <w:color w:val="auto"/>
        </w:rPr>
        <w:t>ProjectWise</w:t>
      </w:r>
      <w:r>
        <w:rPr>
          <w:rFonts w:ascii="Arial" w:cs="Arial" w:eastAsia="Arial" w:hAnsi="Arial"/>
          <w:sz w:val="17"/>
          <w:szCs w:val="17"/>
          <w:color w:val="auto"/>
        </w:rPr>
        <w:t>, Asset and Network Performance, civil design, and geotechnical products.</w:t>
      </w:r>
    </w:p>
    <w:p>
      <w:pPr>
        <w:spacing w:after="0" w:line="165" w:lineRule="exact"/>
        <w:rPr>
          <w:sz w:val="20"/>
          <w:szCs w:val="20"/>
          <w:color w:val="auto"/>
        </w:rPr>
      </w:pPr>
    </w:p>
    <w:p>
      <w:pPr>
        <w:jc w:val="both"/>
        <w:ind w:left="245" w:hanging="245"/>
        <w:spacing w:after="0" w:line="301" w:lineRule="auto"/>
        <w:tabs>
          <w:tab w:leader="none" w:pos="24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Perpetual licenses</w:t>
      </w:r>
      <w:r>
        <w:rPr>
          <w:rFonts w:ascii="Arial" w:cs="Arial" w:eastAsia="Arial" w:hAnsi="Arial"/>
          <w:sz w:val="16"/>
          <w:szCs w:val="16"/>
          <w:color w:val="auto"/>
        </w:rPr>
        <w:t>. For the three months ended June 30, 2021, perpetual licenses revenues decreased by $988, or 8.0%, as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2020. This decrease was driven by a reduction in our business performance and partially offset by the impact of positive foreign currency effects due to a weaker U.S. Dollar relative to our other functional currencies. On a constant currency basis, our perpetual licenses revenues decreased by 12.7% for the three months ended June 30, 2021 as compared to the three months ended June 30, 2020.</w:t>
      </w:r>
    </w:p>
    <w:p>
      <w:pPr>
        <w:spacing w:after="0" w:line="157" w:lineRule="exact"/>
        <w:rPr>
          <w:rFonts w:ascii="Arial" w:cs="Arial" w:eastAsia="Arial" w:hAnsi="Arial"/>
          <w:sz w:val="16"/>
          <w:szCs w:val="16"/>
          <w:color w:val="auto"/>
        </w:rPr>
      </w:pPr>
    </w:p>
    <w:p>
      <w:pPr>
        <w:jc w:val="both"/>
        <w:ind w:left="245"/>
        <w:spacing w:after="0" w:line="279" w:lineRule="auto"/>
        <w:rPr>
          <w:rFonts w:ascii="Arial" w:cs="Arial" w:eastAsia="Arial" w:hAnsi="Arial"/>
          <w:sz w:val="16"/>
          <w:szCs w:val="16"/>
          <w:color w:val="auto"/>
        </w:rPr>
      </w:pPr>
      <w:r>
        <w:rPr>
          <w:rFonts w:ascii="Arial" w:cs="Arial" w:eastAsia="Arial" w:hAnsi="Arial"/>
          <w:sz w:val="17"/>
          <w:szCs w:val="17"/>
          <w:color w:val="auto"/>
        </w:rPr>
        <w:t>For the six months ended June 30, 2021, perpetual licenses revenues decreased by $1,686, or 7.3%, as compared to the six months ended June 30, 2020. This decrease was driven by a reduction in our business performance and partially offset by the impact of positive foreign currency effects due to a weaker U.S. Dollar relative to our other functional currencies. On a constant currency basis, our perpetual licenses revenues decreased by 12.1% for the six months ended June 30, 2021 as compared to the six months ended June 30, 2020.</w:t>
      </w:r>
    </w:p>
    <w:p>
      <w:pPr>
        <w:spacing w:after="0" w:line="171" w:lineRule="exact"/>
        <w:rPr>
          <w:rFonts w:ascii="Arial" w:cs="Arial" w:eastAsia="Arial" w:hAnsi="Arial"/>
          <w:sz w:val="16"/>
          <w:szCs w:val="16"/>
          <w:color w:val="auto"/>
        </w:rPr>
      </w:pPr>
    </w:p>
    <w:p>
      <w:pPr>
        <w:ind w:left="245"/>
        <w:spacing w:after="0" w:line="223" w:lineRule="exact"/>
        <w:rPr>
          <w:rFonts w:ascii="Arial" w:cs="Arial" w:eastAsia="Arial" w:hAnsi="Arial"/>
          <w:sz w:val="16"/>
          <w:szCs w:val="16"/>
          <w:color w:val="auto"/>
        </w:rPr>
      </w:pPr>
      <w:r>
        <w:rPr>
          <w:rFonts w:ascii="Arial" w:cs="Arial" w:eastAsia="Arial" w:hAnsi="Arial"/>
          <w:sz w:val="18"/>
          <w:szCs w:val="18"/>
          <w:color w:val="auto"/>
        </w:rPr>
        <w:t>We believe some of the decrease in perpetual licenses business performance for the three and six months ended June 30, 2021 is because accounts delayed purchase decisions due to COVID</w:t>
      </w:r>
      <w:r>
        <w:rPr>
          <w:rFonts w:ascii="MS PGothic" w:cs="MS PGothic" w:eastAsia="MS PGothic" w:hAnsi="MS PGothic"/>
          <w:sz w:val="18"/>
          <w:szCs w:val="18"/>
          <w:color w:val="auto"/>
        </w:rPr>
        <w:t>‑</w:t>
      </w:r>
      <w:r>
        <w:rPr>
          <w:rFonts w:ascii="Arial" w:cs="Arial" w:eastAsia="Arial" w:hAnsi="Arial"/>
          <w:sz w:val="18"/>
          <w:szCs w:val="18"/>
          <w:color w:val="auto"/>
        </w:rPr>
        <w:t>19 or shifted spend to subscription solutions.</w:t>
      </w:r>
    </w:p>
    <w:p>
      <w:pPr>
        <w:spacing w:after="0" w:line="202" w:lineRule="exact"/>
        <w:rPr>
          <w:rFonts w:ascii="Arial" w:cs="Arial" w:eastAsia="Arial" w:hAnsi="Arial"/>
          <w:sz w:val="16"/>
          <w:szCs w:val="16"/>
          <w:color w:val="auto"/>
        </w:rPr>
      </w:pPr>
    </w:p>
    <w:p>
      <w:pPr>
        <w:jc w:val="both"/>
        <w:ind w:left="245" w:right="20" w:hanging="245"/>
        <w:spacing w:after="0" w:line="279" w:lineRule="auto"/>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For the three months ended June 30, 2021, services revenues increased by $11,832, or 83.0%, as compared to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2020. This increase was driven primarily by the impact of acquisitions of $9,468, as well as the positive foreign currency effects due to a weaker U.S. Dollar relative to our other functional currencies. On a constant currency basis, our services revenues increased by 75.1% for the three months ended June 30, 2021 as compared to the three months ended June 30, 2020.</w:t>
      </w:r>
    </w:p>
    <w:p>
      <w:pPr>
        <w:spacing w:after="0" w:line="171" w:lineRule="exact"/>
        <w:rPr>
          <w:rFonts w:ascii="Arial" w:cs="Arial" w:eastAsia="Arial" w:hAnsi="Arial"/>
          <w:sz w:val="17"/>
          <w:szCs w:val="17"/>
          <w:color w:val="auto"/>
        </w:rPr>
      </w:pPr>
    </w:p>
    <w:p>
      <w:pPr>
        <w:jc w:val="both"/>
        <w:ind w:left="245"/>
        <w:spacing w:after="0" w:line="259" w:lineRule="auto"/>
        <w:rPr>
          <w:rFonts w:ascii="Arial" w:cs="Arial" w:eastAsia="Arial" w:hAnsi="Arial"/>
          <w:sz w:val="17"/>
          <w:szCs w:val="17"/>
          <w:color w:val="auto"/>
        </w:rPr>
      </w:pPr>
      <w:r>
        <w:rPr>
          <w:rFonts w:ascii="Arial" w:cs="Arial" w:eastAsia="Arial" w:hAnsi="Arial"/>
          <w:sz w:val="18"/>
          <w:szCs w:val="18"/>
          <w:color w:val="auto"/>
        </w:rPr>
        <w:t>For the six months ended June 30, 2021, services revenues increased by $21,902, or 78.4%, as compared to the six months ended June 30, 2020. This increase was driven primarily by the impact of acquisitions of $19,130, as well as the positive foreign currency effects due to a weaker U.S. Dollar relative to our other functional currencies. On a constant currency basis, our services revenues increased by 70.8% for the six months ended June 30, 2021 as compared to the six months ended June 30, 2020.</w:t>
      </w:r>
    </w:p>
    <w:p>
      <w:pPr>
        <w:spacing w:after="0" w:line="186" w:lineRule="exact"/>
        <w:rPr>
          <w:rFonts w:ascii="Arial" w:cs="Arial" w:eastAsia="Arial" w:hAnsi="Arial"/>
          <w:sz w:val="17"/>
          <w:szCs w:val="17"/>
          <w:color w:val="auto"/>
        </w:rPr>
      </w:pPr>
    </w:p>
    <w:p>
      <w:pPr>
        <w:jc w:val="both"/>
        <w:ind w:left="245"/>
        <w:spacing w:after="0" w:line="220" w:lineRule="exact"/>
        <w:rPr>
          <w:rFonts w:ascii="Arial" w:cs="Arial" w:eastAsia="Arial" w:hAnsi="Arial"/>
          <w:sz w:val="17"/>
          <w:szCs w:val="17"/>
          <w:color w:val="auto"/>
        </w:rPr>
      </w:pPr>
      <w:r>
        <w:rPr>
          <w:rFonts w:ascii="Arial" w:cs="Arial" w:eastAsia="Arial" w:hAnsi="Arial"/>
          <w:sz w:val="18"/>
          <w:szCs w:val="18"/>
          <w:color w:val="auto"/>
        </w:rPr>
        <w:t>For the three and six months ended June 30, 2021, the acquisition impact is attributable to several digital integrator businesses acquired throughout 2020 and 2021. Business performance continued to be impacted by COVID</w:t>
      </w:r>
      <w:r>
        <w:rPr>
          <w:rFonts w:ascii="MS PGothic" w:cs="MS PGothic" w:eastAsia="MS PGothic" w:hAnsi="MS PGothic"/>
          <w:sz w:val="18"/>
          <w:szCs w:val="18"/>
          <w:color w:val="auto"/>
        </w:rPr>
        <w:t>‑</w:t>
      </w:r>
      <w:r>
        <w:rPr>
          <w:rFonts w:ascii="Arial" w:cs="Arial" w:eastAsia="Arial" w:hAnsi="Arial"/>
          <w:sz w:val="18"/>
          <w:szCs w:val="18"/>
          <w:color w:val="auto"/>
        </w:rPr>
        <w:t>19 related delays in new projects and the redeployment of some services colleagues to support Success Plan services of our E365 subscription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35"/>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207645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142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Revenues by Geographic Area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are allocated to individual countries based upon the location of users. Revenues by geographic area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14"/>
              <w:spacing w:after="0"/>
              <w:rPr>
                <w:sz w:val="20"/>
                <w:szCs w:val="20"/>
                <w:color w:val="auto"/>
              </w:rPr>
            </w:pPr>
            <w:r>
              <w:rPr>
                <w:rFonts w:ascii="Arial" w:cs="Arial" w:eastAsia="Arial" w:hAnsi="Arial"/>
                <w:sz w:val="16"/>
                <w:szCs w:val="16"/>
                <w:b w:val="1"/>
                <w:bCs w:val="1"/>
                <w:color w:val="auto"/>
                <w:w w:val="87"/>
              </w:rPr>
              <w:t>June 30,</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by geographic area:</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112,308</w:t>
            </w:r>
          </w:p>
        </w:tc>
        <w:tc>
          <w:tcPr>
            <w:tcW w:w="16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87,938</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24,370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27.7 %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69,015</w:t>
            </w: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59,464</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APAC</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41,608</w:t>
            </w:r>
          </w:p>
        </w:tc>
        <w:tc>
          <w:tcPr>
            <w:tcW w:w="1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36,888</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12.8 %</w:t>
            </w:r>
          </w:p>
        </w:tc>
        <w:tc>
          <w:tcPr>
            <w:tcW w:w="14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by geographic area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222,931</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184,290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Six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14"/>
              <w:spacing w:after="0"/>
              <w:rPr>
                <w:sz w:val="20"/>
                <w:szCs w:val="20"/>
                <w:color w:val="auto"/>
              </w:rPr>
            </w:pPr>
            <w:r>
              <w:rPr>
                <w:rFonts w:ascii="Arial" w:cs="Arial" w:eastAsia="Arial" w:hAnsi="Arial"/>
                <w:sz w:val="16"/>
                <w:szCs w:val="16"/>
                <w:b w:val="1"/>
                <w:bCs w:val="1"/>
                <w:color w:val="auto"/>
                <w:w w:val="87"/>
              </w:rPr>
              <w:t>June 30,</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by geographic area:</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221,170</w:t>
            </w:r>
          </w:p>
        </w:tc>
        <w:tc>
          <w:tcPr>
            <w:tcW w:w="16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185,838</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35,332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19.0 %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142,863</w:t>
            </w: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121,578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APAC</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80,903</w:t>
            </w:r>
          </w:p>
        </w:tc>
        <w:tc>
          <w:tcPr>
            <w:tcW w:w="1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71,564</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9,339</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13.0 %</w:t>
            </w:r>
          </w:p>
        </w:tc>
        <w:tc>
          <w:tcPr>
            <w:tcW w:w="14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by geographic area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444,936</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378,980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65,956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820" w:hanging="245"/>
        <w:spacing w:after="0" w:line="259"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Americas. </w:t>
      </w:r>
      <w:r>
        <w:rPr>
          <w:rFonts w:ascii="Arial" w:cs="Arial" w:eastAsia="Arial" w:hAnsi="Arial"/>
          <w:sz w:val="18"/>
          <w:szCs w:val="18"/>
          <w:color w:val="auto"/>
        </w:rPr>
        <w:t>For the three months ended June 30, 2021, revenues from the Americas increased by $24,370, or 27.7%, as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This increase was driven primarily by improvements in our business performance in subscription revenues and the impact from acquisitions in services revenues. On a constant currency basis, our revenues from the Americas increased by 27.2% for the three months ended June 30, 2021 as compared to the three months ended June 30, 2020.</w:t>
      </w:r>
    </w:p>
    <w:p>
      <w:pPr>
        <w:spacing w:after="0" w:line="186" w:lineRule="exact"/>
        <w:rPr>
          <w:rFonts w:ascii="Arial" w:cs="Arial" w:eastAsia="Arial" w:hAnsi="Arial"/>
          <w:sz w:val="18"/>
          <w:szCs w:val="18"/>
          <w:color w:val="auto"/>
        </w:rPr>
      </w:pPr>
    </w:p>
    <w:p>
      <w:pPr>
        <w:jc w:val="both"/>
        <w:ind w:left="820"/>
        <w:spacing w:after="0" w:line="259" w:lineRule="auto"/>
        <w:rPr>
          <w:rFonts w:ascii="Arial" w:cs="Arial" w:eastAsia="Arial" w:hAnsi="Arial"/>
          <w:sz w:val="18"/>
          <w:szCs w:val="18"/>
          <w:color w:val="auto"/>
        </w:rPr>
      </w:pPr>
      <w:r>
        <w:rPr>
          <w:rFonts w:ascii="Arial" w:cs="Arial" w:eastAsia="Arial" w:hAnsi="Arial"/>
          <w:sz w:val="18"/>
          <w:szCs w:val="18"/>
          <w:color w:val="auto"/>
        </w:rPr>
        <w:t>For the six months ended June 30, 2021, revenues from the Americas increased by $35,332, or 19.0%, as compared to the six months ended June 30, 2020. This increase was driven primarily by improvements in our business performance in subscription revenues and the impact from acquisitions in service revenues. On a constant currency basis, our revenues from the Americas increased by 18.2% for the six months ended June 30, 2021 as compared to the six months ended June 30, 2020.</w:t>
      </w:r>
    </w:p>
    <w:p>
      <w:pPr>
        <w:spacing w:after="0" w:line="186" w:lineRule="exact"/>
        <w:rPr>
          <w:rFonts w:ascii="Arial" w:cs="Arial" w:eastAsia="Arial" w:hAnsi="Arial"/>
          <w:sz w:val="18"/>
          <w:szCs w:val="18"/>
          <w:color w:val="auto"/>
        </w:rPr>
      </w:pPr>
    </w:p>
    <w:p>
      <w:pPr>
        <w:ind w:left="820"/>
        <w:spacing w:after="0" w:line="308" w:lineRule="auto"/>
        <w:rPr>
          <w:rFonts w:ascii="Arial" w:cs="Arial" w:eastAsia="Arial" w:hAnsi="Arial"/>
          <w:sz w:val="18"/>
          <w:szCs w:val="18"/>
          <w:color w:val="auto"/>
        </w:rPr>
      </w:pPr>
      <w:r>
        <w:rPr>
          <w:rFonts w:ascii="Arial" w:cs="Arial" w:eastAsia="Arial" w:hAnsi="Arial"/>
          <w:sz w:val="17"/>
          <w:szCs w:val="17"/>
          <w:color w:val="auto"/>
        </w:rPr>
        <w:t>The constant currency growth in the Americas primarily reflects growth in recurring subscription revenues from our existing accounts in the United States, and growth in services revenues in the United States and Canada from the acquisition of digital integrator businesses.</w:t>
      </w:r>
    </w:p>
    <w:p>
      <w:pPr>
        <w:spacing w:after="0" w:line="146" w:lineRule="exact"/>
        <w:rPr>
          <w:rFonts w:ascii="Arial" w:cs="Arial" w:eastAsia="Arial" w:hAnsi="Arial"/>
          <w:sz w:val="18"/>
          <w:szCs w:val="18"/>
          <w:color w:val="auto"/>
        </w:rPr>
      </w:pPr>
    </w:p>
    <w:p>
      <w:pPr>
        <w:jc w:val="both"/>
        <w:ind w:left="820" w:hanging="245"/>
        <w:spacing w:after="0" w:line="259"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EMEA. </w:t>
      </w:r>
      <w:r>
        <w:rPr>
          <w:rFonts w:ascii="Arial" w:cs="Arial" w:eastAsia="Arial" w:hAnsi="Arial"/>
          <w:sz w:val="18"/>
          <w:szCs w:val="18"/>
          <w:color w:val="auto"/>
        </w:rPr>
        <w:t>For the three months ended June 30, 2021, revenues from EMEA increased by $9,551, or 16.1%, as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On a constant currency basis, our revenues from EMEA increased by 7.2% for the three months ended June 30, 2021 as compared to the three months ended June 30, 2020. The positive foreign currency effects were due to a weaker U.S. Dollar relative to our other functional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2" w:name="page63"/>
    <w:bookmarkEnd w:id="62"/>
    <w:p>
      <w:pPr>
        <w:jc w:val="both"/>
        <w:ind w:left="820"/>
        <w:spacing w:after="0" w:line="311" w:lineRule="auto"/>
        <w:rPr>
          <w:sz w:val="20"/>
          <w:szCs w:val="20"/>
          <w:color w:val="auto"/>
        </w:rPr>
      </w:pPr>
      <w:r>
        <w:rPr>
          <w:rFonts w:ascii="Arial" w:cs="Arial" w:eastAsia="Arial" w:hAnsi="Arial"/>
          <w:sz w:val="16"/>
          <w:szCs w:val="16"/>
          <w:color w:val="auto"/>
        </w:rPr>
        <w:t>For the six months ended June 30, 2021, revenues from EMEA increased by $21,285, or 17.5%, as compared to the six months ended June 30, 2020. On a constant currency basis, our revenues from EMEA increased by 8.8% for the six months ended June 30, 2021 as compared to the six months ended June 30, 2020. The positive foreign currency effects were due to a weaker U.S. Dollar relative to our other functional currencies.</w:t>
      </w:r>
    </w:p>
    <w:p>
      <w:pPr>
        <w:spacing w:after="0" w:line="149" w:lineRule="exact"/>
        <w:rPr>
          <w:sz w:val="20"/>
          <w:szCs w:val="20"/>
          <w:color w:val="auto"/>
        </w:rPr>
      </w:pPr>
    </w:p>
    <w:p>
      <w:pPr>
        <w:jc w:val="both"/>
        <w:ind w:left="820" w:right="20"/>
        <w:spacing w:after="0" w:line="263" w:lineRule="auto"/>
        <w:rPr>
          <w:sz w:val="20"/>
          <w:szCs w:val="20"/>
          <w:color w:val="auto"/>
        </w:rPr>
      </w:pPr>
      <w:r>
        <w:rPr>
          <w:rFonts w:ascii="Arial" w:cs="Arial" w:eastAsia="Arial" w:hAnsi="Arial"/>
          <w:sz w:val="18"/>
          <w:szCs w:val="18"/>
          <w:color w:val="auto"/>
        </w:rPr>
        <w:t>The constant currency growth primarily reflects growth in services revenues from the 2020 acquisitions of two digital integrator businesses in Europe. Constant currency growth also includes modest business growth in subscription revenues in Europe, with a partially offsetting reduction in the Middle East.</w:t>
      </w:r>
    </w:p>
    <w:p>
      <w:pPr>
        <w:spacing w:after="0" w:line="184" w:lineRule="exact"/>
        <w:rPr>
          <w:sz w:val="20"/>
          <w:szCs w:val="20"/>
          <w:color w:val="auto"/>
        </w:rPr>
      </w:pPr>
    </w:p>
    <w:p>
      <w:pPr>
        <w:jc w:val="both"/>
        <w:ind w:left="820" w:hanging="245"/>
        <w:spacing w:after="0" w:line="279" w:lineRule="auto"/>
        <w:tabs>
          <w:tab w:leader="none" w:pos="815"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APAC. </w:t>
      </w:r>
      <w:r>
        <w:rPr>
          <w:rFonts w:ascii="Arial" w:cs="Arial" w:eastAsia="Arial" w:hAnsi="Arial"/>
          <w:sz w:val="17"/>
          <w:szCs w:val="17"/>
          <w:color w:val="auto"/>
        </w:rPr>
        <w:t>For the three months ended June 30, 2021, revenues from APAC increased by $4,720, or 12.8%, as compared to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2020. This increase was driven by improvements in our business performance in subscription revenues and the positive foreign currency effects due to a weaker U.S. Dollar relative to our other functional currencies. On a constant currency basis, our revenues from APAC increased by 6.1% for the three months ended June 30, 2021 as compared to the three months ended June 30, 2020.</w:t>
      </w:r>
    </w:p>
    <w:p>
      <w:pPr>
        <w:spacing w:after="0" w:line="171" w:lineRule="exact"/>
        <w:rPr>
          <w:rFonts w:ascii="Arial" w:cs="Arial" w:eastAsia="Arial" w:hAnsi="Arial"/>
          <w:sz w:val="17"/>
          <w:szCs w:val="17"/>
          <w:i w:val="1"/>
          <w:iCs w:val="1"/>
          <w:color w:val="auto"/>
        </w:rPr>
      </w:pPr>
    </w:p>
    <w:p>
      <w:pPr>
        <w:jc w:val="both"/>
        <w:ind w:left="820"/>
        <w:spacing w:after="0" w:line="279" w:lineRule="auto"/>
        <w:rPr>
          <w:rFonts w:ascii="Arial" w:cs="Arial" w:eastAsia="Arial" w:hAnsi="Arial"/>
          <w:sz w:val="17"/>
          <w:szCs w:val="17"/>
          <w:i w:val="1"/>
          <w:iCs w:val="1"/>
          <w:color w:val="auto"/>
        </w:rPr>
      </w:pPr>
      <w:r>
        <w:rPr>
          <w:rFonts w:ascii="Arial" w:cs="Arial" w:eastAsia="Arial" w:hAnsi="Arial"/>
          <w:sz w:val="17"/>
          <w:szCs w:val="17"/>
          <w:color w:val="auto"/>
        </w:rPr>
        <w:t>For the six months ended June 30, 2021, revenues from APAC increased by $9,339, or 13.0%, as compared to the six months ended June 30, 2020. This increase was driven by improvements in our business performance in subscription revenues and the positive foreign currency effects due to a weaker U.S. Dollar relative to our other functional currencies. On a constant currency basis, our revenues from APAC increased by 6.0% for the six months ended June 30, 2021 as compared to the six months ended June 30, 2020.</w:t>
      </w:r>
    </w:p>
    <w:p>
      <w:pPr>
        <w:spacing w:after="0" w:line="171"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The constant currency growth was primarily due to expansion of our recurring subscription revenues in India for the three months ended June 30, 2021 and in China for the six months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15"/>
              <w:spacing w:after="0"/>
              <w:rPr>
                <w:sz w:val="20"/>
                <w:szCs w:val="20"/>
                <w:color w:val="auto"/>
              </w:rPr>
            </w:pPr>
            <w:r>
              <w:rPr>
                <w:rFonts w:ascii="Arial" w:cs="Arial" w:eastAsia="Arial" w:hAnsi="Arial"/>
                <w:sz w:val="16"/>
                <w:szCs w:val="16"/>
                <w:b w:val="1"/>
                <w:bCs w:val="1"/>
                <w:color w:val="auto"/>
                <w:w w:val="87"/>
              </w:rPr>
              <w:t>June 30,</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3"/>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29,881</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23,570</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14,904</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8,666</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58.1 %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47.1 %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53,451</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45.6 %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Six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15"/>
              <w:spacing w:after="0"/>
              <w:rPr>
                <w:sz w:val="20"/>
                <w:szCs w:val="20"/>
                <w:color w:val="auto"/>
              </w:rPr>
            </w:pPr>
            <w:r>
              <w:rPr>
                <w:rFonts w:ascii="Arial" w:cs="Arial" w:eastAsia="Arial" w:hAnsi="Arial"/>
                <w:sz w:val="16"/>
                <w:szCs w:val="16"/>
                <w:b w:val="1"/>
                <w:bCs w:val="1"/>
                <w:color w:val="auto"/>
                <w:w w:val="87"/>
              </w:rPr>
              <w:t>June 30,</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3"/>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58,826</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15,698</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43,914</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13,078</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42.4 %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102,740</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38.9 %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June 30, 2021, cost of revenues increased by $16,746, or 45.6%, to $53,451. This increase was driven by an increase in both cost of subscriptions and licenses and cost of services relative to the prior period. On a constant currency basis, total cost of revenues increased by 37.7% for the three months ended June 30, 2021 as compared to the three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3" w:name="page64"/>
    <w:bookmarkEnd w:id="63"/>
    <w:p>
      <w:pPr>
        <w:jc w:val="both"/>
        <w:ind w:firstLine="324"/>
        <w:spacing w:after="0" w:line="263" w:lineRule="auto"/>
        <w:rPr>
          <w:sz w:val="20"/>
          <w:szCs w:val="20"/>
          <w:color w:val="auto"/>
        </w:rPr>
      </w:pPr>
      <w:r>
        <w:rPr>
          <w:rFonts w:ascii="Arial" w:cs="Arial" w:eastAsia="Arial" w:hAnsi="Arial"/>
          <w:sz w:val="18"/>
          <w:szCs w:val="18"/>
          <w:color w:val="auto"/>
        </w:rPr>
        <w:t>For the six months ended June 30, 2021, cost of revenues increased by $28,776, or 38.9%, to $102,740. This increase was driven by an increase in both cost of subscriptions and licenses and cost of services relative to the prior period. On a constant currency basis, total cost of revenues increased by 32.3% for the six months ended June 30, 2021 as compared to the six months ended June 30, 2020.</w:t>
      </w:r>
    </w:p>
    <w:p>
      <w:pPr>
        <w:spacing w:after="0" w:line="18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For the three months ended June 30, 2021, cost of subscriptions and licenses increased 37.1%, or 31.2% in constant currency, as compared to the three months ended June 30, 2020. On a constant currency basis, this increase was substantially due to an increase in headcount</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$4,000, primarily driven by the redeployment of certain colleagues to our User Success team in support of success services available to accounts under programs such as our E365 subscription offering.</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For the six months ended June 30, 2021, cost of subscriptions and licenses increased 36.4%, or 31.2% in constant currency, as compared to the six months ended June 30, 2020. On a constant currency basis, this increase was substantially due to an increase in headcount</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$8,600, primarily driven by the redeployment of certain colleagues to our User Success team in support of success services available to accounts under programs such as our E365 subscription offering.</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For the three months ended June 30, 2021, cost of services increased by 58.1%, or 47.1% in constant currency, as compared to the three months ended June 30, 2020. On a constant currency basis, this increase was substantially due to an increase in headcount</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$5,900, primarily driven by our digital integrator acquisitions.</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For the six months ended June 30, 2021, cost of services increased by 42.4%, or 33.8% in constant currency, as compared to the six months ended June 30, 2020. On a constant currency basis, this increase was substantially due to an increase in headcount</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$8,900, primarily driven by our digital integrator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Operating Expenses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13"/>
              <w:spacing w:after="0"/>
              <w:rPr>
                <w:sz w:val="20"/>
                <w:szCs w:val="20"/>
                <w:color w:val="auto"/>
              </w:rPr>
            </w:pPr>
            <w:r>
              <w:rPr>
                <w:rFonts w:ascii="Arial" w:cs="Arial" w:eastAsia="Arial" w:hAnsi="Arial"/>
                <w:sz w:val="16"/>
                <w:szCs w:val="16"/>
                <w:b w:val="1"/>
                <w:bCs w:val="1"/>
                <w:color w:val="auto"/>
                <w:w w:val="87"/>
              </w:rPr>
              <w:t>June 30,</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52,776</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38,014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29,632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28.3 %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24.7 %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137,257</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Six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13"/>
              <w:spacing w:after="0"/>
              <w:rPr>
                <w:sz w:val="20"/>
                <w:szCs w:val="20"/>
                <w:color w:val="auto"/>
              </w:rPr>
            </w:pPr>
            <w:r>
              <w:rPr>
                <w:rFonts w:ascii="Arial" w:cs="Arial" w:eastAsia="Arial" w:hAnsi="Arial"/>
                <w:sz w:val="16"/>
                <w:szCs w:val="16"/>
                <w:b w:val="1"/>
                <w:bCs w:val="1"/>
                <w:color w:val="auto"/>
                <w:w w:val="87"/>
              </w:rPr>
              <w:t>June 30,</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100,579</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89,353</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70,454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65,727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7.2 %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8,027</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12.8 %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254,326</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214,464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For the three months ended June 30, 2021, research and development expenses increased 19.4%, or 14.0% in constant</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as compared to the three months ended June 30, 2020. On a constant currency basis, this increase was primarily due to an increase in headcount-related costs of approximately $5,700. The approximate $5,700 increase in headcount-related costs is primarily comprised of an increase in salaries and variable compensation costs of approximately $6,100, primarily due to annual salary adjustments in 2021 combined with lower variable compensation costs in the prior period due to COVID</w:t>
      </w:r>
      <w:r>
        <w:rPr>
          <w:rFonts w:ascii="MS PGothic" w:cs="MS PGothic" w:eastAsia="MS PGothic" w:hAnsi="MS PGothic"/>
          <w:sz w:val="17"/>
          <w:szCs w:val="17"/>
          <w:color w:val="auto"/>
        </w:rPr>
        <w:t>‑</w:t>
      </w:r>
      <w:r>
        <w:rPr>
          <w:rFonts w:ascii="Arial" w:cs="Arial" w:eastAsia="Arial" w:hAnsi="Arial"/>
          <w:sz w:val="17"/>
          <w:szCs w:val="17"/>
          <w:color w:val="auto"/>
        </w:rPr>
        <w:t>19, and an increase in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of approximately $4,300. Partially offsetting these increases in headcount-related costs is a decrease of approximately $4,700 in Bonus Plan related cash compensation due to the change in our Bonus Plan (see Note 11 to our unaudited consolidated financial statements included in Part I, Item 1 of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which allows participants within certain limitations to elect share delivery instead of cash compensation for their non-deferred incentive bonuses. In the comparative period, non-deferred incentive bonuses earned under the Bonus Plan were paid in cash.</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For the six months ended June 30, 2021, research and development expenses increased 12.6%, or 8.1% in constant currency, as compared to the six months ended June 30, 2020. On a constant currency basis, this increase was primarily due to an increase in headcount-related costs of approximately $7,100. The approximate $7,100 increase in headcount-related costs is primarily comprised of an increase in salaries and variable compensation costs of approximately $8,700, primarily due to annual salary adjustments in 2021 combined with lower variable compensation costs in the prior period due to COVID</w:t>
      </w:r>
      <w:r>
        <w:rPr>
          <w:rFonts w:ascii="MS PGothic" w:cs="MS PGothic" w:eastAsia="MS PGothic" w:hAnsi="MS PGothic"/>
          <w:sz w:val="16"/>
          <w:szCs w:val="16"/>
          <w:color w:val="auto"/>
        </w:rPr>
        <w:t>‑</w:t>
      </w:r>
      <w:r>
        <w:rPr>
          <w:rFonts w:ascii="Arial" w:cs="Arial" w:eastAsia="Arial" w:hAnsi="Arial"/>
          <w:sz w:val="16"/>
          <w:szCs w:val="16"/>
          <w:color w:val="auto"/>
        </w:rPr>
        <w:t>19, and an increase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$7,600. Partially offsetting these increases in headcount-related costs is a decrease of approximately $9,200 in Bonus Plan related cash compensation due to the change in our Bonus Plan as described above.</w:t>
      </w:r>
    </w:p>
    <w:p>
      <w:pPr>
        <w:spacing w:after="0" w:line="20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i w:val="1"/>
          <w:iCs w:val="1"/>
          <w:color w:val="auto"/>
        </w:rPr>
        <w:t xml:space="preserve">Selling and marketing. </w:t>
      </w:r>
      <w:r>
        <w:rPr>
          <w:rFonts w:ascii="Arial" w:cs="Arial" w:eastAsia="Arial" w:hAnsi="Arial"/>
          <w:sz w:val="17"/>
          <w:szCs w:val="17"/>
          <w:color w:val="auto"/>
        </w:rPr>
        <w:t>For the three months ended June 30, 2021, selling and marketing expenses increased 28.3%, or 21.4% in constant currency,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months ended June 30, 2020. On a constant currency basis, this increase was primarily due to an increase in headcount-related costs of approximately $4,600. The approximate $4,600 increase in headcount-related costs is primarily comprised of an increase in salaries and variable compensation costs of approximately $3,600, primarily due to annual salary adjustments in 2021 combined with lower variable compensation costs in the prior period due to COVID</w:t>
      </w:r>
      <w:r>
        <w:rPr>
          <w:rFonts w:ascii="MS PGothic" w:cs="MS PGothic" w:eastAsia="MS PGothic" w:hAnsi="MS PGothic"/>
          <w:sz w:val="17"/>
          <w:szCs w:val="17"/>
          <w:color w:val="auto"/>
        </w:rPr>
        <w:t>‑</w:t>
      </w:r>
      <w:r>
        <w:rPr>
          <w:rFonts w:ascii="Arial" w:cs="Arial" w:eastAsia="Arial" w:hAnsi="Arial"/>
          <w:sz w:val="17"/>
          <w:szCs w:val="17"/>
          <w:color w:val="auto"/>
        </w:rPr>
        <w:t>19, and an increase in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of approximately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5" w:name="page66"/>
    <w:bookmarkEnd w:id="65"/>
    <w:p>
      <w:pPr>
        <w:jc w:val="both"/>
        <w:ind w:firstLine="324"/>
        <w:spacing w:after="0" w:line="220" w:lineRule="exact"/>
        <w:rPr>
          <w:sz w:val="20"/>
          <w:szCs w:val="20"/>
          <w:color w:val="auto"/>
        </w:rPr>
      </w:pPr>
      <w:r>
        <w:rPr>
          <w:rFonts w:ascii="Arial" w:cs="Arial" w:eastAsia="Arial" w:hAnsi="Arial"/>
          <w:sz w:val="18"/>
          <w:szCs w:val="18"/>
          <w:color w:val="auto"/>
        </w:rPr>
        <w:t>For the six months ended June 30, 2021, selling and marketing expenses increased 7.2%, or 2.2% in constant currency, as compared to the six months ended June 30, 2020. On a constant currency basis, this increase was primarily due to an increase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approximately $1,400.</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For the three months ended June 30, 2021, general and administrative expenses increased 64.5%, or 61.4% in constant</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as compared to the three months ended June 30, 2020. On a constant currency basis, this increase was primarily due to an increase in acquisition and integration costs and other corporate initiatives of approximately $9,200, primarily due to expenses related to the acquisition of Seequent, and an increase in headcount-related costs of approximately $6,700. The approximate $6,700 increase in headcount-related costs is primarily comprised of an increase in salaries and variable compensation costs of approximately $5,400, primarily due to annual salary adjustments in 2021 combined with lower variable compensation costs in the prior period due to COVID</w:t>
      </w:r>
      <w:r>
        <w:rPr>
          <w:rFonts w:ascii="MS PGothic" w:cs="MS PGothic" w:eastAsia="MS PGothic" w:hAnsi="MS PGothic"/>
          <w:sz w:val="18"/>
          <w:szCs w:val="18"/>
          <w:color w:val="auto"/>
        </w:rPr>
        <w:t>‑</w:t>
      </w:r>
      <w:r>
        <w:rPr>
          <w:rFonts w:ascii="Arial" w:cs="Arial" w:eastAsia="Arial" w:hAnsi="Arial"/>
          <w:sz w:val="18"/>
          <w:szCs w:val="18"/>
          <w:color w:val="auto"/>
        </w:rPr>
        <w:t>19, and an increase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approximately $4,500. Partially offsetting these increases in headcount-related costs is a decrease of approximately $3,200 in Bonus Plan related cash compensation due to the change in our Bonus Plan as described above.</w:t>
      </w:r>
    </w:p>
    <w:p>
      <w:pPr>
        <w:spacing w:after="0" w:line="20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For the six months ended June 30, 2021, general and administrative expenses increased 44.0%, or 41.8% in constant currency, as compared to the six months ended June 30, 2020. On a constant currency basis, this increase was primarily due to an increase in acquisition and integration costs and other corporate initiatives of approximately $15,300, primarily due to expenses related to the acquisition of Seequent, and an increase in headcount-related costs of approximately $7,700. The approximate $7,700 increase in headcount-related costs is primarily comprised of an increase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approximately $8,300 and an increase in salaries and variable compensation costs of approximately $4,900, primarily due to annual salary adjustments in 2021 combined with lower variable compensation costs in the prior period due to COVID</w:t>
      </w:r>
      <w:r>
        <w:rPr>
          <w:rFonts w:ascii="MS PGothic" w:cs="MS PGothic" w:eastAsia="MS PGothic" w:hAnsi="MS PGothic"/>
          <w:sz w:val="18"/>
          <w:szCs w:val="18"/>
          <w:color w:val="auto"/>
        </w:rPr>
        <w:t>‑</w:t>
      </w:r>
      <w:r>
        <w:rPr>
          <w:rFonts w:ascii="Arial" w:cs="Arial" w:eastAsia="Arial" w:hAnsi="Arial"/>
          <w:sz w:val="18"/>
          <w:szCs w:val="18"/>
          <w:color w:val="auto"/>
        </w:rPr>
        <w:t>19. Partially offsetting these increases in headcount-related costs is a decrease of approximately $5,500 in Bonus Plan related cash compensation due to the change in our Bonus Plan as described above.</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Amortization of purchased intangibles. </w:t>
      </w:r>
      <w:r>
        <w:rPr>
          <w:rFonts w:ascii="Arial" w:cs="Arial" w:eastAsia="Arial" w:hAnsi="Arial"/>
          <w:sz w:val="18"/>
          <w:szCs w:val="18"/>
          <w:color w:val="auto"/>
        </w:rPr>
        <w:t>For the three months ended June 30, 2021, amortization of purchased intangibles increased by 24.7%, or 15.4%</w:t>
      </w:r>
      <w:r>
        <w:rPr>
          <w:rFonts w:ascii="Arial" w:cs="Arial" w:eastAsia="Arial" w:hAnsi="Arial"/>
          <w:sz w:val="18"/>
          <w:szCs w:val="18"/>
          <w:i w:val="1"/>
          <w:iCs w:val="1"/>
          <w:color w:val="auto"/>
        </w:rPr>
        <w:t xml:space="preserve"> </w:t>
      </w:r>
      <w:r>
        <w:rPr>
          <w:rFonts w:ascii="Arial" w:cs="Arial" w:eastAsia="Arial" w:hAnsi="Arial"/>
          <w:sz w:val="18"/>
          <w:szCs w:val="18"/>
          <w:color w:val="auto"/>
        </w:rPr>
        <w:t>in constant currency, as compared to the three months ended June 30, 2020. On a constant currency basis, this increase was primarily attributable to amortization from recently acquired purchased intangibles.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six months ended June 30, 2021, amortization of purchased intangibles increased by 12.8%, or 5.4% in constant currency, as compared to the six months ended June 30, 2020. On a constant currency basis, this increase was primarily attributable to amortization from recently acquired purchased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Interest Expense,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3"/>
              </w:rPr>
              <w:t>Three Months Ended</w:t>
            </w:r>
          </w:p>
        </w:tc>
        <w:tc>
          <w:tcPr>
            <w:tcW w:w="300" w:type="dxa"/>
            <w:vAlign w:val="bottom"/>
          </w:tcPr>
          <w:p>
            <w:pPr>
              <w:spacing w:after="0"/>
              <w:rPr>
                <w:sz w:val="18"/>
                <w:szCs w:val="18"/>
                <w:color w:val="auto"/>
              </w:rPr>
            </w:pPr>
          </w:p>
        </w:tc>
        <w:tc>
          <w:tcPr>
            <w:tcW w:w="2600" w:type="dxa"/>
            <w:vAlign w:val="bottom"/>
            <w:gridSpan w:val="4"/>
          </w:tcPr>
          <w:p>
            <w:pPr>
              <w:jc w:val="center"/>
              <w:ind w:right="232"/>
              <w:spacing w:after="0"/>
              <w:rPr>
                <w:sz w:val="20"/>
                <w:szCs w:val="20"/>
                <w:color w:val="auto"/>
              </w:rPr>
            </w:pPr>
            <w:r>
              <w:rPr>
                <w:rFonts w:ascii="Arial" w:cs="Arial" w:eastAsia="Arial" w:hAnsi="Arial"/>
                <w:sz w:val="16"/>
                <w:szCs w:val="16"/>
                <w:b w:val="1"/>
                <w:bCs w:val="1"/>
                <w:color w:val="auto"/>
                <w:w w:val="92"/>
              </w:rPr>
              <w:t>Six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6"/>
                <w:szCs w:val="16"/>
                <w:b w:val="1"/>
                <w:bCs w:val="1"/>
                <w:color w:val="auto"/>
                <w:w w:val="90"/>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1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2"/>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3"/>
              </w:rPr>
              <w:t>Three Months Ended</w:t>
            </w:r>
          </w:p>
        </w:tc>
        <w:tc>
          <w:tcPr>
            <w:tcW w:w="300" w:type="dxa"/>
            <w:vAlign w:val="bottom"/>
          </w:tcPr>
          <w:p>
            <w:pPr>
              <w:spacing w:after="0"/>
              <w:rPr>
                <w:sz w:val="24"/>
                <w:szCs w:val="24"/>
                <w:color w:val="auto"/>
              </w:rPr>
            </w:pPr>
          </w:p>
        </w:tc>
        <w:tc>
          <w:tcPr>
            <w:tcW w:w="2600" w:type="dxa"/>
            <w:vAlign w:val="bottom"/>
            <w:gridSpan w:val="4"/>
          </w:tcPr>
          <w:p>
            <w:pPr>
              <w:jc w:val="center"/>
              <w:ind w:right="232"/>
              <w:spacing w:after="0"/>
              <w:rPr>
                <w:sz w:val="20"/>
                <w:szCs w:val="20"/>
                <w:color w:val="auto"/>
              </w:rPr>
            </w:pPr>
            <w:r>
              <w:rPr>
                <w:rFonts w:ascii="Arial" w:cs="Arial" w:eastAsia="Arial" w:hAnsi="Arial"/>
                <w:sz w:val="16"/>
                <w:szCs w:val="16"/>
                <w:b w:val="1"/>
                <w:bCs w:val="1"/>
                <w:color w:val="auto"/>
                <w:w w:val="92"/>
              </w:rPr>
              <w:t>Six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6"/>
                <w:szCs w:val="16"/>
                <w:b w:val="1"/>
                <w:bCs w:val="1"/>
                <w:color w:val="auto"/>
                <w:w w:val="90"/>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1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coupon interest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rPr>
              <w:t>Amortization and write-off of deferred debt issuance costs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(1,142)</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(2,371)</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3"/>
        </w:trPr>
        <w:tc>
          <w:tcPr>
            <w:tcW w:w="52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r>
      <w:tr>
        <w:trPr>
          <w:trHeight w:val="21"/>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For the three months ended June 30, 2021, interest expense, net increased from the three months ended June 30, 2020 primarily due to the increase in amortization and write</w:t>
      </w:r>
      <w:r>
        <w:rPr>
          <w:rFonts w:ascii="MS PGothic" w:cs="MS PGothic" w:eastAsia="MS PGothic" w:hAnsi="MS PGothic"/>
          <w:sz w:val="18"/>
          <w:szCs w:val="18"/>
          <w:color w:val="auto"/>
        </w:rPr>
        <w:t>‑</w:t>
      </w:r>
      <w:r>
        <w:rPr>
          <w:rFonts w:ascii="Arial" w:cs="Arial" w:eastAsia="Arial" w:hAnsi="Arial"/>
          <w:sz w:val="18"/>
          <w:szCs w:val="18"/>
          <w:color w:val="auto"/>
        </w:rPr>
        <w:t>off of deferred debt issuance costs in connection with the Second Amendment to the Credit Facility and the convertible senior notes, partially offset by a lower outstanding average balance under the Credit Facility.</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For the six months ended June 30, 2021, interest expense, net increased from the six months ended June 30, 2020 primarily due to the increase in amortization and write</w:t>
      </w:r>
      <w:r>
        <w:rPr>
          <w:rFonts w:ascii="MS PGothic" w:cs="MS PGothic" w:eastAsia="MS PGothic" w:hAnsi="MS PGothic"/>
          <w:sz w:val="18"/>
          <w:szCs w:val="18"/>
          <w:color w:val="auto"/>
        </w:rPr>
        <w:t>‑</w:t>
      </w:r>
      <w:r>
        <w:rPr>
          <w:rFonts w:ascii="Arial" w:cs="Arial" w:eastAsia="Arial" w:hAnsi="Arial"/>
          <w:sz w:val="18"/>
          <w:szCs w:val="18"/>
          <w:color w:val="auto"/>
        </w:rPr>
        <w:t>off of deferred debt issuance costs in connection with the Second Amendment to the Credit Facility and the convertible senior notes, partially offset by a lower outstanding average balance under the Credit Facility.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Six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88"/>
              </w:rPr>
              <w:t>1,406</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94"/>
              </w:rPr>
              <w:t>(5,183)</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8,507</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(expense) income,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94"/>
              </w:rPr>
              <w:t>(3,777)</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the three months ended June 30, 2021 and 2020, total other (expense) income, net consists of foreign exchange gains (losses) of $1,406 and $4,518, respectively, and $2,198 and $(4,263) for the six months ended June 30, 2021 and 2020, respectively. The foreign exchange gains (losses) derives primarily from U.S. Dollar denominated cash and cash equivalents, accounts receivable, and intercompany balances held by foreign subsidiaries. For the three months ended June 30, 2021 and 2020, intercompany finance transactions denominated in U.S. Dollars resulted in unrealized foreign exchange gains (losses) of $963 and $5,012, respectively, and $1,443 and $(1,765)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7" w:name="page68"/>
    <w:bookmarkEnd w:id="67"/>
    <w:p>
      <w:pPr>
        <w:jc w:val="both"/>
        <w:ind w:firstLine="324"/>
        <w:spacing w:after="0" w:line="301" w:lineRule="auto"/>
        <w:rPr>
          <w:sz w:val="20"/>
          <w:szCs w:val="20"/>
          <w:color w:val="auto"/>
        </w:rPr>
      </w:pPr>
      <w:r>
        <w:rPr>
          <w:rFonts w:ascii="Arial" w:cs="Arial" w:eastAsia="Arial" w:hAnsi="Arial"/>
          <w:sz w:val="16"/>
          <w:szCs w:val="16"/>
          <w:color w:val="auto"/>
        </w:rPr>
        <w:t>For the three months ended June 30, 2021 and 2020, other (expense) income, net includes a loss from the change in fair value of our interest rate swap of $5,926 and $4,174, respectively. For the six months ended June 30, 2021, other (expense) income, net includes a gain from the change in fair value of our interest rate swap of $7,735. For the six months ended June 30, 2020, other (expense) income, net includes a loss from the change in fair value of our interest rate swap of $4,174, partially offset by a gain from the change in fair value of acquisition contingent consideration of $(1,390).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The income tax provisions for the three months ended June 30, 2021 and 2020 were based on the estimated annual effective income tax rates adjusted for discrete items occurring during the periods presented. For the three months ended June 30, 2021 and 2020, we recognized an aggregate consolidated income tax (benefit) expense of $(20,746) and $4,264, respectively, for U.S. domestic and foreign income taxes. For the three months ended June 30, 2021 and 2020, we recorded a discrete tax benefit of $28,967 and $5,281, respectively, associated with stock</w:t>
      </w:r>
      <w:r>
        <w:rPr>
          <w:rFonts w:ascii="MS PGothic" w:cs="MS PGothic" w:eastAsia="MS PGothic" w:hAnsi="MS PGothic"/>
          <w:sz w:val="16"/>
          <w:szCs w:val="16"/>
          <w:color w:val="auto"/>
        </w:rPr>
        <w:t>‑</w:t>
      </w:r>
      <w:r>
        <w:rPr>
          <w:rFonts w:ascii="Arial" w:cs="Arial" w:eastAsia="Arial" w:hAnsi="Arial"/>
          <w:sz w:val="16"/>
          <w:szCs w:val="16"/>
          <w:color w:val="auto"/>
        </w:rPr>
        <w:t>based compensation. The effective income tax rate of (79.8)% for the three months ended June 30, 2021 was lower than the effective income tax rate of 9.7% for the three months ended June 30, 2020 primarily due to the tax benefit associated with stock</w:t>
      </w:r>
      <w:r>
        <w:rPr>
          <w:rFonts w:ascii="MS PGothic" w:cs="MS PGothic" w:eastAsia="MS PGothic" w:hAnsi="MS PGothic"/>
          <w:sz w:val="16"/>
          <w:szCs w:val="16"/>
          <w:color w:val="auto"/>
        </w:rPr>
        <w:t>‑</w:t>
      </w:r>
      <w:r>
        <w:rPr>
          <w:rFonts w:ascii="Arial" w:cs="Arial" w:eastAsia="Arial" w:hAnsi="Arial"/>
          <w:sz w:val="16"/>
          <w:szCs w:val="16"/>
          <w:color w:val="auto"/>
        </w:rPr>
        <w:t>based compensation, partially offset by the impact from officer compensation limitation provisions.</w:t>
      </w:r>
    </w:p>
    <w:p>
      <w:pPr>
        <w:spacing w:after="0" w:line="20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The income tax provisions for the six months ended June 30, 2021 and 2020 were based on the estimated annual effective income tax rates adjusted for discrete items occurring during the periods presented. For the six months ended June 30, 2021 and 2020, we recognized an aggregate consolidated income tax (benefit) expense of $(10,388) and $11,440, respectively, for U.S. domestic and foreign income taxes. For the six months ended June 30, 2021 and 2020, we recorded a discrete tax benefit of $36,452 and $6,423, respectively, associated with stock</w:t>
      </w:r>
      <w:r>
        <w:rPr>
          <w:rFonts w:ascii="MS PGothic" w:cs="MS PGothic" w:eastAsia="MS PGothic" w:hAnsi="MS PGothic"/>
          <w:sz w:val="16"/>
          <w:szCs w:val="16"/>
          <w:color w:val="auto"/>
        </w:rPr>
        <w:t>‑</w:t>
      </w:r>
      <w:r>
        <w:rPr>
          <w:rFonts w:ascii="Arial" w:cs="Arial" w:eastAsia="Arial" w:hAnsi="Arial"/>
          <w:sz w:val="16"/>
          <w:szCs w:val="16"/>
          <w:color w:val="auto"/>
        </w:rPr>
        <w:t>based compensation. The effective income tax rate of (11.1)% for the six months ended June 30, 2021 was lower than the effective income tax rate of 14.1% for the six months ended June 30, 2020 primarily due to the tax benefit associated with stock</w:t>
      </w:r>
      <w:r>
        <w:rPr>
          <w:rFonts w:ascii="MS PGothic" w:cs="MS PGothic" w:eastAsia="MS PGothic" w:hAnsi="MS PGothic"/>
          <w:sz w:val="16"/>
          <w:szCs w:val="16"/>
          <w:color w:val="auto"/>
        </w:rPr>
        <w:t>‑</w:t>
      </w:r>
      <w:r>
        <w:rPr>
          <w:rFonts w:ascii="Arial" w:cs="Arial" w:eastAsia="Arial" w:hAnsi="Arial"/>
          <w:sz w:val="16"/>
          <w:szCs w:val="16"/>
          <w:color w:val="auto"/>
        </w:rPr>
        <w:t>based compensation, partially offset by the impact from officer compensation limitation provisions.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3"/>
              </w:rPr>
              <w:t>Three Months Ended</w:t>
            </w:r>
          </w:p>
        </w:tc>
        <w:tc>
          <w:tcPr>
            <w:tcW w:w="300" w:type="dxa"/>
            <w:vAlign w:val="bottom"/>
          </w:tcPr>
          <w:p>
            <w:pPr>
              <w:spacing w:after="0"/>
              <w:rPr>
                <w:sz w:val="18"/>
                <w:szCs w:val="18"/>
                <w:color w:val="auto"/>
              </w:rPr>
            </w:pPr>
          </w:p>
        </w:tc>
        <w:tc>
          <w:tcPr>
            <w:tcW w:w="2600" w:type="dxa"/>
            <w:vAlign w:val="bottom"/>
            <w:gridSpan w:val="4"/>
          </w:tcPr>
          <w:p>
            <w:pPr>
              <w:jc w:val="center"/>
              <w:ind w:right="235"/>
              <w:spacing w:after="0"/>
              <w:rPr>
                <w:sz w:val="20"/>
                <w:szCs w:val="20"/>
                <w:color w:val="auto"/>
              </w:rPr>
            </w:pPr>
            <w:r>
              <w:rPr>
                <w:rFonts w:ascii="Arial" w:cs="Arial" w:eastAsia="Arial" w:hAnsi="Arial"/>
                <w:sz w:val="16"/>
                <w:szCs w:val="16"/>
                <w:b w:val="1"/>
                <w:bCs w:val="1"/>
                <w:color w:val="auto"/>
                <w:w w:val="92"/>
              </w:rPr>
              <w:t>Six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6"/>
                <w:szCs w:val="16"/>
                <w:b w:val="1"/>
                <w:bCs w:val="1"/>
                <w:color w:val="auto"/>
                <w:w w:val="90"/>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r>
      <w:tr>
        <w:trPr>
          <w:trHeight w:val="25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44,910</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39,076</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101,916</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68,745</w:t>
            </w:r>
          </w:p>
        </w:tc>
      </w:tr>
    </w:tbl>
    <w:p>
      <w:pPr>
        <w:spacing w:after="0" w:line="29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June 30, 2021, net income increased by $5,834, or 14.9%, compared to the three months ended June 30, 2020. For the six months ended June 30, 2021, net income increased by $33,171, or 48.3%, compared to the six months ended June 30, 2020. The changes are due to the factors stated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Adjusted EBITDA and Adjusted Net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733"/>
              <w:spacing w:after="0"/>
              <w:rPr>
                <w:sz w:val="20"/>
                <w:szCs w:val="20"/>
                <w:color w:val="auto"/>
              </w:rPr>
            </w:pPr>
            <w:r>
              <w:rPr>
                <w:rFonts w:ascii="Arial" w:cs="Arial" w:eastAsia="Arial" w:hAnsi="Arial"/>
                <w:sz w:val="16"/>
                <w:szCs w:val="16"/>
                <w:b w:val="1"/>
                <w:bCs w:val="1"/>
                <w:color w:val="auto"/>
              </w:rPr>
              <w:t>Six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5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69,139</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57,575</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151,948</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115,506</w:t>
            </w: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74,316</w:t>
            </w:r>
          </w:p>
        </w:tc>
        <w:tc>
          <w:tcPr>
            <w:tcW w:w="26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46,047</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138,320</w:t>
            </w:r>
          </w:p>
        </w:tc>
        <w:tc>
          <w:tcPr>
            <w:tcW w:w="2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89,203</w:t>
            </w:r>
          </w:p>
        </w:tc>
      </w:tr>
    </w:tbl>
    <w:p>
      <w:pPr>
        <w:spacing w:after="0" w:line="29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For the three and six months ended June 30, 2021, Adjusted EBITDA increased by $11,564 and $36,442 compared to the three and six months ended June 30, 2020, respectively. For the three months ended June 30, 2021 and 2020, Adjusted EBITDA as a percentage of revenue was 31.0% and 31.2%, respectively. For the six months ended June 30, 2021 and 2020, Adjusted EBITDA as a percentage of revenue was 34.2% and 30.5%, respectively.</w:t>
      </w:r>
    </w:p>
    <w:p>
      <w:pPr>
        <w:spacing w:after="0" w:line="14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For the three and six months ended June 30, 2021, Adjusted Net Income increased by $28,269 and $49,117 compared to the three and six months ended June 30, 2020. For the three months ended June 30, 2021 and 2020, Adjusted Net Income as a percentage of revenue was 33.3% and 25.0%, respectively. For the six months ended June 30, 2021 and 2020, Adjusted Net Income as a percentage of revenue was 31.1% and 23.5%, respectively.</w:t>
      </w:r>
    </w:p>
    <w:p>
      <w:pPr>
        <w:spacing w:after="0" w:line="149"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6"/>
          <w:szCs w:val="16"/>
          <w:color w:val="auto"/>
        </w:rPr>
        <w:t>For additional information, including the limitations of using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and reconciliations of the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to the most directly comparable financial measures stated in accordance with U.S. GAAP, see the section titled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primary source of cash is generated from the delivery of subscriptions, perpetual licenses, and services. Our primary use of cash is payment of our operating costs, which consist primarily of colleague-related expenses, such as compensation and benefits, as well as general operating expenses for marketing, facilities, and overhead costs. In addition to operating expenses, we also use cash to fund growth initiatives, which include acquisitions of software assets and businesses. In connection with the acquisition of Seequent in June 2021, we used readily available cash, including a portion of the net proceeds from the 2026 Notes, and borrowings under our Credit Facility to fund the cash component of the transaction. As described further below, we used $25,875 of the net proceeds from the sale of the 2027 Notes to pay the premiums of the capped call options, and $536,062 to repay outstanding indebtedness under the Credit Facility and to pay related fees and expenses. We used $25,530 of the net proceeds from the sale of the 2026 Notes to pay the premiums of the capped call options, and approximately $250,500 to repay outstanding indebtedness under the Credit Facility and to pay related fees and expenses. We used the remainder of the net proceeds from the sale of the 2026 Notes for general corporate purposes and towards funding certain acquisitions, including Seequent.</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cash and cash equivalent balances are concentrated in a few locations around the world, with substantial amounts held outside of the United States. As of June 30, 2021 and December 31, 2020, 93% and 94%, respectively, of our total cash and cash equivalents were located outside of the United States. We intend to continue to permanently reinvest these funds outside of the United States and current plans do not demonstrate a need to repatriate them to fund our U.S. operations. We expect to meet our U.S. liquidity needs through ongoing cash flows or external borrowings including available liquidity under the Credit Facility described below.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United States.</w:t>
      </w:r>
    </w:p>
    <w:p>
      <w:pPr>
        <w:spacing w:after="0" w:line="17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believe that existing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rate of revenue growth, the timing and extent of spending on research and development, the expansion of our sales and marketing activities, the timing of new product introductions, currency fluctuations, market acceptance of our products, competitive factors,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debt financing, including convertible debt, would result in debt service obligations. Such debt instruments also could introduce covenants that might restrict our operations. We cannot provide assurance that we could obtain additional financing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consider all highly liquid investments with an original maturity of three months or less at the date of purchase to be cash equivalents. Our cash and cash equivalents consisted of cash held in checking accounts and money market funds maintained at various financial institutions. The following table presents our foreign and domestic holdings of cash and cash equivalents: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360" w:type="dxa"/>
            <w:vAlign w:val="bottom"/>
          </w:tcPr>
          <w:p>
            <w:pPr>
              <w:jc w:val="right"/>
              <w:ind w:right="234"/>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7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2020</w:t>
            </w: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Held domestically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9,331</w:t>
            </w:r>
          </w:p>
        </w:tc>
        <w:tc>
          <w:tcPr>
            <w:tcW w:w="26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7,861</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Held by foreign subsidiaries</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121,823</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114,145</w:t>
            </w: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131,154</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122,006</w:t>
            </w:r>
          </w:p>
        </w:tc>
      </w:tr>
      <w:tr>
        <w:trPr>
          <w:trHeight w:val="21"/>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amount of cash and cash equivalents held by foreign subsidiaries is subject to translation adjustments caused by changes in foreign currency exchange rates as of the end of each respective reporting period, the offset to which is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on our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Credit Facility</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On January 25, 2021, we entered into the Second Amendment to the Amended and Restated Credit Agreement dated December 19, 2017, which increased the senior secured revolving loan facility from $500,000 to $850,000 and extended the maturity date from December 18, 2022 to November 15, 2025. In connection with the Second Amendment, certain lenders exited the Credit Facility. We performed an extinguishment versus modification assessment on a lender</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lender basis resulting in the write</w:t>
      </w:r>
      <w:r>
        <w:rPr>
          <w:rFonts w:ascii="MS PGothic" w:cs="MS PGothic" w:eastAsia="MS PGothic" w:hAnsi="MS PGothic"/>
          <w:sz w:val="16"/>
          <w:szCs w:val="16"/>
          <w:color w:val="auto"/>
        </w:rPr>
        <w:t>‑</w:t>
      </w:r>
      <w:r>
        <w:rPr>
          <w:rFonts w:ascii="Arial" w:cs="Arial" w:eastAsia="Arial" w:hAnsi="Arial"/>
          <w:sz w:val="16"/>
          <w:szCs w:val="16"/>
          <w:color w:val="auto"/>
        </w:rPr>
        <w:t>off of unamortized debt issuance costs of $353 and the capitalization of fees paid to lenders and third parties of $3,577. Debt issuance costs are amortized to interest expense through the maturity date of November 15, 2025.</w:t>
      </w:r>
    </w:p>
    <w:p>
      <w:pPr>
        <w:spacing w:after="0" w:line="20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June 22, 2021, we entered into the Third Amendment to the Credit Facility, which increased the aggregate amount of approved convertible debt to permit the issuance and sale of additional convertible senior notes. See the section titled “—Convertible Senior Notes—2027 Notes” below.</w:t>
      </w:r>
    </w:p>
    <w:p>
      <w:pPr>
        <w:spacing w:after="0" w:line="146"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addition to the senior secured revolving loan facility, the Credit Facility also provides up to $50,000 of letters of credit and other incremental borrowings subject to availability, including a $85,000 multi</w:t>
      </w:r>
      <w:r>
        <w:rPr>
          <w:rFonts w:ascii="MS PGothic" w:cs="MS PGothic" w:eastAsia="MS PGothic" w:hAnsi="MS PGothic"/>
          <w:sz w:val="18"/>
          <w:szCs w:val="18"/>
          <w:color w:val="auto"/>
        </w:rPr>
        <w:t>‑</w:t>
      </w:r>
      <w:r>
        <w:rPr>
          <w:rFonts w:ascii="Arial" w:cs="Arial" w:eastAsia="Arial" w:hAnsi="Arial"/>
          <w:sz w:val="18"/>
          <w:szCs w:val="18"/>
          <w:color w:val="auto"/>
        </w:rPr>
        <w:t>currency swing</w:t>
      </w:r>
      <w:r>
        <w:rPr>
          <w:rFonts w:ascii="MS PGothic" w:cs="MS PGothic" w:eastAsia="MS PGothic" w:hAnsi="MS PGothic"/>
          <w:sz w:val="18"/>
          <w:szCs w:val="18"/>
          <w:color w:val="auto"/>
        </w:rPr>
        <w:t>‑</w:t>
      </w:r>
      <w:r>
        <w:rPr>
          <w:rFonts w:ascii="Arial" w:cs="Arial" w:eastAsia="Arial" w:hAnsi="Arial"/>
          <w:sz w:val="18"/>
          <w:szCs w:val="18"/>
          <w:color w:val="auto"/>
        </w:rPr>
        <w:t>line sub</w:t>
      </w:r>
      <w:r>
        <w:rPr>
          <w:rFonts w:ascii="MS PGothic" w:cs="MS PGothic" w:eastAsia="MS PGothic" w:hAnsi="MS PGothic"/>
          <w:sz w:val="18"/>
          <w:szCs w:val="18"/>
          <w:color w:val="auto"/>
        </w:rPr>
        <w:t>‑</w:t>
      </w:r>
      <w:r>
        <w:rPr>
          <w:rFonts w:ascii="Arial" w:cs="Arial" w:eastAsia="Arial" w:hAnsi="Arial"/>
          <w:sz w:val="18"/>
          <w:szCs w:val="18"/>
          <w:color w:val="auto"/>
        </w:rPr>
        <w:t>facility and a $200,000 incremental “accordion” sub</w:t>
      </w:r>
      <w:r>
        <w:rPr>
          <w:rFonts w:ascii="MS PGothic" w:cs="MS PGothic" w:eastAsia="MS PGothic" w:hAnsi="MS PGothic"/>
          <w:sz w:val="18"/>
          <w:szCs w:val="18"/>
          <w:color w:val="auto"/>
        </w:rPr>
        <w:t>‑</w:t>
      </w:r>
      <w:r>
        <w:rPr>
          <w:rFonts w:ascii="Arial" w:cs="Arial" w:eastAsia="Arial" w:hAnsi="Arial"/>
          <w:sz w:val="18"/>
          <w:szCs w:val="18"/>
          <w:color w:val="auto"/>
        </w:rPr>
        <w:t>facility. We had $150 of letters of credit and surety bonds outstanding as of June 30, 2021 and December 31, 2020. As of June 30, 2021 and December 31, 2020, we had $813,463 and $253,850 available under the Credit Facility.</w:t>
      </w:r>
    </w:p>
    <w:p>
      <w:pPr>
        <w:spacing w:after="0" w:line="123"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Under the Credit Facility, we may make either Euro currency or non</w:t>
      </w:r>
      <w:r>
        <w:rPr>
          <w:rFonts w:ascii="MS PGothic" w:cs="MS PGothic" w:eastAsia="MS PGothic" w:hAnsi="MS PGothic"/>
          <w:sz w:val="17"/>
          <w:szCs w:val="17"/>
          <w:color w:val="auto"/>
        </w:rPr>
        <w:t>‑</w:t>
      </w:r>
      <w:r>
        <w:rPr>
          <w:rFonts w:ascii="Arial" w:cs="Arial" w:eastAsia="Arial" w:hAnsi="Arial"/>
          <w:sz w:val="17"/>
          <w:szCs w:val="17"/>
          <w:color w:val="auto"/>
        </w:rPr>
        <w:t>Euro currency interest rate elections. Interest on the Euro currency borrowings bear a base interest rate of LIBOR plus a spread ranging from 125 basis points (“bps”) to 225 bps as determined by our net leverage ratio. Under the non</w:t>
      </w:r>
      <w:r>
        <w:rPr>
          <w:rFonts w:ascii="MS PGothic" w:cs="MS PGothic" w:eastAsia="MS PGothic" w:hAnsi="MS PGothic"/>
          <w:sz w:val="17"/>
          <w:szCs w:val="17"/>
          <w:color w:val="auto"/>
        </w:rPr>
        <w:t>‑</w:t>
      </w:r>
      <w:r>
        <w:rPr>
          <w:rFonts w:ascii="Arial" w:cs="Arial" w:eastAsia="Arial" w:hAnsi="Arial"/>
          <w:sz w:val="17"/>
          <w:szCs w:val="17"/>
          <w:color w:val="auto"/>
        </w:rPr>
        <w:t>Euro currency elections, Credit Facility borrowings bear a base interest rate of the highest of (i) the prime rate, (ii) the overnight bank funding effective rate plus 50 bps, or (iii) LIBOR plus 100 bps, plus a spread ranging from 25 bps to 125 bps as determined by our leverage ratio. In addition, a commitment fee for the unused Credit Facility ranges from 20 bps to 30 bps as determined by our net leverage ratio.</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Borrowings under the Credit Facility are guaranteed by all of our first tier domestic subsidiaries and are secured by a first priority security interest in substantially all of our and the guarantors’ U.S. assets and 65% of the stock of their directly owned foreign subsidiaries. The Credit Facility contains both affirmative and negative covenants, including maximum leverage ratios. As of June 30, 2021 and December 31, 2020, we were in compliance with all covenants in our Credit Facility debt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1" w:name="page72"/>
    <w:bookmarkEnd w:id="71"/>
    <w:p>
      <w:pPr>
        <w:jc w:val="both"/>
        <w:ind w:firstLine="324"/>
        <w:spacing w:after="0" w:line="273" w:lineRule="auto"/>
        <w:rPr>
          <w:sz w:val="20"/>
          <w:szCs w:val="20"/>
          <w:color w:val="auto"/>
        </w:rPr>
      </w:pPr>
      <w:r>
        <w:rPr>
          <w:rFonts w:ascii="Arial" w:cs="Arial" w:eastAsia="Arial" w:hAnsi="Arial"/>
          <w:sz w:val="17"/>
          <w:szCs w:val="17"/>
          <w:color w:val="auto"/>
        </w:rPr>
        <w:t xml:space="preserve">Interest rate risk associated with the Credit Facility is managed through an interest rate swap which we executed on March 31, 2020. The swap has an effective date of April 2, 2020 and a termination date of April 2, 2030. Under the terms of the swap, we fixed our LIBOR borrowing rate at 0.73% on a notional amount of $200,000. The interest rate swap is not designated as a hedging instrument for accounting purposes. We account for the swap as either an asset or a liability on the consolidated balance sheet and carry the derivative at fair value. Gains and losses from the change in fair value are recognized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in the consolidated statements of operations. As of June 30, 2021 and December 31, 2020, we recorded a swap related asset at fair value of $8,082 and $347, respectively, in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in the consolidated balance sheets.</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weighted average interest rate under the Credit Facility was 2.11% and 1.48% for the three months ended June 30, 2021 and 2020, respectively, and 2.02% and 2.18% for the six months ended June 30, 2021 and 2020, respectively.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agreement governing the Credit Facility contains customary events of default, including, without limitation, payment defaults, breaches of representations and warranties, covenants defaults, cross-defaults to certain other indebtedness in excess of $50,000, certain events of bankruptcy and insolvency, judgment defaults in excess of $10,000, failure of any security document supporting the Credit Facility to be in full force and effect, and a change of control.</w:t>
      </w:r>
    </w:p>
    <w:p>
      <w:pPr>
        <w:spacing w:after="0" w:line="18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Voluntary prepayments of amounts outstanding under the Credit Facility, in whole or in part, are permitted at any time, so long as we give notice as required by the Credit Facility. However, if prepayment is made with respect to a LIBOR</w:t>
      </w:r>
      <w:r>
        <w:rPr>
          <w:rFonts w:ascii="MS PGothic" w:cs="MS PGothic" w:eastAsia="MS PGothic" w:hAnsi="MS PGothic"/>
          <w:sz w:val="18"/>
          <w:szCs w:val="18"/>
          <w:color w:val="auto"/>
        </w:rPr>
        <w:t>‑</w:t>
      </w:r>
      <w:r>
        <w:rPr>
          <w:rFonts w:ascii="Arial" w:cs="Arial" w:eastAsia="Arial" w:hAnsi="Arial"/>
          <w:sz w:val="18"/>
          <w:szCs w:val="18"/>
          <w:color w:val="auto"/>
        </w:rPr>
        <w:t>based loan and the prepayment is made on a date other than an interest payment date, we must pay customary breakage costs.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2027 Notes. </w:t>
      </w:r>
      <w:r>
        <w:rPr>
          <w:rFonts w:ascii="Arial" w:cs="Arial" w:eastAsia="Arial" w:hAnsi="Arial"/>
          <w:sz w:val="17"/>
          <w:szCs w:val="17"/>
          <w:color w:val="auto"/>
        </w:rPr>
        <w:t>On June 28, 2021, we completed a private offering of $575,000 of 0.375% convertible senior notes due 2027. The 2027 Notes were issued</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an indenture, dated as of June 28, 2021, between the Company and Wilmington Trust, National Association, as trustee (the “2027 Trustee”) (the “2027 Indenture”). Interest will accrue from June 28, 2021 and will be payable semi</w:t>
      </w:r>
      <w:r>
        <w:rPr>
          <w:rFonts w:ascii="MS PGothic" w:cs="MS PGothic" w:eastAsia="MS PGothic" w:hAnsi="MS PGothic"/>
          <w:sz w:val="17"/>
          <w:szCs w:val="17"/>
          <w:color w:val="auto"/>
        </w:rPr>
        <w:t>‑</w:t>
      </w:r>
      <w:r>
        <w:rPr>
          <w:rFonts w:ascii="Arial" w:cs="Arial" w:eastAsia="Arial" w:hAnsi="Arial"/>
          <w:sz w:val="17"/>
          <w:szCs w:val="17"/>
          <w:color w:val="auto"/>
        </w:rPr>
        <w:t xml:space="preserve">annually in arrears in cash on January 1 and July 1 of each year, with the first payment due on January 1, 2022. The 2027 Notes will mature on July 1, 2027, unless earlier converted, redeemed or repurchased. We incurred $15,065 of expenses in connection with the 2027 Notes offering consisting of transaction costs. As of June 30, 2021, $300 and $392 of the transaction costs were recorded in </w:t>
      </w:r>
      <w:r>
        <w:rPr>
          <w:rFonts w:ascii="Arial" w:cs="Arial" w:eastAsia="Arial" w:hAnsi="Arial"/>
          <w:sz w:val="17"/>
          <w:szCs w:val="17"/>
          <w:i w:val="1"/>
          <w:iCs w:val="1"/>
          <w:color w:val="auto"/>
        </w:rPr>
        <w:t>Accounts payable</w:t>
      </w:r>
      <w:r>
        <w:rPr>
          <w:rFonts w:ascii="Arial" w:cs="Arial" w:eastAsia="Arial" w:hAnsi="Arial"/>
          <w:sz w:val="17"/>
          <w:szCs w:val="17"/>
          <w:color w:val="auto"/>
        </w:rPr>
        <w:t xml:space="preserve"> and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in the consolidated balance sheet, respectively. We used $25,875 of the net proceeds from the sale of the 2027 Notes to pay the premiums of the capped call options described further below, and $536,062 to repay outstanding indebtedness under the Credit Facility and to pay related fees and expenses.</w:t>
      </w:r>
    </w:p>
    <w:p>
      <w:pPr>
        <w:spacing w:after="0" w:line="20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our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our Class B Common Stock on such trading day and the conversion rate on such trading day; (3) upon the occurrence of certain corporate events or distributions on our Class B Common Stock, as described in the 2027 Indenture; and (4) if we call the 2027 Notes for redemption. On or after April 1, 2027 until 5:00 p.m., New York City time, on the second scheduled trading day immediately before the maturity date, the 2027 Notes will be convertible at the option of the holder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2" w:name="page73"/>
    <w:bookmarkEnd w:id="72"/>
    <w:p>
      <w:pPr>
        <w:jc w:val="both"/>
        <w:ind w:firstLine="324"/>
        <w:spacing w:after="0" w:line="257" w:lineRule="auto"/>
        <w:rPr>
          <w:sz w:val="20"/>
          <w:szCs w:val="20"/>
          <w:color w:val="auto"/>
        </w:rPr>
      </w:pPr>
      <w:r>
        <w:rPr>
          <w:rFonts w:ascii="Arial" w:cs="Arial" w:eastAsia="Arial" w:hAnsi="Arial"/>
          <w:sz w:val="18"/>
          <w:szCs w:val="18"/>
          <w:color w:val="auto"/>
        </w:rPr>
        <w:t>We will settle conversions by paying or delivering, as applicable, cash, shares of our Class B Common Stock or a combination of cash and shares of our Class B Common Stock, at our election, based on the applicable conversion rate. The initial conversion rate is 12.0153 shares of our Class B Common Stock per $1 principal amount of 2027 Notes, which represents an initial conversion price of approximately $83.23 per share, and is subject to adjustment as described in the 2027 Indenture. If a “make-whole fundamental change” (as defined in the 2027 Indenture) occurs, then we will, in certain circumstances, increase the conversion rate for a specified period of time.</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will have the option to redeem the 2027 Notes in whole or in part at any time on or after July 5, 2024 and on or before the 40th scheduled trading day immediately before the maturity date if the last reported sale price per share of our Class B common stock exceeds 130% of the conversion price on</w:t>
      </w:r>
    </w:p>
    <w:p>
      <w:pPr>
        <w:jc w:val="both"/>
        <w:ind w:firstLine="8"/>
        <w:spacing w:after="0" w:line="253" w:lineRule="auto"/>
        <w:tabs>
          <w:tab w:leader="none" w:pos="2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at least 20 trading days, whether or not consecutive, during any 30 consecutive trading days ending on, and including, the trading day immediately before the date we send the related redemption notice; and (2) the trading day immediately before the date we send such notice. The redemption price will be equal to the principal amount of the 2027 Notes to be redeemed, plus accrued and unpaid interest, if any, to, but excluding, the redemption date.</w:t>
      </w:r>
    </w:p>
    <w:p>
      <w:pPr>
        <w:spacing w:after="0" w:line="19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Upon a fundamental change (as defined in the 2027 Indenture), holders may, subject to certain exceptions, require us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(as defined in the 2027 Indenture), we will, under certain circumstances, increase the applicable conversion rate for a holder that elects to convert its 2027 Notes in connection with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No adjustment to the conversion rate will be made if the stock price in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is either less than $61.65 per share or greater than $325.00 per share. We will not increase the conversion rate to an amount that exceeds 16.2206 shares per $1 principal amount of 2027 Notes, subject to adjustment. The 2027 Indenture also contains a customary merger covenant.</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Under the 2027 Indenture, the 2027 Notes may be accelerated upon the occurrence of certain customary events of default. If certain bankruptcy and insolvency</w:t>
      </w:r>
      <w:r>
        <w:rPr>
          <w:rFonts w:ascii="MS PGothic" w:cs="MS PGothic" w:eastAsia="MS PGothic" w:hAnsi="MS PGothic"/>
          <w:sz w:val="17"/>
          <w:szCs w:val="17"/>
          <w:color w:val="auto"/>
        </w:rPr>
        <w:t>‑</w:t>
      </w:r>
      <w:r>
        <w:rPr>
          <w:rFonts w:ascii="Arial" w:cs="Arial" w:eastAsia="Arial" w:hAnsi="Arial"/>
          <w:sz w:val="17"/>
          <w:szCs w:val="17"/>
          <w:color w:val="auto"/>
        </w:rPr>
        <w:t>related events of default with respect to us occur, the principal of, and accrued and unpaid interest on, all of the then outstanding 2027 Notes shall automatically become due and payable. If any other event of default occurs and is continuing, the 2027 Trustee by notice to us, or the holders of the 2027 Notes of at least 25% in principal amount of the outstanding 2027 Notes by notice to us and the 2027 Trustee, may declare the principal of, and accrued and unpaid interest on, all of the then outstanding 2027 Notes to be due and payable. Notwithstanding the foregoing, the 2027 Indenture provides that, to the extent we elect, the sole remedy for an event of default relating to certain failures by us to comply with reporting covenant in the 2027 Indenture consists exclusively of the right to receive additional interest on the 2027 Notes.</w:t>
      </w:r>
    </w:p>
    <w:p>
      <w:pPr>
        <w:spacing w:after="0" w:line="206"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color w:val="auto"/>
        </w:rPr>
        <w:t>We early adopted ASU 2020</w:t>
      </w:r>
      <w:r>
        <w:rPr>
          <w:rFonts w:ascii="MS PGothic" w:cs="MS PGothic" w:eastAsia="MS PGothic" w:hAnsi="MS PGothic"/>
          <w:sz w:val="16"/>
          <w:szCs w:val="16"/>
          <w:color w:val="auto"/>
        </w:rPr>
        <w:t>‑</w:t>
      </w:r>
      <w:r>
        <w:rPr>
          <w:rFonts w:ascii="Arial" w:cs="Arial" w:eastAsia="Arial" w:hAnsi="Arial"/>
          <w:sz w:val="16"/>
          <w:szCs w:val="16"/>
          <w:color w:val="auto"/>
        </w:rPr>
        <w:t>06 as of January 1, 2021 and concluded the 2027 Notes will be accounted for as debt, with no bifurcation of the embedded conversion feature. Transaction costs were recorded as a direct deduction from the related debt liability in the consolidated balance sheet and are amortized to interest expense using the effective interest method over the term of the 2027 Notes. The effective interest rate for the 2027 Notes is 0.864%.</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none of the conditions of the 2027 Notes to early convert has been met.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2027 Notes are our senior, unsecured obligations that rank senior in right of payment to our future indebtedness that is expressly subordinated to the 2027 Notes, rank equally in right of payment with our existing and future senior unsecured indebtedness that is not so subordinated (including our 2026 Notes), effectively subordinated to our existing and future secured indebtedness (including obligations under our senior secured credit facilities), to the extent of the value of the collateral securing such indebtedness, and structurally subordinated to all existing and future indebtedness and other liabilities (including trade payables and preferred equity (to the extent we are not a holder thereof)) of our subsidiaries. The 2027 Notes contain both affirmative and negative covenants. As of June 30, 2021, we were in compliance with all covenants in the 2027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3" w:name="page74"/>
    <w:bookmarkEnd w:id="73"/>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Capped Call Options. </w:t>
      </w:r>
      <w:r>
        <w:rPr>
          <w:rFonts w:ascii="Arial" w:cs="Arial" w:eastAsia="Arial" w:hAnsi="Arial"/>
          <w:sz w:val="16"/>
          <w:szCs w:val="16"/>
          <w:color w:val="auto"/>
        </w:rPr>
        <w:t>In connection with the pricing of the 2027 Notes, we entered into capped call options with certain of the initial purchasers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their respective affiliates and certain other financial institutions. We incurred $50 of expenses in connection with the capped call options, which were recorded in </w:t>
      </w:r>
      <w:r>
        <w:rPr>
          <w:rFonts w:ascii="Arial" w:cs="Arial" w:eastAsia="Arial" w:hAnsi="Arial"/>
          <w:sz w:val="16"/>
          <w:szCs w:val="16"/>
          <w:i w:val="1"/>
          <w:iCs w:val="1"/>
          <w:color w:val="auto"/>
        </w:rPr>
        <w:t>Accruals and other current liabilities</w:t>
      </w:r>
      <w:r>
        <w:rPr>
          <w:rFonts w:ascii="Arial" w:cs="Arial" w:eastAsia="Arial" w:hAnsi="Arial"/>
          <w:sz w:val="16"/>
          <w:szCs w:val="16"/>
          <w:color w:val="auto"/>
        </w:rPr>
        <w:t xml:space="preserve"> in the consolidated balance sheet as of June 30, 2021. The capped call options are expected to reduce potential dilution to our Class B Common Stock upon any conversion of 2027 Notes and/or offset any cash payments we are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our Class B Common Stock on the Nasdaq Global Select Market on June 23, 2021 and is subject to customary adjustments under the terms of the capped call options.</w:t>
      </w:r>
    </w:p>
    <w:p>
      <w:pPr>
        <w:spacing w:after="0" w:line="16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we account for the capped call options separately from the 2027 Notes. The capped call options are indexed to our own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1"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2026 Notes. </w:t>
      </w:r>
      <w:r>
        <w:rPr>
          <w:rFonts w:ascii="Arial" w:cs="Arial" w:eastAsia="Arial" w:hAnsi="Arial"/>
          <w:sz w:val="17"/>
          <w:szCs w:val="17"/>
          <w:color w:val="auto"/>
        </w:rPr>
        <w:t>On January 26, 2021, we completed a private offering of $690,000 of 0.125% convertible senior notes due 2026. The 2026 Notes were</w:t>
      </w:r>
      <w:r>
        <w:rPr>
          <w:rFonts w:ascii="Arial" w:cs="Arial" w:eastAsia="Arial" w:hAnsi="Arial"/>
          <w:sz w:val="17"/>
          <w:szCs w:val="17"/>
          <w:i w:val="1"/>
          <w:iCs w:val="1"/>
          <w:color w:val="auto"/>
        </w:rPr>
        <w:t xml:space="preserve"> </w:t>
      </w:r>
      <w:r>
        <w:rPr>
          <w:rFonts w:ascii="Arial" w:cs="Arial" w:eastAsia="Arial" w:hAnsi="Arial"/>
          <w:sz w:val="17"/>
          <w:szCs w:val="17"/>
          <w:color w:val="auto"/>
        </w:rPr>
        <w:t>issued pursuant to an indenture, dated as of January 26, 2021, between the Company and Wilmington Trust, National Association, as trustee (the “2026 Trustee”) (the “2026 Indenture”). Interest will accrue from January 26, 2021 and will be payable semi</w:t>
      </w:r>
      <w:r>
        <w:rPr>
          <w:rFonts w:ascii="MS PGothic" w:cs="MS PGothic" w:eastAsia="MS PGothic" w:hAnsi="MS PGothic"/>
          <w:sz w:val="17"/>
          <w:szCs w:val="17"/>
          <w:color w:val="auto"/>
        </w:rPr>
        <w:t>‑</w:t>
      </w:r>
      <w:r>
        <w:rPr>
          <w:rFonts w:ascii="Arial" w:cs="Arial" w:eastAsia="Arial" w:hAnsi="Arial"/>
          <w:sz w:val="17"/>
          <w:szCs w:val="17"/>
          <w:color w:val="auto"/>
        </w:rPr>
        <w:t>annually in arrears in cash on January 15 and July 15 of each year, with the first payment due on July 15, 2021. The 2026 Notes will mature on January 15, 2026, unless earlier converted, redeemed or repurchased. We incurred $18,055 of expenses in connection with the 2026 Notes offering consisting of transaction costs. We used $25,530 of the net proceeds from the sale of the 2026 Notes to pay the premiums of the capped call options described further below, and approximately $250,500 to repay outstanding indebtedness under the Credit Facility and to pay related fees and expenses. We used the remainder of the net proceeds from the sale of the 2026 Notes for general corporate purposes and towards funding certain acquisitions, including Seequent.</w:t>
      </w:r>
    </w:p>
    <w:p>
      <w:pPr>
        <w:spacing w:after="0" w:line="20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our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our Class B Common Stock on such trading day and the conversion rate on such trading day; (3) upon the occurrence of certain corporate events or distributions on our Class B Common Stock, as described in the 2026 Indenture; and (4) if we call the 2026 Notes for redemption. On or after October 15, 2025 until 5:00 p.m., New York City time, on the second scheduled trading day immediately before the maturity date, the 2026 Notes will be convertible at the option of the holder at any time.</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settle conversions by paying or delivering, as applicable, cash, shares of our Class B Common Stock or a combination of cash and shares of our Class B Common Stock, at our election, based on the applicable conversion rate. The initial conversion rate is 15.5925 shares of our Class B Common Stock per $1 principal amount of 2026 Notes, which represents an initial conversion price of approximately $64.13 per share, and is subject to adjustment as described in the 2026 Indenture. If a “make-whole fundamental change” (as defined in the 2026 Indenture) occurs, then we will, in certain circumstances, increase the conversion rate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4" w:name="page75"/>
    <w:bookmarkEnd w:id="74"/>
    <w:p>
      <w:pPr>
        <w:jc w:val="both"/>
        <w:ind w:firstLine="324"/>
        <w:spacing w:after="0" w:line="255" w:lineRule="auto"/>
        <w:rPr>
          <w:sz w:val="20"/>
          <w:szCs w:val="20"/>
          <w:color w:val="auto"/>
        </w:rPr>
      </w:pPr>
      <w:r>
        <w:rPr>
          <w:rFonts w:ascii="Arial" w:cs="Arial" w:eastAsia="Arial" w:hAnsi="Arial"/>
          <w:sz w:val="18"/>
          <w:szCs w:val="18"/>
          <w:color w:val="auto"/>
        </w:rPr>
        <w:t>We will have the option to redeem the 2026 Notes in whole or in part at any time on or after January 20, 2024 and on or before the 40th scheduled trading day immediately before the maturity date if the last reported sale price per share of our Class B common stock exceeds 130% of the conversion price on (1) each of at least 20 trading days, whether or not consecutive, during any 30 consecutive trading days ending on, and including, the trading day immediately before the date we send the related redemption notice; and (2) the trading day immediately before the date we send such notice. The redemption price will be equal to the principal amount of the 2026 Notes to be redeemed, plus accrued and unpaid interest, if any, to, but excluding, the redemption date.</w:t>
      </w:r>
    </w:p>
    <w:p>
      <w:pPr>
        <w:spacing w:after="0" w:line="192"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Upon a fundamental change (as defined in the 2026 Indenture), holders may, subject to certain exceptions, require us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(as defined in the 2026 Indenture), we will, under certain circumstances, increase the applicable conversion rate for a holder that elects to convert its 2026 Notes in connection with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No adjustment to the conversion rate will be made if the stock price in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is either less than $44.23 per share or greater than $210.00 per share. We will not increase the conversion rate to an amount that exceeds 22.6090 shares per $1 principal amount of 2026 Notes, subject to adjustment. The 2026 Indenture also contains a customary merger covenant.</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Under the 2026 Indenture, the 2026 Notes may be accelerated upon the occurrence of certain customary events of default. If certain bankruptcy and insolvency</w:t>
      </w:r>
      <w:r>
        <w:rPr>
          <w:rFonts w:ascii="MS PGothic" w:cs="MS PGothic" w:eastAsia="MS PGothic" w:hAnsi="MS PGothic"/>
          <w:sz w:val="17"/>
          <w:szCs w:val="17"/>
          <w:color w:val="auto"/>
        </w:rPr>
        <w:t>‑</w:t>
      </w:r>
      <w:r>
        <w:rPr>
          <w:rFonts w:ascii="Arial" w:cs="Arial" w:eastAsia="Arial" w:hAnsi="Arial"/>
          <w:sz w:val="17"/>
          <w:szCs w:val="17"/>
          <w:color w:val="auto"/>
        </w:rPr>
        <w:t>related events of default with respect to us occur, the principal of, and accrued and unpaid interest on, all of the then outstanding 2026 Notes shall automatically become due and payable. If any other event of default occurs and is continuing, the 2026 Trustee by notice to us, or the holders of the 2026 Notes of at least 25% in principal amount of the outstanding 2026 Notes by notice to us and the 2026 Trustee, may declare the principal of, and accrued and unpaid interest on, all of the then outstanding 2026 Notes to be due and payable. Notwithstanding the foregoing, the 2026 Indenture provides that, to the extent we elect, the sole remedy for an event of default relating to certain failures by us to comply with reporting covenant in the 2026 Indenture consists exclusively of the right to receive additional interest on the 2026 Notes.</w:t>
      </w:r>
    </w:p>
    <w:p>
      <w:pPr>
        <w:spacing w:after="0" w:line="20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As previously mentioned, we early adopted ASU No. 2020</w:t>
      </w:r>
      <w:r>
        <w:rPr>
          <w:rFonts w:ascii="MS PGothic" w:cs="MS PGothic" w:eastAsia="MS PGothic" w:hAnsi="MS PGothic"/>
          <w:sz w:val="17"/>
          <w:szCs w:val="17"/>
          <w:color w:val="auto"/>
        </w:rPr>
        <w:t>‑</w:t>
      </w:r>
      <w:r>
        <w:rPr>
          <w:rFonts w:ascii="Arial" w:cs="Arial" w:eastAsia="Arial" w:hAnsi="Arial"/>
          <w:sz w:val="17"/>
          <w:szCs w:val="17"/>
          <w:color w:val="auto"/>
        </w:rPr>
        <w:t xml:space="preserve">06, </w:t>
      </w:r>
      <w:r>
        <w:rPr>
          <w:rFonts w:ascii="Arial" w:cs="Arial" w:eastAsia="Arial" w:hAnsi="Arial"/>
          <w:sz w:val="17"/>
          <w:szCs w:val="17"/>
          <w:i w:val="1"/>
          <w:iCs w:val="1"/>
          <w:color w:val="auto"/>
        </w:rPr>
        <w:t>Debt–Debt with Conversion and Other Options (Subtopic 470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Hedging–Contracts in Entity’s Own Equity (Subtopic 815</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40): Accounting for Convertible Instruments and Contracts in an Entity’s Own Equity </w:t>
      </w:r>
      <w:r>
        <w:rPr>
          <w:rFonts w:ascii="Arial" w:cs="Arial" w:eastAsia="Arial" w:hAnsi="Arial"/>
          <w:sz w:val="17"/>
          <w:szCs w:val="17"/>
          <w:color w:val="auto"/>
        </w:rPr>
        <w:t>(“ASU 2020</w:t>
      </w:r>
      <w:r>
        <w:rPr>
          <w:rFonts w:ascii="MS PGothic" w:cs="MS PGothic" w:eastAsia="MS PGothic" w:hAnsi="MS PGothic"/>
          <w:sz w:val="17"/>
          <w:szCs w:val="17"/>
          <w:color w:val="auto"/>
        </w:rPr>
        <w:t>‑</w:t>
      </w:r>
      <w:r>
        <w:rPr>
          <w:rFonts w:ascii="Arial" w:cs="Arial" w:eastAsia="Arial" w:hAnsi="Arial"/>
          <w:sz w:val="17"/>
          <w:szCs w:val="17"/>
          <w:color w:val="auto"/>
        </w:rPr>
        <w:t>06”) as of January 1, 2021 and concluded the 2026 Notes will be accounted for as debt, with no bifurcation of the embedded conversion feature. Transaction costs were recorded as a direct deduction from the related debt liability in the consolidated balance sheet and are amortized to interest expense using the effective interest method over the term of the 2026 Notes. The effective interest rate for the 2026 Notes is 0.658%.</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none of the conditions of the 2026 Notes to early convert has been met.</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2026 Notes are our senior, unsecured obligations that rank senior in right of payment to our future indebtedness that is expressly subordinated to the 2026 Notes, rank equally in right of payment with our existing and future senior unsecured indebtedness that is not so subordinated (including our 2027 Notes, see the section titled “—2027 Notes” below), effectively subordinated to our existing and future secured indebtedness (including obligations under our senior secured credit facilities), to the extent of the value of the collateral securing such indebtedness, and structurally subordinated to all existing and future indebtedness and other liabilities (including trade payables and preferred equity (to the extent we are not a holder thereof)) of our subsidiaries. The 2026 Notes contain both affirmative and negative covenants. As of June 30, 2021, we were in compliance with all covenants in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5" w:name="page76"/>
    <w:bookmarkEnd w:id="75"/>
    <w:p>
      <w:pPr>
        <w:jc w:val="both"/>
        <w:ind w:firstLine="324"/>
        <w:spacing w:after="0" w:line="254" w:lineRule="auto"/>
        <w:rPr>
          <w:sz w:val="20"/>
          <w:szCs w:val="20"/>
          <w:color w:val="auto"/>
        </w:rPr>
      </w:pPr>
      <w:r>
        <w:rPr>
          <w:rFonts w:ascii="Arial" w:cs="Arial" w:eastAsia="Arial" w:hAnsi="Arial"/>
          <w:sz w:val="18"/>
          <w:szCs w:val="18"/>
          <w:i w:val="1"/>
          <w:iCs w:val="1"/>
          <w:color w:val="auto"/>
        </w:rPr>
        <w:t>Capped Call Options</w:t>
      </w:r>
      <w:r>
        <w:rPr>
          <w:rFonts w:ascii="Arial" w:cs="Arial" w:eastAsia="Arial" w:hAnsi="Arial"/>
          <w:sz w:val="18"/>
          <w:szCs w:val="18"/>
          <w:color w:val="auto"/>
        </w:rPr>
        <w:t>. In connection with the pricing of the 2026 Notes, we entered into capped call options with certain of the initial purchasers or</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respective affiliates and certain other financial institutions. We incurred $150 of expenses in connection with the capped call options. The capped call options are expected to reduce potential dilution to our Class B Common Stock upon any conversion of 2026 Notes and/or offset any cash payments we are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our Class B Common Stock on the Nasdaq Global Select Market on January 21, 2021 and is subject to customary adjustments under the terms of the capped call options.</w:t>
      </w:r>
    </w:p>
    <w:p>
      <w:pPr>
        <w:spacing w:after="0" w:line="19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we account for the capped call options separately from the 2026 Notes. The capped call options are indexed to our own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 activities for the six months ended June 30, 2021 and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149,022</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540"/>
              <w:spacing w:after="0"/>
              <w:rPr>
                <w:sz w:val="20"/>
                <w:szCs w:val="20"/>
                <w:color w:val="auto"/>
              </w:rPr>
            </w:pPr>
            <w:r>
              <w:rPr>
                <w:rFonts w:ascii="Arial" w:cs="Arial" w:eastAsia="Arial" w:hAnsi="Arial"/>
                <w:sz w:val="18"/>
                <w:szCs w:val="18"/>
                <w:color w:val="auto"/>
                <w:w w:val="98"/>
              </w:rPr>
              <w:t>136,182</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(1,008,001)</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2"/>
              </w:rPr>
              <w:t>(78,979)</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866,510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ind w:left="560"/>
              <w:spacing w:after="0"/>
              <w:rPr>
                <w:sz w:val="20"/>
                <w:szCs w:val="20"/>
                <w:color w:val="auto"/>
              </w:rPr>
            </w:pPr>
            <w:r>
              <w:rPr>
                <w:rFonts w:ascii="Arial" w:cs="Arial" w:eastAsia="Arial" w:hAnsi="Arial"/>
                <w:sz w:val="18"/>
                <w:szCs w:val="18"/>
                <w:color w:val="auto"/>
                <w:w w:val="92"/>
              </w:rPr>
              <w:t>(52,556)</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Net cash provided by operating activities was $149,022 for the six months ended June 30, 2021. Compared to the same period in the prior year, net cash from operating activities was higher by $12,840 due to an increase in net income of $33,171 and the net increase in non</w:t>
      </w:r>
      <w:r>
        <w:rPr>
          <w:rFonts w:ascii="MS PGothic" w:cs="MS PGothic" w:eastAsia="MS PGothic" w:hAnsi="MS PGothic"/>
          <w:sz w:val="16"/>
          <w:szCs w:val="16"/>
          <w:color w:val="auto"/>
        </w:rPr>
        <w:t>‑</w:t>
      </w:r>
      <w:r>
        <w:rPr>
          <w:rFonts w:ascii="Arial" w:cs="Arial" w:eastAsia="Arial" w:hAnsi="Arial"/>
          <w:sz w:val="16"/>
          <w:szCs w:val="16"/>
          <w:color w:val="auto"/>
        </w:rPr>
        <w:t>cash adjustments of $1,098 primarily related to the increase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partially offset by a gain from the change in fair value of our interest rate swap. Partially offsetting these increases in net cash provided by operating activities was a net decrease in net cash flows from the change in operating assets and liabilities of $21,429. The net decrease in cash flows from the change in operating assets and liabilities was primarily due to an increase in accounts receivable due to timing of collections from customers and an increase in prepaid income taxes, partially offset by an increase in accounts payable, accruals, and other liabilities primarily related to the increase in CSS deposits and an increase from the change in deferred revenues.</w:t>
      </w:r>
    </w:p>
    <w:p>
      <w:pPr>
        <w:spacing w:after="0" w:line="204" w:lineRule="exact"/>
        <w:rPr>
          <w:sz w:val="20"/>
          <w:szCs w:val="20"/>
          <w:color w:val="auto"/>
        </w:rPr>
      </w:pPr>
    </w:p>
    <w:p>
      <w:pPr>
        <w:jc w:val="both"/>
        <w:ind w:right="20" w:firstLine="324"/>
        <w:spacing w:after="0" w:line="223" w:lineRule="exact"/>
        <w:rPr>
          <w:sz w:val="20"/>
          <w:szCs w:val="20"/>
          <w:color w:val="auto"/>
        </w:rPr>
      </w:pPr>
      <w:r>
        <w:rPr>
          <w:rFonts w:ascii="Arial" w:cs="Arial" w:eastAsia="Arial" w:hAnsi="Arial"/>
          <w:sz w:val="18"/>
          <w:szCs w:val="18"/>
          <w:color w:val="auto"/>
        </w:rPr>
        <w:t>For the six months ended June 30, 2020, net cash provided by operating activities was $136,182 due to net income of $68,745 increased by $34,551 of non</w:t>
      </w:r>
      <w:r>
        <w:rPr>
          <w:rFonts w:ascii="MS PGothic" w:cs="MS PGothic" w:eastAsia="MS PGothic" w:hAnsi="MS PGothic"/>
          <w:sz w:val="18"/>
          <w:szCs w:val="18"/>
          <w:color w:val="auto"/>
        </w:rPr>
        <w:t>‑</w:t>
      </w:r>
      <w:r>
        <w:rPr>
          <w:rFonts w:ascii="Arial" w:cs="Arial" w:eastAsia="Arial" w:hAnsi="Arial"/>
          <w:sz w:val="18"/>
          <w:szCs w:val="18"/>
          <w:color w:val="auto"/>
        </w:rPr>
        <w:t>cash adjustments and $32,886 from changes in operating assets and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Net cash used in investing activities was $1,008,001 for the six months ended June 30, 2021, primarily due to $4,750 related to purchases of property and equipment and investment in capitalized software and $1,002,551 in acquisition related payments, net of cash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6" w:name="page77"/>
    <w:bookmarkEnd w:id="76"/>
    <w:p>
      <w:pPr>
        <w:jc w:val="both"/>
        <w:ind w:firstLine="324"/>
        <w:spacing w:after="0" w:line="277" w:lineRule="auto"/>
        <w:rPr>
          <w:sz w:val="20"/>
          <w:szCs w:val="20"/>
          <w:color w:val="auto"/>
        </w:rPr>
      </w:pPr>
      <w:r>
        <w:rPr>
          <w:rFonts w:ascii="Arial" w:cs="Arial" w:eastAsia="Arial" w:hAnsi="Arial"/>
          <w:sz w:val="18"/>
          <w:szCs w:val="18"/>
          <w:color w:val="auto"/>
        </w:rPr>
        <w:t>For the six months ended June 30, 2020, net cash used in investing activities was $78,979, primarily due to $9,970 related to purchases of property and equipment and investment in capitalized software and $67,595 in acquisition related payments, net of cash acquired.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was $866,510 for the six months ended June 30, 2021. Compared to the prior year comparative period, net cash provided by financing activities increased by $919,066, primarily due to the net proceeds from the convertible senior notes of $1,233,377, partially offset by a decrease in net borrowings of $182,863 under the Credit Facility, the purchase of capped call options of $51,555, payments of debt issuance costs of $4,951, and an increase in net payments for shares acquired of $18,529.</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six months ended June 30, 2020, net cash used in financing activities was $52,556, primarily due to net payments under the Credit Facility of $26,750, payments of dividends of $15,901, and net payments for shares acquired of $10,958.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 After June 30, 2021</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In July 2021, we completed two acquisitions. The acquisitions are not expected to be material to our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As noted above, on January 26, 2021, we completed the 2026 Notes private offering, and on June 28, 2021, we completed the 2027 Notes private offering. See Note 10 to our unaudited consolidated financial statements included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As a result of a net increase in long</w:t>
      </w:r>
      <w:r>
        <w:rPr>
          <w:rFonts w:ascii="MS PGothic" w:cs="MS PGothic" w:eastAsia="MS PGothic" w:hAnsi="MS PGothic"/>
          <w:sz w:val="18"/>
          <w:szCs w:val="18"/>
          <w:color w:val="auto"/>
        </w:rPr>
        <w:t>‑</w:t>
      </w:r>
      <w:r>
        <w:rPr>
          <w:rFonts w:ascii="Arial" w:cs="Arial" w:eastAsia="Arial" w:hAnsi="Arial"/>
          <w:sz w:val="18"/>
          <w:szCs w:val="18"/>
          <w:color w:val="auto"/>
        </w:rPr>
        <w:t>term debt, our obligation for interest on long</w:t>
      </w:r>
      <w:r>
        <w:rPr>
          <w:rFonts w:ascii="MS PGothic" w:cs="MS PGothic" w:eastAsia="MS PGothic" w:hAnsi="MS PGothic"/>
          <w:sz w:val="18"/>
          <w:szCs w:val="18"/>
          <w:color w:val="auto"/>
        </w:rPr>
        <w:t>‑</w:t>
      </w:r>
      <w:r>
        <w:rPr>
          <w:rFonts w:ascii="Arial" w:cs="Arial" w:eastAsia="Arial" w:hAnsi="Arial"/>
          <w:sz w:val="18"/>
          <w:szCs w:val="18"/>
          <w:color w:val="auto"/>
        </w:rPr>
        <w:t>term debt will also increase.</w:t>
      </w:r>
    </w:p>
    <w:p>
      <w:pPr>
        <w:spacing w:after="0" w:line="204"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7"/>
          <w:szCs w:val="17"/>
          <w:color w:val="auto"/>
        </w:rPr>
        <w:t>There have been no other material changes to our contractual obligations and other commitments as disclosed in Part II, Item 7 Management’s Discussion and Analysis of Financial Condition and Results of Operations in our 2020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on file with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Section 107 of the U.S. Tax Cuts and Jobs Act (the “JOBS Act”) provides that an “emerging growth company” can use the extended transition period provided in Section 7(a)(2)(B) of the Securities Act, as amended by Section 102(b)(1) of the JOBS Act, for complying with new or revised accounting standards. This permits an “emerging growth company” to delay the adoption of new or revised accounting standards that have different effective dates for public and private companies until those standards would otherwise apply to private companies. We have elected to use the extended transition period provided in Section 7(a)(2)(B)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Section 7(a)(2)(B). As a result, our consolidated financial statements may not be comparable to those of companies that comply with public company effective dates. We expect that we will no longer qualify as an emerging growth company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There have been no significant changes in our market risk exposure as described in Part II, Item 7A. Quantitative and Qualitative Disclosures About Market Risk in our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 other than the following:</w:t>
      </w:r>
    </w:p>
    <w:p>
      <w:pPr>
        <w:spacing w:after="0" w:line="2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The fair value of our 2026 and 2027 Notes is subject to interest rate risk, market risk, and other factors due to the conversion feature.</w:t>
      </w:r>
      <w:r>
        <w:rPr>
          <w:rFonts w:ascii="Arial" w:cs="Arial" w:eastAsia="Arial" w:hAnsi="Arial"/>
          <w:sz w:val="17"/>
          <w:szCs w:val="17"/>
          <w:i w:val="1"/>
          <w:iCs w:val="1"/>
          <w:color w:val="auto"/>
        </w:rPr>
        <w:t xml:space="preserve"> </w:t>
      </w:r>
      <w:r>
        <w:rPr>
          <w:rFonts w:ascii="Arial" w:cs="Arial" w:eastAsia="Arial" w:hAnsi="Arial"/>
          <w:sz w:val="17"/>
          <w:szCs w:val="17"/>
          <w:color w:val="auto"/>
        </w:rPr>
        <w:t>The capped call options that were entered into concurrently with the issuance of our 2026 and 2027 Notes were completed to reduce the potential dilution from the conversion of the 2026 and 2027 Notes. The fair value of the 2026 and 2027 Notes will generally increase as interest rates fall and decrease as interest rates rise. In addition, the fair value of the 2026 and 2027 Notes will generally increase as our Class B Common Stock price increases and will generally decrease as the common stock price declines. The interest and market value changes affect the fair value of the 2026 Notes, but do not impact our financial position, results of operations, or cash flows due to the fixed nature of the debt obligation.</w:t>
      </w:r>
    </w:p>
    <w:p>
      <w:pPr>
        <w:spacing w:after="0" w:line="178"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7"/>
          <w:szCs w:val="17"/>
          <w:color w:val="auto"/>
        </w:rPr>
        <w:t xml:space="preserve">The Second and Third Amendments to the Credit Facility did not change our </w:t>
      </w:r>
      <w:r>
        <w:rPr>
          <w:rFonts w:ascii="Arial" w:cs="Arial" w:eastAsia="Arial" w:hAnsi="Arial"/>
          <w:sz w:val="17"/>
          <w:szCs w:val="17"/>
          <w:i w:val="1"/>
          <w:iCs w:val="1"/>
          <w:color w:val="auto"/>
        </w:rPr>
        <w:t>Interest rate risk</w:t>
      </w:r>
      <w:r>
        <w:rPr>
          <w:rFonts w:ascii="Arial" w:cs="Arial" w:eastAsia="Arial" w:hAnsi="Arial"/>
          <w:sz w:val="17"/>
          <w:szCs w:val="17"/>
          <w:color w:val="auto"/>
        </w:rPr>
        <w:t xml:space="preserve"> disclosure related to the Credit Facility included in Part II, Item 7A. Quantitative and Qualitative Disclosures About Market Risk in our 2020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on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Effectiveness of Disclosure Controls and Procedures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Our management maintains disclosure controls and procedures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June 30, 2021,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There was no change in our internal control over financial reporting identified in management's evaluation pursuant to Rules 13a or 15d of the Exchange Act that occurred during the quarter ended June 30, 2021 that has materially affected, or is reasonably likely to materially affect, our internal control over financial reporting. We have not experienced any material impact in our internal control over financial reporting despite our colleagues working remotely due to the COVID</w:t>
      </w:r>
      <w:r>
        <w:rPr>
          <w:rFonts w:ascii="MS PGothic" w:cs="MS PGothic" w:eastAsia="MS PGothic" w:hAnsi="MS PGothic"/>
          <w:sz w:val="18"/>
          <w:szCs w:val="18"/>
          <w:color w:val="auto"/>
        </w:rPr>
        <w:t>‑</w:t>
      </w:r>
      <w:r>
        <w:rPr>
          <w:rFonts w:ascii="Arial" w:cs="Arial" w:eastAsia="Arial" w:hAnsi="Arial"/>
          <w:sz w:val="18"/>
          <w:szCs w:val="18"/>
          <w:color w:val="auto"/>
        </w:rPr>
        <w:t>19 pandemic. We are continually monitoring and assessing the COVID</w:t>
      </w:r>
      <w:r>
        <w:rPr>
          <w:rFonts w:ascii="MS PGothic" w:cs="MS PGothic" w:eastAsia="MS PGothic" w:hAnsi="MS PGothic"/>
          <w:sz w:val="18"/>
          <w:szCs w:val="18"/>
          <w:color w:val="auto"/>
        </w:rPr>
        <w:t>‑</w:t>
      </w:r>
      <w:r>
        <w:rPr>
          <w:rFonts w:ascii="Arial" w:cs="Arial" w:eastAsia="Arial" w:hAnsi="Arial"/>
          <w:sz w:val="18"/>
          <w:szCs w:val="18"/>
          <w:color w:val="auto"/>
        </w:rPr>
        <w:t>19 pandemic on our internal controls including changes to their design and operating effectiveness.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reasonable assurance that our controls will succeed in achieving their goals under all potential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pacing w:after="0" w:line="14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See Note 18 to our unaudited consolidated financial statements included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addition to other information set forth in this report, you should carefully consider the risk factors described in Part I. Item 1A. Risk Factors in our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 which could materially affect our business, financial condition or future results. Additional risks and uncertainties not currently known to us or that we currently deem to be immaterial also may materially and adversely affect our business, financial condition and/or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April 1, 2021 to June 30, 2021, we issued 3,141,342 shares of our Class B Common Stock pursuant to our acquisition of Seequent Holdings Limited.</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From April 1, 2021 to June 30, 2021, we issued 1,862,576 shares of our Class B Common Stock in connection with distributions from our amended and restated Bentley Systems, Incorporated Nonqualified Deferred Compensation Plan.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offers, sales, and issuances of these securities were exempt from registration under the Securities Act in reliance upon Rule 701 promulgated under the Securities Act as transactions under compensatory benefit plans and contracts relating to compensation in compliance with Rule 701 or in reliance upon Section 4(a)(2) of the Securities Act as transactions by an issuer not involving any public offering. None of the foregoing transactions involved any underwriters, underwriting discounts or commissions, or any public offering. The issuances of these securities were made without any general solicitation or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0" w:name="page81"/>
    <w:bookmarkEnd w:id="80"/>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Exhibit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6940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43180</wp:posOffset>
            </wp:positionV>
            <wp:extent cx="6300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61" w:lineRule="exact"/>
        <w:rPr>
          <w:sz w:val="20"/>
          <w:szCs w:val="20"/>
          <w:color w:val="auto"/>
        </w:rPr>
      </w:pPr>
    </w:p>
    <w:p>
      <w:pPr>
        <w:jc w:val="both"/>
        <w:ind w:right="20"/>
        <w:spacing w:after="0" w:line="224" w:lineRule="auto"/>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Indenture, dated as of June 28, 2021, between Bentley Systems, Incorporated and Wilmington Trust, National Association, as trustee</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(filed as Exhibit 4.1 to our Current Report on Form 8-K filed on June 29, 2021 (File No. 001-39548) and incorporated herein by</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reference)</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1240" w:space="80"/>
            <w:col w:w="9900"/>
          </w:cols>
          <w:pgMar w:left="320" w:top="1440" w:right="359" w:bottom="1440" w:gutter="0" w:footer="0" w:header="0"/>
        </w:sectPr>
      </w:pPr>
    </w:p>
    <w:tbl>
      <w:tblPr>
        <w:tblLayout w:type="fixed"/>
        <w:tblInd w:w="80" w:type="dxa"/>
        <w:tblCellMar>
          <w:top w:w="0" w:type="dxa"/>
          <w:left w:w="0" w:type="dxa"/>
          <w:bottom w:w="0" w:type="dxa"/>
          <w:right w:w="0" w:type="dxa"/>
        </w:tblCellMar>
      </w:tblPr>
      <w:tr>
        <w:trPr>
          <w:trHeight w:val="191"/>
        </w:trPr>
        <w:tc>
          <w:tcPr>
            <w:tcW w:w="1240" w:type="dxa"/>
            <w:vAlign w:val="bottom"/>
          </w:tcPr>
          <w:p>
            <w:pPr>
              <w:jc w:val="right"/>
              <w:ind w:right="750"/>
              <w:spacing w:after="0" w:line="191" w:lineRule="exact"/>
              <w:rPr>
                <w:sz w:val="20"/>
                <w:szCs w:val="20"/>
                <w:color w:val="auto"/>
              </w:rPr>
            </w:pPr>
            <w:r>
              <w:rPr>
                <w:rFonts w:ascii="Arial" w:cs="Arial" w:eastAsia="Arial" w:hAnsi="Arial"/>
                <w:sz w:val="18"/>
                <w:szCs w:val="18"/>
                <w:color w:val="auto"/>
              </w:rPr>
              <w:t>4.2</w:t>
            </w:r>
          </w:p>
        </w:tc>
        <w:tc>
          <w:tcPr>
            <w:tcW w:w="9940" w:type="dxa"/>
            <w:vAlign w:val="bottom"/>
            <w:gridSpan w:val="10"/>
          </w:tcPr>
          <w:p>
            <w:pPr>
              <w:spacing w:after="0" w:line="191" w:lineRule="exact"/>
              <w:rPr>
                <w:rFonts w:ascii="Arial" w:cs="Arial" w:eastAsia="Arial" w:hAnsi="Arial"/>
                <w:sz w:val="18"/>
                <w:szCs w:val="18"/>
                <w:color w:val="0000FF"/>
                <w:w w:val="99"/>
              </w:rPr>
            </w:pPr>
            <w:hyperlink r:id="rId133">
              <w:r>
                <w:rPr>
                  <w:rFonts w:ascii="Arial" w:cs="Arial" w:eastAsia="Arial" w:hAnsi="Arial"/>
                  <w:sz w:val="18"/>
                  <w:szCs w:val="18"/>
                  <w:color w:val="0000FF"/>
                  <w:w w:val="99"/>
                </w:rPr>
                <w:t>Form of 0.375% Convertible Senior Note due 2027 (included as Exhibit A in Exhibit 4.1 and incorporated herein by reference)</w:t>
              </w:r>
            </w:hyperlink>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48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750"/>
              <w:spacing w:after="0"/>
              <w:rPr>
                <w:sz w:val="20"/>
                <w:szCs w:val="20"/>
                <w:color w:val="auto"/>
              </w:rPr>
            </w:pPr>
            <w:r>
              <w:rPr>
                <w:rFonts w:ascii="Arial" w:cs="Arial" w:eastAsia="Arial" w:hAnsi="Arial"/>
                <w:sz w:val="18"/>
                <w:szCs w:val="18"/>
                <w:color w:val="auto"/>
              </w:rPr>
              <w:t>10.1</w:t>
            </w:r>
          </w:p>
        </w:tc>
        <w:tc>
          <w:tcPr>
            <w:tcW w:w="9940" w:type="dxa"/>
            <w:vAlign w:val="bottom"/>
            <w:gridSpan w:val="10"/>
          </w:tcPr>
          <w:p>
            <w:pPr>
              <w:spacing w:after="0"/>
              <w:rPr>
                <w:rFonts w:ascii="Arial" w:cs="Arial" w:eastAsia="Arial" w:hAnsi="Arial"/>
                <w:sz w:val="18"/>
                <w:szCs w:val="18"/>
                <w:color w:val="0000FF"/>
                <w:w w:val="97"/>
              </w:rPr>
            </w:pPr>
            <w:hyperlink r:id="rId134">
              <w:r>
                <w:rPr>
                  <w:rFonts w:ascii="Arial" w:cs="Arial" w:eastAsia="Arial" w:hAnsi="Arial"/>
                  <w:sz w:val="18"/>
                  <w:szCs w:val="18"/>
                  <w:color w:val="0000FF"/>
                  <w:w w:val="97"/>
                </w:rPr>
                <w:t>Form of Capped Call Confirmation (filed as Exhibit 10.1 to our Current Report on Form 8-K filed on June 29, 2021 (File No. 001-</w:t>
              </w:r>
            </w:hyperlink>
          </w:p>
        </w:tc>
      </w:tr>
      <w:tr>
        <w:trPr>
          <w:trHeight w:val="156"/>
        </w:trPr>
        <w:tc>
          <w:tcPr>
            <w:tcW w:w="1240" w:type="dxa"/>
            <w:vAlign w:val="bottom"/>
          </w:tcPr>
          <w:p>
            <w:pPr>
              <w:spacing w:after="0"/>
              <w:rPr>
                <w:sz w:val="13"/>
                <w:szCs w:val="13"/>
                <w:color w:val="auto"/>
              </w:rPr>
            </w:pPr>
          </w:p>
        </w:tc>
        <w:tc>
          <w:tcPr>
            <w:tcW w:w="99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39548)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750"/>
              <w:spacing w:after="0"/>
              <w:rPr>
                <w:sz w:val="20"/>
                <w:szCs w:val="20"/>
                <w:color w:val="auto"/>
              </w:rPr>
            </w:pPr>
            <w:r>
              <w:rPr>
                <w:rFonts w:ascii="Arial" w:cs="Arial" w:eastAsia="Arial" w:hAnsi="Arial"/>
                <w:sz w:val="18"/>
                <w:szCs w:val="18"/>
                <w:color w:val="auto"/>
              </w:rPr>
              <w:t>10.2</w:t>
            </w:r>
          </w:p>
        </w:tc>
        <w:tc>
          <w:tcPr>
            <w:tcW w:w="9940" w:type="dxa"/>
            <w:vAlign w:val="bottom"/>
            <w:gridSpan w:val="10"/>
          </w:tcPr>
          <w:p>
            <w:pPr>
              <w:spacing w:after="0"/>
              <w:rPr>
                <w:rFonts w:ascii="Arial" w:cs="Arial" w:eastAsia="Arial" w:hAnsi="Arial"/>
                <w:sz w:val="18"/>
                <w:szCs w:val="18"/>
                <w:color w:val="0000FF"/>
                <w:w w:val="92"/>
              </w:rPr>
            </w:pPr>
            <w:hyperlink r:id="rId135">
              <w:r>
                <w:rPr>
                  <w:rFonts w:ascii="Arial" w:cs="Arial" w:eastAsia="Arial" w:hAnsi="Arial"/>
                  <w:sz w:val="18"/>
                  <w:szCs w:val="18"/>
                  <w:color w:val="0000FF"/>
                  <w:w w:val="92"/>
                </w:rPr>
                <w:t>Third Amendment, dated as of June 22, 2021, to the Amended and Restated Credit Agreement dated as of December 19, 2017, by and</w:t>
              </w:r>
            </w:hyperlink>
          </w:p>
        </w:tc>
      </w:tr>
      <w:tr>
        <w:trPr>
          <w:trHeight w:val="156"/>
        </w:trPr>
        <w:tc>
          <w:tcPr>
            <w:tcW w:w="124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among the Company, PNC Bank National Association, as administrative agent, and the lenders party thereto (filed as Exhibit 10.1 to our</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8060" w:type="dxa"/>
            <w:vAlign w:val="bottom"/>
            <w:tcBorders>
              <w:bottom w:val="single" w:sz="8" w:color="0000FF"/>
            </w:tcBorders>
            <w:gridSpan w:val="3"/>
          </w:tcPr>
          <w:p>
            <w:pPr>
              <w:spacing w:after="0" w:line="15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Current Report on Form 8-K filed on June 22, 2021 (File No. 001-39548) and incorporated herein by reference)</w:t>
              </w:r>
            </w:hyperlink>
          </w:p>
        </w:tc>
        <w:tc>
          <w:tcPr>
            <w:tcW w:w="18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jc w:val="right"/>
              <w:ind w:right="650"/>
              <w:spacing w:after="0"/>
              <w:rPr>
                <w:sz w:val="20"/>
                <w:szCs w:val="20"/>
                <w:color w:val="auto"/>
              </w:rPr>
            </w:pPr>
            <w:r>
              <w:rPr>
                <w:rFonts w:ascii="Arial" w:cs="Arial" w:eastAsia="Arial" w:hAnsi="Arial"/>
                <w:sz w:val="18"/>
                <w:szCs w:val="18"/>
                <w:color w:val="auto"/>
              </w:rPr>
              <w:t>31.1*</w:t>
            </w:r>
          </w:p>
        </w:tc>
        <w:tc>
          <w:tcPr>
            <w:tcW w:w="87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83">
              <w:r>
                <w:rPr>
                  <w:rFonts w:ascii="Arial" w:cs="Arial" w:eastAsia="Arial" w:hAnsi="Arial"/>
                  <w:sz w:val="18"/>
                  <w:szCs w:val="18"/>
                  <w:color w:val="0000FF"/>
                  <w:w w:val="90"/>
                </w:rPr>
                <w:t>Certification of CEO pursuant to Rule 13a-14(a) and Rule 15d-14(a) of the Securities Exchange Act of 1934, as amended</w:t>
              </w:r>
            </w:hyperlink>
          </w:p>
        </w:tc>
        <w:tc>
          <w:tcPr>
            <w:tcW w:w="1180" w:type="dxa"/>
            <w:vAlign w:val="bottom"/>
            <w:gridSpan w:val="5"/>
          </w:tcPr>
          <w:p>
            <w:pPr>
              <w:spacing w:after="0"/>
              <w:rPr>
                <w:sz w:val="18"/>
                <w:szCs w:val="18"/>
                <w:color w:val="auto"/>
              </w:rPr>
            </w:pPr>
          </w:p>
        </w:tc>
      </w:tr>
      <w:tr>
        <w:trPr>
          <w:trHeight w:val="209"/>
        </w:trPr>
        <w:tc>
          <w:tcPr>
            <w:tcW w:w="1240" w:type="dxa"/>
            <w:vAlign w:val="bottom"/>
          </w:tcPr>
          <w:p>
            <w:pPr>
              <w:jc w:val="right"/>
              <w:ind w:right="650"/>
              <w:spacing w:after="0"/>
              <w:rPr>
                <w:sz w:val="20"/>
                <w:szCs w:val="20"/>
                <w:color w:val="auto"/>
              </w:rPr>
            </w:pPr>
            <w:r>
              <w:rPr>
                <w:rFonts w:ascii="Arial" w:cs="Arial" w:eastAsia="Arial" w:hAnsi="Arial"/>
                <w:sz w:val="18"/>
                <w:szCs w:val="18"/>
                <w:color w:val="auto"/>
              </w:rPr>
              <w:t>31.2*</w:t>
            </w:r>
          </w:p>
        </w:tc>
        <w:tc>
          <w:tcPr>
            <w:tcW w:w="874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84">
              <w:r>
                <w:rPr>
                  <w:rFonts w:ascii="Arial" w:cs="Arial" w:eastAsia="Arial" w:hAnsi="Arial"/>
                  <w:sz w:val="18"/>
                  <w:szCs w:val="18"/>
                  <w:color w:val="0000FF"/>
                  <w:w w:val="90"/>
                </w:rPr>
                <w:t>Certification of CFO pursuant to Rule 13a-14(a) and Rule 15d-14(a) of the Securities Exchange Act of 1934, as amended</w:t>
              </w:r>
            </w:hyperlink>
          </w:p>
        </w:tc>
        <w:tc>
          <w:tcPr>
            <w:tcW w:w="1200" w:type="dxa"/>
            <w:vAlign w:val="bottom"/>
            <w:gridSpan w:val="6"/>
          </w:tcPr>
          <w:p>
            <w:pPr>
              <w:spacing w:after="0"/>
              <w:rPr>
                <w:sz w:val="18"/>
                <w:szCs w:val="18"/>
                <w:color w:val="auto"/>
              </w:rPr>
            </w:pPr>
          </w:p>
        </w:tc>
      </w:tr>
      <w:tr>
        <w:trPr>
          <w:trHeight w:val="250"/>
        </w:trPr>
        <w:tc>
          <w:tcPr>
            <w:tcW w:w="1240" w:type="dxa"/>
            <w:vAlign w:val="bottom"/>
          </w:tcPr>
          <w:p>
            <w:pPr>
              <w:jc w:val="right"/>
              <w:ind w:right="650"/>
              <w:spacing w:after="0"/>
              <w:rPr>
                <w:sz w:val="20"/>
                <w:szCs w:val="20"/>
                <w:color w:val="auto"/>
              </w:rPr>
            </w:pPr>
            <w:r>
              <w:rPr>
                <w:rFonts w:ascii="Arial" w:cs="Arial" w:eastAsia="Arial" w:hAnsi="Arial"/>
                <w:sz w:val="18"/>
                <w:szCs w:val="18"/>
                <w:color w:val="auto"/>
              </w:rPr>
              <w:t>32.1*</w:t>
            </w:r>
          </w:p>
        </w:tc>
        <w:tc>
          <w:tcPr>
            <w:tcW w:w="9940" w:type="dxa"/>
            <w:vAlign w:val="bottom"/>
            <w:tcBorders>
              <w:bottom w:val="single" w:sz="8" w:color="0000FF"/>
            </w:tcBorders>
            <w:gridSpan w:val="10"/>
          </w:tcPr>
          <w:p>
            <w:pPr>
              <w:spacing w:after="0"/>
              <w:rPr>
                <w:rFonts w:ascii="Arial" w:cs="Arial" w:eastAsia="Arial" w:hAnsi="Arial"/>
                <w:sz w:val="18"/>
                <w:szCs w:val="18"/>
                <w:color w:val="0000FF"/>
                <w:w w:val="93"/>
              </w:rPr>
            </w:pPr>
            <w:hyperlink w:anchor="page85">
              <w:r>
                <w:rPr>
                  <w:rFonts w:ascii="Arial" w:cs="Arial" w:eastAsia="Arial" w:hAnsi="Arial"/>
                  <w:sz w:val="18"/>
                  <w:szCs w:val="18"/>
                  <w:color w:val="0000FF"/>
                  <w:w w:val="93"/>
                </w:rPr>
                <w:t>Certification of CEO and CFO Pursuant to 18 U.S.C. Section 1350, as Adopted Pursuant to Section 906 of the Sarbanes-Oxley Act of</w:t>
              </w:r>
            </w:hyperlink>
          </w:p>
        </w:tc>
      </w:tr>
      <w:tr>
        <w:trPr>
          <w:trHeight w:val="156"/>
        </w:trPr>
        <w:tc>
          <w:tcPr>
            <w:tcW w:w="124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Arial" w:cs="Arial" w:eastAsia="Arial" w:hAnsi="Arial"/>
                <w:sz w:val="18"/>
                <w:szCs w:val="18"/>
                <w:color w:val="0000FF"/>
                <w:w w:val="84"/>
              </w:rPr>
            </w:pPr>
            <w:hyperlink w:anchor="page85">
              <w:r>
                <w:rPr>
                  <w:rFonts w:ascii="Arial" w:cs="Arial" w:eastAsia="Arial" w:hAnsi="Arial"/>
                  <w:sz w:val="18"/>
                  <w:szCs w:val="18"/>
                  <w:color w:val="0000FF"/>
                  <w:w w:val="84"/>
                </w:rPr>
                <w:t>2002</w:t>
              </w:r>
            </w:hyperlink>
          </w:p>
        </w:tc>
        <w:tc>
          <w:tcPr>
            <w:tcW w:w="29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101.INS</w:t>
            </w:r>
          </w:p>
        </w:tc>
        <w:tc>
          <w:tcPr>
            <w:tcW w:w="9940" w:type="dxa"/>
            <w:vAlign w:val="bottom"/>
            <w:gridSpan w:val="10"/>
          </w:tcPr>
          <w:p>
            <w:pPr>
              <w:spacing w:after="0" w:line="196" w:lineRule="exact"/>
              <w:rPr>
                <w:sz w:val="20"/>
                <w:szCs w:val="20"/>
                <w:color w:val="auto"/>
              </w:rPr>
            </w:pPr>
            <w:r>
              <w:rPr>
                <w:rFonts w:ascii="Arial" w:cs="Arial" w:eastAsia="Arial" w:hAnsi="Arial"/>
                <w:sz w:val="18"/>
                <w:szCs w:val="18"/>
                <w:color w:val="auto"/>
                <w:w w:val="93"/>
              </w:rPr>
              <w:t>Inline XBRL Instance Document—the instance document does not appear in the Interactive Data File as its XBRL tags are embedded</w:t>
            </w:r>
          </w:p>
        </w:tc>
      </w:tr>
      <w:tr>
        <w:trPr>
          <w:trHeight w:val="229"/>
        </w:trPr>
        <w:tc>
          <w:tcPr>
            <w:tcW w:w="1240" w:type="dxa"/>
            <w:vAlign w:val="bottom"/>
          </w:tcPr>
          <w:p>
            <w:pPr>
              <w:spacing w:after="0"/>
              <w:rPr>
                <w:sz w:val="19"/>
                <w:szCs w:val="19"/>
                <w:color w:val="auto"/>
              </w:rPr>
            </w:pPr>
          </w:p>
        </w:tc>
        <w:tc>
          <w:tcPr>
            <w:tcW w:w="994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9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9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9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9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9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ind w:left="1320" w:hanging="1236"/>
        <w:spacing w:after="0"/>
        <w:tabs>
          <w:tab w:leader="none" w:pos="13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143" w:lineRule="exact"/>
        <w:rPr>
          <w:rFonts w:ascii="Arial" w:cs="Arial" w:eastAsia="Arial" w:hAnsi="Arial"/>
          <w:sz w:val="18"/>
          <w:szCs w:val="18"/>
          <w:color w:val="auto"/>
        </w:rPr>
      </w:pPr>
    </w:p>
    <w:p>
      <w:pPr>
        <w:ind w:left="480" w:hanging="445"/>
        <w:spacing w:after="0" w:line="220" w:lineRule="exact"/>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or furnished herewith. The certification attached as Exhibit 32.1 that accompanies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is not deemed filed with the U.S. Securities and Exchange Commission and is not to be incorporated by reference into any filing of Bentley Systems, Incorporated under the Securities Act of 1933, as amended, or the Securities Exchange Act of 1934, as amended, whether made before or after the date of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81" w:name="page82"/>
    <w:bookmarkEnd w:id="81"/>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6960" w:type="dxa"/>
            <w:vAlign w:val="bottom"/>
            <w:gridSpan w:val="2"/>
          </w:tcPr>
          <w:p>
            <w:pPr>
              <w:ind w:left="2640"/>
              <w:spacing w:after="0"/>
              <w:rPr>
                <w:sz w:val="20"/>
                <w:szCs w:val="20"/>
                <w:color w:val="auto"/>
              </w:rPr>
            </w:pPr>
            <w:r>
              <w:rPr>
                <w:rFonts w:ascii="Arial" w:cs="Arial" w:eastAsia="Arial" w:hAnsi="Arial"/>
                <w:sz w:val="18"/>
                <w:szCs w:val="18"/>
                <w:color w:val="auto"/>
              </w:rPr>
              <w:t>Bentley Systems, Incorporated</w:t>
            </w:r>
          </w:p>
        </w:tc>
      </w:tr>
      <w:tr>
        <w:trPr>
          <w:trHeight w:val="405"/>
        </w:trPr>
        <w:tc>
          <w:tcPr>
            <w:tcW w:w="4260" w:type="dxa"/>
            <w:vAlign w:val="bottom"/>
          </w:tcPr>
          <w:p>
            <w:pPr>
              <w:spacing w:after="0"/>
              <w:rPr>
                <w:sz w:val="20"/>
                <w:szCs w:val="20"/>
                <w:color w:val="auto"/>
              </w:rPr>
            </w:pPr>
            <w:r>
              <w:rPr>
                <w:rFonts w:ascii="Arial" w:cs="Arial" w:eastAsia="Arial" w:hAnsi="Arial"/>
                <w:sz w:val="18"/>
                <w:szCs w:val="18"/>
                <w:color w:val="auto"/>
              </w:rPr>
              <w:t>Date: August 10, 2021</w:t>
            </w:r>
          </w:p>
        </w:tc>
        <w:tc>
          <w:tcPr>
            <w:tcW w:w="3500" w:type="dxa"/>
            <w:vAlign w:val="bottom"/>
          </w:tcPr>
          <w:p>
            <w:pPr>
              <w:ind w:left="2640"/>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w:t>
            </w:r>
            <w:r>
              <w:rPr>
                <w:rFonts w:ascii="Arial" w:cs="Arial" w:eastAsia="Arial" w:hAnsi="Arial"/>
                <w:sz w:val="14"/>
                <w:szCs w:val="14"/>
                <w:color w:val="auto"/>
                <w:w w:val="97"/>
              </w:rPr>
              <w:t>AVID</w:t>
            </w:r>
            <w:r>
              <w:rPr>
                <w:rFonts w:ascii="Arial" w:cs="Arial" w:eastAsia="Arial" w:hAnsi="Arial"/>
                <w:sz w:val="18"/>
                <w:szCs w:val="18"/>
                <w:color w:val="auto"/>
                <w:w w:val="97"/>
              </w:rPr>
              <w:t xml:space="preserve"> J. H</w:t>
            </w:r>
            <w:r>
              <w:rPr>
                <w:rFonts w:ascii="Arial" w:cs="Arial" w:eastAsia="Arial" w:hAnsi="Arial"/>
                <w:sz w:val="14"/>
                <w:szCs w:val="14"/>
                <w:color w:val="auto"/>
                <w:w w:val="97"/>
              </w:rPr>
              <w:t>OLLISTER</w:t>
            </w:r>
          </w:p>
        </w:tc>
      </w:tr>
      <w:tr>
        <w:trPr>
          <w:trHeight w:val="222"/>
        </w:trPr>
        <w:tc>
          <w:tcPr>
            <w:tcW w:w="42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David J. Hollister</w:t>
            </w:r>
          </w:p>
        </w:tc>
      </w:tr>
      <w:tr>
        <w:trPr>
          <w:trHeight w:val="230"/>
        </w:trPr>
        <w:tc>
          <w:tcPr>
            <w:tcW w:w="42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Gregory S. Bentley, certify that:</w:t>
      </w:r>
    </w:p>
    <w:p>
      <w:pPr>
        <w:spacing w:after="0" w:line="25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Bentley Systems, Incorporated (the “registrant”);</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40" w:hanging="308"/>
        <w:spacing w:after="0"/>
        <w:tabs>
          <w:tab w:leader="none" w:pos="6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2021</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93"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J. Hollister, certify that:</w:t>
      </w:r>
    </w:p>
    <w:p>
      <w:pPr>
        <w:spacing w:after="0" w:line="252"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Bentley Systems, Incorporated (the “registrant”);</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40" w:hanging="308"/>
        <w:spacing w:after="0"/>
        <w:tabs>
          <w:tab w:leader="none" w:pos="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2021</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J. H</w:t>
      </w:r>
      <w:r>
        <w:rPr>
          <w:rFonts w:ascii="Arial" w:cs="Arial" w:eastAsia="Arial" w:hAnsi="Arial"/>
          <w:sz w:val="14"/>
          <w:szCs w:val="14"/>
          <w:color w:val="auto"/>
        </w:rPr>
        <w:t>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Hollister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93"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spacing w:after="0" w:line="226" w:lineRule="exact"/>
        <w:rPr>
          <w:sz w:val="20"/>
          <w:szCs w:val="20"/>
          <w:color w:val="auto"/>
        </w:rPr>
      </w:pPr>
      <w:r>
        <w:rPr>
          <w:rFonts w:ascii="Arial" w:cs="Arial" w:eastAsia="Arial" w:hAnsi="Arial"/>
          <w:sz w:val="17"/>
          <w:szCs w:val="17"/>
          <w:color w:val="auto"/>
        </w:rPr>
        <w:t>In connection with the Quarterly Report of Bentley Systems, Incorporated (the “Company”) on Form 10</w:t>
      </w:r>
      <w:r>
        <w:rPr>
          <w:rFonts w:ascii="MS PGothic" w:cs="MS PGothic" w:eastAsia="MS PGothic" w:hAnsi="MS PGothic"/>
          <w:sz w:val="18"/>
          <w:szCs w:val="18"/>
          <w:color w:val="auto"/>
        </w:rPr>
        <w:t>‑Q</w:t>
      </w:r>
      <w:r>
        <w:rPr>
          <w:rFonts w:ascii="Arial" w:cs="Arial" w:eastAsia="Arial" w:hAnsi="Arial"/>
          <w:sz w:val="17"/>
          <w:szCs w:val="17"/>
          <w:color w:val="auto"/>
        </w:rPr>
        <w:t xml:space="preserve"> for the period ended June 30, 2021,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spacing w:after="0" w:line="229"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140" w:firstLine="332"/>
        <w:spacing w:after="0" w:line="559" w:lineRule="auto"/>
        <w:tabs>
          <w:tab w:leader="none" w:pos="64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10, 2021</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J. H</w:t>
      </w:r>
      <w:r>
        <w:rPr>
          <w:rFonts w:ascii="Arial" w:cs="Arial" w:eastAsia="Arial" w:hAnsi="Arial"/>
          <w:sz w:val="14"/>
          <w:szCs w:val="14"/>
          <w:color w:val="auto"/>
        </w:rPr>
        <w:t>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Hollister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700"/>
    </w:lvl>
  </w:abstractNum>
  <w:abstractNum w:abstractNumId="3">
    <w:nsid w:val="721DA317"/>
    <w:multiLevelType w:val="hybridMultilevel"/>
    <w:lvl w:ilvl="0">
      <w:lvlJc w:val="left"/>
      <w:lvlText w:val="(%1)"/>
      <w:numFmt w:val="decimal"/>
      <w:start w:val="101"/>
    </w:lvl>
  </w:abstractNum>
  <w:abstractNum w:abstractNumId="4">
    <w:nsid w:val="2443A858"/>
    <w:multiLevelType w:val="hybridMultilevel"/>
    <w:lvl w:ilvl="0">
      <w:lvlJc w:val="left"/>
      <w:lvlText w:val="(%1)"/>
      <w:numFmt w:val="decimal"/>
      <w:start w:val="544"/>
    </w:lvl>
  </w:abstractNum>
  <w:abstractNum w:abstractNumId="5">
    <w:nsid w:val="2D1D5AE9"/>
    <w:multiLevelType w:val="hybridMultilevel"/>
    <w:lvl w:ilvl="0">
      <w:lvlJc w:val="left"/>
      <w:lvlText w:val="\emdash "/>
      <w:numFmt w:val="bullet"/>
      <w:start w:val="1"/>
    </w:lvl>
  </w:abstractNum>
  <w:abstractNum w:abstractNumId="6">
    <w:nsid w:val="6763845E"/>
    <w:multiLevelType w:val="hybridMultilevel"/>
    <w:lvl w:ilvl="0">
      <w:lvlJc w:val="left"/>
      <w:lvlText w:val="(%1)"/>
      <w:numFmt w:val="lowerRoman"/>
      <w:start w:val="2"/>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4"/>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2"/>
    </w:lvl>
  </w:abstractNum>
  <w:abstractNum w:abstractNumId="27">
    <w:nsid w:val="614FD4A1"/>
    <w:multiLevelType w:val="hybridMultilevel"/>
    <w:lvl w:ilvl="0">
      <w:lvlJc w:val="left"/>
      <w:lvlText w:val="(%1)"/>
      <w:numFmt w:val="decimal"/>
      <w:start w:val="6"/>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lowerRoman"/>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
      <w:numFmt w:val="bullet"/>
      <w:start w:val="1"/>
    </w:lvl>
    <w:lvl w:ilvl="1">
      <w:lvlJc w:val="left"/>
      <w:lvlText w:val="%2"/>
      <w:numFmt w:val="decimal"/>
      <w:start w:val="104"/>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33" Type="http://schemas.openxmlformats.org/officeDocument/2006/relationships/hyperlink" Target="https://www.sec.gov/Archives/edgar/data/1031308/000110465921086363/tm2120726d1_ex4-1.htm" TargetMode="External"/><Relationship Id="rId134" Type="http://schemas.openxmlformats.org/officeDocument/2006/relationships/hyperlink" Target="https://www.sec.gov/Archives/edgar/data/1031308/000110465921086363/tm2120726d1_ex10-1.htm" TargetMode="External"/><Relationship Id="rId135" Type="http://schemas.openxmlformats.org/officeDocument/2006/relationships/hyperlink" Target="https://www.sec.gov/Archives/edgar/data/1031308/000110465921084201/tm212033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2021-08-10T15:27:05Z</dcterms:created>
  <dcterms:modified xsi:type="dcterms:W3CDTF">2021-08-10T15:27:05Z</dcterms:modified>
</cp:coreProperties>
</file>