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1100455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1125855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6"/>
          <w:szCs w:val="16"/>
          <w:b w:val="1"/>
          <w:bCs w:val="1"/>
          <w:color w:val="auto"/>
        </w:rPr>
        <w:t>August 6, 2025</w:t>
      </w:r>
    </w:p>
    <w:p>
      <w:pPr>
        <w:spacing w:after="0" w:line="2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BENTLEY SYSTEMS, INCORPORATED</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ectPr>
          <w:pgSz w:w="11900" w:h="16838" w:orient="portrait"/>
          <w:cols w:equalWidth="0" w:num="1">
            <w:col w:w="11240"/>
          </w:cols>
          <w:pgMar w:left="320" w:top="1440" w:right="339" w:bottom="1440" w:gutter="0" w:footer="0" w:header="0"/>
        </w:sectPr>
      </w:pPr>
    </w:p>
    <w:p>
      <w:pPr>
        <w:spacing w:after="0" w:line="287"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6"/>
          <w:szCs w:val="16"/>
          <w:b w:val="1"/>
          <w:bCs w:val="1"/>
          <w:color w:val="auto"/>
        </w:rPr>
        <w:t>001-39548</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95-3936623</w:t>
      </w:r>
    </w:p>
    <w:p>
      <w:pPr>
        <w:spacing w:after="0" w:line="66" w:lineRule="exact"/>
        <w:rPr>
          <w:sz w:val="24"/>
          <w:szCs w:val="24"/>
          <w:color w:val="auto"/>
        </w:rPr>
      </w:pPr>
    </w:p>
    <w:p>
      <w:pPr>
        <w:sectPr>
          <w:pgSz w:w="11900" w:h="16838" w:orient="portrait"/>
          <w:cols w:equalWidth="0" w:num="3">
            <w:col w:w="4680" w:space="720"/>
            <w:col w:w="2800" w:space="720"/>
            <w:col w:w="2320"/>
          </w:cols>
          <w:pgMar w:left="320" w:top="1440" w:right="33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40" w:space="720"/>
            <w:col w:w="2640" w:space="720"/>
            <w:col w:w="2920"/>
          </w:cols>
          <w:pgMar w:left="320" w:top="1440" w:right="339" w:bottom="1440" w:gutter="0" w:footer="0" w:header="0"/>
          <w:type w:val="continuous"/>
        </w:sectPr>
      </w:pPr>
    </w:p>
    <w:p>
      <w:pPr>
        <w:spacing w:after="0" w:line="51"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685 Stockton Drive</w:t>
      </w:r>
    </w:p>
    <w:p>
      <w:pPr>
        <w:spacing w:after="0" w:line="32"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6"/>
          <w:szCs w:val="16"/>
          <w:b w:val="1"/>
          <w:bCs w:val="1"/>
          <w:color w:val="auto"/>
        </w:rPr>
        <w:t>Exton, Pennsylvania</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19341</w:t>
      </w:r>
    </w:p>
    <w:p>
      <w:pPr>
        <w:spacing w:after="0" w:line="28" w:lineRule="exact"/>
        <w:rPr>
          <w:sz w:val="24"/>
          <w:szCs w:val="24"/>
          <w:color w:val="auto"/>
        </w:rPr>
      </w:pPr>
    </w:p>
    <w:p>
      <w:pPr>
        <w:sectPr>
          <w:pgSz w:w="11900" w:h="16838" w:orient="portrait"/>
          <w:cols w:equalWidth="0" w:num="2">
            <w:col w:w="8380" w:space="720"/>
            <w:col w:w="2140"/>
          </w:cols>
          <w:pgMar w:left="320" w:top="1440" w:right="33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38" w:orient="portrait"/>
          <w:cols w:equalWidth="0" w:num="2">
            <w:col w:w="8260" w:space="720"/>
            <w:col w:w="2260"/>
          </w:cols>
          <w:pgMar w:left="320" w:top="1440" w:right="339" w:bottom="1440" w:gutter="0" w:footer="0" w:header="0"/>
          <w:type w:val="continuous"/>
        </w:sectPr>
      </w:pPr>
    </w:p>
    <w:p>
      <w:pPr>
        <w:spacing w:after="0" w:line="203"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(610) 458-5000</w:t>
      </w:r>
    </w:p>
    <w:p>
      <w:pPr>
        <w:spacing w:after="0" w:line="39" w:lineRule="exact"/>
        <w:rPr>
          <w:sz w:val="24"/>
          <w:szCs w:val="24"/>
          <w:color w:val="auto"/>
        </w:rPr>
      </w:pPr>
    </w:p>
    <w:p>
      <w:pPr>
        <w:sectPr>
          <w:pgSz w:w="11900" w:h="16838" w:orient="portrait"/>
          <w:cols w:equalWidth="0" w:num="2">
            <w:col w:w="6600" w:space="40"/>
            <w:col w:w="4600"/>
          </w:cols>
          <w:pgMar w:left="320" w:top="1440" w:right="339" w:bottom="1440" w:gutter="0" w:footer="0" w:header="0"/>
          <w:type w:val="continuous"/>
        </w:sect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ectPr>
          <w:pgSz w:w="11900" w:h="16838" w:orient="portrait"/>
          <w:cols w:equalWidth="0" w:num="1">
            <w:col w:w="11240"/>
          </w:cols>
          <w:pgMar w:left="320" w:top="1440" w:right="339" w:bottom="1440" w:gutter="0" w:footer="0" w:header="0"/>
          <w:type w:val="continuous"/>
        </w:sect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23" w:lineRule="exact"/>
        <w:rPr>
          <w:sz w:val="24"/>
          <w:szCs w:val="2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22"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09"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2"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459"/>
        </w:trPr>
        <w:tc>
          <w:tcPr>
            <w:tcW w:w="1220" w:type="dxa"/>
            <w:vAlign w:val="bottom"/>
          </w:tcPr>
          <w:p>
            <w:pPr>
              <w:spacing w:after="0"/>
              <w:rPr>
                <w:sz w:val="24"/>
                <w:szCs w:val="24"/>
                <w:color w:val="auto"/>
              </w:rPr>
            </w:pPr>
          </w:p>
        </w:tc>
        <w:tc>
          <w:tcPr>
            <w:tcW w:w="3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12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0"/>
        </w:trPr>
        <w:tc>
          <w:tcPr>
            <w:tcW w:w="1220" w:type="dxa"/>
            <w:vAlign w:val="bottom"/>
          </w:tcPr>
          <w:p>
            <w:pPr>
              <w:spacing w:after="0"/>
              <w:rPr>
                <w:sz w:val="20"/>
                <w:szCs w:val="20"/>
                <w:color w:val="auto"/>
              </w:rPr>
            </w:pPr>
          </w:p>
        </w:tc>
        <w:tc>
          <w:tcPr>
            <w:tcW w:w="36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Class B Common Stock, $0.01 Par Value</w:t>
            </w: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6"/>
              </w:rPr>
              <w:t>BSY</w:t>
            </w:r>
          </w:p>
        </w:tc>
        <w:tc>
          <w:tcPr>
            <w:tcW w:w="3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307" w:lineRule="exact"/>
        <w:rPr>
          <w:sz w:val="24"/>
          <w:szCs w:val="24"/>
          <w:color w:val="auto"/>
        </w:rPr>
      </w:pPr>
    </w:p>
    <w:p>
      <w:pPr>
        <w:ind w:right="2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jc w:val="right"/>
        <w:spacing w:after="0" w:line="196"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7"/>
          <w:szCs w:val="17"/>
          <w:color w:val="auto"/>
        </w:rPr>
        <w:t>☐</w:t>
      </w:r>
    </w:p>
    <w:p>
      <w:pPr>
        <w:spacing w:after="0" w:line="300"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1249045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6, 2025, Bentley Systems, Incorporated (the “Company”) issued a press release announcing its financial results for the three and six months ended June 30, 2025. A copy of the release is furnished as Exhibit 99.1 and incorporated by reference herein. Exhibit 99.2 sets forth the reasons the Company believes that presentation of the non-GAAP financial measures contained in the press release provides useful information to investors regarding the Company’s results of operations and financial condition. To the extent material, Exhibit 99.2 also discloses the additional purposes, if any, for which the Company’s management uses these non-GAAP financial measures. Reconciliations of these non-GAAP financial measures to their most directly comparable GAAP financial measures are included in the press release itself.</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including Exhibit 99.1 and Exhibit 99.2, is being furnished and shall not be deemed “filed” for the purposes of Section 18 of the Securities Exchange Act of 1934, as amended (the “Exchange Act”) or otherwise subject to the liabilities of that section, nor shall such information be deemed incorporated by reference in any filing under the Exchange Act or the Securities Act of 1933, as amended, regardless of the general incorporation language of such filing,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0" w:type="dxa"/>
            <w:vAlign w:val="bottom"/>
          </w:tcPr>
          <w:p>
            <w:pPr>
              <w:spacing w:after="0"/>
              <w:rPr>
                <w:sz w:val="24"/>
                <w:szCs w:val="24"/>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17"/>
        </w:trPr>
        <w:tc>
          <w:tcPr>
            <w:tcW w:w="1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52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August 6, 2025</w:t>
            </w:r>
          </w:p>
        </w:tc>
        <w:tc>
          <w:tcPr>
            <w:tcW w:w="7080" w:type="dxa"/>
            <w:vAlign w:val="bottom"/>
            <w:tcBorders>
              <w:top w:val="single" w:sz="8" w:color="auto"/>
            </w:tcBorders>
            <w:gridSpan w:val="2"/>
          </w:tcPr>
          <w:p>
            <w:pPr>
              <w:spacing w:after="0"/>
              <w:rPr>
                <w:sz w:val="24"/>
                <w:szCs w:val="24"/>
                <w:color w:val="auto"/>
              </w:rPr>
            </w:pPr>
          </w:p>
        </w:tc>
      </w:tr>
      <w:tr>
        <w:trPr>
          <w:trHeight w:val="399"/>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Explanation of Non-GAAP and Other Financial Measures</w:t>
            </w:r>
          </w:p>
        </w:tc>
      </w:tr>
      <w:tr>
        <w:trPr>
          <w:trHeight w:val="20"/>
        </w:trPr>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399"/>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21"/>
        </w:trPr>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6720" w:type="dxa"/>
            <w:vAlign w:val="bottom"/>
            <w:gridSpan w:val="2"/>
          </w:tcPr>
          <w:p>
            <w:pPr>
              <w:ind w:left="2940"/>
              <w:spacing w:after="0"/>
              <w:rPr>
                <w:sz w:val="20"/>
                <w:szCs w:val="20"/>
                <w:color w:val="auto"/>
              </w:rPr>
            </w:pPr>
            <w:r>
              <w:rPr>
                <w:rFonts w:ascii="Times New Roman" w:cs="Times New Roman" w:eastAsia="Times New Roman" w:hAnsi="Times New Roman"/>
                <w:sz w:val="18"/>
                <w:szCs w:val="18"/>
                <w:color w:val="auto"/>
              </w:rPr>
              <w:t>Bentley Systems, Incorporated</w:t>
            </w:r>
          </w:p>
        </w:tc>
      </w:tr>
      <w:tr>
        <w:trPr>
          <w:trHeight w:val="40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376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By:</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4"/>
                <w:szCs w:val="14"/>
                <w:color w:val="auto"/>
              </w:rPr>
              <w:t>ERNER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NDRE</w:t>
            </w:r>
          </w:p>
        </w:tc>
      </w:tr>
      <w:tr>
        <w:trPr>
          <w:trHeight w:val="40"/>
        </w:trPr>
        <w:tc>
          <w:tcPr>
            <w:tcW w:w="4460" w:type="dxa"/>
            <w:vAlign w:val="bottom"/>
          </w:tcPr>
          <w:p>
            <w:pPr>
              <w:spacing w:after="0"/>
              <w:rPr>
                <w:sz w:val="3"/>
                <w:szCs w:val="3"/>
                <w:color w:val="auto"/>
              </w:rPr>
            </w:pPr>
          </w:p>
        </w:tc>
        <w:tc>
          <w:tcPr>
            <w:tcW w:w="3760" w:type="dxa"/>
            <w:vAlign w:val="bottom"/>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r>
      <w:tr>
        <w:trPr>
          <w:trHeight w:val="250"/>
        </w:trPr>
        <w:tc>
          <w:tcPr>
            <w:tcW w:w="4460" w:type="dxa"/>
            <w:vAlign w:val="bottom"/>
          </w:tcPr>
          <w:p>
            <w:pPr>
              <w:spacing w:after="0"/>
              <w:rPr>
                <w:sz w:val="21"/>
                <w:szCs w:val="21"/>
                <w:color w:val="auto"/>
              </w:rPr>
            </w:pPr>
          </w:p>
        </w:tc>
        <w:tc>
          <w:tcPr>
            <w:tcW w:w="376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Name:</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Werner Andre</w:t>
            </w:r>
          </w:p>
        </w:tc>
      </w:tr>
      <w:tr>
        <w:trPr>
          <w:trHeight w:val="297"/>
        </w:trPr>
        <w:tc>
          <w:tcPr>
            <w:tcW w:w="4460" w:type="dxa"/>
            <w:vAlign w:val="bottom"/>
          </w:tcPr>
          <w:p>
            <w:pPr>
              <w:spacing w:after="0"/>
              <w:rPr>
                <w:sz w:val="24"/>
                <w:szCs w:val="24"/>
                <w:color w:val="auto"/>
              </w:rPr>
            </w:pPr>
          </w:p>
        </w:tc>
        <w:tc>
          <w:tcPr>
            <w:tcW w:w="376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Title:</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234440" cy="368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Bentley Systems Announces Second Quarter 2025 Results</w:t>
      </w:r>
    </w:p>
    <w:p>
      <w:pPr>
        <w:spacing w:after="0" w:line="20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color w:val="auto"/>
        </w:rPr>
        <w:t xml:space="preserve">EXTON, PA – August 6, 2025 – </w:t>
      </w:r>
      <w:r>
        <w:rPr>
          <w:rFonts w:ascii="Arial" w:cs="Arial" w:eastAsia="Arial" w:hAnsi="Arial"/>
          <w:sz w:val="18"/>
          <w:szCs w:val="18"/>
          <w:u w:val="single" w:color="auto"/>
          <w:color w:val="0E32E1"/>
        </w:rPr>
        <w:t>Bentley Systems,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(Nasdaq: BSY), the infrastructure engineering software company,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results for the quarter ended June 30,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2025 Results</w:t>
      </w:r>
    </w:p>
    <w:p>
      <w:pPr>
        <w:spacing w:after="0" w:line="252"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were $364.1 million, up 10.2% or 9.2% on a constant currency basis, year-over-year;</w:t>
      </w:r>
    </w:p>
    <w:p>
      <w:pPr>
        <w:spacing w:after="0" w:line="184" w:lineRule="exact"/>
        <w:rPr>
          <w:rFonts w:ascii="Arial" w:cs="Arial" w:eastAsia="Arial" w:hAnsi="Arial"/>
          <w:sz w:val="18"/>
          <w:szCs w:val="18"/>
          <w:b w:val="1"/>
          <w:bCs w:val="1"/>
          <w:color w:val="auto"/>
        </w:rPr>
      </w:pPr>
    </w:p>
    <w:p>
      <w:pPr>
        <w:ind w:left="620" w:hanging="288"/>
        <w:spacing w:after="0"/>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Subscriptions revenues </w:t>
      </w:r>
      <w:r>
        <w:rPr>
          <w:rFonts w:ascii="Arial" w:cs="Arial" w:eastAsia="Arial" w:hAnsi="Arial"/>
          <w:sz w:val="18"/>
          <w:szCs w:val="18"/>
          <w:color w:val="auto"/>
        </w:rPr>
        <w:t>were $333.5 million, up 12.1% or 11.2% on a constant currency basis, year-over-year;</w:t>
      </w:r>
    </w:p>
    <w:p>
      <w:pPr>
        <w:spacing w:after="0" w:line="184" w:lineRule="exact"/>
        <w:rPr>
          <w:rFonts w:ascii="Arial" w:cs="Arial" w:eastAsia="Arial" w:hAnsi="Arial"/>
          <w:sz w:val="18"/>
          <w:szCs w:val="18"/>
          <w:b w:val="1"/>
          <w:bCs w:val="1"/>
          <w:color w:val="auto"/>
        </w:rPr>
      </w:pPr>
    </w:p>
    <w:p>
      <w:pPr>
        <w:ind w:left="660" w:right="400" w:hanging="328"/>
        <w:spacing w:after="0" w:line="287" w:lineRule="auto"/>
        <w:tabs>
          <w:tab w:leader="none" w:pos="628"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Annualized Recurring Revenues (“ARR”) </w:t>
      </w:r>
      <w:r>
        <w:rPr>
          <w:rFonts w:ascii="Arial" w:cs="Arial" w:eastAsia="Arial" w:hAnsi="Arial"/>
          <w:sz w:val="18"/>
          <w:szCs w:val="18"/>
          <w:color w:val="auto"/>
        </w:rPr>
        <w:t>were $1,379.2 million as of June 30, 2025, compared to $1,215.9 million as of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2024, representing a </w:t>
      </w:r>
      <w:r>
        <w:rPr>
          <w:rFonts w:ascii="Arial" w:cs="Arial" w:eastAsia="Arial" w:hAnsi="Arial"/>
          <w:sz w:val="18"/>
          <w:szCs w:val="18"/>
          <w:i w:val="1"/>
          <w:iCs w:val="1"/>
          <w:color w:val="auto"/>
        </w:rPr>
        <w:t>constant currency ARR growth rate</w:t>
      </w:r>
      <w:r>
        <w:rPr>
          <w:rFonts w:ascii="Arial" w:cs="Arial" w:eastAsia="Arial" w:hAnsi="Arial"/>
          <w:sz w:val="18"/>
          <w:szCs w:val="18"/>
          <w:color w:val="auto"/>
        </w:rPr>
        <w:t xml:space="preserve"> of 11.5%;</w:t>
      </w:r>
    </w:p>
    <w:p>
      <w:pPr>
        <w:spacing w:after="0" w:line="125" w:lineRule="exact"/>
        <w:rPr>
          <w:rFonts w:ascii="Arial" w:cs="Arial" w:eastAsia="Arial" w:hAnsi="Arial"/>
          <w:sz w:val="18"/>
          <w:szCs w:val="18"/>
          <w:b w:val="1"/>
          <w:bCs w:val="1"/>
          <w:color w:val="auto"/>
        </w:rPr>
      </w:pPr>
    </w:p>
    <w:p>
      <w:pPr>
        <w:ind w:left="620" w:hanging="288"/>
        <w:spacing w:after="0"/>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Last twelve-month recurring revenues dollar-based net retention rate </w:t>
      </w:r>
      <w:r>
        <w:rPr>
          <w:rFonts w:ascii="Arial" w:cs="Arial" w:eastAsia="Arial" w:hAnsi="Arial"/>
          <w:sz w:val="18"/>
          <w:szCs w:val="18"/>
          <w:color w:val="auto"/>
        </w:rPr>
        <w:t>was 109%, compared to 108% for the same period last year;</w:t>
      </w:r>
    </w:p>
    <w:p>
      <w:pPr>
        <w:spacing w:after="0" w:line="184" w:lineRule="exact"/>
        <w:rPr>
          <w:rFonts w:ascii="Arial" w:cs="Arial" w:eastAsia="Arial" w:hAnsi="Arial"/>
          <w:sz w:val="18"/>
          <w:szCs w:val="18"/>
          <w:b w:val="1"/>
          <w:bCs w:val="1"/>
          <w:color w:val="auto"/>
        </w:rPr>
      </w:pPr>
    </w:p>
    <w:p>
      <w:pPr>
        <w:ind w:left="620" w:hanging="288"/>
        <w:spacing w:after="0"/>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Operating income margin </w:t>
      </w:r>
      <w:r>
        <w:rPr>
          <w:rFonts w:ascii="Arial" w:cs="Arial" w:eastAsia="Arial" w:hAnsi="Arial"/>
          <w:sz w:val="18"/>
          <w:szCs w:val="18"/>
          <w:color w:val="auto"/>
        </w:rPr>
        <w:t>was 23.2%, compared to 24.3% for the same period last year;</w:t>
      </w:r>
    </w:p>
    <w:p>
      <w:pPr>
        <w:spacing w:after="0" w:line="184" w:lineRule="exact"/>
        <w:rPr>
          <w:rFonts w:ascii="Arial" w:cs="Arial" w:eastAsia="Arial" w:hAnsi="Arial"/>
          <w:sz w:val="18"/>
          <w:szCs w:val="18"/>
          <w:b w:val="1"/>
          <w:bCs w:val="1"/>
          <w:color w:val="auto"/>
        </w:rPr>
      </w:pPr>
    </w:p>
    <w:p>
      <w:pPr>
        <w:ind w:left="660" w:right="60" w:hanging="328"/>
        <w:spacing w:after="0" w:line="287" w:lineRule="auto"/>
        <w:tabs>
          <w:tab w:leader="none" w:pos="628"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Adjusted operating income less stock-based compensation expense (“AOI less SBC”) margin </w:t>
      </w:r>
      <w:r>
        <w:rPr>
          <w:rFonts w:ascii="Arial" w:cs="Arial" w:eastAsia="Arial" w:hAnsi="Arial"/>
          <w:sz w:val="18"/>
          <w:szCs w:val="18"/>
          <w:color w:val="auto"/>
        </w:rPr>
        <w:t>was 28.9%, compared to 28.8%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last year;</w:t>
      </w:r>
    </w:p>
    <w:p>
      <w:pPr>
        <w:spacing w:after="0" w:line="125" w:lineRule="exact"/>
        <w:rPr>
          <w:rFonts w:ascii="Arial" w:cs="Arial" w:eastAsia="Arial" w:hAnsi="Arial"/>
          <w:sz w:val="18"/>
          <w:szCs w:val="18"/>
          <w:b w:val="1"/>
          <w:bCs w:val="1"/>
          <w:color w:val="auto"/>
        </w:rPr>
      </w:pPr>
    </w:p>
    <w:p>
      <w:pPr>
        <w:ind w:left="620" w:hanging="288"/>
        <w:spacing w:after="0"/>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Net income per diluted share </w:t>
      </w:r>
      <w:r>
        <w:rPr>
          <w:rFonts w:ascii="Arial" w:cs="Arial" w:eastAsia="Arial" w:hAnsi="Arial"/>
          <w:sz w:val="18"/>
          <w:szCs w:val="18"/>
          <w:color w:val="auto"/>
        </w:rPr>
        <w:t>was $0.22, consistent with the same period last year;</w:t>
      </w:r>
    </w:p>
    <w:p>
      <w:pPr>
        <w:spacing w:after="0" w:line="184" w:lineRule="exact"/>
        <w:rPr>
          <w:rFonts w:ascii="Arial" w:cs="Arial" w:eastAsia="Arial" w:hAnsi="Arial"/>
          <w:sz w:val="18"/>
          <w:szCs w:val="18"/>
          <w:b w:val="1"/>
          <w:bCs w:val="1"/>
          <w:color w:val="auto"/>
        </w:rPr>
      </w:pPr>
    </w:p>
    <w:p>
      <w:pPr>
        <w:ind w:left="620" w:hanging="288"/>
        <w:spacing w:after="0"/>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Adjusted net income per diluted share </w:t>
      </w:r>
      <w:r>
        <w:rPr>
          <w:rFonts w:ascii="Arial" w:cs="Arial" w:eastAsia="Arial" w:hAnsi="Arial"/>
          <w:sz w:val="18"/>
          <w:szCs w:val="18"/>
          <w:color w:val="auto"/>
        </w:rPr>
        <w:t>(“</w:t>
      </w:r>
      <w:r>
        <w:rPr>
          <w:rFonts w:ascii="Arial" w:cs="Arial" w:eastAsia="Arial" w:hAnsi="Arial"/>
          <w:sz w:val="18"/>
          <w:szCs w:val="18"/>
          <w:i w:val="1"/>
          <w:iCs w:val="1"/>
          <w:color w:val="auto"/>
        </w:rPr>
        <w:t>Adjusted EPS</w:t>
      </w:r>
      <w:r>
        <w:rPr>
          <w:rFonts w:ascii="Arial" w:cs="Arial" w:eastAsia="Arial" w:hAnsi="Arial"/>
          <w:sz w:val="18"/>
          <w:szCs w:val="18"/>
          <w:color w:val="auto"/>
        </w:rPr>
        <w:t>”) was $0.32, compared to $0.31 for the same period last year;</w:t>
      </w:r>
    </w:p>
    <w:p>
      <w:pPr>
        <w:spacing w:after="0" w:line="184" w:lineRule="exact"/>
        <w:rPr>
          <w:rFonts w:ascii="Arial" w:cs="Arial" w:eastAsia="Arial" w:hAnsi="Arial"/>
          <w:sz w:val="18"/>
          <w:szCs w:val="18"/>
          <w:b w:val="1"/>
          <w:bCs w:val="1"/>
          <w:color w:val="auto"/>
        </w:rPr>
      </w:pPr>
    </w:p>
    <w:p>
      <w:pPr>
        <w:ind w:left="620" w:hanging="288"/>
        <w:spacing w:after="0"/>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Cash flows from operations </w:t>
      </w:r>
      <w:r>
        <w:rPr>
          <w:rFonts w:ascii="Arial" w:cs="Arial" w:eastAsia="Arial" w:hAnsi="Arial"/>
          <w:sz w:val="18"/>
          <w:szCs w:val="18"/>
          <w:color w:val="auto"/>
        </w:rPr>
        <w:t>was $61.1 million, compared to $62.6 million for the same period last year; and</w:t>
      </w:r>
    </w:p>
    <w:p>
      <w:pPr>
        <w:spacing w:after="0" w:line="198" w:lineRule="exact"/>
        <w:rPr>
          <w:rFonts w:ascii="Arial" w:cs="Arial" w:eastAsia="Arial" w:hAnsi="Arial"/>
          <w:sz w:val="18"/>
          <w:szCs w:val="18"/>
          <w:b w:val="1"/>
          <w:bCs w:val="1"/>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was $57.0 million, compared to $59.5 million for the same period last year.</w:t>
      </w:r>
    </w:p>
    <w:p>
      <w:pPr>
        <w:sectPr>
          <w:pgSz w:w="11900" w:h="16838" w:orient="portrait"/>
          <w:cols w:equalWidth="0" w:num="1">
            <w:col w:w="11240"/>
          </w:cols>
          <w:pgMar w:left="320" w:top="141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Six Months Ended June 30, 2025 Results</w:t>
      </w:r>
    </w:p>
    <w:p>
      <w:pPr>
        <w:spacing w:after="0" w:line="252"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were $734.6 million, up 10.0% or 10.1% on a constant currency basis, year-over-year;</w:t>
      </w:r>
    </w:p>
    <w:p>
      <w:pPr>
        <w:spacing w:after="0" w:line="184" w:lineRule="exact"/>
        <w:rPr>
          <w:rFonts w:ascii="Arial" w:cs="Arial" w:eastAsia="Arial" w:hAnsi="Arial"/>
          <w:sz w:val="18"/>
          <w:szCs w:val="18"/>
          <w:b w:val="1"/>
          <w:bCs w:val="1"/>
          <w:color w:val="auto"/>
        </w:rPr>
      </w:pPr>
    </w:p>
    <w:p>
      <w:pPr>
        <w:ind w:left="620" w:hanging="288"/>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Subscriptions revenues </w:t>
      </w:r>
      <w:r>
        <w:rPr>
          <w:rFonts w:ascii="Arial" w:cs="Arial" w:eastAsia="Arial" w:hAnsi="Arial"/>
          <w:sz w:val="18"/>
          <w:szCs w:val="18"/>
          <w:color w:val="auto"/>
        </w:rPr>
        <w:t>were $675.8 million, up 11.8% or 11.9% on a constant currency basis, year-over-year;</w:t>
      </w:r>
    </w:p>
    <w:p>
      <w:pPr>
        <w:spacing w:after="0" w:line="198" w:lineRule="exact"/>
        <w:rPr>
          <w:rFonts w:ascii="Arial" w:cs="Arial" w:eastAsia="Arial" w:hAnsi="Arial"/>
          <w:sz w:val="18"/>
          <w:szCs w:val="18"/>
          <w:b w:val="1"/>
          <w:bCs w:val="1"/>
          <w:color w:val="auto"/>
        </w:rPr>
      </w:pPr>
    </w:p>
    <w:p>
      <w:pPr>
        <w:ind w:left="620" w:hanging="288"/>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Operating income margin </w:t>
      </w:r>
      <w:r>
        <w:rPr>
          <w:rFonts w:ascii="Arial" w:cs="Arial" w:eastAsia="Arial" w:hAnsi="Arial"/>
          <w:sz w:val="18"/>
          <w:szCs w:val="18"/>
          <w:color w:val="auto"/>
        </w:rPr>
        <w:t>was 27.2%, compared to 25.8% for the same period last year;</w:t>
      </w:r>
    </w:p>
    <w:p>
      <w:pPr>
        <w:spacing w:after="0" w:line="184" w:lineRule="exact"/>
        <w:rPr>
          <w:rFonts w:ascii="Arial" w:cs="Arial" w:eastAsia="Arial" w:hAnsi="Arial"/>
          <w:sz w:val="18"/>
          <w:szCs w:val="18"/>
          <w:b w:val="1"/>
          <w:bCs w:val="1"/>
          <w:color w:val="auto"/>
        </w:rPr>
      </w:pPr>
    </w:p>
    <w:p>
      <w:pPr>
        <w:ind w:left="620" w:hanging="288"/>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AOI less SBC margin </w:t>
      </w:r>
      <w:r>
        <w:rPr>
          <w:rFonts w:ascii="Arial" w:cs="Arial" w:eastAsia="Arial" w:hAnsi="Arial"/>
          <w:sz w:val="18"/>
          <w:szCs w:val="18"/>
          <w:color w:val="auto"/>
        </w:rPr>
        <w:t>was 31.5%, compared to 31.1% for the same period last year;</w:t>
      </w:r>
    </w:p>
    <w:p>
      <w:pPr>
        <w:spacing w:after="0" w:line="184" w:lineRule="exact"/>
        <w:rPr>
          <w:rFonts w:ascii="Arial" w:cs="Arial" w:eastAsia="Arial" w:hAnsi="Arial"/>
          <w:sz w:val="18"/>
          <w:szCs w:val="18"/>
          <w:b w:val="1"/>
          <w:bCs w:val="1"/>
          <w:color w:val="auto"/>
        </w:rPr>
      </w:pPr>
    </w:p>
    <w:p>
      <w:pPr>
        <w:ind w:left="620" w:hanging="288"/>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Net income per diluted share </w:t>
      </w:r>
      <w:r>
        <w:rPr>
          <w:rFonts w:ascii="Arial" w:cs="Arial" w:eastAsia="Arial" w:hAnsi="Arial"/>
          <w:sz w:val="18"/>
          <w:szCs w:val="18"/>
          <w:color w:val="auto"/>
        </w:rPr>
        <w:t>was $0.50, compared to $0.44 for the same period last year;</w:t>
      </w:r>
    </w:p>
    <w:p>
      <w:pPr>
        <w:spacing w:after="0" w:line="198" w:lineRule="exact"/>
        <w:rPr>
          <w:rFonts w:ascii="Arial" w:cs="Arial" w:eastAsia="Arial" w:hAnsi="Arial"/>
          <w:sz w:val="18"/>
          <w:szCs w:val="18"/>
          <w:b w:val="1"/>
          <w:bCs w:val="1"/>
          <w:color w:val="auto"/>
        </w:rPr>
      </w:pPr>
    </w:p>
    <w:p>
      <w:pPr>
        <w:ind w:left="620" w:hanging="288"/>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Adjusted EPS </w:t>
      </w:r>
      <w:r>
        <w:rPr>
          <w:rFonts w:ascii="Arial" w:cs="Arial" w:eastAsia="Arial" w:hAnsi="Arial"/>
          <w:sz w:val="18"/>
          <w:szCs w:val="18"/>
          <w:color w:val="auto"/>
        </w:rPr>
        <w:t>was $0.67, compared to $0.62 for the same period last year;</w:t>
      </w:r>
    </w:p>
    <w:p>
      <w:pPr>
        <w:spacing w:after="0" w:line="184" w:lineRule="exact"/>
        <w:rPr>
          <w:rFonts w:ascii="Arial" w:cs="Arial" w:eastAsia="Arial" w:hAnsi="Arial"/>
          <w:sz w:val="18"/>
          <w:szCs w:val="18"/>
          <w:b w:val="1"/>
          <w:bCs w:val="1"/>
          <w:color w:val="auto"/>
        </w:rPr>
      </w:pPr>
    </w:p>
    <w:p>
      <w:pPr>
        <w:ind w:left="620" w:hanging="288"/>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Cash flows from operations </w:t>
      </w:r>
      <w:r>
        <w:rPr>
          <w:rFonts w:ascii="Arial" w:cs="Arial" w:eastAsia="Arial" w:hAnsi="Arial"/>
          <w:sz w:val="18"/>
          <w:szCs w:val="18"/>
          <w:color w:val="auto"/>
        </w:rPr>
        <w:t>was $280.5 million, compared to $267.6 million for the same period last year; and</w:t>
      </w:r>
    </w:p>
    <w:p>
      <w:pPr>
        <w:spacing w:after="0" w:line="184" w:lineRule="exact"/>
        <w:rPr>
          <w:rFonts w:ascii="Arial" w:cs="Arial" w:eastAsia="Arial" w:hAnsi="Arial"/>
          <w:sz w:val="18"/>
          <w:szCs w:val="18"/>
          <w:b w:val="1"/>
          <w:bCs w:val="1"/>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was $273.4 million, compared to $260.9 million for the same period last year.</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Executive Chair Greg Bentley said, “BSY’s continued excellent operational and financial results through 25Q2 track consistently toward our outlook range for 2025. As throughout our soon fully five years as a public company, sustaining long-term drivers for going digital prevail foreseeably for our accounts and prospects. Pervasive infrastructure engineering resource constraints motivate step functions in productivity and value generation for each BSY user, as we help them to keep up with the world’s accelerating demands for infrastructure performance and resilience.”</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CEO Nicholas Cumins said, “We delivered another strong quarter despite ongoing global uncertainties. This performance underscores the resilience of our business model and the strength of our end markets, driven by secular infrastructure investment. One year into my new role as CEO, engaging with users and colleagues around the world, I am more energized than ever by how our software plays a crucial role in helping infrastructure engineers achieve more with less.”</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CFO Werner Andre said, “Q2 financial performance was in-line with our expectations with constant-currency ARR growth of 11.5%, and strong profitability and free cash flow. We executed well during the quarter and are appropriately positioned to achieve our annual outlook. Our balance sheet strength and projected cash flow generation provide sufficient capacity to repurchase shares to offset dilution from stock-based compensation, maintain our dividend, fund potential acquisitions, and to refinance next year’s maturing convertible debt — if needed — all while supporting long-term growth.”</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 Details</w:t>
      </w:r>
    </w:p>
    <w:p>
      <w:pPr>
        <w:spacing w:after="0" w:line="25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Bentley Systems will host a live Zoom video webinar on August 6, 2025 at 8:15 a.m. Eastern time to discuss results for its second quarter ended June 30, 2025.</w:t>
      </w:r>
    </w:p>
    <w:p>
      <w:pPr>
        <w:spacing w:after="0" w:line="18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 xml:space="preserve">Those wishing to participate should access the live Zoom video webinar of the event through a direct registration link at </w:t>
      </w:r>
      <w:r>
        <w:rPr>
          <w:rFonts w:ascii="Arial" w:cs="Arial" w:eastAsia="Arial" w:hAnsi="Arial"/>
          <w:sz w:val="18"/>
          <w:szCs w:val="18"/>
          <w:u w:val="single" w:color="auto"/>
          <w:color w:val="0E32E1"/>
        </w:rPr>
        <w:t>https://bentley-com.zoom.us/webinar/register/WN_Hak30sojTQK5yvZg1mrDkw#/registration</w:t>
      </w:r>
      <w:r>
        <w:rPr>
          <w:rFonts w:ascii="Arial" w:cs="Arial" w:eastAsia="Arial" w:hAnsi="Arial"/>
          <w:sz w:val="18"/>
          <w:szCs w:val="18"/>
          <w:color w:val="000000"/>
        </w:rPr>
        <w:t>. Alternatively, the event can be accessed from the Events &amp;</w:t>
      </w:r>
      <w:r>
        <w:rPr>
          <w:rFonts w:ascii="Arial" w:cs="Arial" w:eastAsia="Arial" w:hAnsi="Arial"/>
          <w:sz w:val="18"/>
          <w:szCs w:val="18"/>
          <w:color w:val="0E32E1"/>
        </w:rPr>
        <w:t xml:space="preserve"> </w:t>
      </w:r>
      <w:r>
        <w:rPr>
          <w:rFonts w:ascii="Arial" w:cs="Arial" w:eastAsia="Arial" w:hAnsi="Arial"/>
          <w:sz w:val="18"/>
          <w:szCs w:val="18"/>
          <w:color w:val="000000"/>
        </w:rPr>
        <w:t xml:space="preserve">Presentations page on Bentley Systems’ Investor Relations website at </w:t>
      </w:r>
      <w:r>
        <w:rPr>
          <w:rFonts w:ascii="Arial" w:cs="Arial" w:eastAsia="Arial" w:hAnsi="Arial"/>
          <w:sz w:val="18"/>
          <w:szCs w:val="18"/>
          <w:u w:val="single" w:color="auto"/>
          <w:color w:val="0E32E1"/>
        </w:rPr>
        <w:t>https://investors.bentley.com</w:t>
      </w:r>
      <w:r>
        <w:rPr>
          <w:rFonts w:ascii="Arial" w:cs="Arial" w:eastAsia="Arial" w:hAnsi="Arial"/>
          <w:sz w:val="18"/>
          <w:szCs w:val="18"/>
          <w:color w:val="000000"/>
        </w:rPr>
        <w:t>. In addition, a replay and transcript will be available after the conclusion of the live event on Bentley Systems’ Investor Relations website for one year.</w:t>
      </w:r>
    </w:p>
    <w:p>
      <w:pPr>
        <w:sectPr>
          <w:pgSz w:w="11900" w:h="16838" w:orient="portrait"/>
          <w:cols w:equalWidth="0" w:num="1">
            <w:col w:w="11160"/>
          </w:cols>
          <w:pgMar w:left="320" w:top="1417" w:right="4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Non-GAAP Financial Measures</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this press release, we sometimes refer to financial measures that are not presented in accordance with U.S. generally accepted accounting principles (“GAAP”). Certain of these measures are considered non-GAAP financial measures under the United States Securities and Exchange Commission (“SEC”) regulations. Those rules require the supplemental explanations and reconciliations that are in Bentley Systems’ Form 8-K (Quarterly Earnings Release) furnished to the SEC.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regarding the future results of operations and financial condition, business strategy, and plans and objectives for future operations of Bentley Systems, Incorporated (the “Company,” “we,” “us,” and words of similar import). All such statements contained in this press release, other than statements of historical facts, are forward-looking statements. The words “believe,” “may,” “will,” “estimate,” “continue,” “anticipate,” “intend,” “expect,” and similar expressions are intended to identify forward-looking statements. We have based these forward-looking statements largely on our current expectations, projections, and assumptions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uncertainties and assumptions, and there are a significant number of factors that could cause actual results to differ materially from statements made in this press release including: adverse changes in global economic and/or political conditions; the impact of tariffs and related policies on our business and the businesses of the industries we serve; the impact of current and future sanctions, embargoes and other similar laws at the state and/or federal level that impose restrictions on our counterparties or upon our ability to operate our business within the subject jurisdictions; political, economic, regulatory and public health and safety risks and uncertainties in the countries and regions in which we operate; failure to retain personnel necessary for the operation of our business or those that we acquire; failure to effectively manage succession; changes in the industries in which our accounts operate; the competitive environment in which we operate; the quality of our products; our ability to develop and market new products to address our accounts’ rapidly changing technological needs; changes in capital markets and our ability to access financing on terms satisfactory to us or at all; the impact of changing or uncertain interest rates on us and on the industries we serve; our ability to integrate acquired businesses successfully; and our ability to identify and consummate future investments and/or acquisitions on terms satisfactory to us or at all.</w:t>
      </w:r>
    </w:p>
    <w:p>
      <w:pPr>
        <w:spacing w:after="0" w:line="179" w:lineRule="exact"/>
        <w:rPr>
          <w:sz w:val="20"/>
          <w:szCs w:val="20"/>
          <w:color w:val="auto"/>
        </w:rPr>
      </w:pPr>
    </w:p>
    <w:p>
      <w:pPr>
        <w:ind w:right="180"/>
        <w:spacing w:after="0" w:line="237" w:lineRule="exact"/>
        <w:rPr>
          <w:sz w:val="20"/>
          <w:szCs w:val="20"/>
          <w:color w:val="auto"/>
        </w:rPr>
      </w:pPr>
      <w:r>
        <w:rPr>
          <w:rFonts w:ascii="Arial" w:cs="Arial" w:eastAsia="Arial" w:hAnsi="Arial"/>
          <w:sz w:val="18"/>
          <w:szCs w:val="18"/>
          <w:color w:val="auto"/>
        </w:rPr>
        <w:t>Further information on potential factors that could affect the financial results of the Company are included in the Company’s Form 10</w:t>
      </w:r>
      <w:r>
        <w:rPr>
          <w:rFonts w:ascii="MS PGothic" w:cs="MS PGothic" w:eastAsia="MS PGothic" w:hAnsi="MS PGothic"/>
          <w:sz w:val="18"/>
          <w:szCs w:val="18"/>
          <w:color w:val="auto"/>
        </w:rPr>
        <w:t>‑</w:t>
      </w:r>
      <w:r>
        <w:rPr>
          <w:rFonts w:ascii="Arial" w:cs="Arial" w:eastAsia="Arial" w:hAnsi="Arial"/>
          <w:sz w:val="18"/>
          <w:szCs w:val="18"/>
          <w:color w:val="auto"/>
        </w:rPr>
        <w:t>K and subsequent Form 10</w:t>
      </w:r>
      <w:r>
        <w:rPr>
          <w:rFonts w:ascii="MS PGothic" w:cs="MS PGothic" w:eastAsia="MS PGothic" w:hAnsi="MS PGothic"/>
          <w:sz w:val="18"/>
          <w:szCs w:val="18"/>
          <w:color w:val="auto"/>
        </w:rPr>
        <w:t>‑</w:t>
      </w:r>
      <w:r>
        <w:rPr>
          <w:rFonts w:ascii="Arial" w:cs="Arial" w:eastAsia="Arial" w:hAnsi="Arial"/>
          <w:sz w:val="18"/>
          <w:szCs w:val="18"/>
          <w:color w:val="auto"/>
        </w:rPr>
        <w:t>Qs, which are on file with the SEC. The Company disclaims any obligation to update the forward-looking statements provided to reflect events that occur or circumstances that exist after the date on which they were made.</w:t>
      </w:r>
    </w:p>
    <w:p>
      <w:pPr>
        <w:sectPr>
          <w:pgSz w:w="11900" w:h="16838" w:orient="portrait"/>
          <w:cols w:equalWidth="0" w:num="1">
            <w:col w:w="11240"/>
          </w:cols>
          <w:pgMar w:left="320" w:top="141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Bentley Systems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Around the world, infrastructure professionals rely on software from Bentley Systems to help them design, build, and operate better and more resilient infrastructure for transportation, water, energy, cities, and more. Founded in 1984 by engineers for engineers, Bentley is the partner of choice for engineering firms and owner-operators worldwide, with software that spans engineering disciplines, industry sectors, and all phases of the infrastructure lifecycle. Through our digital twin solutions, we help infrastructure professionals unlock the value of their data to transform project delivery and asset performance.</w:t>
      </w:r>
    </w:p>
    <w:p>
      <w:pPr>
        <w:spacing w:after="0" w:line="218" w:lineRule="exact"/>
        <w:rPr>
          <w:sz w:val="20"/>
          <w:szCs w:val="20"/>
          <w:color w:val="auto"/>
        </w:rPr>
      </w:pPr>
    </w:p>
    <w:p>
      <w:pPr>
        <w:ind w:firstLine="8"/>
        <w:spacing w:after="0" w:line="302" w:lineRule="auto"/>
        <w:tabs>
          <w:tab w:leader="none" w:pos="146"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2025 Bentley Systems, Incorporated. Bentley, and the Bentley logo are either registered or unregistered trademarks or service marks of Bentley Systems, Incorporated or one of its direct or indirect wholly owned subsidiaries. All other brands and product names are trademarks of their respective owners.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Investors: Eric Boyer, </w:t>
      </w:r>
      <w:r>
        <w:rPr>
          <w:rFonts w:ascii="Arial" w:cs="Arial" w:eastAsia="Arial" w:hAnsi="Arial"/>
          <w:sz w:val="18"/>
          <w:szCs w:val="18"/>
          <w:u w:val="single" w:color="auto"/>
          <w:color w:val="0E32E1"/>
        </w:rPr>
        <w:t>IR@bentley.com</w:t>
      </w:r>
    </w:p>
    <w:p>
      <w:pPr>
        <w:sectPr>
          <w:pgSz w:w="11900" w:h="16838" w:orient="portrait"/>
          <w:cols w:equalWidth="0" w:num="1">
            <w:col w:w="11220"/>
          </w:cols>
          <w:pgMar w:left="320" w:top="1417" w:right="3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BENTLEY SYSTEMS, INCORPORATED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2025</w:t>
            </w:r>
          </w:p>
        </w:tc>
        <w:tc>
          <w:tcPr>
            <w:tcW w:w="260" w:type="dxa"/>
            <w:vAlign w:val="bottom"/>
          </w:tcPr>
          <w:p>
            <w:pPr>
              <w:spacing w:after="0"/>
              <w:rPr>
                <w:sz w:val="17"/>
                <w:szCs w:val="17"/>
                <w:color w:val="auto"/>
              </w:rPr>
            </w:pPr>
          </w:p>
        </w:tc>
        <w:tc>
          <w:tcPr>
            <w:tcW w:w="1840" w:type="dxa"/>
            <w:vAlign w:val="bottom"/>
          </w:tcPr>
          <w:p>
            <w:pPr>
              <w:jc w:val="right"/>
              <w:ind w:right="319"/>
              <w:spacing w:after="0"/>
              <w:rPr>
                <w:sz w:val="20"/>
                <w:szCs w:val="20"/>
                <w:color w:val="auto"/>
              </w:rPr>
            </w:pPr>
            <w:r>
              <w:rPr>
                <w:rFonts w:ascii="Arial" w:cs="Arial" w:eastAsia="Arial" w:hAnsi="Arial"/>
                <w:sz w:val="14"/>
                <w:szCs w:val="14"/>
                <w:b w:val="1"/>
                <w:bCs w:val="1"/>
                <w:color w:val="auto"/>
              </w:rPr>
              <w:t>December 31, 2024</w:t>
            </w:r>
          </w:p>
        </w:tc>
      </w:tr>
      <w:tr>
        <w:trPr>
          <w:trHeight w:val="23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2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spacing w:after="0"/>
              <w:rPr>
                <w:sz w:val="19"/>
                <w:szCs w:val="19"/>
                <w:color w:val="auto"/>
              </w:rPr>
            </w:pPr>
          </w:p>
        </w:tc>
      </w:tr>
      <w:tr>
        <w:trPr>
          <w:trHeight w:val="235"/>
        </w:trPr>
        <w:tc>
          <w:tcPr>
            <w:tcW w:w="6740" w:type="dxa"/>
            <w:vAlign w:val="bottom"/>
          </w:tcPr>
          <w:p>
            <w:pPr>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51"/>
        </w:trPr>
        <w:tc>
          <w:tcPr>
            <w:tcW w:w="6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89,646</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64,009</w:t>
            </w:r>
          </w:p>
        </w:tc>
      </w:tr>
      <w:tr>
        <w:trPr>
          <w:trHeight w:val="235"/>
        </w:trPr>
        <w:tc>
          <w:tcPr>
            <w:tcW w:w="6740" w:type="dxa"/>
            <w:vAlign w:val="bottom"/>
          </w:tcPr>
          <w:p>
            <w:pPr>
              <w:ind w:left="16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300,173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322,862</w:t>
            </w:r>
          </w:p>
        </w:tc>
      </w:tr>
      <w:tr>
        <w:trPr>
          <w:trHeight w:val="251"/>
        </w:trPr>
        <w:tc>
          <w:tcPr>
            <w:tcW w:w="6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Allowance for doubtful accounts</w:t>
            </w:r>
          </w:p>
        </w:tc>
        <w:tc>
          <w:tcPr>
            <w:tcW w:w="3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(9,104)</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(8,395)</w:t>
            </w:r>
          </w:p>
        </w:tc>
      </w:tr>
      <w:tr>
        <w:trPr>
          <w:trHeight w:val="235"/>
        </w:trPr>
        <w:tc>
          <w:tcPr>
            <w:tcW w:w="6740" w:type="dxa"/>
            <w:vAlign w:val="bottom"/>
          </w:tcPr>
          <w:p>
            <w:pPr>
              <w:ind w:left="160"/>
              <w:spacing w:after="0"/>
              <w:rPr>
                <w:sz w:val="20"/>
                <w:szCs w:val="20"/>
                <w:color w:val="auto"/>
              </w:rPr>
            </w:pPr>
            <w:r>
              <w:rPr>
                <w:rFonts w:ascii="Arial" w:cs="Arial" w:eastAsia="Arial" w:hAnsi="Arial"/>
                <w:sz w:val="16"/>
                <w:szCs w:val="16"/>
                <w:color w:val="auto"/>
              </w:rPr>
              <w:t>Prepaid income taxes</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8,789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13,066</w:t>
            </w:r>
          </w:p>
        </w:tc>
      </w:tr>
      <w:tr>
        <w:trPr>
          <w:trHeight w:val="251"/>
        </w:trPr>
        <w:tc>
          <w:tcPr>
            <w:tcW w:w="6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Prepaid and other current assets</w:t>
            </w:r>
          </w:p>
        </w:tc>
        <w:tc>
          <w:tcPr>
            <w:tcW w:w="32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50,018</w:t>
            </w:r>
          </w:p>
        </w:tc>
        <w:tc>
          <w:tcPr>
            <w:tcW w:w="2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50,531</w:t>
            </w:r>
          </w:p>
        </w:tc>
      </w:tr>
      <w:tr>
        <w:trPr>
          <w:trHeight w:val="229"/>
        </w:trPr>
        <w:tc>
          <w:tcPr>
            <w:tcW w:w="6740" w:type="dxa"/>
            <w:vAlign w:val="bottom"/>
          </w:tcPr>
          <w:p>
            <w:pPr>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439,522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442,073</w:t>
            </w:r>
          </w:p>
        </w:tc>
      </w:tr>
      <w:tr>
        <w:trPr>
          <w:trHeight w:val="251"/>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3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34,377</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33,798</w:t>
            </w:r>
          </w:p>
        </w:tc>
      </w:tr>
      <w:tr>
        <w:trPr>
          <w:trHeight w:val="235"/>
        </w:trPr>
        <w:tc>
          <w:tcPr>
            <w:tcW w:w="674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31,473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32,303</w:t>
            </w:r>
          </w:p>
        </w:tc>
      </w:tr>
      <w:tr>
        <w:trPr>
          <w:trHeight w:val="251"/>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3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192,751</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213,959</w:t>
            </w:r>
          </w:p>
        </w:tc>
      </w:tr>
      <w:tr>
        <w:trPr>
          <w:trHeight w:val="235"/>
        </w:trPr>
        <w:tc>
          <w:tcPr>
            <w:tcW w:w="6740" w:type="dxa"/>
            <w:vAlign w:val="bottom"/>
          </w:tcPr>
          <w:p>
            <w:pPr>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2,416,815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2,367,179</w:t>
            </w:r>
          </w:p>
        </w:tc>
      </w:tr>
      <w:tr>
        <w:trPr>
          <w:trHeight w:val="251"/>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Investments</w:t>
            </w:r>
          </w:p>
        </w:tc>
        <w:tc>
          <w:tcPr>
            <w:tcW w:w="3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25,844</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25,764</w:t>
            </w:r>
          </w:p>
        </w:tc>
      </w:tr>
      <w:tr>
        <w:trPr>
          <w:trHeight w:val="235"/>
        </w:trPr>
        <w:tc>
          <w:tcPr>
            <w:tcW w:w="6740" w:type="dxa"/>
            <w:vAlign w:val="bottom"/>
          </w:tcPr>
          <w:p>
            <w:pPr>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201,702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198,286</w:t>
            </w:r>
          </w:p>
        </w:tc>
      </w:tr>
      <w:tr>
        <w:trPr>
          <w:trHeight w:val="244"/>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80,800</w:t>
            </w:r>
          </w:p>
        </w:tc>
        <w:tc>
          <w:tcPr>
            <w:tcW w:w="2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86,445</w:t>
            </w:r>
          </w:p>
        </w:tc>
      </w:tr>
      <w:tr>
        <w:trPr>
          <w:trHeight w:val="237"/>
        </w:trPr>
        <w:tc>
          <w:tcPr>
            <w:tcW w:w="6740" w:type="dxa"/>
            <w:vAlign w:val="bottom"/>
          </w:tcPr>
          <w:p>
            <w:pPr>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3,423,284</w:t>
            </w:r>
          </w:p>
        </w:tc>
        <w:tc>
          <w:tcPr>
            <w:tcW w:w="26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3,399,807</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Equity</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35"/>
        </w:trPr>
        <w:tc>
          <w:tcPr>
            <w:tcW w:w="6740" w:type="dxa"/>
            <w:vAlign w:val="bottom"/>
          </w:tcPr>
          <w:p>
            <w:pPr>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51"/>
        </w:trPr>
        <w:tc>
          <w:tcPr>
            <w:tcW w:w="6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24,480</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16,479</w:t>
            </w:r>
          </w:p>
        </w:tc>
      </w:tr>
      <w:tr>
        <w:trPr>
          <w:trHeight w:val="235"/>
        </w:trPr>
        <w:tc>
          <w:tcPr>
            <w:tcW w:w="6740" w:type="dxa"/>
            <w:vAlign w:val="bottom"/>
          </w:tcPr>
          <w:p>
            <w:pPr>
              <w:ind w:left="160"/>
              <w:spacing w:after="0"/>
              <w:rPr>
                <w:sz w:val="20"/>
                <w:szCs w:val="20"/>
                <w:color w:val="auto"/>
              </w:rPr>
            </w:pPr>
            <w:r>
              <w:rPr>
                <w:rFonts w:ascii="Arial" w:cs="Arial" w:eastAsia="Arial" w:hAnsi="Arial"/>
                <w:sz w:val="16"/>
                <w:szCs w:val="16"/>
                <w:color w:val="auto"/>
              </w:rPr>
              <w:t>Accruals and other current liabilities</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153,821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169,522</w:t>
            </w:r>
          </w:p>
        </w:tc>
      </w:tr>
      <w:tr>
        <w:trPr>
          <w:trHeight w:val="251"/>
        </w:trPr>
        <w:tc>
          <w:tcPr>
            <w:tcW w:w="6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Cloud Services Subscription deposits</w:t>
            </w:r>
          </w:p>
        </w:tc>
        <w:tc>
          <w:tcPr>
            <w:tcW w:w="3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414,791</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366,895</w:t>
            </w:r>
          </w:p>
        </w:tc>
      </w:tr>
      <w:tr>
        <w:trPr>
          <w:trHeight w:val="235"/>
        </w:trPr>
        <w:tc>
          <w:tcPr>
            <w:tcW w:w="6740" w:type="dxa"/>
            <w:vAlign w:val="bottom"/>
          </w:tcPr>
          <w:p>
            <w:pPr>
              <w:ind w:left="160"/>
              <w:spacing w:after="0"/>
              <w:rPr>
                <w:sz w:val="20"/>
                <w:szCs w:val="20"/>
                <w:color w:val="auto"/>
              </w:rPr>
            </w:pPr>
            <w:r>
              <w:rPr>
                <w:rFonts w:ascii="Arial" w:cs="Arial" w:eastAsia="Arial" w:hAnsi="Arial"/>
                <w:sz w:val="16"/>
                <w:szCs w:val="16"/>
                <w:color w:val="auto"/>
              </w:rPr>
              <w:t>Deferred revenues</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246,646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245,729</w:t>
            </w:r>
          </w:p>
        </w:tc>
      </w:tr>
      <w:tr>
        <w:trPr>
          <w:trHeight w:val="251"/>
        </w:trPr>
        <w:tc>
          <w:tcPr>
            <w:tcW w:w="6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lease liabilities</w:t>
            </w:r>
          </w:p>
        </w:tc>
        <w:tc>
          <w:tcPr>
            <w:tcW w:w="3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11,908</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11,656</w:t>
            </w:r>
          </w:p>
        </w:tc>
      </w:tr>
      <w:tr>
        <w:trPr>
          <w:trHeight w:val="235"/>
        </w:trPr>
        <w:tc>
          <w:tcPr>
            <w:tcW w:w="6740" w:type="dxa"/>
            <w:vAlign w:val="bottom"/>
          </w:tcPr>
          <w:p>
            <w:pPr>
              <w:ind w:left="160"/>
              <w:spacing w:after="0"/>
              <w:rPr>
                <w:sz w:val="20"/>
                <w:szCs w:val="20"/>
                <w:color w:val="auto"/>
              </w:rPr>
            </w:pPr>
            <w:r>
              <w:rPr>
                <w:rFonts w:ascii="Arial" w:cs="Arial" w:eastAsia="Arial" w:hAnsi="Arial"/>
                <w:sz w:val="16"/>
                <w:szCs w:val="16"/>
                <w:color w:val="auto"/>
              </w:rPr>
              <w:t>Income taxes payable</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6,718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4,053</w:t>
            </w:r>
          </w:p>
        </w:tc>
      </w:tr>
      <w:tr>
        <w:trPr>
          <w:trHeight w:val="251"/>
        </w:trPr>
        <w:tc>
          <w:tcPr>
            <w:tcW w:w="6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Current portion of long-term debt</w:t>
            </w:r>
          </w:p>
        </w:tc>
        <w:tc>
          <w:tcPr>
            <w:tcW w:w="3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674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858,364</w:t>
            </w: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814,334</w:t>
            </w:r>
          </w:p>
        </w:tc>
      </w:tr>
      <w:tr>
        <w:trPr>
          <w:trHeight w:val="251"/>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3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1,245,843</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1,388,088</w:t>
            </w:r>
          </w:p>
        </w:tc>
      </w:tr>
      <w:tr>
        <w:trPr>
          <w:trHeight w:val="235"/>
        </w:trPr>
        <w:tc>
          <w:tcPr>
            <w:tcW w:w="6740" w:type="dxa"/>
            <w:vAlign w:val="bottom"/>
          </w:tcPr>
          <w:p>
            <w:pPr>
              <w:spacing w:after="0"/>
              <w:rPr>
                <w:sz w:val="20"/>
                <w:szCs w:val="20"/>
                <w:color w:val="auto"/>
              </w:rPr>
            </w:pPr>
            <w:r>
              <w:rPr>
                <w:rFonts w:ascii="Arial" w:cs="Arial" w:eastAsia="Arial" w:hAnsi="Arial"/>
                <w:sz w:val="16"/>
                <w:szCs w:val="16"/>
                <w:color w:val="auto"/>
              </w:rPr>
              <w:t>Deferred compensation plan liabilities</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98,895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96,684</w:t>
            </w:r>
          </w:p>
        </w:tc>
      </w:tr>
      <w:tr>
        <w:trPr>
          <w:trHeight w:val="251"/>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Long-term operating lease liabilities</w:t>
            </w:r>
          </w:p>
        </w:tc>
        <w:tc>
          <w:tcPr>
            <w:tcW w:w="3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24,986</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26,894</w:t>
            </w:r>
          </w:p>
        </w:tc>
      </w:tr>
      <w:tr>
        <w:trPr>
          <w:trHeight w:val="235"/>
        </w:trPr>
        <w:tc>
          <w:tcPr>
            <w:tcW w:w="6740" w:type="dxa"/>
            <w:vAlign w:val="bottom"/>
          </w:tcPr>
          <w:p>
            <w:pPr>
              <w:spacing w:after="0"/>
              <w:rPr>
                <w:sz w:val="20"/>
                <w:szCs w:val="20"/>
                <w:color w:val="auto"/>
              </w:rPr>
            </w:pPr>
            <w:r>
              <w:rPr>
                <w:rFonts w:ascii="Arial" w:cs="Arial" w:eastAsia="Arial" w:hAnsi="Arial"/>
                <w:sz w:val="16"/>
                <w:szCs w:val="16"/>
                <w:color w:val="auto"/>
              </w:rPr>
              <w:t>Deferred revenues</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18,172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16,641</w:t>
            </w:r>
          </w:p>
        </w:tc>
      </w:tr>
      <w:tr>
        <w:trPr>
          <w:trHeight w:val="251"/>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8,768</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8,612</w:t>
            </w:r>
          </w:p>
        </w:tc>
      </w:tr>
      <w:tr>
        <w:trPr>
          <w:trHeight w:val="235"/>
        </w:trPr>
        <w:tc>
          <w:tcPr>
            <w:tcW w:w="6740" w:type="dxa"/>
            <w:vAlign w:val="bottom"/>
          </w:tcPr>
          <w:p>
            <w:pPr>
              <w:spacing w:after="0"/>
              <w:rPr>
                <w:sz w:val="20"/>
                <w:szCs w:val="20"/>
                <w:color w:val="auto"/>
              </w:rPr>
            </w:pPr>
            <w:r>
              <w:rPr>
                <w:rFonts w:ascii="Arial" w:cs="Arial" w:eastAsia="Arial" w:hAnsi="Arial"/>
                <w:sz w:val="16"/>
                <w:szCs w:val="16"/>
                <w:color w:val="auto"/>
              </w:rPr>
              <w:t>Income taxes payable</w:t>
            </w:r>
          </w:p>
        </w:tc>
        <w:tc>
          <w:tcPr>
            <w:tcW w:w="320" w:type="dxa"/>
            <w:vAlign w:val="bottom"/>
          </w:tcPr>
          <w:p>
            <w:pPr>
              <w:spacing w:after="0"/>
              <w:rPr>
                <w:sz w:val="20"/>
                <w:szCs w:val="20"/>
                <w:color w:val="auto"/>
              </w:rPr>
            </w:pPr>
          </w:p>
        </w:tc>
        <w:tc>
          <w:tcPr>
            <w:tcW w:w="20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3,615</w:t>
            </w:r>
          </w:p>
        </w:tc>
      </w:tr>
      <w:tr>
        <w:trPr>
          <w:trHeight w:val="251"/>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6,086</w:t>
            </w:r>
          </w:p>
        </w:tc>
        <w:tc>
          <w:tcPr>
            <w:tcW w:w="2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3,819</w:t>
            </w:r>
          </w:p>
        </w:tc>
      </w:tr>
      <w:tr>
        <w:trPr>
          <w:trHeight w:val="230"/>
        </w:trPr>
        <w:tc>
          <w:tcPr>
            <w:tcW w:w="67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2,261,114</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2,358,687</w:t>
            </w:r>
          </w:p>
        </w:tc>
      </w:tr>
      <w:tr>
        <w:trPr>
          <w:trHeight w:val="230"/>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Equity:</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35"/>
        </w:trPr>
        <w:tc>
          <w:tcPr>
            <w:tcW w:w="674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3,034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3,020</w:t>
            </w:r>
          </w:p>
        </w:tc>
      </w:tr>
      <w:tr>
        <w:trPr>
          <w:trHeight w:val="251"/>
        </w:trPr>
        <w:tc>
          <w:tcPr>
            <w:tcW w:w="6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Additional paid-in capital</w:t>
            </w:r>
          </w:p>
        </w:tc>
        <w:tc>
          <w:tcPr>
            <w:tcW w:w="3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1,259,476</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1,217,986</w:t>
            </w:r>
          </w:p>
        </w:tc>
      </w:tr>
      <w:tr>
        <w:trPr>
          <w:trHeight w:val="235"/>
        </w:trPr>
        <w:tc>
          <w:tcPr>
            <w:tcW w:w="6740" w:type="dxa"/>
            <w:vAlign w:val="bottom"/>
          </w:tcPr>
          <w:p>
            <w:pPr>
              <w:ind w:left="16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(69,095)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(104,078)</w:t>
            </w:r>
          </w:p>
        </w:tc>
      </w:tr>
      <w:tr>
        <w:trPr>
          <w:trHeight w:val="251"/>
        </w:trPr>
        <w:tc>
          <w:tcPr>
            <w:tcW w:w="6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(31,374)</w:t>
            </w:r>
          </w:p>
        </w:tc>
        <w:tc>
          <w:tcPr>
            <w:tcW w:w="2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(75,941)</w:t>
            </w:r>
          </w:p>
        </w:tc>
      </w:tr>
      <w:tr>
        <w:trPr>
          <w:trHeight w:val="229"/>
        </w:trPr>
        <w:tc>
          <w:tcPr>
            <w:tcW w:w="6740" w:type="dxa"/>
            <w:vAlign w:val="bottom"/>
          </w:tcPr>
          <w:p>
            <w:pPr>
              <w:spacing w:after="0"/>
              <w:rPr>
                <w:sz w:val="20"/>
                <w:szCs w:val="20"/>
                <w:color w:val="auto"/>
              </w:rPr>
            </w:pPr>
            <w:r>
              <w:rPr>
                <w:rFonts w:ascii="Arial" w:cs="Arial" w:eastAsia="Arial" w:hAnsi="Arial"/>
                <w:sz w:val="16"/>
                <w:szCs w:val="16"/>
                <w:color w:val="auto"/>
              </w:rPr>
              <w:t>Total Bentley Systems stockholders’ equity</w:t>
            </w: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1,162,041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1,040,987</w:t>
            </w:r>
          </w:p>
        </w:tc>
      </w:tr>
      <w:tr>
        <w:trPr>
          <w:trHeight w:val="251"/>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32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2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30"/>
        </w:trPr>
        <w:tc>
          <w:tcPr>
            <w:tcW w:w="67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equity</w:t>
            </w: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1,162,170</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1,041,120</w:t>
            </w:r>
          </w:p>
        </w:tc>
      </w:tr>
      <w:tr>
        <w:trPr>
          <w:trHeight w:val="261"/>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 and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3,423,284</w:t>
            </w: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3,399,807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180"/>
          </w:cols>
          <w:pgMar w:left="360" w:top="1417"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BENTLEY SYSTEMS,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40" w:type="dxa"/>
            <w:vAlign w:val="bottom"/>
            <w:gridSpan w:val="5"/>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860" w:type="dxa"/>
            <w:vAlign w:val="bottom"/>
            <w:gridSpan w:val="4"/>
          </w:tcPr>
          <w:p>
            <w:pPr>
              <w:jc w:val="right"/>
              <w:ind w:right="87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600" w:type="dxa"/>
            <w:vAlign w:val="bottom"/>
          </w:tcPr>
          <w:p>
            <w:pPr>
              <w:ind w:left="180"/>
              <w:spacing w:after="0"/>
              <w:rPr>
                <w:sz w:val="20"/>
                <w:szCs w:val="20"/>
                <w:color w:val="auto"/>
              </w:rPr>
            </w:pPr>
            <w:r>
              <w:rPr>
                <w:rFonts w:ascii="Arial" w:cs="Arial" w:eastAsia="Arial" w:hAnsi="Arial"/>
                <w:sz w:val="16"/>
                <w:szCs w:val="16"/>
                <w:color w:val="auto"/>
              </w:rPr>
              <w:t>Subscriptions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333,452</w:t>
            </w:r>
          </w:p>
        </w:tc>
        <w:tc>
          <w:tcPr>
            <w:tcW w:w="26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297,444</w:t>
            </w:r>
          </w:p>
        </w:tc>
        <w:tc>
          <w:tcPr>
            <w:tcW w:w="26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675,770</w:t>
            </w:r>
          </w:p>
        </w:tc>
        <w:tc>
          <w:tcPr>
            <w:tcW w:w="24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604,533</w:t>
            </w:r>
          </w:p>
        </w:tc>
        <w:tc>
          <w:tcPr>
            <w:tcW w:w="0" w:type="dxa"/>
            <w:vAlign w:val="bottom"/>
          </w:tcPr>
          <w:p>
            <w:pPr>
              <w:spacing w:after="0"/>
              <w:rPr>
                <w:sz w:val="1"/>
                <w:szCs w:val="1"/>
                <w:color w:val="auto"/>
              </w:rPr>
            </w:pPr>
          </w:p>
        </w:tc>
      </w:tr>
      <w:tr>
        <w:trPr>
          <w:trHeight w:val="244"/>
        </w:trPr>
        <w:tc>
          <w:tcPr>
            <w:tcW w:w="4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Perpetual licenses</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10,193</w:t>
            </w:r>
          </w:p>
        </w:tc>
        <w:tc>
          <w:tcPr>
            <w:tcW w:w="2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10,863</w:t>
            </w:r>
          </w:p>
        </w:tc>
        <w:tc>
          <w:tcPr>
            <w:tcW w:w="2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20,985</w:t>
            </w:r>
          </w:p>
        </w:tc>
        <w:tc>
          <w:tcPr>
            <w:tcW w:w="2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20,375</w:t>
            </w:r>
          </w:p>
        </w:tc>
        <w:tc>
          <w:tcPr>
            <w:tcW w:w="0" w:type="dxa"/>
            <w:vAlign w:val="bottom"/>
          </w:tcPr>
          <w:p>
            <w:pPr>
              <w:spacing w:after="0"/>
              <w:rPr>
                <w:sz w:val="1"/>
                <w:szCs w:val="1"/>
                <w:color w:val="auto"/>
              </w:rPr>
            </w:pPr>
          </w:p>
        </w:tc>
      </w:tr>
      <w:tr>
        <w:trPr>
          <w:trHeight w:val="235"/>
        </w:trPr>
        <w:tc>
          <w:tcPr>
            <w:tcW w:w="4600" w:type="dxa"/>
            <w:vAlign w:val="bottom"/>
          </w:tcPr>
          <w:p>
            <w:pPr>
              <w:ind w:left="340"/>
              <w:spacing w:after="0"/>
              <w:rPr>
                <w:sz w:val="20"/>
                <w:szCs w:val="20"/>
                <w:color w:val="auto"/>
              </w:rPr>
            </w:pPr>
            <w:r>
              <w:rPr>
                <w:rFonts w:ascii="Arial" w:cs="Arial" w:eastAsia="Arial" w:hAnsi="Arial"/>
                <w:sz w:val="16"/>
                <w:szCs w:val="16"/>
                <w:color w:val="auto"/>
              </w:rPr>
              <w:t>Subscriptions and licenses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343,645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308,307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696,755</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624,908</w:t>
            </w:r>
          </w:p>
        </w:tc>
        <w:tc>
          <w:tcPr>
            <w:tcW w:w="0" w:type="dxa"/>
            <w:vAlign w:val="bottom"/>
          </w:tcPr>
          <w:p>
            <w:pPr>
              <w:spacing w:after="0"/>
              <w:rPr>
                <w:sz w:val="1"/>
                <w:szCs w:val="1"/>
                <w:color w:val="auto"/>
              </w:rPr>
            </w:pPr>
          </w:p>
        </w:tc>
      </w:tr>
      <w:tr>
        <w:trPr>
          <w:trHeight w:val="244"/>
        </w:trPr>
        <w:tc>
          <w:tcPr>
            <w:tcW w:w="4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Services</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20,461</w:t>
            </w:r>
          </w:p>
        </w:tc>
        <w:tc>
          <w:tcPr>
            <w:tcW w:w="2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22,030</w:t>
            </w:r>
          </w:p>
        </w:tc>
        <w:tc>
          <w:tcPr>
            <w:tcW w:w="2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37,893</w:t>
            </w:r>
          </w:p>
        </w:tc>
        <w:tc>
          <w:tcPr>
            <w:tcW w:w="2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43,192</w:t>
            </w:r>
          </w:p>
        </w:tc>
        <w:tc>
          <w:tcPr>
            <w:tcW w:w="0" w:type="dxa"/>
            <w:vAlign w:val="bottom"/>
          </w:tcPr>
          <w:p>
            <w:pPr>
              <w:spacing w:after="0"/>
              <w:rPr>
                <w:sz w:val="1"/>
                <w:szCs w:val="1"/>
                <w:color w:val="auto"/>
              </w:rPr>
            </w:pPr>
          </w:p>
        </w:tc>
      </w:tr>
      <w:tr>
        <w:trPr>
          <w:trHeight w:val="237"/>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364,106</w:t>
            </w: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330,337</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734,648</w:t>
            </w:r>
          </w:p>
        </w:tc>
        <w:tc>
          <w:tcPr>
            <w:tcW w:w="2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668,100</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600" w:type="dxa"/>
            <w:vAlign w:val="bottom"/>
          </w:tcPr>
          <w:p>
            <w:pPr>
              <w:ind w:left="180"/>
              <w:spacing w:after="0"/>
              <w:rPr>
                <w:sz w:val="20"/>
                <w:szCs w:val="20"/>
                <w:color w:val="auto"/>
              </w:rPr>
            </w:pPr>
            <w:r>
              <w:rPr>
                <w:rFonts w:ascii="Arial" w:cs="Arial" w:eastAsia="Arial" w:hAnsi="Arial"/>
                <w:sz w:val="16"/>
                <w:szCs w:val="16"/>
                <w:color w:val="auto"/>
              </w:rPr>
              <w:t>Cost of subscriptions and licenses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47,758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42,432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94,256</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82,650</w:t>
            </w:r>
          </w:p>
        </w:tc>
        <w:tc>
          <w:tcPr>
            <w:tcW w:w="0" w:type="dxa"/>
            <w:vAlign w:val="bottom"/>
          </w:tcPr>
          <w:p>
            <w:pPr>
              <w:spacing w:after="0"/>
              <w:rPr>
                <w:sz w:val="1"/>
                <w:szCs w:val="1"/>
                <w:color w:val="auto"/>
              </w:rPr>
            </w:pPr>
          </w:p>
        </w:tc>
      </w:tr>
      <w:tr>
        <w:trPr>
          <w:trHeight w:val="244"/>
        </w:trPr>
        <w:tc>
          <w:tcPr>
            <w:tcW w:w="4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Cost of services</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21,018</w:t>
            </w:r>
          </w:p>
        </w:tc>
        <w:tc>
          <w:tcPr>
            <w:tcW w:w="2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20,761</w:t>
            </w:r>
          </w:p>
        </w:tc>
        <w:tc>
          <w:tcPr>
            <w:tcW w:w="2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40,179</w:t>
            </w:r>
          </w:p>
        </w:tc>
        <w:tc>
          <w:tcPr>
            <w:tcW w:w="2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42,373</w:t>
            </w:r>
          </w:p>
        </w:tc>
        <w:tc>
          <w:tcPr>
            <w:tcW w:w="0" w:type="dxa"/>
            <w:vAlign w:val="bottom"/>
          </w:tcPr>
          <w:p>
            <w:pPr>
              <w:spacing w:after="0"/>
              <w:rPr>
                <w:sz w:val="1"/>
                <w:szCs w:val="1"/>
                <w:color w:val="auto"/>
              </w:rPr>
            </w:pPr>
          </w:p>
        </w:tc>
      </w:tr>
      <w:tr>
        <w:trPr>
          <w:trHeight w:val="237"/>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cost of revenues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68,776</w:t>
            </w: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63,193</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134,435</w:t>
            </w:r>
          </w:p>
        </w:tc>
        <w:tc>
          <w:tcPr>
            <w:tcW w:w="2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125,023</w:t>
            </w: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295,330</w:t>
            </w:r>
          </w:p>
        </w:tc>
        <w:tc>
          <w:tcPr>
            <w:tcW w:w="2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267,144</w:t>
            </w:r>
          </w:p>
        </w:tc>
        <w:tc>
          <w:tcPr>
            <w:tcW w:w="2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600,213</w:t>
            </w:r>
          </w:p>
        </w:tc>
        <w:tc>
          <w:tcPr>
            <w:tcW w:w="2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543,077</w:t>
            </w:r>
          </w:p>
        </w:tc>
        <w:tc>
          <w:tcPr>
            <w:tcW w:w="0" w:type="dxa"/>
            <w:vAlign w:val="bottom"/>
          </w:tcPr>
          <w:p>
            <w:pPr>
              <w:spacing w:after="0"/>
              <w:rPr>
                <w:sz w:val="1"/>
                <w:szCs w:val="1"/>
                <w:color w:val="auto"/>
              </w:rPr>
            </w:pPr>
          </w:p>
        </w:tc>
      </w:tr>
      <w:tr>
        <w:trPr>
          <w:trHeight w:val="215"/>
        </w:trPr>
        <w:tc>
          <w:tcPr>
            <w:tcW w:w="46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75,385</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65,709</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147,835</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134,080</w:t>
            </w:r>
          </w:p>
        </w:tc>
        <w:tc>
          <w:tcPr>
            <w:tcW w:w="0" w:type="dxa"/>
            <w:vAlign w:val="bottom"/>
          </w:tcPr>
          <w:p>
            <w:pPr>
              <w:spacing w:after="0"/>
              <w:rPr>
                <w:sz w:val="1"/>
                <w:szCs w:val="1"/>
                <w:color w:val="auto"/>
              </w:rPr>
            </w:pPr>
          </w:p>
        </w:tc>
      </w:tr>
      <w:tr>
        <w:trPr>
          <w:trHeight w:val="235"/>
        </w:trPr>
        <w:tc>
          <w:tcPr>
            <w:tcW w:w="4600" w:type="dxa"/>
            <w:vAlign w:val="bottom"/>
          </w:tcPr>
          <w:p>
            <w:pPr>
              <w:ind w:left="180"/>
              <w:spacing w:after="0"/>
              <w:rPr>
                <w:sz w:val="20"/>
                <w:szCs w:val="20"/>
                <w:color w:val="auto"/>
              </w:rPr>
            </w:pPr>
            <w:r>
              <w:rPr>
                <w:rFonts w:ascii="Arial" w:cs="Arial" w:eastAsia="Arial" w:hAnsi="Arial"/>
                <w:sz w:val="16"/>
                <w:szCs w:val="16"/>
                <w:color w:val="auto"/>
              </w:rPr>
              <w:t>Selling and marketing</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69,873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57,129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132,932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111,515</w:t>
            </w:r>
          </w:p>
        </w:tc>
        <w:tc>
          <w:tcPr>
            <w:tcW w:w="0" w:type="dxa"/>
            <w:vAlign w:val="bottom"/>
          </w:tcPr>
          <w:p>
            <w:pPr>
              <w:spacing w:after="0"/>
              <w:rPr>
                <w:sz w:val="1"/>
                <w:szCs w:val="1"/>
                <w:color w:val="auto"/>
              </w:rPr>
            </w:pPr>
          </w:p>
        </w:tc>
      </w:tr>
      <w:tr>
        <w:trPr>
          <w:trHeight w:val="251"/>
        </w:trPr>
        <w:tc>
          <w:tcPr>
            <w:tcW w:w="4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49,857</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54,854</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97,085</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101,336</w:t>
            </w:r>
          </w:p>
        </w:tc>
        <w:tc>
          <w:tcPr>
            <w:tcW w:w="0" w:type="dxa"/>
            <w:vAlign w:val="bottom"/>
          </w:tcPr>
          <w:p>
            <w:pPr>
              <w:spacing w:after="0"/>
              <w:rPr>
                <w:sz w:val="1"/>
                <w:szCs w:val="1"/>
                <w:color w:val="auto"/>
              </w:rPr>
            </w:pPr>
          </w:p>
        </w:tc>
      </w:tr>
      <w:tr>
        <w:trPr>
          <w:trHeight w:val="235"/>
        </w:trPr>
        <w:tc>
          <w:tcPr>
            <w:tcW w:w="4600" w:type="dxa"/>
            <w:vAlign w:val="bottom"/>
          </w:tcPr>
          <w:p>
            <w:pPr>
              <w:ind w:left="180"/>
              <w:spacing w:after="0"/>
              <w:rPr>
                <w:sz w:val="20"/>
                <w:szCs w:val="20"/>
                <w:color w:val="auto"/>
              </w:rPr>
            </w:pPr>
            <w:r>
              <w:rPr>
                <w:rFonts w:ascii="Arial" w:cs="Arial" w:eastAsia="Arial" w:hAnsi="Arial"/>
                <w:sz w:val="16"/>
                <w:szCs w:val="16"/>
                <w:color w:val="auto"/>
              </w:rPr>
              <w:t>Deferred compensation plan</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7,584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6,338</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6,682</w:t>
            </w:r>
          </w:p>
        </w:tc>
        <w:tc>
          <w:tcPr>
            <w:tcW w:w="0" w:type="dxa"/>
            <w:vAlign w:val="bottom"/>
          </w:tcPr>
          <w:p>
            <w:pPr>
              <w:spacing w:after="0"/>
              <w:rPr>
                <w:sz w:val="1"/>
                <w:szCs w:val="1"/>
                <w:color w:val="auto"/>
              </w:rPr>
            </w:pPr>
          </w:p>
        </w:tc>
      </w:tr>
      <w:tr>
        <w:trPr>
          <w:trHeight w:val="244"/>
        </w:trPr>
        <w:tc>
          <w:tcPr>
            <w:tcW w:w="4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purchased intangibles</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8,201</w:t>
            </w:r>
          </w:p>
        </w:tc>
        <w:tc>
          <w:tcPr>
            <w:tcW w:w="2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8,392</w:t>
            </w:r>
          </w:p>
        </w:tc>
        <w:tc>
          <w:tcPr>
            <w:tcW w:w="2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16,409</w:t>
            </w:r>
          </w:p>
        </w:tc>
        <w:tc>
          <w:tcPr>
            <w:tcW w:w="2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17,356</w:t>
            </w:r>
          </w:p>
        </w:tc>
        <w:tc>
          <w:tcPr>
            <w:tcW w:w="0" w:type="dxa"/>
            <w:vAlign w:val="bottom"/>
          </w:tcPr>
          <w:p>
            <w:pPr>
              <w:spacing w:after="0"/>
              <w:rPr>
                <w:sz w:val="1"/>
                <w:szCs w:val="1"/>
                <w:color w:val="auto"/>
              </w:rPr>
            </w:pPr>
          </w:p>
        </w:tc>
      </w:tr>
      <w:tr>
        <w:trPr>
          <w:trHeight w:val="236"/>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210,900</w:t>
            </w: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186,967</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400,599</w:t>
            </w:r>
          </w:p>
        </w:tc>
        <w:tc>
          <w:tcPr>
            <w:tcW w:w="2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370,969</w:t>
            </w: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84,430</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80,177</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199,614</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172,108</w:t>
            </w:r>
          </w:p>
        </w:tc>
        <w:tc>
          <w:tcPr>
            <w:tcW w:w="0" w:type="dxa"/>
            <w:vAlign w:val="bottom"/>
          </w:tcPr>
          <w:p>
            <w:pPr>
              <w:spacing w:after="0"/>
              <w:rPr>
                <w:sz w:val="1"/>
                <w:szCs w:val="1"/>
                <w:color w:val="auto"/>
              </w:rPr>
            </w:pPr>
          </w:p>
        </w:tc>
      </w:tr>
      <w:tr>
        <w:trPr>
          <w:trHeight w:val="235"/>
        </w:trPr>
        <w:tc>
          <w:tcPr>
            <w:tcW w:w="46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(3,519)</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(5,100)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(7,327)</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(11,620)</w:t>
            </w:r>
          </w:p>
        </w:tc>
        <w:tc>
          <w:tcPr>
            <w:tcW w:w="0" w:type="dxa"/>
            <w:vAlign w:val="bottom"/>
          </w:tcPr>
          <w:p>
            <w:pPr>
              <w:spacing w:after="0"/>
              <w:rPr>
                <w:sz w:val="1"/>
                <w:szCs w:val="1"/>
                <w:color w:val="auto"/>
              </w:rPr>
            </w:pPr>
          </w:p>
        </w:tc>
      </w:tr>
      <w:tr>
        <w:trPr>
          <w:trHeight w:val="244"/>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(1,596)</w:t>
            </w:r>
          </w:p>
        </w:tc>
        <w:tc>
          <w:tcPr>
            <w:tcW w:w="2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2,280</w:t>
            </w:r>
          </w:p>
        </w:tc>
        <w:tc>
          <w:tcPr>
            <w:tcW w:w="2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2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9,417</w:t>
            </w:r>
          </w:p>
        </w:tc>
        <w:tc>
          <w:tcPr>
            <w:tcW w:w="0" w:type="dxa"/>
            <w:vAlign w:val="bottom"/>
          </w:tcPr>
          <w:p>
            <w:pPr>
              <w:spacing w:after="0"/>
              <w:rPr>
                <w:sz w:val="1"/>
                <w:szCs w:val="1"/>
                <w:color w:val="auto"/>
              </w:rPr>
            </w:pPr>
          </w:p>
        </w:tc>
      </w:tr>
      <w:tr>
        <w:trPr>
          <w:trHeight w:val="235"/>
        </w:trPr>
        <w:tc>
          <w:tcPr>
            <w:tcW w:w="46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79,315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77,357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191,140</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169,905</w:t>
            </w:r>
          </w:p>
        </w:tc>
        <w:tc>
          <w:tcPr>
            <w:tcW w:w="0" w:type="dxa"/>
            <w:vAlign w:val="bottom"/>
          </w:tcPr>
          <w:p>
            <w:pPr>
              <w:spacing w:after="0"/>
              <w:rPr>
                <w:sz w:val="1"/>
                <w:szCs w:val="1"/>
                <w:color w:val="auto"/>
              </w:rPr>
            </w:pPr>
          </w:p>
        </w:tc>
      </w:tr>
      <w:tr>
        <w:trPr>
          <w:trHeight w:val="251"/>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(8,876)</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(5,330)</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(29,364)</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(27,577)</w:t>
            </w:r>
          </w:p>
        </w:tc>
        <w:tc>
          <w:tcPr>
            <w:tcW w:w="0" w:type="dxa"/>
            <w:vAlign w:val="bottom"/>
          </w:tcPr>
          <w:p>
            <w:pPr>
              <w:spacing w:after="0"/>
              <w:rPr>
                <w:sz w:val="1"/>
                <w:szCs w:val="1"/>
                <w:color w:val="auto"/>
              </w:rPr>
            </w:pPr>
          </w:p>
        </w:tc>
      </w:tr>
      <w:tr>
        <w:trPr>
          <w:trHeight w:val="237"/>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net income of investees, net of tax</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2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70,500</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72,046</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161,838</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142,356</w:t>
            </w: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Bentley Systems</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70,482</w:t>
            </w:r>
          </w:p>
        </w:tc>
        <w:tc>
          <w:tcPr>
            <w:tcW w:w="26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72,046</w:t>
            </w:r>
          </w:p>
        </w:tc>
        <w:tc>
          <w:tcPr>
            <w:tcW w:w="26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161,850</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142,356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share attributable to Bentley Systems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stockholders:</w:t>
            </w: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26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26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0.51</w:t>
            </w:r>
          </w:p>
        </w:tc>
        <w:tc>
          <w:tcPr>
            <w:tcW w:w="24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shares: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6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314,622,491</w:t>
            </w:r>
          </w:p>
        </w:tc>
        <w:tc>
          <w:tcPr>
            <w:tcW w:w="2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314,980,580</w:t>
            </w:r>
          </w:p>
        </w:tc>
        <w:tc>
          <w:tcPr>
            <w:tcW w:w="2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314,894,050</w:t>
            </w:r>
          </w:p>
        </w:tc>
        <w:tc>
          <w:tcPr>
            <w:tcW w:w="2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314,660,906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00" w:type="dxa"/>
            <w:vAlign w:val="bottom"/>
          </w:tcPr>
          <w:p>
            <w:pPr>
              <w:ind w:left="1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332,824,020</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333,780,984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333,150,282</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333,725,315</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1417"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BENTLEY SYSTEMS,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7"/>
                <w:szCs w:val="17"/>
                <w:color w:val="auto"/>
              </w:rPr>
            </w:pPr>
          </w:p>
        </w:tc>
      </w:tr>
      <w:tr>
        <w:trPr>
          <w:trHeight w:val="239"/>
        </w:trPr>
        <w:tc>
          <w:tcPr>
            <w:tcW w:w="8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0"/>
                <w:szCs w:val="20"/>
                <w:color w:val="auto"/>
              </w:rPr>
            </w:pPr>
          </w:p>
        </w:tc>
      </w:tr>
      <w:tr>
        <w:trPr>
          <w:trHeight w:val="223"/>
        </w:trPr>
        <w:tc>
          <w:tcPr>
            <w:tcW w:w="8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w w:val="96"/>
              </w:rPr>
              <w:t>2024</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5"/>
        </w:trPr>
        <w:tc>
          <w:tcPr>
            <w:tcW w:w="83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161,838</w:t>
            </w:r>
          </w:p>
        </w:tc>
        <w:tc>
          <w:tcPr>
            <w:tcW w:w="26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142,356</w:t>
            </w:r>
          </w:p>
        </w:tc>
      </w:tr>
      <w:tr>
        <w:trPr>
          <w:trHeight w:val="251"/>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35"/>
        </w:trPr>
        <w:tc>
          <w:tcPr>
            <w:tcW w:w="836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31,389</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32,367</w:t>
            </w:r>
          </w:p>
        </w:tc>
      </w:tr>
      <w:tr>
        <w:trPr>
          <w:trHeight w:val="251"/>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(2,646)</w:t>
            </w: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8,666</w:t>
            </w:r>
          </w:p>
        </w:tc>
      </w:tr>
      <w:tr>
        <w:trPr>
          <w:trHeight w:val="235"/>
        </w:trPr>
        <w:tc>
          <w:tcPr>
            <w:tcW w:w="8360" w:type="dxa"/>
            <w:vAlign w:val="bottom"/>
          </w:tcPr>
          <w:p>
            <w:pPr>
              <w:ind w:left="36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36,995</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41,759</w:t>
            </w:r>
          </w:p>
        </w:tc>
      </w:tr>
      <w:tr>
        <w:trPr>
          <w:trHeight w:val="251"/>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compensation plan</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6,338</w:t>
            </w: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6,682</w:t>
            </w:r>
          </w:p>
        </w:tc>
      </w:tr>
      <w:tr>
        <w:trPr>
          <w:trHeight w:val="235"/>
        </w:trPr>
        <w:tc>
          <w:tcPr>
            <w:tcW w:w="8360" w:type="dxa"/>
            <w:vAlign w:val="bottom"/>
          </w:tcPr>
          <w:p>
            <w:pPr>
              <w:ind w:left="360"/>
              <w:spacing w:after="0"/>
              <w:rPr>
                <w:sz w:val="20"/>
                <w:szCs w:val="20"/>
                <w:color w:val="auto"/>
              </w:rPr>
            </w:pPr>
            <w:r>
              <w:rPr>
                <w:rFonts w:ascii="Arial" w:cs="Arial" w:eastAsia="Arial" w:hAnsi="Arial"/>
                <w:sz w:val="16"/>
                <w:szCs w:val="16"/>
                <w:color w:val="auto"/>
              </w:rPr>
              <w:t>Amortization of deferred debt issuance costs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3,788</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3,750</w:t>
            </w:r>
          </w:p>
        </w:tc>
      </w:tr>
      <w:tr>
        <w:trPr>
          <w:trHeight w:val="251"/>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fair value of derivative</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7,711</w:t>
            </w: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w:t>
            </w:r>
          </w:p>
        </w:tc>
      </w:tr>
      <w:tr>
        <w:trPr>
          <w:trHeight w:val="235"/>
        </w:trPr>
        <w:tc>
          <w:tcPr>
            <w:tcW w:w="8360" w:type="dxa"/>
            <w:vAlign w:val="bottom"/>
          </w:tcPr>
          <w:p>
            <w:pPr>
              <w:ind w:left="360"/>
              <w:spacing w:after="0"/>
              <w:rPr>
                <w:sz w:val="20"/>
                <w:szCs w:val="20"/>
                <w:color w:val="auto"/>
              </w:rPr>
            </w:pPr>
            <w:r>
              <w:rPr>
                <w:rFonts w:ascii="Arial" w:cs="Arial" w:eastAsia="Arial" w:hAnsi="Arial"/>
                <w:sz w:val="16"/>
                <w:szCs w:val="16"/>
                <w:color w:val="auto"/>
              </w:rPr>
              <w:t>Foreign currency remeasurement loss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1,547</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51"/>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w:t>
            </w:r>
          </w:p>
        </w:tc>
      </w:tr>
      <w:tr>
        <w:trPr>
          <w:trHeight w:val="235"/>
        </w:trPr>
        <w:tc>
          <w:tcPr>
            <w:tcW w:w="8360" w:type="dxa"/>
            <w:vAlign w:val="bottom"/>
          </w:tcPr>
          <w:p>
            <w:pPr>
              <w:ind w:left="360"/>
              <w:spacing w:after="0"/>
              <w:rPr>
                <w:sz w:val="20"/>
                <w:szCs w:val="20"/>
                <w:color w:val="auto"/>
              </w:rPr>
            </w:pPr>
            <w:r>
              <w:rPr>
                <w:rFonts w:ascii="Arial" w:cs="Arial" w:eastAsia="Arial" w:hAnsi="Arial"/>
                <w:sz w:val="16"/>
                <w:szCs w:val="16"/>
                <w:color w:val="auto"/>
              </w:rPr>
              <w:t>Changes in assets and liabilities, net of effect from acquisitions: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1"/>
        </w:trPr>
        <w:tc>
          <w:tcPr>
            <w:tcW w:w="83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36,570</w:t>
            </w: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14,330</w:t>
            </w:r>
          </w:p>
        </w:tc>
      </w:tr>
      <w:tr>
        <w:trPr>
          <w:trHeight w:val="235"/>
        </w:trPr>
        <w:tc>
          <w:tcPr>
            <w:tcW w:w="8360" w:type="dxa"/>
            <w:vAlign w:val="bottom"/>
          </w:tcPr>
          <w:p>
            <w:pPr>
              <w:ind w:left="520"/>
              <w:spacing w:after="0"/>
              <w:rPr>
                <w:sz w:val="20"/>
                <w:szCs w:val="20"/>
                <w:color w:val="auto"/>
              </w:rPr>
            </w:pPr>
            <w:r>
              <w:rPr>
                <w:rFonts w:ascii="Arial" w:cs="Arial" w:eastAsia="Arial" w:hAnsi="Arial"/>
                <w:sz w:val="16"/>
                <w:szCs w:val="16"/>
                <w:color w:val="auto"/>
              </w:rPr>
              <w:t>Prepaid and other assets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7,536</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(585)</w:t>
            </w:r>
          </w:p>
        </w:tc>
      </w:tr>
      <w:tr>
        <w:trPr>
          <w:trHeight w:val="251"/>
        </w:trPr>
        <w:tc>
          <w:tcPr>
            <w:tcW w:w="83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Accounts payable, accruals, and other liabilities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(29,396)</w:t>
            </w: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(22,268)</w:t>
            </w:r>
          </w:p>
        </w:tc>
      </w:tr>
      <w:tr>
        <w:trPr>
          <w:trHeight w:val="235"/>
        </w:trPr>
        <w:tc>
          <w:tcPr>
            <w:tcW w:w="8360" w:type="dxa"/>
            <w:vAlign w:val="bottom"/>
          </w:tcPr>
          <w:p>
            <w:pPr>
              <w:ind w:left="520"/>
              <w:spacing w:after="0"/>
              <w:rPr>
                <w:sz w:val="20"/>
                <w:szCs w:val="20"/>
                <w:color w:val="auto"/>
              </w:rPr>
            </w:pPr>
            <w:r>
              <w:rPr>
                <w:rFonts w:ascii="Arial" w:cs="Arial" w:eastAsia="Arial" w:hAnsi="Arial"/>
                <w:sz w:val="16"/>
                <w:szCs w:val="16"/>
                <w:color w:val="auto"/>
              </w:rPr>
              <w:t>Cloud Services Subscription deposits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27,426</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63,890</w:t>
            </w:r>
          </w:p>
        </w:tc>
      </w:tr>
      <w:tr>
        <w:trPr>
          <w:trHeight w:val="251"/>
        </w:trPr>
        <w:tc>
          <w:tcPr>
            <w:tcW w:w="83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Deferred revenues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(13,200)</w:t>
            </w: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(14,888)</w:t>
            </w:r>
          </w:p>
        </w:tc>
      </w:tr>
      <w:tr>
        <w:trPr>
          <w:trHeight w:val="236"/>
        </w:trPr>
        <w:tc>
          <w:tcPr>
            <w:tcW w:w="836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Income taxes payable, net of prepaid income taxes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4,011</w:t>
            </w:r>
          </w:p>
        </w:tc>
        <w:tc>
          <w:tcPr>
            <w:tcW w:w="2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(4,930)</w:t>
            </w:r>
          </w:p>
        </w:tc>
      </w:tr>
      <w:tr>
        <w:trPr>
          <w:trHeight w:val="243"/>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280,500</w:t>
            </w:r>
          </w:p>
        </w:tc>
        <w:tc>
          <w:tcPr>
            <w:tcW w:w="26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267,555</w:t>
            </w: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1"/>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 and investment in capitalized software</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(7,135)</w:t>
            </w: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(6,689)</w:t>
            </w:r>
          </w:p>
        </w:tc>
      </w:tr>
      <w:tr>
        <w:trPr>
          <w:trHeight w:val="235"/>
        </w:trPr>
        <w:tc>
          <w:tcPr>
            <w:tcW w:w="8360" w:type="dxa"/>
            <w:vAlign w:val="bottom"/>
          </w:tcPr>
          <w:p>
            <w:pPr>
              <w:ind w:left="180"/>
              <w:spacing w:after="0"/>
              <w:rPr>
                <w:sz w:val="20"/>
                <w:szCs w:val="20"/>
                <w:color w:val="auto"/>
              </w:rPr>
            </w:pPr>
            <w:r>
              <w:rPr>
                <w:rFonts w:ascii="Arial" w:cs="Arial" w:eastAsia="Arial" w:hAnsi="Arial"/>
                <w:sz w:val="16"/>
                <w:szCs w:val="16"/>
                <w:color w:val="auto"/>
              </w:rPr>
              <w:t>Acquisitions, net of cash acquired</w:t>
            </w:r>
          </w:p>
        </w:tc>
        <w:tc>
          <w:tcPr>
            <w:tcW w:w="3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251"/>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investments</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r>
      <w:tr>
        <w:trPr>
          <w:trHeight w:val="237"/>
        </w:trPr>
        <w:tc>
          <w:tcPr>
            <w:tcW w:w="8360" w:type="dxa"/>
            <w:vAlign w:val="bottom"/>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1,300</w:t>
            </w:r>
          </w:p>
        </w:tc>
      </w:tr>
      <w:tr>
        <w:trPr>
          <w:trHeight w:val="243"/>
        </w:trPr>
        <w:tc>
          <w:tcPr>
            <w:tcW w:w="8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(7,135)</w:t>
            </w:r>
          </w:p>
        </w:tc>
        <w:tc>
          <w:tcPr>
            <w:tcW w:w="26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(10,946)</w:t>
            </w: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1"/>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credit facilities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236,089</w:t>
            </w: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51,724</w:t>
            </w:r>
          </w:p>
        </w:tc>
      </w:tr>
      <w:tr>
        <w:trPr>
          <w:trHeight w:val="235"/>
        </w:trPr>
        <w:tc>
          <w:tcPr>
            <w:tcW w:w="8360" w:type="dxa"/>
            <w:vAlign w:val="bottom"/>
          </w:tcPr>
          <w:p>
            <w:pPr>
              <w:ind w:left="180"/>
              <w:spacing w:after="0"/>
              <w:rPr>
                <w:sz w:val="20"/>
                <w:szCs w:val="20"/>
                <w:color w:val="auto"/>
              </w:rPr>
            </w:pPr>
            <w:r>
              <w:rPr>
                <w:rFonts w:ascii="Arial" w:cs="Arial" w:eastAsia="Arial" w:hAnsi="Arial"/>
                <w:sz w:val="16"/>
                <w:szCs w:val="16"/>
                <w:color w:val="auto"/>
              </w:rPr>
              <w:t>Payments of credit facilities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(371,404)</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(143,752)</w:t>
            </w:r>
          </w:p>
        </w:tc>
      </w:tr>
      <w:tr>
        <w:trPr>
          <w:trHeight w:val="251"/>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Repurchase of convertible senior notes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(9,797)</w:t>
            </w: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8360" w:type="dxa"/>
            <w:vAlign w:val="bottom"/>
          </w:tcPr>
          <w:p>
            <w:pPr>
              <w:ind w:left="180"/>
              <w:spacing w:after="0"/>
              <w:rPr>
                <w:sz w:val="20"/>
                <w:szCs w:val="20"/>
                <w:color w:val="auto"/>
              </w:rPr>
            </w:pPr>
            <w:r>
              <w:rPr>
                <w:rFonts w:ascii="Arial" w:cs="Arial" w:eastAsia="Arial" w:hAnsi="Arial"/>
                <w:sz w:val="16"/>
                <w:szCs w:val="16"/>
                <w:color w:val="auto"/>
              </w:rPr>
              <w:t>Repayments of term loan</w:t>
            </w:r>
          </w:p>
        </w:tc>
        <w:tc>
          <w:tcPr>
            <w:tcW w:w="3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(105,000)</w:t>
            </w:r>
          </w:p>
        </w:tc>
      </w:tr>
      <w:tr>
        <w:trPr>
          <w:trHeight w:val="251"/>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of contingent and non-contingent consideration</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r>
      <w:tr>
        <w:trPr>
          <w:trHeight w:val="235"/>
        </w:trPr>
        <w:tc>
          <w:tcPr>
            <w:tcW w:w="8360" w:type="dxa"/>
            <w:vAlign w:val="bottom"/>
          </w:tcPr>
          <w:p>
            <w:pPr>
              <w:ind w:left="180"/>
              <w:spacing w:after="0"/>
              <w:rPr>
                <w:sz w:val="20"/>
                <w:szCs w:val="20"/>
                <w:color w:val="auto"/>
              </w:rPr>
            </w:pPr>
            <w:r>
              <w:rPr>
                <w:rFonts w:ascii="Arial" w:cs="Arial" w:eastAsia="Arial" w:hAnsi="Arial"/>
                <w:sz w:val="16"/>
                <w:szCs w:val="16"/>
                <w:color w:val="auto"/>
              </w:rPr>
              <w:t>Payments of dividends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(42,493)</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(35,851)</w:t>
            </w:r>
          </w:p>
        </w:tc>
      </w:tr>
      <w:tr>
        <w:trPr>
          <w:trHeight w:val="251"/>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stock purchases under employee stock purchase plan</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5,312</w:t>
            </w: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5,560</w:t>
            </w:r>
          </w:p>
        </w:tc>
      </w:tr>
      <w:tr>
        <w:trPr>
          <w:trHeight w:val="235"/>
        </w:trPr>
        <w:tc>
          <w:tcPr>
            <w:tcW w:w="836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4,007</w:t>
            </w:r>
          </w:p>
        </w:tc>
      </w:tr>
      <w:tr>
        <w:trPr>
          <w:trHeight w:val="251"/>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for shares acquired including shares withheld for taxes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(24,779)</w:t>
            </w: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(9,626)</w:t>
            </w:r>
          </w:p>
        </w:tc>
      </w:tr>
      <w:tr>
        <w:trPr>
          <w:trHeight w:val="235"/>
        </w:trPr>
        <w:tc>
          <w:tcPr>
            <w:tcW w:w="8360" w:type="dxa"/>
            <w:vAlign w:val="bottom"/>
          </w:tcPr>
          <w:p>
            <w:pPr>
              <w:ind w:left="180"/>
              <w:spacing w:after="0"/>
              <w:rPr>
                <w:sz w:val="20"/>
                <w:szCs w:val="20"/>
                <w:color w:val="auto"/>
              </w:rPr>
            </w:pPr>
            <w:r>
              <w:rPr>
                <w:rFonts w:ascii="Arial" w:cs="Arial" w:eastAsia="Arial" w:hAnsi="Arial"/>
                <w:sz w:val="16"/>
                <w:szCs w:val="16"/>
                <w:color w:val="auto"/>
              </w:rPr>
              <w:t>Repurchases of Class B common stock under approved program</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(50,023)</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(37,515)</w:t>
            </w:r>
          </w:p>
        </w:tc>
      </w:tr>
      <w:tr>
        <w:trPr>
          <w:trHeight w:val="251"/>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26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(257,509)</w:t>
            </w:r>
          </w:p>
        </w:tc>
        <w:tc>
          <w:tcPr>
            <w:tcW w:w="2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(270,999)</w:t>
            </w:r>
          </w:p>
        </w:tc>
      </w:tr>
      <w:tr>
        <w:trPr>
          <w:trHeight w:val="243"/>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9,781</w:t>
            </w:r>
          </w:p>
        </w:tc>
        <w:tc>
          <w:tcPr>
            <w:tcW w:w="26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(2,744)</w:t>
            </w:r>
          </w:p>
        </w:tc>
      </w:tr>
      <w:tr>
        <w:trPr>
          <w:trHeight w:val="229"/>
        </w:trPr>
        <w:tc>
          <w:tcPr>
            <w:tcW w:w="8360" w:type="dxa"/>
            <w:vAlign w:val="bottom"/>
          </w:tcPr>
          <w:p>
            <w:pPr>
              <w:ind w:left="20"/>
              <w:spacing w:after="0"/>
              <w:rPr>
                <w:sz w:val="20"/>
                <w:szCs w:val="20"/>
                <w:color w:val="auto"/>
              </w:rPr>
            </w:pPr>
            <w:r>
              <w:rPr>
                <w:rFonts w:ascii="Arial" w:cs="Arial" w:eastAsia="Arial" w:hAnsi="Arial"/>
                <w:sz w:val="16"/>
                <w:szCs w:val="16"/>
                <w:color w:val="auto"/>
              </w:rPr>
              <w:t>Increase (decrease) in cash and cash equivalents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25,637</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(17,134)</w:t>
            </w:r>
          </w:p>
        </w:tc>
      </w:tr>
      <w:tr>
        <w:trPr>
          <w:trHeight w:val="244"/>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64,009</w:t>
            </w:r>
          </w:p>
        </w:tc>
        <w:tc>
          <w:tcPr>
            <w:tcW w:w="26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68,412</w:t>
            </w:r>
          </w:p>
        </w:tc>
      </w:tr>
      <w:tr>
        <w:trPr>
          <w:trHeight w:val="236"/>
        </w:trPr>
        <w:tc>
          <w:tcPr>
            <w:tcW w:w="836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89,646</w:t>
            </w:r>
          </w:p>
        </w:tc>
        <w:tc>
          <w:tcPr>
            <w:tcW w:w="260" w:type="dxa"/>
            <w:vAlign w:val="bottom"/>
          </w:tcPr>
          <w:p>
            <w:pPr>
              <w:spacing w:after="0"/>
              <w:rPr>
                <w:sz w:val="20"/>
                <w:szCs w:val="20"/>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51,278</w:t>
            </w:r>
          </w:p>
        </w:tc>
      </w:tr>
      <w:tr>
        <w:trPr>
          <w:trHeight w:val="27"/>
        </w:trPr>
        <w:tc>
          <w:tcPr>
            <w:tcW w:w="8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41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BENTLEY SYSTEMS,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operating income to AOI less SBC and to Adjusted operating income: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4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Six Months Ended</w:t>
            </w:r>
          </w:p>
        </w:tc>
      </w:tr>
      <w:tr>
        <w:trPr>
          <w:trHeight w:val="238"/>
        </w:trPr>
        <w:tc>
          <w:tcPr>
            <w:tcW w:w="5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0"/>
                <w:szCs w:val="20"/>
                <w:color w:val="auto"/>
              </w:rPr>
            </w:pPr>
          </w:p>
        </w:tc>
      </w:tr>
      <w:tr>
        <w:trPr>
          <w:trHeight w:val="223"/>
        </w:trPr>
        <w:tc>
          <w:tcPr>
            <w:tcW w:w="55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r>
      <w:tr>
        <w:trPr>
          <w:trHeight w:val="243"/>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84,430</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80,177</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199,614</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172,108</w:t>
            </w:r>
          </w:p>
        </w:tc>
      </w:tr>
      <w:tr>
        <w:trPr>
          <w:trHeight w:val="235"/>
        </w:trPr>
        <w:tc>
          <w:tcPr>
            <w:tcW w:w="5580" w:type="dxa"/>
            <w:vAlign w:val="bottom"/>
          </w:tcPr>
          <w:p>
            <w:pPr>
              <w:ind w:left="20"/>
              <w:spacing w:after="0"/>
              <w:rPr>
                <w:sz w:val="20"/>
                <w:szCs w:val="20"/>
                <w:color w:val="auto"/>
              </w:rPr>
            </w:pPr>
            <w:r>
              <w:rPr>
                <w:rFonts w:ascii="Arial" w:cs="Arial" w:eastAsia="Arial" w:hAnsi="Arial"/>
                <w:sz w:val="16"/>
                <w:szCs w:val="16"/>
                <w:color w:val="auto"/>
              </w:rPr>
              <w:t>Amortization of purchased intangibles</w:t>
            </w:r>
          </w:p>
        </w:tc>
        <w:tc>
          <w:tcPr>
            <w:tcW w:w="28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11,405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11,521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22,849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23,711</w:t>
            </w:r>
          </w:p>
        </w:tc>
      </w:tr>
      <w:tr>
        <w:trPr>
          <w:trHeight w:val="251"/>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plan</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7,584</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6,338</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6,682</w:t>
            </w:r>
          </w:p>
        </w:tc>
      </w:tr>
      <w:tr>
        <w:trPr>
          <w:trHeight w:val="235"/>
        </w:trPr>
        <w:tc>
          <w:tcPr>
            <w:tcW w:w="5580" w:type="dxa"/>
            <w:vAlign w:val="bottom"/>
          </w:tcPr>
          <w:p>
            <w:pPr>
              <w:ind w:left="20"/>
              <w:spacing w:after="0"/>
              <w:rPr>
                <w:sz w:val="20"/>
                <w:szCs w:val="20"/>
                <w:color w:val="auto"/>
              </w:rPr>
            </w:pPr>
            <w:r>
              <w:rPr>
                <w:rFonts w:ascii="Arial" w:cs="Arial" w:eastAsia="Arial" w:hAnsi="Arial"/>
                <w:sz w:val="16"/>
                <w:szCs w:val="16"/>
                <w:color w:val="auto"/>
              </w:rPr>
              <w:t>Acquisition expenses</w:t>
            </w:r>
          </w:p>
        </w:tc>
        <w:tc>
          <w:tcPr>
            <w:tcW w:w="28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1,804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1,969</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2,642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4,328</w:t>
            </w:r>
          </w:p>
        </w:tc>
      </w:tr>
      <w:tr>
        <w:trPr>
          <w:trHeight w:val="251"/>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Realignment expenses</w:t>
            </w: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r>
      <w:tr>
        <w:trPr>
          <w:trHeight w:val="229"/>
        </w:trPr>
        <w:tc>
          <w:tcPr>
            <w:tcW w:w="5580" w:type="dxa"/>
            <w:vAlign w:val="bottom"/>
          </w:tcPr>
          <w:p>
            <w:pPr>
              <w:ind w:left="20"/>
              <w:spacing w:after="0"/>
              <w:rPr>
                <w:sz w:val="20"/>
                <w:szCs w:val="20"/>
                <w:color w:val="auto"/>
              </w:rPr>
            </w:pPr>
            <w:r>
              <w:rPr>
                <w:rFonts w:ascii="Arial" w:cs="Arial" w:eastAsia="Arial" w:hAnsi="Arial"/>
                <w:sz w:val="16"/>
                <w:szCs w:val="16"/>
                <w:color w:val="auto"/>
              </w:rPr>
              <w:t>AOI less SBC</w:t>
            </w: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105,223</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95,293</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231,443</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207,638</w:t>
            </w:r>
          </w:p>
        </w:tc>
      </w:tr>
      <w:tr>
        <w:trPr>
          <w:trHeight w:val="244"/>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19,319</w:t>
            </w:r>
          </w:p>
        </w:tc>
        <w:tc>
          <w:tcPr>
            <w:tcW w:w="2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21,856</w:t>
            </w:r>
          </w:p>
        </w:tc>
        <w:tc>
          <w:tcPr>
            <w:tcW w:w="2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36,624</w:t>
            </w:r>
          </w:p>
        </w:tc>
        <w:tc>
          <w:tcPr>
            <w:tcW w:w="2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41,193</w:t>
            </w:r>
          </w:p>
        </w:tc>
      </w:tr>
      <w:tr>
        <w:trPr>
          <w:trHeight w:val="237"/>
        </w:trPr>
        <w:tc>
          <w:tcPr>
            <w:tcW w:w="5580" w:type="dxa"/>
            <w:vAlign w:val="bottom"/>
          </w:tcPr>
          <w:p>
            <w:pPr>
              <w:ind w:left="20"/>
              <w:spacing w:after="0"/>
              <w:rPr>
                <w:sz w:val="20"/>
                <w:szCs w:val="20"/>
                <w:color w:val="auto"/>
              </w:rPr>
            </w:pPr>
            <w:r>
              <w:rPr>
                <w:rFonts w:ascii="Arial" w:cs="Arial" w:eastAsia="Arial" w:hAnsi="Arial"/>
                <w:sz w:val="16"/>
                <w:szCs w:val="16"/>
                <w:color w:val="auto"/>
              </w:rPr>
              <w:t>Adjusted operating income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124,542</w:t>
            </w:r>
          </w:p>
        </w:tc>
        <w:tc>
          <w:tcPr>
            <w:tcW w:w="24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117,149</w:t>
            </w:r>
          </w:p>
        </w:tc>
        <w:tc>
          <w:tcPr>
            <w:tcW w:w="24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268,067</w:t>
            </w:r>
          </w:p>
        </w:tc>
        <w:tc>
          <w:tcPr>
            <w:tcW w:w="24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248,831</w:t>
            </w:r>
          </w:p>
        </w:tc>
      </w:tr>
      <w:tr>
        <w:trPr>
          <w:trHeight w:val="27"/>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net income attributable to Bentley Systems to Adjusted net income: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ind w:left="120"/>
              <w:spacing w:after="0"/>
              <w:rPr>
                <w:sz w:val="20"/>
                <w:szCs w:val="20"/>
                <w:color w:val="auto"/>
              </w:rPr>
            </w:pPr>
            <w:r>
              <w:rPr>
                <w:rFonts w:ascii="Arial" w:cs="Arial" w:eastAsia="Arial" w:hAnsi="Arial"/>
                <w:sz w:val="13"/>
                <w:szCs w:val="13"/>
                <w:b w:val="1"/>
                <w:bCs w:val="1"/>
                <w:color w:val="auto"/>
              </w:rPr>
              <w:t>Six Months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03"/>
        </w:trPr>
        <w:tc>
          <w:tcPr>
            <w:tcW w:w="2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ind w:left="400"/>
              <w:spacing w:after="0"/>
              <w:rPr>
                <w:sz w:val="20"/>
                <w:szCs w:val="20"/>
                <w:color w:val="auto"/>
              </w:rPr>
            </w:pPr>
            <w:r>
              <w:rPr>
                <w:rFonts w:ascii="Arial" w:cs="Arial" w:eastAsia="Arial" w:hAnsi="Arial"/>
                <w:sz w:val="13"/>
                <w:szCs w:val="13"/>
                <w:b w:val="1"/>
                <w:bCs w:val="1"/>
                <w:color w:val="auto"/>
              </w:rPr>
              <w:t>June 30,</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ind w:right="68"/>
              <w:spacing w:after="0"/>
              <w:rPr>
                <w:sz w:val="20"/>
                <w:szCs w:val="20"/>
                <w:color w:val="auto"/>
              </w:rPr>
            </w:pPr>
            <w:r>
              <w:rPr>
                <w:rFonts w:ascii="Arial" w:cs="Arial" w:eastAsia="Arial" w:hAnsi="Arial"/>
                <w:sz w:val="13"/>
                <w:szCs w:val="13"/>
                <w:b w:val="1"/>
                <w:bCs w:val="1"/>
                <w:color w:val="auto"/>
              </w:rPr>
              <w:t>June 30,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2"/>
        </w:trPr>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75"/>
        </w:trPr>
        <w:tc>
          <w:tcPr>
            <w:tcW w:w="2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2024</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2"/>
        </w:trPr>
        <w:tc>
          <w:tcPr>
            <w:tcW w:w="27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96"/>
        </w:trPr>
        <w:tc>
          <w:tcPr>
            <w:tcW w:w="27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69"/>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EPS</w:t>
            </w:r>
            <w:r>
              <w:rPr>
                <w:rFonts w:ascii="Arial" w:cs="Arial" w:eastAsia="Arial" w:hAnsi="Arial"/>
                <w:sz w:val="16"/>
                <w:szCs w:val="16"/>
                <w:b w:val="1"/>
                <w:bCs w:val="1"/>
                <w:color w:val="auto"/>
                <w:vertAlign w:val="superscript"/>
              </w:rPr>
              <w:t>(1)</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69"/>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EPS</w:t>
            </w:r>
            <w:r>
              <w:rPr>
                <w:rFonts w:ascii="Arial" w:cs="Arial" w:eastAsia="Arial" w:hAnsi="Arial"/>
                <w:sz w:val="16"/>
                <w:szCs w:val="16"/>
                <w:b w:val="1"/>
                <w:bCs w:val="1"/>
                <w:color w:val="auto"/>
                <w:vertAlign w:val="superscript"/>
              </w:rPr>
              <w:t>(1)</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89"/>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EPS</w:t>
            </w:r>
            <w:r>
              <w:rPr>
                <w:rFonts w:ascii="Arial" w:cs="Arial" w:eastAsia="Arial" w:hAnsi="Arial"/>
                <w:sz w:val="16"/>
                <w:szCs w:val="16"/>
                <w:b w:val="1"/>
                <w:bCs w:val="1"/>
                <w:color w:val="auto"/>
                <w:vertAlign w:val="superscript"/>
              </w:rPr>
              <w:t>(1)</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89"/>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9"/>
              <w:spacing w:after="0"/>
              <w:rPr>
                <w:sz w:val="20"/>
                <w:szCs w:val="20"/>
                <w:color w:val="auto"/>
              </w:rPr>
            </w:pPr>
            <w:r>
              <w:rPr>
                <w:rFonts w:ascii="Arial" w:cs="Arial" w:eastAsia="Arial" w:hAnsi="Arial"/>
                <w:sz w:val="13"/>
                <w:szCs w:val="13"/>
                <w:b w:val="1"/>
                <w:bCs w:val="1"/>
                <w:color w:val="auto"/>
                <w:w w:val="92"/>
              </w:rPr>
              <w:t>EPS</w:t>
            </w:r>
            <w:r>
              <w:rPr>
                <w:rFonts w:ascii="Arial" w:cs="Arial" w:eastAsia="Arial" w:hAnsi="Arial"/>
                <w:sz w:val="16"/>
                <w:szCs w:val="16"/>
                <w:b w:val="1"/>
                <w:bCs w:val="1"/>
                <w:color w:val="auto"/>
                <w:w w:val="92"/>
                <w:vertAlign w:val="superscript"/>
              </w:rPr>
              <w:t>(1)</w:t>
            </w:r>
          </w:p>
        </w:tc>
      </w:tr>
      <w:tr>
        <w:trPr>
          <w:trHeight w:val="201"/>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Net income attributable to Bentley Systems</w:t>
            </w: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70,482</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0.22</w:t>
            </w:r>
          </w:p>
        </w:tc>
        <w:tc>
          <w:tcPr>
            <w:tcW w:w="240" w:type="dxa"/>
            <w:vAlign w:val="bottom"/>
          </w:tcPr>
          <w:p>
            <w:pPr>
              <w:spacing w:after="0"/>
              <w:rPr>
                <w:sz w:val="17"/>
                <w:szCs w:val="17"/>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72,046</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0.22</w:t>
            </w:r>
          </w:p>
        </w:tc>
        <w:tc>
          <w:tcPr>
            <w:tcW w:w="320" w:type="dxa"/>
            <w:vAlign w:val="bottom"/>
          </w:tcPr>
          <w:p>
            <w:pPr>
              <w:spacing w:after="0"/>
              <w:rPr>
                <w:sz w:val="17"/>
                <w:szCs w:val="17"/>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161,850</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0.50</w:t>
            </w:r>
          </w:p>
        </w:tc>
        <w:tc>
          <w:tcPr>
            <w:tcW w:w="240" w:type="dxa"/>
            <w:vAlign w:val="bottom"/>
          </w:tcPr>
          <w:p>
            <w:pPr>
              <w:spacing w:after="0"/>
              <w:rPr>
                <w:sz w:val="17"/>
                <w:szCs w:val="17"/>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142,356</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0.44</w:t>
            </w:r>
          </w:p>
        </w:tc>
      </w:tr>
      <w:tr>
        <w:trPr>
          <w:trHeight w:val="22"/>
        </w:trPr>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0"/>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Non-GAAP adjustments, prior to income taxes:</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r>
      <w:tr>
        <w:trPr>
          <w:trHeight w:val="208"/>
        </w:trPr>
        <w:tc>
          <w:tcPr>
            <w:tcW w:w="3520" w:type="dxa"/>
            <w:vAlign w:val="bottom"/>
            <w:gridSpan w:val="2"/>
          </w:tcPr>
          <w:p>
            <w:pPr>
              <w:ind w:left="100"/>
              <w:spacing w:after="0"/>
              <w:rPr>
                <w:sz w:val="20"/>
                <w:szCs w:val="20"/>
                <w:color w:val="auto"/>
              </w:rPr>
            </w:pPr>
            <w:r>
              <w:rPr>
                <w:rFonts w:ascii="Arial" w:cs="Arial" w:eastAsia="Arial" w:hAnsi="Arial"/>
                <w:sz w:val="14"/>
                <w:szCs w:val="14"/>
                <w:color w:val="auto"/>
              </w:rPr>
              <w:t>Amortization of purchased intangibles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11,405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0.03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11,521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22,849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0.07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23,711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0.07</w:t>
            </w:r>
          </w:p>
        </w:tc>
      </w:tr>
      <w:tr>
        <w:trPr>
          <w:trHeight w:val="22"/>
        </w:trPr>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0"/>
        </w:trPr>
        <w:tc>
          <w:tcPr>
            <w:tcW w:w="3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Stock-based compensation expense</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19,319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0.06</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21,856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36,624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41,193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0.12</w:t>
            </w:r>
          </w:p>
        </w:tc>
      </w:tr>
      <w:tr>
        <w:trPr>
          <w:trHeight w:val="208"/>
        </w:trPr>
        <w:tc>
          <w:tcPr>
            <w:tcW w:w="3520" w:type="dxa"/>
            <w:vAlign w:val="bottom"/>
            <w:gridSpan w:val="2"/>
          </w:tcPr>
          <w:p>
            <w:pPr>
              <w:ind w:left="100"/>
              <w:spacing w:after="0"/>
              <w:rPr>
                <w:sz w:val="20"/>
                <w:szCs w:val="20"/>
                <w:color w:val="auto"/>
              </w:rPr>
            </w:pPr>
            <w:r>
              <w:rPr>
                <w:rFonts w:ascii="Arial" w:cs="Arial" w:eastAsia="Arial" w:hAnsi="Arial"/>
                <w:sz w:val="14"/>
                <w:szCs w:val="14"/>
                <w:color w:val="auto"/>
              </w:rPr>
              <w:t>Deferred compensation plan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0.02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6,338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0.02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6,682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0.02</w:t>
            </w:r>
          </w:p>
        </w:tc>
      </w:tr>
      <w:tr>
        <w:trPr>
          <w:trHeight w:val="22"/>
        </w:trPr>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0"/>
        </w:trPr>
        <w:tc>
          <w:tcPr>
            <w:tcW w:w="3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Acquisition expenses</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0.01</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2,642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4,328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0.01</w:t>
            </w:r>
          </w:p>
        </w:tc>
      </w:tr>
      <w:tr>
        <w:trPr>
          <w:trHeight w:val="208"/>
        </w:trPr>
        <w:tc>
          <w:tcPr>
            <w:tcW w:w="3520" w:type="dxa"/>
            <w:vAlign w:val="bottom"/>
            <w:gridSpan w:val="2"/>
          </w:tcPr>
          <w:p>
            <w:pPr>
              <w:ind w:left="100"/>
              <w:spacing w:after="0"/>
              <w:rPr>
                <w:sz w:val="20"/>
                <w:szCs w:val="20"/>
                <w:color w:val="auto"/>
              </w:rPr>
            </w:pPr>
            <w:r>
              <w:rPr>
                <w:rFonts w:ascii="Arial" w:cs="Arial" w:eastAsia="Arial" w:hAnsi="Arial"/>
                <w:sz w:val="14"/>
                <w:szCs w:val="14"/>
                <w:color w:val="auto"/>
              </w:rPr>
              <w:t>Realignment expenses</w:t>
            </w: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809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0"/>
        </w:trPr>
        <w:tc>
          <w:tcPr>
            <w:tcW w:w="3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Other expense (income), net</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1,147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(9,417)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(0.03)</w:t>
            </w:r>
          </w:p>
        </w:tc>
      </w:tr>
      <w:tr>
        <w:trPr>
          <w:trHeight w:val="201"/>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Total non-GAAP adjustments, prior to income taxes</w:t>
            </w: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41,708</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0.13</w:t>
            </w: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34,692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69,600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67,306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0.20</w:t>
            </w:r>
          </w:p>
        </w:tc>
      </w:tr>
      <w:tr>
        <w:trPr>
          <w:trHeight w:val="22"/>
        </w:trPr>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9"/>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Income tax effect of non-GAAP adjustments</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(6,651)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(4,844)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(11,333)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(4,844)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(0.01)</w:t>
            </w:r>
          </w:p>
        </w:tc>
      </w:tr>
      <w:tr>
        <w:trPr>
          <w:trHeight w:val="208"/>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Equity in net income of investees, net of tax</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7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48"/>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Adjusted net income</w:t>
            </w:r>
            <w:r>
              <w:rPr>
                <w:rFonts w:ascii="Arial" w:cs="Arial" w:eastAsia="Arial" w:hAnsi="Arial"/>
                <w:sz w:val="9"/>
                <w:szCs w:val="9"/>
                <w:color w:val="auto"/>
              </w:rPr>
              <w:t>(2)</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105,478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0.32</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101,875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220,055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0.67</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204,790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0.62</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r>
      <w:tr>
        <w:trPr>
          <w:trHeight w:val="163"/>
        </w:trPr>
        <w:tc>
          <w:tcPr>
            <w:tcW w:w="2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50"/>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Adjusted diluted weighted average shares</w:t>
            </w:r>
          </w:p>
        </w:tc>
        <w:tc>
          <w:tcPr>
            <w:tcW w:w="2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gridSpan w:val="4"/>
            <w:shd w:val="clear" w:color="auto" w:fill="CCEEFF"/>
          </w:tcPr>
          <w:p>
            <w:pPr>
              <w:jc w:val="right"/>
              <w:ind w:right="390"/>
              <w:spacing w:after="0"/>
              <w:rPr>
                <w:sz w:val="20"/>
                <w:szCs w:val="20"/>
                <w:color w:val="auto"/>
              </w:rPr>
            </w:pPr>
            <w:r>
              <w:rPr>
                <w:rFonts w:ascii="Arial" w:cs="Arial" w:eastAsia="Arial" w:hAnsi="Arial"/>
                <w:sz w:val="14"/>
                <w:szCs w:val="14"/>
                <w:color w:val="auto"/>
              </w:rPr>
              <w:t>332,824,020</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gridSpan w:val="4"/>
            <w:shd w:val="clear" w:color="auto" w:fill="CCEEFF"/>
          </w:tcPr>
          <w:p>
            <w:pPr>
              <w:jc w:val="right"/>
              <w:ind w:right="369"/>
              <w:spacing w:after="0"/>
              <w:rPr>
                <w:sz w:val="20"/>
                <w:szCs w:val="20"/>
                <w:color w:val="auto"/>
              </w:rPr>
            </w:pPr>
            <w:r>
              <w:rPr>
                <w:rFonts w:ascii="Arial" w:cs="Arial" w:eastAsia="Arial" w:hAnsi="Arial"/>
                <w:sz w:val="14"/>
                <w:szCs w:val="14"/>
                <w:color w:val="auto"/>
              </w:rPr>
              <w:t>333,780,984</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gridSpan w:val="4"/>
            <w:shd w:val="clear" w:color="auto" w:fill="CCEEFF"/>
          </w:tcPr>
          <w:p>
            <w:pPr>
              <w:jc w:val="right"/>
              <w:ind w:right="390"/>
              <w:spacing w:after="0"/>
              <w:rPr>
                <w:sz w:val="20"/>
                <w:szCs w:val="20"/>
                <w:color w:val="auto"/>
              </w:rPr>
            </w:pPr>
            <w:r>
              <w:rPr>
                <w:rFonts w:ascii="Arial" w:cs="Arial" w:eastAsia="Arial" w:hAnsi="Arial"/>
                <w:sz w:val="14"/>
                <w:szCs w:val="14"/>
                <w:color w:val="auto"/>
              </w:rPr>
              <w:t>333,150,282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gridSpan w:val="4"/>
            <w:shd w:val="clear" w:color="auto" w:fill="CCEEFF"/>
          </w:tcPr>
          <w:p>
            <w:pPr>
              <w:jc w:val="right"/>
              <w:ind w:right="409"/>
              <w:spacing w:after="0"/>
              <w:rPr>
                <w:sz w:val="20"/>
                <w:szCs w:val="20"/>
                <w:color w:val="auto"/>
              </w:rPr>
            </w:pPr>
            <w:r>
              <w:rPr>
                <w:rFonts w:ascii="Arial" w:cs="Arial" w:eastAsia="Arial" w:hAnsi="Arial"/>
                <w:sz w:val="14"/>
                <w:szCs w:val="14"/>
                <w:color w:val="auto"/>
              </w:rPr>
              <w:t>333,725,315</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2780" w:type="dxa"/>
            <w:vAlign w:val="bottom"/>
            <w:tcBorders>
              <w:bottom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r>
    </w:tbl>
    <w:p>
      <w:pPr>
        <w:spacing w:after="0" w:line="131" w:lineRule="exact"/>
        <w:rPr>
          <w:sz w:val="20"/>
          <w:szCs w:val="20"/>
          <w:color w:val="auto"/>
        </w:rPr>
      </w:pPr>
    </w:p>
    <w:p>
      <w:pPr>
        <w:ind w:left="260" w:hanging="240"/>
        <w:spacing w:after="0"/>
        <w:tabs>
          <w:tab w:leader="none" w:pos="260" w:val="left"/>
        </w:tabs>
        <w:numPr>
          <w:ilvl w:val="1"/>
          <w:numId w:val="5"/>
        </w:numPr>
        <w:rPr>
          <w:rFonts w:ascii="Arial" w:cs="Arial" w:eastAsia="Arial" w:hAnsi="Arial"/>
          <w:sz w:val="13"/>
          <w:szCs w:val="13"/>
          <w:color w:val="auto"/>
        </w:rPr>
      </w:pPr>
      <w:r>
        <w:rPr>
          <w:rFonts w:ascii="Arial" w:cs="Arial" w:eastAsia="Arial" w:hAnsi="Arial"/>
          <w:sz w:val="13"/>
          <w:szCs w:val="13"/>
          <w:color w:val="auto"/>
        </w:rPr>
        <w:t>Adjusted EPS was computed independently for each reconciling item presented; therefore, the sum of Adjusted EPS for each line item may not equal total Adjusted EPS due to rounding.</w:t>
      </w:r>
    </w:p>
    <w:p>
      <w:pPr>
        <w:spacing w:after="0" w:line="53" w:lineRule="exact"/>
        <w:rPr>
          <w:rFonts w:ascii="Arial" w:cs="Arial" w:eastAsia="Arial" w:hAnsi="Arial"/>
          <w:sz w:val="13"/>
          <w:szCs w:val="13"/>
          <w:color w:val="auto"/>
        </w:rPr>
      </w:pPr>
    </w:p>
    <w:p>
      <w:pPr>
        <w:ind w:left="260" w:right="160" w:hanging="257"/>
        <w:spacing w:after="0" w:line="166" w:lineRule="exact"/>
        <w:tabs>
          <w:tab w:leader="none" w:pos="247" w:val="left"/>
        </w:tabs>
        <w:numPr>
          <w:ilvl w:val="0"/>
          <w:numId w:val="6"/>
        </w:numPr>
        <w:rPr>
          <w:rFonts w:ascii="Arial" w:cs="Arial" w:eastAsia="Arial" w:hAnsi="Arial"/>
          <w:sz w:val="13"/>
          <w:szCs w:val="13"/>
          <w:color w:val="auto"/>
        </w:rPr>
      </w:pPr>
      <w:r>
        <w:rPr>
          <w:rFonts w:ascii="Arial" w:cs="Arial" w:eastAsia="Arial" w:hAnsi="Arial"/>
          <w:sz w:val="13"/>
          <w:szCs w:val="13"/>
          <w:color w:val="auto"/>
        </w:rPr>
        <w:t>Adjusted EPS numerator includes $1,714 and $1,717 for the three months ended June 30, 2025 and 2024, respectively, and $3,283 and $3,440 for the six months ended June 30, 2025 and 2024, respectively, related to interest expense, net of tax, attributable to the convertible senior notes using the if</w:t>
      </w:r>
      <w:r>
        <w:rPr>
          <w:rFonts w:ascii="MS PGothic" w:cs="MS PGothic" w:eastAsia="MS PGothic" w:hAnsi="MS PGothic"/>
          <w:sz w:val="13"/>
          <w:szCs w:val="13"/>
          <w:color w:val="auto"/>
        </w:rPr>
        <w:t>‑</w:t>
      </w:r>
      <w:r>
        <w:rPr>
          <w:rFonts w:ascii="Arial" w:cs="Arial" w:eastAsia="Arial" w:hAnsi="Arial"/>
          <w:sz w:val="13"/>
          <w:szCs w:val="13"/>
          <w:color w:val="auto"/>
        </w:rPr>
        <w:t>converted method.</w:t>
      </w:r>
    </w:p>
    <w:p>
      <w:pPr>
        <w:sectPr>
          <w:pgSz w:w="11900" w:h="16838" w:orient="portrait"/>
          <w:cols w:equalWidth="0" w:num="1">
            <w:col w:w="11240"/>
          </w:cols>
          <w:pgMar w:left="320" w:top="141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Reconciliation of cash flows from operations to free cash flow:</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7"/>
                <w:szCs w:val="17"/>
                <w:color w:val="auto"/>
              </w:rPr>
            </w:pPr>
          </w:p>
        </w:tc>
      </w:tr>
      <w:tr>
        <w:trPr>
          <w:trHeight w:val="239"/>
        </w:trPr>
        <w:tc>
          <w:tcPr>
            <w:tcW w:w="5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0"/>
                <w:szCs w:val="20"/>
                <w:color w:val="auto"/>
              </w:rPr>
            </w:pPr>
          </w:p>
        </w:tc>
      </w:tr>
      <w:tr>
        <w:trPr>
          <w:trHeight w:val="223"/>
        </w:trPr>
        <w:tc>
          <w:tcPr>
            <w:tcW w:w="5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w w:val="96"/>
              </w:rPr>
              <w:t>2024</w:t>
            </w:r>
          </w:p>
        </w:tc>
      </w:tr>
      <w:tr>
        <w:trPr>
          <w:trHeight w:val="243"/>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operations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61,085</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62,586</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280,500</w:t>
            </w: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267,555</w:t>
            </w:r>
          </w:p>
        </w:tc>
      </w:tr>
      <w:tr>
        <w:trPr>
          <w:trHeight w:val="202"/>
        </w:trPr>
        <w:tc>
          <w:tcPr>
            <w:tcW w:w="5260" w:type="dxa"/>
            <w:vAlign w:val="bottom"/>
          </w:tcPr>
          <w:p>
            <w:pPr>
              <w:ind w:left="20"/>
              <w:spacing w:after="0"/>
              <w:rPr>
                <w:sz w:val="20"/>
                <w:szCs w:val="20"/>
                <w:color w:val="auto"/>
              </w:rPr>
            </w:pPr>
            <w:r>
              <w:rPr>
                <w:rFonts w:ascii="Arial" w:cs="Arial" w:eastAsia="Arial" w:hAnsi="Arial"/>
                <w:sz w:val="16"/>
                <w:szCs w:val="16"/>
                <w:color w:val="auto"/>
              </w:rPr>
              <w:t>Purchases of property and equipment and investment in capitalized</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7"/>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software</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(4,091)</w:t>
            </w: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(3,090)</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(7,135)</w:t>
            </w:r>
          </w:p>
        </w:tc>
        <w:tc>
          <w:tcPr>
            <w:tcW w:w="2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(6,689)</w:t>
            </w:r>
          </w:p>
        </w:tc>
      </w:tr>
      <w:tr>
        <w:trPr>
          <w:trHeight w:val="26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56,994</w:t>
            </w:r>
          </w:p>
        </w:tc>
        <w:tc>
          <w:tcPr>
            <w:tcW w:w="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59,496</w:t>
            </w: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273,365</w:t>
            </w:r>
          </w:p>
        </w:tc>
        <w:tc>
          <w:tcPr>
            <w:tcW w:w="2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260,866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cash flows from operations to Adjusted EBITDA:</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5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Six Months Ended</w:t>
            </w:r>
          </w:p>
        </w:tc>
      </w:tr>
      <w:tr>
        <w:trPr>
          <w:trHeight w:val="238"/>
        </w:trPr>
        <w:tc>
          <w:tcPr>
            <w:tcW w:w="29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3"/>
        </w:trPr>
        <w:tc>
          <w:tcPr>
            <w:tcW w:w="296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2024</w:t>
            </w:r>
          </w:p>
        </w:tc>
      </w:tr>
      <w:tr>
        <w:trPr>
          <w:trHeight w:val="243"/>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operations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61,085</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62,586</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280,500</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267,555</w:t>
            </w:r>
          </w:p>
        </w:tc>
      </w:tr>
      <w:tr>
        <w:trPr>
          <w:trHeight w:val="235"/>
        </w:trPr>
        <w:tc>
          <w:tcPr>
            <w:tcW w:w="5280" w:type="dxa"/>
            <w:vAlign w:val="bottom"/>
            <w:gridSpan w:val="2"/>
          </w:tcPr>
          <w:p>
            <w:pPr>
              <w:ind w:left="20"/>
              <w:spacing w:after="0"/>
              <w:rPr>
                <w:sz w:val="20"/>
                <w:szCs w:val="20"/>
                <w:color w:val="auto"/>
              </w:rPr>
            </w:pPr>
            <w:r>
              <w:rPr>
                <w:rFonts w:ascii="Arial" w:cs="Arial" w:eastAsia="Arial" w:hAnsi="Arial"/>
                <w:sz w:val="16"/>
                <w:szCs w:val="16"/>
                <w:color w:val="auto"/>
              </w:rPr>
              <w:t>Cash interest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1,174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3,449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3,324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8,706</w:t>
            </w:r>
          </w:p>
        </w:tc>
      </w:tr>
      <w:tr>
        <w:trPr>
          <w:trHeight w:val="251"/>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taxes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21,744</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11,304</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29,707</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22,847</w:t>
            </w:r>
          </w:p>
        </w:tc>
      </w:tr>
      <w:tr>
        <w:trPr>
          <w:trHeight w:val="235"/>
        </w:trPr>
        <w:tc>
          <w:tcPr>
            <w:tcW w:w="5280" w:type="dxa"/>
            <w:vAlign w:val="bottom"/>
            <w:gridSpan w:val="2"/>
          </w:tcPr>
          <w:p>
            <w:pPr>
              <w:ind w:left="20"/>
              <w:spacing w:after="0"/>
              <w:rPr>
                <w:sz w:val="20"/>
                <w:szCs w:val="20"/>
                <w:color w:val="auto"/>
              </w:rPr>
            </w:pPr>
            <w:r>
              <w:rPr>
                <w:rFonts w:ascii="Arial" w:cs="Arial" w:eastAsia="Arial" w:hAnsi="Arial"/>
                <w:sz w:val="16"/>
                <w:szCs w:val="16"/>
                <w:color w:val="auto"/>
              </w:rPr>
              <w:t>Cash deferred compensation plan distributions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3,240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1,963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3,766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2,436</w:t>
            </w:r>
          </w:p>
        </w:tc>
      </w:tr>
      <w:tr>
        <w:trPr>
          <w:trHeight w:val="251"/>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acquisition expenses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4,452</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3,742</w:t>
            </w:r>
          </w:p>
        </w:tc>
      </w:tr>
      <w:tr>
        <w:trPr>
          <w:trHeight w:val="235"/>
        </w:trPr>
        <w:tc>
          <w:tcPr>
            <w:tcW w:w="5280" w:type="dxa"/>
            <w:vAlign w:val="bottom"/>
            <w:gridSpan w:val="2"/>
          </w:tcPr>
          <w:p>
            <w:pPr>
              <w:ind w:left="20"/>
              <w:spacing w:after="0"/>
              <w:rPr>
                <w:sz w:val="20"/>
                <w:szCs w:val="20"/>
                <w:color w:val="auto"/>
              </w:rPr>
            </w:pPr>
            <w:r>
              <w:rPr>
                <w:rFonts w:ascii="Arial" w:cs="Arial" w:eastAsia="Arial" w:hAnsi="Arial"/>
                <w:sz w:val="16"/>
                <w:szCs w:val="16"/>
                <w:color w:val="auto"/>
              </w:rPr>
              <w:t>Cash realignment costs</w:t>
            </w:r>
          </w:p>
        </w:tc>
        <w:tc>
          <w:tcPr>
            <w:tcW w:w="3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3,971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11,488</w:t>
            </w:r>
          </w:p>
        </w:tc>
      </w:tr>
      <w:tr>
        <w:trPr>
          <w:trHeight w:val="251"/>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41,224</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38,813</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(40,551)</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(54,519)</w:t>
            </w:r>
          </w:p>
        </w:tc>
      </w:tr>
      <w:tr>
        <w:trPr>
          <w:trHeight w:val="243"/>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w:t>
            </w:r>
          </w:p>
        </w:tc>
        <w:tc>
          <w:tcPr>
            <w:tcW w:w="2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w:t>
            </w:r>
          </w:p>
        </w:tc>
        <w:tc>
          <w:tcPr>
            <w:tcW w:w="2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(3,738)</w:t>
            </w:r>
          </w:p>
        </w:tc>
        <w:tc>
          <w:tcPr>
            <w:tcW w:w="2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(4,768)</w:t>
            </w:r>
          </w:p>
        </w:tc>
      </w:tr>
      <w:tr>
        <w:trPr>
          <w:trHeight w:val="261"/>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129,318</w:t>
            </w:r>
          </w:p>
        </w:tc>
        <w:tc>
          <w:tcPr>
            <w:tcW w:w="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121,610</w:t>
            </w: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277,460</w:t>
            </w:r>
          </w:p>
        </w:tc>
        <w:tc>
          <w:tcPr>
            <w:tcW w:w="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257,487</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2960" w:type="dxa"/>
            <w:vAlign w:val="bottom"/>
            <w:tcBorders>
              <w:bottom w:val="single" w:sz="8" w:color="auto"/>
            </w:tcBorders>
          </w:tcPr>
          <w:p>
            <w:pPr>
              <w:spacing w:after="0"/>
              <w:rPr>
                <w:sz w:val="15"/>
                <w:szCs w:val="15"/>
                <w:color w:val="auto"/>
              </w:rPr>
            </w:pPr>
          </w:p>
        </w:tc>
        <w:tc>
          <w:tcPr>
            <w:tcW w:w="2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(1) Includes receipts related to interest rate swap.</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total revenues and subscriptions revenues to total revenues and subscriptions revenues in constant currency:</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80" w:type="dxa"/>
            <w:vAlign w:val="bottom"/>
            <w:gridSpan w:val="6"/>
          </w:tcPr>
          <w:p>
            <w:pPr>
              <w:jc w:val="center"/>
              <w:ind w:left="488"/>
              <w:spacing w:after="0"/>
              <w:rPr>
                <w:sz w:val="20"/>
                <w:szCs w:val="20"/>
                <w:color w:val="auto"/>
              </w:rPr>
            </w:pPr>
            <w:r>
              <w:rPr>
                <w:rFonts w:ascii="Arial" w:cs="Arial" w:eastAsia="Arial" w:hAnsi="Arial"/>
                <w:sz w:val="13"/>
                <w:szCs w:val="13"/>
                <w:b w:val="1"/>
                <w:bCs w:val="1"/>
                <w:color w:val="auto"/>
                <w:w w:val="96"/>
              </w:rPr>
              <w:t>Three Months Ended June 30, 2025</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80" w:type="dxa"/>
            <w:vAlign w:val="bottom"/>
            <w:gridSpan w:val="6"/>
          </w:tcPr>
          <w:p>
            <w:pPr>
              <w:jc w:val="center"/>
              <w:ind w:left="488"/>
              <w:spacing w:after="0"/>
              <w:rPr>
                <w:sz w:val="20"/>
                <w:szCs w:val="20"/>
                <w:color w:val="auto"/>
              </w:rPr>
            </w:pPr>
            <w:r>
              <w:rPr>
                <w:rFonts w:ascii="Arial" w:cs="Arial" w:eastAsia="Arial" w:hAnsi="Arial"/>
                <w:sz w:val="13"/>
                <w:szCs w:val="13"/>
                <w:b w:val="1"/>
                <w:bCs w:val="1"/>
                <w:color w:val="auto"/>
                <w:w w:val="96"/>
              </w:rPr>
              <w:t>Three Months Ended June 30, 2024</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3"/>
          </w:tcPr>
          <w:p>
            <w:pPr>
              <w:jc w:val="center"/>
              <w:ind w:right="160"/>
              <w:spacing w:after="0" w:line="115" w:lineRule="exact"/>
              <w:rPr>
                <w:sz w:val="20"/>
                <w:szCs w:val="20"/>
                <w:color w:val="auto"/>
              </w:rPr>
            </w:pPr>
            <w:r>
              <w:rPr>
                <w:rFonts w:ascii="Arial" w:cs="Arial" w:eastAsia="Arial" w:hAnsi="Arial"/>
                <w:sz w:val="13"/>
                <w:szCs w:val="13"/>
                <w:b w:val="1"/>
                <w:bCs w:val="1"/>
                <w:color w:val="auto"/>
                <w:w w:val="95"/>
              </w:rPr>
              <w:t>Impact of Foreign</w:t>
            </w: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3"/>
          </w:tcPr>
          <w:p>
            <w:pPr>
              <w:jc w:val="center"/>
              <w:ind w:right="160"/>
              <w:spacing w:after="0" w:line="115" w:lineRule="exact"/>
              <w:rPr>
                <w:sz w:val="20"/>
                <w:szCs w:val="20"/>
                <w:color w:val="auto"/>
              </w:rPr>
            </w:pPr>
            <w:r>
              <w:rPr>
                <w:rFonts w:ascii="Arial" w:cs="Arial" w:eastAsia="Arial" w:hAnsi="Arial"/>
                <w:sz w:val="13"/>
                <w:szCs w:val="13"/>
                <w:b w:val="1"/>
                <w:bCs w:val="1"/>
                <w:color w:val="auto"/>
                <w:w w:val="97"/>
              </w:rPr>
              <w:t>Impact of Foreign</w:t>
            </w: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Actual</w:t>
            </w:r>
          </w:p>
        </w:tc>
        <w:tc>
          <w:tcPr>
            <w:tcW w:w="1360" w:type="dxa"/>
            <w:vAlign w:val="bottom"/>
            <w:gridSpan w:val="3"/>
          </w:tcPr>
          <w:p>
            <w:pPr>
              <w:jc w:val="center"/>
              <w:ind w:right="160"/>
              <w:spacing w:after="0" w:line="122" w:lineRule="exact"/>
              <w:rPr>
                <w:sz w:val="20"/>
                <w:szCs w:val="20"/>
                <w:color w:val="auto"/>
              </w:rPr>
            </w:pPr>
            <w:r>
              <w:rPr>
                <w:rFonts w:ascii="Arial" w:cs="Arial" w:eastAsia="Arial" w:hAnsi="Arial"/>
                <w:sz w:val="13"/>
                <w:szCs w:val="13"/>
                <w:b w:val="1"/>
                <w:bCs w:val="1"/>
                <w:color w:val="auto"/>
                <w:w w:val="95"/>
              </w:rPr>
              <w:t>Exchange at 2024</w:t>
            </w:r>
          </w:p>
        </w:tc>
        <w:tc>
          <w:tcPr>
            <w:tcW w:w="1540" w:type="dxa"/>
            <w:vAlign w:val="bottom"/>
            <w:gridSpan w:val="3"/>
            <w:vMerge w:val="restart"/>
          </w:tcPr>
          <w:p>
            <w:pPr>
              <w:jc w:val="right"/>
              <w:ind w:right="340"/>
              <w:spacing w:after="0"/>
              <w:rPr>
                <w:sz w:val="20"/>
                <w:szCs w:val="20"/>
                <w:color w:val="auto"/>
              </w:rPr>
            </w:pPr>
            <w:r>
              <w:rPr>
                <w:rFonts w:ascii="Arial" w:cs="Arial" w:eastAsia="Arial" w:hAnsi="Arial"/>
                <w:sz w:val="13"/>
                <w:szCs w:val="13"/>
                <w:b w:val="1"/>
                <w:bCs w:val="1"/>
                <w:color w:val="auto"/>
              </w:rPr>
              <w:t>Constant Currency</w:t>
            </w:r>
          </w:p>
        </w:tc>
        <w:tc>
          <w:tcPr>
            <w:tcW w:w="280" w:type="dxa"/>
            <w:vAlign w:val="bottom"/>
          </w:tcPr>
          <w:p>
            <w:pPr>
              <w:spacing w:after="0"/>
              <w:rPr>
                <w:sz w:val="10"/>
                <w:szCs w:val="10"/>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Actual</w:t>
            </w:r>
          </w:p>
        </w:tc>
        <w:tc>
          <w:tcPr>
            <w:tcW w:w="1380" w:type="dxa"/>
            <w:vAlign w:val="bottom"/>
            <w:gridSpan w:val="3"/>
          </w:tcPr>
          <w:p>
            <w:pPr>
              <w:jc w:val="center"/>
              <w:ind w:right="160"/>
              <w:spacing w:after="0" w:line="122" w:lineRule="exact"/>
              <w:rPr>
                <w:sz w:val="20"/>
                <w:szCs w:val="20"/>
                <w:color w:val="auto"/>
              </w:rPr>
            </w:pPr>
            <w:r>
              <w:rPr>
                <w:rFonts w:ascii="Arial" w:cs="Arial" w:eastAsia="Arial" w:hAnsi="Arial"/>
                <w:sz w:val="13"/>
                <w:szCs w:val="13"/>
                <w:b w:val="1"/>
                <w:bCs w:val="1"/>
                <w:color w:val="auto"/>
                <w:w w:val="97"/>
              </w:rPr>
              <w:t>Exchange at 2024</w:t>
            </w:r>
          </w:p>
        </w:tc>
        <w:tc>
          <w:tcPr>
            <w:tcW w:w="12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Constant Currency</w:t>
            </w: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Rates</w:t>
            </w:r>
          </w:p>
        </w:tc>
        <w:tc>
          <w:tcPr>
            <w:tcW w:w="154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5"/>
              </w:rPr>
              <w:t>Rates</w:t>
            </w: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364,106</w:t>
            </w:r>
          </w:p>
        </w:tc>
        <w:tc>
          <w:tcPr>
            <w:tcW w:w="1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(3,603)</w:t>
            </w:r>
          </w:p>
        </w:tc>
        <w:tc>
          <w:tcPr>
            <w:tcW w:w="16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360,503</w:t>
            </w:r>
          </w:p>
        </w:tc>
        <w:tc>
          <w:tcPr>
            <w:tcW w:w="26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330,337</w:t>
            </w:r>
          </w:p>
        </w:tc>
        <w:tc>
          <w:tcPr>
            <w:tcW w:w="1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6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330,002</w:t>
            </w:r>
          </w:p>
        </w:tc>
        <w:tc>
          <w:tcPr>
            <w:tcW w:w="0" w:type="dxa"/>
            <w:vAlign w:val="bottom"/>
          </w:tcPr>
          <w:p>
            <w:pPr>
              <w:spacing w:after="0"/>
              <w:rPr>
                <w:sz w:val="1"/>
                <w:szCs w:val="1"/>
                <w:color w:val="auto"/>
              </w:rPr>
            </w:pPr>
          </w:p>
        </w:tc>
      </w:tr>
      <w:tr>
        <w:trPr>
          <w:trHeight w:val="228"/>
        </w:trPr>
        <w:tc>
          <w:tcPr>
            <w:tcW w:w="2780" w:type="dxa"/>
            <w:vAlign w:val="bottom"/>
          </w:tcPr>
          <w:p>
            <w:pPr>
              <w:ind w:left="20"/>
              <w:spacing w:after="0"/>
              <w:rPr>
                <w:sz w:val="20"/>
                <w:szCs w:val="20"/>
                <w:color w:val="auto"/>
              </w:rPr>
            </w:pPr>
            <w:r>
              <w:rPr>
                <w:rFonts w:ascii="Arial" w:cs="Arial" w:eastAsia="Arial" w:hAnsi="Arial"/>
                <w:sz w:val="16"/>
                <w:szCs w:val="16"/>
                <w:color w:val="auto"/>
              </w:rPr>
              <w:t>Subscriptions 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333,452</w:t>
            </w:r>
          </w:p>
        </w:tc>
        <w:tc>
          <w:tcPr>
            <w:tcW w:w="160" w:type="dxa"/>
            <w:vAlign w:val="bottom"/>
          </w:tcPr>
          <w:p>
            <w:pPr>
              <w:spacing w:after="0"/>
              <w:rPr>
                <w:sz w:val="19"/>
                <w:szCs w:val="19"/>
                <w:color w:val="auto"/>
              </w:rPr>
            </w:pPr>
          </w:p>
        </w:tc>
        <w:tc>
          <w:tcPr>
            <w:tcW w:w="260" w:type="dxa"/>
            <w:vAlign w:val="bottom"/>
          </w:tcPr>
          <w:p>
            <w:pPr>
              <w:jc w:val="right"/>
              <w:ind w:right="88"/>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(3,191)</w:t>
            </w:r>
          </w:p>
        </w:tc>
        <w:tc>
          <w:tcPr>
            <w:tcW w:w="160" w:type="dxa"/>
            <w:vAlign w:val="bottom"/>
          </w:tcPr>
          <w:p>
            <w:pPr>
              <w:spacing w:after="0"/>
              <w:rPr>
                <w:sz w:val="19"/>
                <w:szCs w:val="19"/>
                <w:color w:val="auto"/>
              </w:rPr>
            </w:pPr>
          </w:p>
        </w:tc>
        <w:tc>
          <w:tcPr>
            <w:tcW w:w="460" w:type="dxa"/>
            <w:vAlign w:val="bottom"/>
          </w:tcPr>
          <w:p>
            <w:pPr>
              <w:jc w:val="right"/>
              <w:ind w:right="285"/>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330,261</w:t>
            </w:r>
          </w:p>
        </w:tc>
        <w:tc>
          <w:tcPr>
            <w:tcW w:w="26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8"/>
              <w:spacing w:after="0"/>
              <w:rPr>
                <w:sz w:val="20"/>
                <w:szCs w:val="20"/>
                <w:color w:val="auto"/>
              </w:rPr>
            </w:pPr>
            <w:r>
              <w:rPr>
                <w:rFonts w:ascii="Arial" w:cs="Arial" w:eastAsia="Arial" w:hAnsi="Arial"/>
                <w:sz w:val="16"/>
                <w:szCs w:val="16"/>
                <w:color w:val="auto"/>
              </w:rPr>
              <w:t>297,444</w:t>
            </w:r>
          </w:p>
        </w:tc>
        <w:tc>
          <w:tcPr>
            <w:tcW w:w="140" w:type="dxa"/>
            <w:vAlign w:val="bottom"/>
          </w:tcPr>
          <w:p>
            <w:pPr>
              <w:spacing w:after="0"/>
              <w:rPr>
                <w:sz w:val="19"/>
                <w:szCs w:val="19"/>
                <w:color w:val="auto"/>
              </w:rPr>
            </w:pPr>
          </w:p>
        </w:tc>
        <w:tc>
          <w:tcPr>
            <w:tcW w:w="280" w:type="dxa"/>
            <w:vAlign w:val="bottom"/>
          </w:tcPr>
          <w:p>
            <w:pPr>
              <w:jc w:val="right"/>
              <w:ind w:right="88"/>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(341)</w:t>
            </w:r>
          </w:p>
        </w:tc>
        <w:tc>
          <w:tcPr>
            <w:tcW w:w="160" w:type="dxa"/>
            <w:vAlign w:val="bottom"/>
          </w:tcPr>
          <w:p>
            <w:pPr>
              <w:spacing w:after="0"/>
              <w:rPr>
                <w:sz w:val="19"/>
                <w:szCs w:val="19"/>
                <w:color w:val="auto"/>
              </w:rPr>
            </w:pPr>
          </w:p>
        </w:tc>
        <w:tc>
          <w:tcPr>
            <w:tcW w:w="460" w:type="dxa"/>
            <w:vAlign w:val="bottom"/>
          </w:tcPr>
          <w:p>
            <w:pPr>
              <w:jc w:val="right"/>
              <w:ind w:right="285"/>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297,103</w:t>
            </w:r>
          </w:p>
        </w:tc>
        <w:tc>
          <w:tcPr>
            <w:tcW w:w="0" w:type="dxa"/>
            <w:vAlign w:val="bottom"/>
          </w:tcPr>
          <w:p>
            <w:pPr>
              <w:spacing w:after="0"/>
              <w:rPr>
                <w:sz w:val="1"/>
                <w:szCs w:val="1"/>
                <w:color w:val="auto"/>
              </w:rPr>
            </w:pPr>
          </w:p>
        </w:tc>
      </w:tr>
      <w:tr>
        <w:trPr>
          <w:trHeight w:val="547"/>
        </w:trPr>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gridSpan w:val="6"/>
          </w:tcPr>
          <w:p>
            <w:pPr>
              <w:jc w:val="center"/>
              <w:ind w:left="468"/>
              <w:spacing w:after="0"/>
              <w:rPr>
                <w:sz w:val="20"/>
                <w:szCs w:val="20"/>
                <w:color w:val="auto"/>
              </w:rPr>
            </w:pPr>
            <w:r>
              <w:rPr>
                <w:rFonts w:ascii="Arial" w:cs="Arial" w:eastAsia="Arial" w:hAnsi="Arial"/>
                <w:sz w:val="13"/>
                <w:szCs w:val="13"/>
                <w:b w:val="1"/>
                <w:bCs w:val="1"/>
                <w:color w:val="auto"/>
                <w:w w:val="97"/>
              </w:rPr>
              <w:t>Six Months Ended June 30, 2025</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gridSpan w:val="6"/>
          </w:tcPr>
          <w:p>
            <w:pPr>
              <w:jc w:val="center"/>
              <w:ind w:left="468"/>
              <w:spacing w:after="0"/>
              <w:rPr>
                <w:sz w:val="20"/>
                <w:szCs w:val="20"/>
                <w:color w:val="auto"/>
              </w:rPr>
            </w:pPr>
            <w:r>
              <w:rPr>
                <w:rFonts w:ascii="Arial" w:cs="Arial" w:eastAsia="Arial" w:hAnsi="Arial"/>
                <w:sz w:val="13"/>
                <w:szCs w:val="13"/>
                <w:b w:val="1"/>
                <w:bCs w:val="1"/>
                <w:color w:val="auto"/>
                <w:w w:val="97"/>
              </w:rPr>
              <w:t>Six Months Ended June 30, 2024</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2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3"/>
          </w:tcPr>
          <w:p>
            <w:pPr>
              <w:jc w:val="center"/>
              <w:ind w:right="160"/>
              <w:spacing w:after="0" w:line="124" w:lineRule="exact"/>
              <w:rPr>
                <w:sz w:val="20"/>
                <w:szCs w:val="20"/>
                <w:color w:val="auto"/>
              </w:rPr>
            </w:pPr>
            <w:r>
              <w:rPr>
                <w:rFonts w:ascii="Arial" w:cs="Arial" w:eastAsia="Arial" w:hAnsi="Arial"/>
                <w:sz w:val="13"/>
                <w:szCs w:val="13"/>
                <w:b w:val="1"/>
                <w:bCs w:val="1"/>
                <w:color w:val="auto"/>
                <w:w w:val="95"/>
              </w:rPr>
              <w:t>Impact of Foreign</w:t>
            </w: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3"/>
          </w:tcPr>
          <w:p>
            <w:pPr>
              <w:jc w:val="center"/>
              <w:ind w:right="160"/>
              <w:spacing w:after="0" w:line="124" w:lineRule="exact"/>
              <w:rPr>
                <w:sz w:val="20"/>
                <w:szCs w:val="20"/>
                <w:color w:val="auto"/>
              </w:rPr>
            </w:pPr>
            <w:r>
              <w:rPr>
                <w:rFonts w:ascii="Arial" w:cs="Arial" w:eastAsia="Arial" w:hAnsi="Arial"/>
                <w:sz w:val="13"/>
                <w:szCs w:val="13"/>
                <w:b w:val="1"/>
                <w:bCs w:val="1"/>
                <w:color w:val="auto"/>
                <w:w w:val="97"/>
              </w:rPr>
              <w:t>Impact of Foreign</w:t>
            </w: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Actual</w:t>
            </w:r>
          </w:p>
        </w:tc>
        <w:tc>
          <w:tcPr>
            <w:tcW w:w="1360" w:type="dxa"/>
            <w:vAlign w:val="bottom"/>
            <w:gridSpan w:val="3"/>
          </w:tcPr>
          <w:p>
            <w:pPr>
              <w:jc w:val="center"/>
              <w:ind w:right="160"/>
              <w:spacing w:after="0" w:line="126" w:lineRule="exact"/>
              <w:rPr>
                <w:sz w:val="20"/>
                <w:szCs w:val="20"/>
                <w:color w:val="auto"/>
              </w:rPr>
            </w:pPr>
            <w:r>
              <w:rPr>
                <w:rFonts w:ascii="Arial" w:cs="Arial" w:eastAsia="Arial" w:hAnsi="Arial"/>
                <w:sz w:val="13"/>
                <w:szCs w:val="13"/>
                <w:b w:val="1"/>
                <w:bCs w:val="1"/>
                <w:color w:val="auto"/>
                <w:w w:val="95"/>
              </w:rPr>
              <w:t>Exchange at 2024</w:t>
            </w:r>
          </w:p>
        </w:tc>
        <w:tc>
          <w:tcPr>
            <w:tcW w:w="1540" w:type="dxa"/>
            <w:vAlign w:val="bottom"/>
            <w:gridSpan w:val="3"/>
            <w:vMerge w:val="restart"/>
          </w:tcPr>
          <w:p>
            <w:pPr>
              <w:jc w:val="right"/>
              <w:ind w:right="340"/>
              <w:spacing w:after="0"/>
              <w:rPr>
                <w:sz w:val="20"/>
                <w:szCs w:val="20"/>
                <w:color w:val="auto"/>
              </w:rPr>
            </w:pPr>
            <w:r>
              <w:rPr>
                <w:rFonts w:ascii="Arial" w:cs="Arial" w:eastAsia="Arial" w:hAnsi="Arial"/>
                <w:sz w:val="13"/>
                <w:szCs w:val="13"/>
                <w:b w:val="1"/>
                <w:bCs w:val="1"/>
                <w:color w:val="auto"/>
              </w:rPr>
              <w:t>Constant Currency</w:t>
            </w:r>
          </w:p>
        </w:tc>
        <w:tc>
          <w:tcPr>
            <w:tcW w:w="280" w:type="dxa"/>
            <w:vAlign w:val="bottom"/>
          </w:tcPr>
          <w:p>
            <w:pPr>
              <w:spacing w:after="0"/>
              <w:rPr>
                <w:sz w:val="10"/>
                <w:szCs w:val="10"/>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Actual</w:t>
            </w:r>
          </w:p>
        </w:tc>
        <w:tc>
          <w:tcPr>
            <w:tcW w:w="1380" w:type="dxa"/>
            <w:vAlign w:val="bottom"/>
            <w:gridSpan w:val="3"/>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Exchange at 2024</w:t>
            </w:r>
          </w:p>
        </w:tc>
        <w:tc>
          <w:tcPr>
            <w:tcW w:w="12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Constant Currency</w:t>
            </w:r>
          </w:p>
        </w:tc>
        <w:tc>
          <w:tcPr>
            <w:tcW w:w="0" w:type="dxa"/>
            <w:vAlign w:val="bottom"/>
          </w:tcPr>
          <w:p>
            <w:pPr>
              <w:spacing w:after="0"/>
              <w:rPr>
                <w:sz w:val="1"/>
                <w:szCs w:val="1"/>
                <w:color w:val="auto"/>
              </w:rPr>
            </w:pPr>
          </w:p>
        </w:tc>
      </w:tr>
      <w:tr>
        <w:trPr>
          <w:trHeight w:val="174"/>
        </w:trPr>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Rates</w:t>
            </w:r>
          </w:p>
        </w:tc>
        <w:tc>
          <w:tcPr>
            <w:tcW w:w="154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5"/>
              </w:rPr>
              <w:t>Rates</w:t>
            </w: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734,648</w:t>
            </w:r>
          </w:p>
        </w:tc>
        <w:tc>
          <w:tcPr>
            <w:tcW w:w="1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6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734,822</w:t>
            </w:r>
          </w:p>
        </w:tc>
        <w:tc>
          <w:tcPr>
            <w:tcW w:w="26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668,100</w:t>
            </w:r>
          </w:p>
        </w:tc>
        <w:tc>
          <w:tcPr>
            <w:tcW w:w="1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6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667,423</w:t>
            </w:r>
          </w:p>
        </w:tc>
        <w:tc>
          <w:tcPr>
            <w:tcW w:w="0" w:type="dxa"/>
            <w:vAlign w:val="bottom"/>
          </w:tcPr>
          <w:p>
            <w:pPr>
              <w:spacing w:after="0"/>
              <w:rPr>
                <w:sz w:val="1"/>
                <w:szCs w:val="1"/>
                <w:color w:val="auto"/>
              </w:rPr>
            </w:pPr>
          </w:p>
        </w:tc>
      </w:tr>
      <w:tr>
        <w:trPr>
          <w:trHeight w:val="228"/>
        </w:trPr>
        <w:tc>
          <w:tcPr>
            <w:tcW w:w="2780" w:type="dxa"/>
            <w:vAlign w:val="bottom"/>
          </w:tcPr>
          <w:p>
            <w:pPr>
              <w:ind w:left="20"/>
              <w:spacing w:after="0"/>
              <w:rPr>
                <w:sz w:val="20"/>
                <w:szCs w:val="20"/>
                <w:color w:val="auto"/>
              </w:rPr>
            </w:pPr>
            <w:r>
              <w:rPr>
                <w:rFonts w:ascii="Arial" w:cs="Arial" w:eastAsia="Arial" w:hAnsi="Arial"/>
                <w:sz w:val="16"/>
                <w:szCs w:val="16"/>
                <w:color w:val="auto"/>
              </w:rPr>
              <w:t>Subscriptions 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675,770</w:t>
            </w:r>
          </w:p>
        </w:tc>
        <w:tc>
          <w:tcPr>
            <w:tcW w:w="160" w:type="dxa"/>
            <w:vAlign w:val="bottom"/>
          </w:tcPr>
          <w:p>
            <w:pPr>
              <w:spacing w:after="0"/>
              <w:rPr>
                <w:sz w:val="19"/>
                <w:szCs w:val="19"/>
                <w:color w:val="auto"/>
              </w:rPr>
            </w:pPr>
          </w:p>
        </w:tc>
        <w:tc>
          <w:tcPr>
            <w:tcW w:w="260" w:type="dxa"/>
            <w:vAlign w:val="bottom"/>
          </w:tcPr>
          <w:p>
            <w:pPr>
              <w:jc w:val="right"/>
              <w:ind w:right="88"/>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142</w:t>
            </w:r>
          </w:p>
        </w:tc>
        <w:tc>
          <w:tcPr>
            <w:tcW w:w="160" w:type="dxa"/>
            <w:vAlign w:val="bottom"/>
          </w:tcPr>
          <w:p>
            <w:pPr>
              <w:spacing w:after="0"/>
              <w:rPr>
                <w:sz w:val="19"/>
                <w:szCs w:val="19"/>
                <w:color w:val="auto"/>
              </w:rPr>
            </w:pPr>
          </w:p>
        </w:tc>
        <w:tc>
          <w:tcPr>
            <w:tcW w:w="460" w:type="dxa"/>
            <w:vAlign w:val="bottom"/>
          </w:tcPr>
          <w:p>
            <w:pPr>
              <w:jc w:val="right"/>
              <w:ind w:right="285"/>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675,912</w:t>
            </w:r>
          </w:p>
        </w:tc>
        <w:tc>
          <w:tcPr>
            <w:tcW w:w="26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8"/>
              <w:spacing w:after="0"/>
              <w:rPr>
                <w:sz w:val="20"/>
                <w:szCs w:val="20"/>
                <w:color w:val="auto"/>
              </w:rPr>
            </w:pPr>
            <w:r>
              <w:rPr>
                <w:rFonts w:ascii="Arial" w:cs="Arial" w:eastAsia="Arial" w:hAnsi="Arial"/>
                <w:sz w:val="16"/>
                <w:szCs w:val="16"/>
                <w:color w:val="auto"/>
              </w:rPr>
              <w:t>604,533</w:t>
            </w:r>
          </w:p>
        </w:tc>
        <w:tc>
          <w:tcPr>
            <w:tcW w:w="140" w:type="dxa"/>
            <w:vAlign w:val="bottom"/>
          </w:tcPr>
          <w:p>
            <w:pPr>
              <w:spacing w:after="0"/>
              <w:rPr>
                <w:sz w:val="19"/>
                <w:szCs w:val="19"/>
                <w:color w:val="auto"/>
              </w:rPr>
            </w:pPr>
          </w:p>
        </w:tc>
        <w:tc>
          <w:tcPr>
            <w:tcW w:w="280" w:type="dxa"/>
            <w:vAlign w:val="bottom"/>
          </w:tcPr>
          <w:p>
            <w:pPr>
              <w:jc w:val="right"/>
              <w:ind w:right="88"/>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(673)</w:t>
            </w:r>
          </w:p>
        </w:tc>
        <w:tc>
          <w:tcPr>
            <w:tcW w:w="160" w:type="dxa"/>
            <w:vAlign w:val="bottom"/>
          </w:tcPr>
          <w:p>
            <w:pPr>
              <w:spacing w:after="0"/>
              <w:rPr>
                <w:sz w:val="19"/>
                <w:szCs w:val="19"/>
                <w:color w:val="auto"/>
              </w:rPr>
            </w:pPr>
          </w:p>
        </w:tc>
        <w:tc>
          <w:tcPr>
            <w:tcW w:w="460" w:type="dxa"/>
            <w:vAlign w:val="bottom"/>
          </w:tcPr>
          <w:p>
            <w:pPr>
              <w:jc w:val="right"/>
              <w:ind w:right="285"/>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603,860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17"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Non-GAAP and Other Financial Measures</w:t>
      </w:r>
    </w:p>
    <w:p>
      <w:pPr>
        <w:spacing w:after="0" w:line="198"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This Exhibit 99.2 to the accompanying Current Report on Form 8-K for Bentley Systems, Incorporated (“Bentley Systems,” the “Company,” “we,” “our,” and words of similar import) sets forth the reasons we believe that presentation of financial measures not in accordance with GAAP contained in this press release filed as Exhibit 99.1 to the Current Report on Form 8-K provides useful information to investors regarding our results of operations, financial condition, and liquidity. To the extent material, this Exhibit also discloses the additional purposes, if any, for which our management uses these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Reconciliations between these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to their most directly comparable GAAP financial measures are included in this press release itself. Non</w:t>
      </w:r>
      <w:r>
        <w:rPr>
          <w:rFonts w:ascii="MS PGothic" w:cs="MS PGothic" w:eastAsia="MS PGothic" w:hAnsi="MS PGothic"/>
          <w:sz w:val="18"/>
          <w:szCs w:val="18"/>
          <w:color w:val="auto"/>
        </w:rPr>
        <w:t>‑</w:t>
      </w:r>
      <w:r>
        <w:rPr>
          <w:rFonts w:ascii="Arial" w:cs="Arial" w:eastAsia="Arial" w:hAnsi="Arial"/>
          <w:sz w:val="18"/>
          <w:szCs w:val="18"/>
          <w:color w:val="auto"/>
        </w:rPr>
        <w:t>GAAP financial information should be considered in addition to, not as a substitute for, or in isolation from, the financial information prepared in accordance with GAAP, including operating income, net income, diluted net income per share attributable to Bentley Systems stockholders, cash flow from operations or other measures of performance or liquidity, and should be read in conjunction with the financial statements included in our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to be filed with the United States Securities and Exchange Commission.</w:t>
      </w:r>
    </w:p>
    <w:p>
      <w:pPr>
        <w:spacing w:after="0" w:line="96" w:lineRule="exact"/>
        <w:rPr>
          <w:sz w:val="20"/>
          <w:szCs w:val="20"/>
          <w:color w:val="auto"/>
        </w:rPr>
      </w:pPr>
    </w:p>
    <w:p>
      <w:pPr>
        <w:ind w:right="60"/>
        <w:spacing w:after="0" w:line="247" w:lineRule="exact"/>
        <w:rPr>
          <w:sz w:val="20"/>
          <w:szCs w:val="20"/>
          <w:color w:val="auto"/>
        </w:rPr>
      </w:pPr>
      <w:r>
        <w:rPr>
          <w:rFonts w:ascii="Arial" w:cs="Arial" w:eastAsia="Arial" w:hAnsi="Arial"/>
          <w:sz w:val="18"/>
          <w:szCs w:val="18"/>
          <w:color w:val="auto"/>
        </w:rPr>
        <w:t>Our non</w:t>
      </w:r>
      <w:r>
        <w:rPr>
          <w:rFonts w:ascii="MS PGothic" w:cs="MS PGothic" w:eastAsia="MS PGothic" w:hAnsi="MS PGothic"/>
          <w:sz w:val="18"/>
          <w:szCs w:val="18"/>
          <w:color w:val="auto"/>
        </w:rPr>
        <w:t>‑</w:t>
      </w:r>
      <w:r>
        <w:rPr>
          <w:rFonts w:ascii="Arial" w:cs="Arial" w:eastAsia="Arial" w:hAnsi="Arial"/>
          <w:sz w:val="18"/>
          <w:szCs w:val="18"/>
          <w:color w:val="auto"/>
        </w:rPr>
        <w:t xml:space="preserve"> GAAP and other financial measures may vary significantly from period to period for reasons unrelated to our operating performance and may differ from similarly titled measures presented by other companies.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Constant currency</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Constant currency and constant currency growth rates are non-GAAP financial measures that present our results of operations excluding the estimated effects of foreign currency exchange rate fluctuations. A significant amount of our operations is conducted in foreign currencies. As a result, the comparability of the financial results reported in U.S. dollars is affected by changes in foreign currency exchange rates.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99" w:lineRule="exact"/>
        <w:rPr>
          <w:sz w:val="20"/>
          <w:szCs w:val="20"/>
          <w:color w:val="auto"/>
        </w:rPr>
      </w:pPr>
    </w:p>
    <w:p>
      <w:pPr>
        <w:ind w:right="60"/>
        <w:spacing w:after="0" w:line="237" w:lineRule="exact"/>
        <w:rPr>
          <w:sz w:val="20"/>
          <w:szCs w:val="20"/>
          <w:color w:val="auto"/>
        </w:rPr>
      </w:pPr>
      <w:r>
        <w:rPr>
          <w:rFonts w:ascii="Arial" w:cs="Arial" w:eastAsia="Arial" w:hAnsi="Arial"/>
          <w:sz w:val="18"/>
          <w:szCs w:val="18"/>
          <w:color w:val="auto"/>
        </w:rPr>
        <w:t>In reporting period</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period results, except for ARR as discussed further below, we calculate the effects of foreign currency fluctuations and constant currency information by translating current and prior period results on a transactional basis to our reporting currency using prior period average foreign currency exchange rates in which the transactions occurred.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Recurring revenues</w:t>
      </w:r>
    </w:p>
    <w:p>
      <w:pPr>
        <w:spacing w:after="0" w:line="19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i w:val="1"/>
          <w:iCs w:val="1"/>
          <w:color w:val="auto"/>
        </w:rPr>
        <w:t xml:space="preserve">Recurring revenues </w:t>
      </w:r>
      <w:r>
        <w:rPr>
          <w:rFonts w:ascii="Arial" w:cs="Arial" w:eastAsia="Arial" w:hAnsi="Arial"/>
          <w:sz w:val="18"/>
          <w:szCs w:val="18"/>
          <w:color w:val="auto"/>
        </w:rPr>
        <w:t>are the basis for our other revenue-related key business metrics. We believe this measure is useful in evaluating our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consistently retain and grow our revenues from accounts with revenues in the prior period (“existing accounts”).</w:t>
      </w:r>
    </w:p>
    <w:p>
      <w:pPr>
        <w:spacing w:after="0" w:line="11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i w:val="1"/>
          <w:iCs w:val="1"/>
          <w:color w:val="auto"/>
        </w:rPr>
        <w:t xml:space="preserve">Recurring revenues </w:t>
      </w:r>
      <w:r>
        <w:rPr>
          <w:rFonts w:ascii="Arial" w:cs="Arial" w:eastAsia="Arial" w:hAnsi="Arial"/>
          <w:sz w:val="18"/>
          <w:szCs w:val="18"/>
          <w:color w:val="auto"/>
        </w:rPr>
        <w:t>are subscriptions revenues that recur monthly, quarterly, or annually with specific or automatic renewal clauses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services revenues in which the underlying contract is based on a fixed fee and contains automatic annual renewal provisions.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Annualized recurring revenues (“ARR”)</w:t>
      </w:r>
    </w:p>
    <w:p>
      <w:pPr>
        <w:spacing w:after="0" w:line="198" w:lineRule="exact"/>
        <w:rPr>
          <w:sz w:val="20"/>
          <w:szCs w:val="20"/>
          <w:color w:val="auto"/>
        </w:rPr>
      </w:pPr>
    </w:p>
    <w:p>
      <w:pPr>
        <w:ind w:right="60"/>
        <w:spacing w:after="0" w:line="232" w:lineRule="exact"/>
        <w:rPr>
          <w:sz w:val="20"/>
          <w:szCs w:val="20"/>
          <w:color w:val="auto"/>
        </w:rPr>
      </w:pPr>
      <w:r>
        <w:rPr>
          <w:rFonts w:ascii="Arial" w:cs="Arial" w:eastAsia="Arial" w:hAnsi="Arial"/>
          <w:sz w:val="18"/>
          <w:szCs w:val="18"/>
          <w:i w:val="1"/>
          <w:iCs w:val="1"/>
          <w:color w:val="auto"/>
        </w:rPr>
        <w:t xml:space="preserve">ARR </w:t>
      </w:r>
      <w:r>
        <w:rPr>
          <w:rFonts w:ascii="Arial" w:cs="Arial" w:eastAsia="Arial" w:hAnsi="Arial"/>
          <w:sz w:val="18"/>
          <w:szCs w:val="18"/>
          <w:color w:val="auto"/>
        </w:rPr>
        <w:t>is a key business metric that we believe is useful in evaluating the scale and growth of our business as well as to assist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evaluation of underlying trends in our business. Furthermore, we believe </w:t>
      </w:r>
      <w:r>
        <w:rPr>
          <w:rFonts w:ascii="Arial" w:cs="Arial" w:eastAsia="Arial" w:hAnsi="Arial"/>
          <w:sz w:val="18"/>
          <w:szCs w:val="18"/>
          <w:i w:val="1"/>
          <w:iCs w:val="1"/>
          <w:color w:val="auto"/>
        </w:rPr>
        <w:t>ARR</w:t>
      </w:r>
      <w:r>
        <w:rPr>
          <w:rFonts w:ascii="Arial" w:cs="Arial" w:eastAsia="Arial" w:hAnsi="Arial"/>
          <w:sz w:val="18"/>
          <w:szCs w:val="18"/>
          <w:color w:val="auto"/>
        </w:rPr>
        <w:t xml:space="preserve">, considered in connection with our </w:t>
      </w:r>
      <w:r>
        <w:rPr>
          <w:rFonts w:ascii="Arial" w:cs="Arial" w:eastAsia="Arial" w:hAnsi="Arial"/>
          <w:sz w:val="18"/>
          <w:szCs w:val="18"/>
          <w:i w:val="1"/>
          <w:iCs w:val="1"/>
          <w:color w:val="auto"/>
        </w:rPr>
        <w:t>last twelve</w:t>
      </w:r>
      <w:r>
        <w:rPr>
          <w:rFonts w:ascii="MS PGothic" w:cs="MS PGothic" w:eastAsia="MS PGothic" w:hAnsi="MS PGothic"/>
          <w:sz w:val="18"/>
          <w:szCs w:val="18"/>
          <w:color w:val="auto"/>
        </w:rPr>
        <w:t>‑</w:t>
      </w:r>
      <w:r>
        <w:rPr>
          <w:rFonts w:ascii="Arial" w:cs="Arial" w:eastAsia="Arial" w:hAnsi="Arial"/>
          <w:sz w:val="18"/>
          <w:szCs w:val="18"/>
          <w:i w:val="1"/>
          <w:iCs w:val="1"/>
          <w:color w:val="auto"/>
        </w:rPr>
        <w:t>month recurring</w:t>
      </w:r>
      <w:r>
        <w:rPr>
          <w:rFonts w:ascii="Arial" w:cs="Arial" w:eastAsia="Arial" w:hAnsi="Arial"/>
          <w:sz w:val="18"/>
          <w:szCs w:val="18"/>
          <w:color w:val="auto"/>
        </w:rPr>
        <w:t xml:space="preserve"> </w:t>
      </w:r>
      <w:r>
        <w:rPr>
          <w:rFonts w:ascii="Arial" w:cs="Arial" w:eastAsia="Arial" w:hAnsi="Arial"/>
          <w:sz w:val="18"/>
          <w:szCs w:val="18"/>
          <w:i w:val="1"/>
          <w:iCs w:val="1"/>
          <w:color w:val="auto"/>
        </w:rPr>
        <w:t>revenues dollar</w:t>
      </w:r>
      <w:r>
        <w:rPr>
          <w:rFonts w:ascii="MS PGothic" w:cs="MS PGothic" w:eastAsia="MS PGothic" w:hAnsi="MS PGothic"/>
          <w:sz w:val="18"/>
          <w:szCs w:val="18"/>
          <w:color w:val="auto"/>
        </w:rPr>
        <w:t>‑</w:t>
      </w:r>
      <w:r>
        <w:rPr>
          <w:rFonts w:ascii="Arial" w:cs="Arial" w:eastAsia="Arial" w:hAnsi="Arial"/>
          <w:sz w:val="18"/>
          <w:szCs w:val="18"/>
          <w:i w:val="1"/>
          <w:iCs w:val="1"/>
          <w:color w:val="auto"/>
        </w:rPr>
        <w:t>based net retention rate</w:t>
      </w:r>
      <w:r>
        <w:rPr>
          <w:rFonts w:ascii="Arial" w:cs="Arial" w:eastAsia="Arial" w:hAnsi="Arial"/>
          <w:sz w:val="18"/>
          <w:szCs w:val="18"/>
          <w:color w:val="auto"/>
        </w:rPr>
        <w:t>, is a leading indicator of revenue growth.</w:t>
      </w:r>
    </w:p>
    <w:p>
      <w:pPr>
        <w:sectPr>
          <w:pgSz w:w="11900" w:h="16838" w:orient="portrait"/>
          <w:cols w:equalWidth="0" w:num="1">
            <w:col w:w="11240"/>
          </w:cols>
          <w:pgMar w:left="320" w:top="1093" w:right="339" w:bottom="1440" w:gutter="0" w:footer="0" w:header="0"/>
        </w:sectPr>
      </w:pPr>
    </w:p>
    <w:bookmarkStart w:id="13" w:name="page14"/>
    <w:bookmarkEnd w:id="13"/>
    <w:p>
      <w:pPr>
        <w:spacing w:after="0" w:line="220" w:lineRule="exact"/>
        <w:rPr>
          <w:sz w:val="20"/>
          <w:szCs w:val="20"/>
          <w:color w:val="auto"/>
        </w:rPr>
      </w:pPr>
      <w:r>
        <w:rPr>
          <w:rFonts w:ascii="Arial" w:cs="Arial" w:eastAsia="Arial" w:hAnsi="Arial"/>
          <w:sz w:val="18"/>
          <w:szCs w:val="18"/>
          <w:i w:val="1"/>
          <w:iCs w:val="1"/>
          <w:color w:val="auto"/>
        </w:rPr>
        <w:t xml:space="preserve">ARR </w:t>
      </w:r>
      <w:r>
        <w:rPr>
          <w:rFonts w:ascii="Arial" w:cs="Arial" w:eastAsia="Arial" w:hAnsi="Arial"/>
          <w:sz w:val="18"/>
          <w:szCs w:val="18"/>
          <w:color w:val="auto"/>
        </w:rPr>
        <w:t>is defined as the sum of the annualized value of our portfolio of contracts that produce recurring revenues as of the last day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period, and the annualized value of the last three months of recognized revenues for our contractually recurring consumption</w:t>
      </w:r>
      <w:r>
        <w:rPr>
          <w:rFonts w:ascii="MS PGothic" w:cs="MS PGothic" w:eastAsia="MS PGothic" w:hAnsi="MS PGothic"/>
          <w:sz w:val="18"/>
          <w:szCs w:val="18"/>
          <w:color w:val="auto"/>
        </w:rPr>
        <w:t>‑</w:t>
      </w:r>
      <w:r>
        <w:rPr>
          <w:rFonts w:ascii="Arial" w:cs="Arial" w:eastAsia="Arial" w:hAnsi="Arial"/>
          <w:sz w:val="18"/>
          <w:szCs w:val="18"/>
          <w:color w:val="auto"/>
        </w:rPr>
        <w:t>based software subscriptions with consumption measurement durations of less than one year, calculated using the spot foreign currency exchange rates.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w:t>
      </w:r>
    </w:p>
    <w:p>
      <w:pPr>
        <w:spacing w:after="0" w:line="117" w:lineRule="exact"/>
        <w:rPr>
          <w:sz w:val="20"/>
          <w:szCs w:val="20"/>
          <w:color w:val="auto"/>
        </w:rPr>
      </w:pPr>
    </w:p>
    <w:p>
      <w:pPr>
        <w:ind w:right="60"/>
        <w:spacing w:after="0" w:line="226" w:lineRule="exact"/>
        <w:rPr>
          <w:sz w:val="20"/>
          <w:szCs w:val="20"/>
          <w:color w:val="auto"/>
        </w:rPr>
      </w:pPr>
      <w:r>
        <w:rPr>
          <w:rFonts w:ascii="Arial" w:cs="Arial" w:eastAsia="Arial" w:hAnsi="Arial"/>
          <w:sz w:val="18"/>
          <w:szCs w:val="18"/>
          <w:i w:val="1"/>
          <w:iCs w:val="1"/>
          <w:color w:val="auto"/>
        </w:rPr>
        <w:t xml:space="preserve">Constant currency ARR growth rate </w:t>
      </w:r>
      <w:r>
        <w:rPr>
          <w:rFonts w:ascii="Arial" w:cs="Arial" w:eastAsia="Arial" w:hAnsi="Arial"/>
          <w:sz w:val="18"/>
          <w:szCs w:val="18"/>
          <w:color w:val="auto"/>
        </w:rPr>
        <w:t>is the growth rate of</w:t>
      </w:r>
      <w:r>
        <w:rPr>
          <w:rFonts w:ascii="Arial" w:cs="Arial" w:eastAsia="Arial" w:hAnsi="Arial"/>
          <w:sz w:val="18"/>
          <w:szCs w:val="18"/>
          <w:i w:val="1"/>
          <w:iCs w:val="1"/>
          <w:color w:val="auto"/>
        </w:rPr>
        <w:t xml:space="preserve"> ARR </w:t>
      </w:r>
      <w:r>
        <w:rPr>
          <w:rFonts w:ascii="Arial" w:cs="Arial" w:eastAsia="Arial" w:hAnsi="Arial"/>
          <w:sz w:val="18"/>
          <w:szCs w:val="18"/>
          <w:color w:val="auto"/>
        </w:rPr>
        <w:t>measured on a constant currency basis. In reporting period</w:t>
      </w: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ARR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growth rates in constant currency, we calculate constant currency growth rates by translating current and prior period ARR on a transactional basis to our reporting currency using current year budget exchange rates. </w:t>
      </w:r>
      <w:r>
        <w:rPr>
          <w:rFonts w:ascii="Arial" w:cs="Arial" w:eastAsia="Arial" w:hAnsi="Arial"/>
          <w:sz w:val="18"/>
          <w:szCs w:val="18"/>
          <w:i w:val="1"/>
          <w:iCs w:val="1"/>
          <w:color w:val="auto"/>
        </w:rPr>
        <w:t>Constant currency ARR growth rate from business performance</w:t>
      </w:r>
      <w:r>
        <w:rPr>
          <w:rFonts w:ascii="Arial" w:cs="Arial" w:eastAsia="Arial" w:hAnsi="Arial"/>
          <w:sz w:val="18"/>
          <w:szCs w:val="18"/>
          <w:color w:val="auto"/>
        </w:rPr>
        <w:t xml:space="preserve"> excludes the </w:t>
      </w:r>
      <w:r>
        <w:rPr>
          <w:rFonts w:ascii="Arial" w:cs="Arial" w:eastAsia="Arial" w:hAnsi="Arial"/>
          <w:sz w:val="18"/>
          <w:szCs w:val="18"/>
          <w:i w:val="1"/>
          <w:iCs w:val="1"/>
          <w:color w:val="auto"/>
        </w:rPr>
        <w:t>ARR</w:t>
      </w:r>
      <w:r>
        <w:rPr>
          <w:rFonts w:ascii="Arial" w:cs="Arial" w:eastAsia="Arial" w:hAnsi="Arial"/>
          <w:sz w:val="18"/>
          <w:szCs w:val="18"/>
          <w:color w:val="auto"/>
        </w:rPr>
        <w:t xml:space="preserve"> onboarding of our </w:t>
      </w:r>
      <w:r>
        <w:rPr>
          <w:rFonts w:ascii="Arial" w:cs="Arial" w:eastAsia="Arial" w:hAnsi="Arial"/>
          <w:sz w:val="18"/>
          <w:szCs w:val="18"/>
          <w:i w:val="1"/>
          <w:iCs w:val="1"/>
          <w:color w:val="auto"/>
        </w:rPr>
        <w:t>platform acquisitions</w:t>
      </w:r>
      <w:r>
        <w:rPr>
          <w:rFonts w:ascii="Arial" w:cs="Arial" w:eastAsia="Arial" w:hAnsi="Arial"/>
          <w:sz w:val="18"/>
          <w:szCs w:val="18"/>
          <w:color w:val="auto"/>
        </w:rPr>
        <w:t xml:space="preserve"> and includes the impact from the </w:t>
      </w:r>
      <w:r>
        <w:rPr>
          <w:rFonts w:ascii="Arial" w:cs="Arial" w:eastAsia="Arial" w:hAnsi="Arial"/>
          <w:sz w:val="18"/>
          <w:szCs w:val="18"/>
          <w:i w:val="1"/>
          <w:iCs w:val="1"/>
          <w:color w:val="auto"/>
        </w:rPr>
        <w:t>ARR</w:t>
      </w:r>
      <w:r>
        <w:rPr>
          <w:rFonts w:ascii="Arial" w:cs="Arial" w:eastAsia="Arial" w:hAnsi="Arial"/>
          <w:sz w:val="18"/>
          <w:szCs w:val="18"/>
          <w:color w:val="auto"/>
        </w:rPr>
        <w:t xml:space="preserve"> onboarding of </w:t>
      </w:r>
      <w:r>
        <w:rPr>
          <w:rFonts w:ascii="Arial" w:cs="Arial" w:eastAsia="Arial" w:hAnsi="Arial"/>
          <w:sz w:val="18"/>
          <w:szCs w:val="18"/>
          <w:i w:val="1"/>
          <w:iCs w:val="1"/>
          <w:color w:val="auto"/>
        </w:rPr>
        <w:t>programmatic acquisitions</w:t>
      </w:r>
      <w:r>
        <w:rPr>
          <w:rFonts w:ascii="Arial" w:cs="Arial" w:eastAsia="Arial" w:hAnsi="Arial"/>
          <w:sz w:val="18"/>
          <w:szCs w:val="18"/>
          <w:color w:val="auto"/>
        </w:rPr>
        <w:t>, which generally are immaterial, individually and in the aggregate. We believe these ARR growth rates are important metrics indicating the scale and growth of our business.</w:t>
      </w:r>
    </w:p>
    <w:p>
      <w:pPr>
        <w:spacing w:after="0" w:line="129" w:lineRule="exact"/>
        <w:rPr>
          <w:sz w:val="20"/>
          <w:szCs w:val="20"/>
          <w:color w:val="auto"/>
        </w:rPr>
      </w:pPr>
    </w:p>
    <w:p>
      <w:pPr>
        <w:spacing w:after="0" w:line="207" w:lineRule="exact"/>
        <w:rPr>
          <w:sz w:val="20"/>
          <w:szCs w:val="20"/>
          <w:color w:val="auto"/>
        </w:rPr>
      </w:pPr>
      <w:r>
        <w:rPr>
          <w:rFonts w:ascii="Arial" w:cs="Arial" w:eastAsia="Arial" w:hAnsi="Arial"/>
          <w:sz w:val="18"/>
          <w:szCs w:val="18"/>
          <w:u w:val="single" w:color="auto"/>
          <w:color w:val="auto"/>
        </w:rPr>
        <w:t>Last twelve</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month recurring revenues dollar</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based net retention rate</w:t>
      </w:r>
    </w:p>
    <w:p>
      <w:pPr>
        <w:spacing w:after="0" w:line="185" w:lineRule="exact"/>
        <w:rPr>
          <w:sz w:val="20"/>
          <w:szCs w:val="20"/>
          <w:color w:val="auto"/>
        </w:rPr>
      </w:pPr>
    </w:p>
    <w:p>
      <w:pPr>
        <w:ind w:right="460"/>
        <w:spacing w:after="0" w:line="247" w:lineRule="exact"/>
        <w:rPr>
          <w:sz w:val="20"/>
          <w:szCs w:val="20"/>
          <w:color w:val="auto"/>
        </w:rPr>
      </w:pPr>
      <w:r>
        <w:rPr>
          <w:rFonts w:ascii="Arial" w:cs="Arial" w:eastAsia="Arial" w:hAnsi="Arial"/>
          <w:sz w:val="18"/>
          <w:szCs w:val="18"/>
          <w:i w:val="1"/>
          <w:iCs w:val="1"/>
          <w:color w:val="auto"/>
        </w:rPr>
        <w:t>Last twelve</w:t>
      </w:r>
      <w:r>
        <w:rPr>
          <w:rFonts w:ascii="MS PGothic" w:cs="MS PGothic" w:eastAsia="MS PGothic" w:hAnsi="MS PGothic"/>
          <w:sz w:val="18"/>
          <w:szCs w:val="18"/>
          <w:color w:val="auto"/>
        </w:rPr>
        <w:t>‑</w:t>
      </w:r>
      <w:r>
        <w:rPr>
          <w:rFonts w:ascii="Arial" w:cs="Arial" w:eastAsia="Arial" w:hAnsi="Arial"/>
          <w:sz w:val="18"/>
          <w:szCs w:val="18"/>
          <w:i w:val="1"/>
          <w:iCs w:val="1"/>
          <w:color w:val="auto"/>
        </w:rPr>
        <w:t>month recurring revenues dollar</w:t>
      </w: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based net retention rate </w:t>
      </w:r>
      <w:r>
        <w:rPr>
          <w:rFonts w:ascii="Arial" w:cs="Arial" w:eastAsia="Arial" w:hAnsi="Arial"/>
          <w:sz w:val="18"/>
          <w:szCs w:val="18"/>
          <w:color w:val="auto"/>
        </w:rPr>
        <w:t>is a key business metric that we believe is useful in evaluating our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consistently retain and grow our recurring revenues.</w:t>
      </w:r>
    </w:p>
    <w:p>
      <w:pPr>
        <w:spacing w:after="0" w:line="114" w:lineRule="exact"/>
        <w:rPr>
          <w:sz w:val="20"/>
          <w:szCs w:val="20"/>
          <w:color w:val="auto"/>
        </w:rPr>
      </w:pPr>
    </w:p>
    <w:p>
      <w:pPr>
        <w:ind w:right="100"/>
        <w:spacing w:after="0" w:line="226" w:lineRule="exact"/>
        <w:rPr>
          <w:sz w:val="20"/>
          <w:szCs w:val="20"/>
          <w:color w:val="auto"/>
        </w:rPr>
      </w:pPr>
      <w:r>
        <w:rPr>
          <w:rFonts w:ascii="Arial" w:cs="Arial" w:eastAsia="Arial" w:hAnsi="Arial"/>
          <w:sz w:val="18"/>
          <w:szCs w:val="18"/>
          <w:i w:val="1"/>
          <w:iCs w:val="1"/>
          <w:color w:val="auto"/>
        </w:rPr>
        <w:t>Last twelve</w:t>
      </w:r>
      <w:r>
        <w:rPr>
          <w:rFonts w:ascii="MS PGothic" w:cs="MS PGothic" w:eastAsia="MS PGothic" w:hAnsi="MS PGothic"/>
          <w:sz w:val="18"/>
          <w:szCs w:val="18"/>
          <w:color w:val="auto"/>
        </w:rPr>
        <w:t>‑</w:t>
      </w:r>
      <w:r>
        <w:rPr>
          <w:rFonts w:ascii="Arial" w:cs="Arial" w:eastAsia="Arial" w:hAnsi="Arial"/>
          <w:sz w:val="18"/>
          <w:szCs w:val="18"/>
          <w:i w:val="1"/>
          <w:iCs w:val="1"/>
          <w:color w:val="auto"/>
        </w:rPr>
        <w:t>month recurring revenues dollar</w:t>
      </w: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based net retention rate </w:t>
      </w:r>
      <w:r>
        <w:rPr>
          <w:rFonts w:ascii="Arial" w:cs="Arial" w:eastAsia="Arial" w:hAnsi="Arial"/>
          <w:sz w:val="18"/>
          <w:szCs w:val="18"/>
          <w:color w:val="auto"/>
        </w:rPr>
        <w:t>is calculated, using the average exchange rates for the prior period,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Related to our </w:t>
      </w:r>
      <w:r>
        <w:rPr>
          <w:rFonts w:ascii="Arial" w:cs="Arial" w:eastAsia="Arial" w:hAnsi="Arial"/>
          <w:sz w:val="18"/>
          <w:szCs w:val="18"/>
          <w:i w:val="1"/>
          <w:iCs w:val="1"/>
          <w:color w:val="auto"/>
        </w:rPr>
        <w:t>platform acquisitions</w:t>
      </w:r>
      <w:r>
        <w:rPr>
          <w:rFonts w:ascii="Arial" w:cs="Arial" w:eastAsia="Arial" w:hAnsi="Arial"/>
          <w:sz w:val="18"/>
          <w:szCs w:val="18"/>
          <w:color w:val="auto"/>
        </w:rPr>
        <w:t>, recurring revenues into new accounts will be captured as existing accounts starting with the second anniversary of the acquisition when such data conforms to the calculation methodology. This may cause variability in the comparison.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operating income less stock-based compensation expense (“AOI less SBC”)</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i w:val="1"/>
          <w:iCs w:val="1"/>
          <w:color w:val="auto"/>
        </w:rPr>
        <w:t xml:space="preserve">AOI less SBC </w:t>
      </w:r>
      <w:r>
        <w:rPr>
          <w:rFonts w:ascii="Arial" w:cs="Arial" w:eastAsia="Arial" w:hAnsi="Arial"/>
          <w:sz w:val="18"/>
          <w:szCs w:val="18"/>
          <w:color w:val="auto"/>
        </w:rPr>
        <w:t>is a non-GAAP financial measure and is used to measure the operational strength and performance of our business,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to assist in the evaluation of underlying trends in our business.</w:t>
      </w:r>
    </w:p>
    <w:p>
      <w:pPr>
        <w:spacing w:after="0" w:line="11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i w:val="1"/>
          <w:iCs w:val="1"/>
          <w:color w:val="auto"/>
        </w:rPr>
        <w:t xml:space="preserve">AOI less SBC </w:t>
      </w:r>
      <w:r>
        <w:rPr>
          <w:rFonts w:ascii="Arial" w:cs="Arial" w:eastAsia="Arial" w:hAnsi="Arial"/>
          <w:sz w:val="18"/>
          <w:szCs w:val="18"/>
          <w:color w:val="auto"/>
        </w:rPr>
        <w:t>is defined as operating income adjusted for the following: amortization of purchased intangibles, expense (income)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compensation plan liabilities, acquisition expenses, and realignment expenses (income), for the respective periods.</w:t>
      </w:r>
    </w:p>
    <w:p>
      <w:pPr>
        <w:spacing w:after="0" w:line="12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color w:val="auto"/>
        </w:rPr>
        <w:t xml:space="preserve">AOI less SBC </w:t>
      </w:r>
      <w:r>
        <w:rPr>
          <w:rFonts w:ascii="Arial" w:cs="Arial" w:eastAsia="Arial" w:hAnsi="Arial"/>
          <w:sz w:val="18"/>
          <w:szCs w:val="18"/>
          <w:color w:val="auto"/>
        </w:rPr>
        <w:t>is our primary performance measure, which excludes certain expenses and charges, including the non-cash amortization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resulting from the acquisition of intangible assets, as we believe these may not be indicative of the Company’s core business operating results. We intentionally include stock-based compensation expense in this measure as we believe it better captures the economic costs of our business.</w:t>
      </w:r>
    </w:p>
    <w:p>
      <w:pPr>
        <w:spacing w:after="0" w:line="13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Management uses this non-GAAP financial measure to understand and compare operating results across accounting periods, for internal budgeting and forecasting purposes, to evaluate financial performance, and in our comparison of our financial results to those of other companies. It is also a significant performance measure in certain of our executive incentive compensation programs.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AOI less SBC margin </w:t>
      </w:r>
      <w:r>
        <w:rPr>
          <w:rFonts w:ascii="Arial" w:cs="Arial" w:eastAsia="Arial" w:hAnsi="Arial"/>
          <w:sz w:val="18"/>
          <w:szCs w:val="18"/>
          <w:color w:val="auto"/>
        </w:rPr>
        <w:t>is calculated by dividing</w:t>
      </w:r>
      <w:r>
        <w:rPr>
          <w:rFonts w:ascii="Arial" w:cs="Arial" w:eastAsia="Arial" w:hAnsi="Arial"/>
          <w:sz w:val="18"/>
          <w:szCs w:val="18"/>
          <w:i w:val="1"/>
          <w:iCs w:val="1"/>
          <w:color w:val="auto"/>
        </w:rPr>
        <w:t xml:space="preserve"> AOI less SBC </w:t>
      </w:r>
      <w:r>
        <w:rPr>
          <w:rFonts w:ascii="Arial" w:cs="Arial" w:eastAsia="Arial" w:hAnsi="Arial"/>
          <w:sz w:val="18"/>
          <w:szCs w:val="18"/>
          <w:color w:val="auto"/>
        </w:rPr>
        <w:t>by total revenues.</w:t>
      </w:r>
    </w:p>
    <w:p>
      <w:pPr>
        <w:sectPr>
          <w:pgSz w:w="11900" w:h="16838" w:orient="portrait"/>
          <w:cols w:equalWidth="0" w:num="1">
            <w:col w:w="11240"/>
          </w:cols>
          <w:pgMar w:left="320" w:top="109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Adjusted operating income (“AOI”)</w:t>
      </w:r>
    </w:p>
    <w:p>
      <w:pPr>
        <w:spacing w:after="0" w:line="185"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i w:val="1"/>
          <w:iCs w:val="1"/>
          <w:color w:val="auto"/>
        </w:rPr>
        <w:t xml:space="preserve">Adjusted operating income </w:t>
      </w:r>
      <w:r>
        <w:rPr>
          <w:rFonts w:ascii="Arial" w:cs="Arial" w:eastAsia="Arial" w:hAnsi="Arial"/>
          <w:sz w:val="18"/>
          <w:szCs w:val="18"/>
          <w:color w:val="auto"/>
        </w:rPr>
        <w:t>is a non-GAAP financial measure that we believe is useful to investors in making comparisons to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although this measure may not be directly comparable to similar measures used by other companies.</w:t>
      </w:r>
    </w:p>
    <w:p>
      <w:pPr>
        <w:spacing w:after="0" w:line="126" w:lineRule="exact"/>
        <w:rPr>
          <w:sz w:val="20"/>
          <w:szCs w:val="20"/>
          <w:color w:val="auto"/>
        </w:rPr>
      </w:pPr>
    </w:p>
    <w:p>
      <w:pPr>
        <w:ind w:right="680"/>
        <w:spacing w:after="0" w:line="224" w:lineRule="exact"/>
        <w:rPr>
          <w:sz w:val="20"/>
          <w:szCs w:val="20"/>
          <w:color w:val="auto"/>
        </w:rPr>
      </w:pPr>
      <w:r>
        <w:rPr>
          <w:rFonts w:ascii="Arial" w:cs="Arial" w:eastAsia="Arial" w:hAnsi="Arial"/>
          <w:sz w:val="18"/>
          <w:szCs w:val="18"/>
          <w:i w:val="1"/>
          <w:iCs w:val="1"/>
          <w:color w:val="auto"/>
        </w:rPr>
        <w:t xml:space="preserve">Adjusted operating income </w:t>
      </w:r>
      <w:r>
        <w:rPr>
          <w:rFonts w:ascii="Arial" w:cs="Arial" w:eastAsia="Arial" w:hAnsi="Arial"/>
          <w:sz w:val="18"/>
          <w:szCs w:val="18"/>
          <w:color w:val="auto"/>
        </w:rPr>
        <w:t>is defined as operating income adjusted for the following: amortization of purchased intangibles,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relating to deferred compensation plan liabilities, acquisition expenses, realignment expenses (income),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for the respective periods.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net income and Adjusted EPS</w:t>
      </w:r>
    </w:p>
    <w:p>
      <w:pPr>
        <w:spacing w:after="0" w:line="1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 xml:space="preserve">Adjusted net income </w:t>
      </w:r>
      <w:r>
        <w:rPr>
          <w:rFonts w:ascii="Arial" w:cs="Arial" w:eastAsia="Arial" w:hAnsi="Arial"/>
          <w:sz w:val="18"/>
          <w:szCs w:val="18"/>
          <w:color w:val="auto"/>
        </w:rPr>
        <w:t>and</w:t>
      </w:r>
      <w:r>
        <w:rPr>
          <w:rFonts w:ascii="Arial" w:cs="Arial" w:eastAsia="Arial" w:hAnsi="Arial"/>
          <w:sz w:val="18"/>
          <w:szCs w:val="18"/>
          <w:i w:val="1"/>
          <w:iCs w:val="1"/>
          <w:color w:val="auto"/>
        </w:rPr>
        <w:t xml:space="preserve"> Adjusted EPS </w:t>
      </w:r>
      <w:r>
        <w:rPr>
          <w:rFonts w:ascii="Arial" w:cs="Arial" w:eastAsia="Arial" w:hAnsi="Arial"/>
          <w:sz w:val="18"/>
          <w:szCs w:val="18"/>
          <w:color w:val="auto"/>
        </w:rPr>
        <w:t>are non-GAAP financial measures presenting the earnings generated by our ongoing operations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is useful to investors in making meaningful comparisons to other companies, although these measures may not be directly comparable to similar measures used by other companies, and period-over-period comparisons.</w:t>
      </w:r>
    </w:p>
    <w:p>
      <w:pPr>
        <w:spacing w:after="0" w:line="144" w:lineRule="exact"/>
        <w:rPr>
          <w:sz w:val="20"/>
          <w:szCs w:val="20"/>
          <w:color w:val="auto"/>
        </w:rPr>
      </w:pPr>
    </w:p>
    <w:p>
      <w:pPr>
        <w:spacing w:after="0" w:line="220" w:lineRule="exact"/>
        <w:rPr>
          <w:sz w:val="20"/>
          <w:szCs w:val="20"/>
          <w:color w:val="auto"/>
        </w:rPr>
      </w:pPr>
      <w:r>
        <w:rPr>
          <w:rFonts w:ascii="Arial" w:cs="Arial" w:eastAsia="Arial" w:hAnsi="Arial"/>
          <w:sz w:val="18"/>
          <w:szCs w:val="18"/>
          <w:i w:val="1"/>
          <w:iCs w:val="1"/>
          <w:color w:val="auto"/>
        </w:rPr>
        <w:t xml:space="preserve">Adjusted net income </w:t>
      </w:r>
      <w:r>
        <w:rPr>
          <w:rFonts w:ascii="Arial" w:cs="Arial" w:eastAsia="Arial" w:hAnsi="Arial"/>
          <w:sz w:val="18"/>
          <w:szCs w:val="18"/>
          <w:color w:val="auto"/>
        </w:rPr>
        <w:t>is defined as net income attributable to Bentley Systems adjusted for the following: amortization of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expense (income) relating to deferred compensation plan liabilities, acquisition expenses, realignment expenses (income), other non</w:t>
      </w:r>
      <w:r>
        <w:rPr>
          <w:rFonts w:ascii="MS PGothic" w:cs="MS PGothic" w:eastAsia="MS PGothic" w:hAnsi="MS PGothic"/>
          <w:sz w:val="18"/>
          <w:szCs w:val="18"/>
          <w:color w:val="auto"/>
        </w:rPr>
        <w:t>‑</w:t>
      </w:r>
      <w:r>
        <w:rPr>
          <w:rFonts w:ascii="Arial" w:cs="Arial" w:eastAsia="Arial" w:hAnsi="Arial"/>
          <w:sz w:val="18"/>
          <w:szCs w:val="18"/>
          <w:color w:val="auto"/>
        </w:rPr>
        <w:t>operating (income) expense, net, the tax effect of the above adjustments to net income, and equity in net (income) losses of investees, net of tax, for the respective periods. The income tax effect of non</w:t>
      </w:r>
      <w:r>
        <w:rPr>
          <w:rFonts w:ascii="MS PGothic" w:cs="MS PGothic" w:eastAsia="MS PGothic" w:hAnsi="MS PGothic"/>
          <w:sz w:val="18"/>
          <w:szCs w:val="18"/>
          <w:color w:val="auto"/>
        </w:rPr>
        <w:t>‑</w:t>
      </w:r>
      <w:r>
        <w:rPr>
          <w:rFonts w:ascii="Arial" w:cs="Arial" w:eastAsia="Arial" w:hAnsi="Arial"/>
          <w:sz w:val="18"/>
          <w:szCs w:val="18"/>
          <w:color w:val="auto"/>
        </w:rPr>
        <w:t>GAAP adjustments was determined using the applicable rates in the taxing jurisdictions in which income or expense occurred, and represent both current and deferred income tax expense or benefit based on the nature of the non</w:t>
      </w:r>
      <w:r>
        <w:rPr>
          <w:rFonts w:ascii="MS PGothic" w:cs="MS PGothic" w:eastAsia="MS PGothic" w:hAnsi="MS PGothic"/>
          <w:sz w:val="18"/>
          <w:szCs w:val="18"/>
          <w:color w:val="auto"/>
        </w:rPr>
        <w:t>‑</w:t>
      </w:r>
      <w:r>
        <w:rPr>
          <w:rFonts w:ascii="Arial" w:cs="Arial" w:eastAsia="Arial" w:hAnsi="Arial"/>
          <w:sz w:val="18"/>
          <w:szCs w:val="18"/>
          <w:color w:val="auto"/>
        </w:rPr>
        <w:t>GAAP adjustments, including the tax effects of non</w:t>
      </w:r>
      <w:r>
        <w:rPr>
          <w:rFonts w:ascii="MS PGothic" w:cs="MS PGothic" w:eastAsia="MS PGothic" w:hAnsi="MS PGothic"/>
          <w:sz w:val="18"/>
          <w:szCs w:val="18"/>
          <w:color w:val="auto"/>
        </w:rPr>
        <w:t>‑</w:t>
      </w:r>
      <w:r>
        <w:rPr>
          <w:rFonts w:ascii="Arial" w:cs="Arial" w:eastAsia="Arial" w:hAnsi="Arial"/>
          <w:sz w:val="18"/>
          <w:szCs w:val="18"/>
          <w:color w:val="auto"/>
        </w:rPr>
        <w:t>cash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154" w:lineRule="exact"/>
        <w:rPr>
          <w:sz w:val="20"/>
          <w:szCs w:val="20"/>
          <w:color w:val="auto"/>
        </w:rPr>
      </w:pPr>
    </w:p>
    <w:p>
      <w:pPr>
        <w:ind w:right="40"/>
        <w:spacing w:after="0" w:line="220" w:lineRule="exact"/>
        <w:rPr>
          <w:sz w:val="20"/>
          <w:szCs w:val="20"/>
          <w:color w:val="auto"/>
        </w:rPr>
      </w:pPr>
      <w:r>
        <w:rPr>
          <w:rFonts w:ascii="Arial" w:cs="Arial" w:eastAsia="Arial" w:hAnsi="Arial"/>
          <w:sz w:val="18"/>
          <w:szCs w:val="18"/>
          <w:i w:val="1"/>
          <w:iCs w:val="1"/>
          <w:color w:val="auto"/>
        </w:rPr>
        <w:t xml:space="preserve">Adjusted EPS </w:t>
      </w:r>
      <w:r>
        <w:rPr>
          <w:rFonts w:ascii="Arial" w:cs="Arial" w:eastAsia="Arial" w:hAnsi="Arial"/>
          <w:sz w:val="18"/>
          <w:szCs w:val="18"/>
          <w:color w:val="auto"/>
        </w:rPr>
        <w:t>is calculated as</w:t>
      </w:r>
      <w:r>
        <w:rPr>
          <w:rFonts w:ascii="Arial" w:cs="Arial" w:eastAsia="Arial" w:hAnsi="Arial"/>
          <w:sz w:val="18"/>
          <w:szCs w:val="18"/>
          <w:i w:val="1"/>
          <w:iCs w:val="1"/>
          <w:color w:val="auto"/>
        </w:rPr>
        <w:t xml:space="preserve"> Adjusted net income</w:t>
      </w:r>
      <w:r>
        <w:rPr>
          <w:rFonts w:ascii="Arial" w:cs="Arial" w:eastAsia="Arial" w:hAnsi="Arial"/>
          <w:sz w:val="18"/>
          <w:szCs w:val="18"/>
          <w:color w:val="auto"/>
        </w:rPr>
        <w:t>, less net income attributable to Bentley Systems allocated to participating securities, plus</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net of tax, attributable to the convertible senior notes using the if</w:t>
      </w:r>
      <w:r>
        <w:rPr>
          <w:rFonts w:ascii="MS PGothic" w:cs="MS PGothic" w:eastAsia="MS PGothic" w:hAnsi="MS PGothic"/>
          <w:sz w:val="18"/>
          <w:szCs w:val="18"/>
          <w:color w:val="auto"/>
        </w:rPr>
        <w:t>‑</w:t>
      </w:r>
      <w:r>
        <w:rPr>
          <w:rFonts w:ascii="Arial" w:cs="Arial" w:eastAsia="Arial" w:hAnsi="Arial"/>
          <w:sz w:val="18"/>
          <w:szCs w:val="18"/>
          <w:color w:val="auto"/>
        </w:rPr>
        <w:t xml:space="preserve">converted method, if applicable, (numerator) divided by </w:t>
      </w:r>
      <w:r>
        <w:rPr>
          <w:rFonts w:ascii="Arial" w:cs="Arial" w:eastAsia="Arial" w:hAnsi="Arial"/>
          <w:sz w:val="18"/>
          <w:szCs w:val="18"/>
          <w:i w:val="1"/>
          <w:iCs w:val="1"/>
          <w:color w:val="auto"/>
        </w:rPr>
        <w:t xml:space="preserve">Adjusted diluted weighted average shares </w:t>
      </w:r>
      <w:r>
        <w:rPr>
          <w:rFonts w:ascii="Arial" w:cs="Arial" w:eastAsia="Arial" w:hAnsi="Arial"/>
          <w:sz w:val="18"/>
          <w:szCs w:val="18"/>
          <w:color w:val="auto"/>
        </w:rPr>
        <w:t>(denominator).</w:t>
      </w:r>
      <w:r>
        <w:rPr>
          <w:rFonts w:ascii="Arial" w:cs="Arial" w:eastAsia="Arial" w:hAnsi="Arial"/>
          <w:sz w:val="18"/>
          <w:szCs w:val="18"/>
          <w:i w:val="1"/>
          <w:iCs w:val="1"/>
          <w:color w:val="auto"/>
        </w:rPr>
        <w:t xml:space="preserve"> Adjusted diluted weighted average shares </w:t>
      </w:r>
      <w:r>
        <w:rPr>
          <w:rFonts w:ascii="Arial" w:cs="Arial" w:eastAsia="Arial" w:hAnsi="Arial"/>
          <w:sz w:val="18"/>
          <w:szCs w:val="18"/>
          <w:color w:val="auto"/>
        </w:rPr>
        <w:t>is calculated by adding incremental</w:t>
      </w:r>
      <w:r>
        <w:rPr>
          <w:rFonts w:ascii="Arial" w:cs="Arial" w:eastAsia="Arial" w:hAnsi="Arial"/>
          <w:sz w:val="18"/>
          <w:szCs w:val="18"/>
          <w:i w:val="1"/>
          <w:iCs w:val="1"/>
          <w:color w:val="auto"/>
        </w:rPr>
        <w:t xml:space="preserve"> </w:t>
      </w:r>
      <w:r>
        <w:rPr>
          <w:rFonts w:ascii="Arial" w:cs="Arial" w:eastAsia="Arial" w:hAnsi="Arial"/>
          <w:sz w:val="18"/>
          <w:szCs w:val="18"/>
          <w:color w:val="auto"/>
        </w:rPr>
        <w:t>shares related to the dilutive effect of convertible senior notes using the if</w:t>
      </w:r>
      <w:r>
        <w:rPr>
          <w:rFonts w:ascii="MS PGothic" w:cs="MS PGothic" w:eastAsia="MS PGothic" w:hAnsi="MS PGothic"/>
          <w:sz w:val="18"/>
          <w:szCs w:val="18"/>
          <w:color w:val="auto"/>
        </w:rPr>
        <w:t>‑</w:t>
      </w:r>
      <w:r>
        <w:rPr>
          <w:rFonts w:ascii="Arial" w:cs="Arial" w:eastAsia="Arial" w:hAnsi="Arial"/>
          <w:sz w:val="18"/>
          <w:szCs w:val="18"/>
          <w:color w:val="auto"/>
        </w:rPr>
        <w:t>converted method, if applicable, to diluted weighted average shares.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Free cash flow</w:t>
      </w:r>
    </w:p>
    <w:p>
      <w:pPr>
        <w:spacing w:after="0" w:line="19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is a non-GAAP financial measure and our primary liquidity measure that we believe provides a meaningful measure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liquidity and a useful basis for assessing our ability to service our debt obligations, make strategic acquisitions and investments, and return capital to investors through dividends and stock repurchases. Additionally, we believe </w:t>
      </w:r>
      <w:r>
        <w:rPr>
          <w:rFonts w:ascii="Arial" w:cs="Arial" w:eastAsia="Arial" w:hAnsi="Arial"/>
          <w:sz w:val="18"/>
          <w:szCs w:val="18"/>
          <w:i w:val="1"/>
          <w:iCs w:val="1"/>
          <w:color w:val="auto"/>
        </w:rPr>
        <w:t>free cash flow</w:t>
      </w:r>
      <w:r>
        <w:rPr>
          <w:rFonts w:ascii="Arial" w:cs="Arial" w:eastAsia="Arial" w:hAnsi="Arial"/>
          <w:sz w:val="18"/>
          <w:szCs w:val="18"/>
          <w:color w:val="auto"/>
        </w:rPr>
        <w:t xml:space="preserve"> is useful to investors as a basis for comparing our results with other companies in our industries, although our measure of </w:t>
      </w:r>
      <w:r>
        <w:rPr>
          <w:rFonts w:ascii="Arial" w:cs="Arial" w:eastAsia="Arial" w:hAnsi="Arial"/>
          <w:sz w:val="18"/>
          <w:szCs w:val="18"/>
          <w:i w:val="1"/>
          <w:iCs w:val="1"/>
          <w:color w:val="auto"/>
        </w:rPr>
        <w:t>free cash flow</w:t>
      </w:r>
      <w:r>
        <w:rPr>
          <w:rFonts w:ascii="Arial" w:cs="Arial" w:eastAsia="Arial" w:hAnsi="Arial"/>
          <w:sz w:val="18"/>
          <w:szCs w:val="18"/>
          <w:color w:val="auto"/>
        </w:rPr>
        <w:t xml:space="preserve"> may not be directly comparable to similar measures used by other companies. </w:t>
      </w:r>
      <w:r>
        <w:rPr>
          <w:rFonts w:ascii="Arial" w:cs="Arial" w:eastAsia="Arial" w:hAnsi="Arial"/>
          <w:sz w:val="18"/>
          <w:szCs w:val="18"/>
          <w:i w:val="1"/>
          <w:iCs w:val="1"/>
          <w:color w:val="auto"/>
        </w:rPr>
        <w:t>Free cash flow</w:t>
      </w:r>
      <w:r>
        <w:rPr>
          <w:rFonts w:ascii="Arial" w:cs="Arial" w:eastAsia="Arial" w:hAnsi="Arial"/>
          <w:sz w:val="18"/>
          <w:szCs w:val="18"/>
          <w:color w:val="auto"/>
        </w:rPr>
        <w:t xml:space="preserve"> has certain limitations, including that it does not represent the residual cash flow available for discretionary expenditures since other non-discretionary payments, such as mandatory debt repayments, are not deducted from the measure.</w:t>
      </w:r>
    </w:p>
    <w:p>
      <w:pPr>
        <w:spacing w:after="0" w:line="142" w:lineRule="exact"/>
        <w:rPr>
          <w:sz w:val="20"/>
          <w:szCs w:val="20"/>
          <w:color w:val="auto"/>
        </w:rPr>
      </w:pPr>
    </w:p>
    <w:p>
      <w:pPr>
        <w:ind w:right="260"/>
        <w:spacing w:after="0" w:line="461" w:lineRule="auto"/>
        <w:rPr>
          <w:sz w:val="20"/>
          <w:szCs w:val="20"/>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is defined as cash flows from operations less purchases of property and equipment and investment in capitalized software.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Adjusted EBITDA</w:t>
      </w:r>
    </w:p>
    <w:p>
      <w:pPr>
        <w:spacing w:after="0" w:line="1"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measure that we believe provides a meaningful measure of liquidity and a useful basis for</w:t>
      </w:r>
      <w:r>
        <w:rPr>
          <w:rFonts w:ascii="Arial" w:cs="Arial" w:eastAsia="Arial" w:hAnsi="Arial"/>
          <w:sz w:val="18"/>
          <w:szCs w:val="18"/>
          <w:i w:val="1"/>
          <w:iCs w:val="1"/>
          <w:color w:val="auto"/>
        </w:rPr>
        <w:t xml:space="preserve"> </w:t>
      </w:r>
      <w:r>
        <w:rPr>
          <w:rFonts w:ascii="Arial" w:cs="Arial" w:eastAsia="Arial" w:hAnsi="Arial"/>
          <w:sz w:val="18"/>
          <w:szCs w:val="18"/>
          <w:color w:val="auto"/>
        </w:rPr>
        <w:t>assessing our ability to repay debt, make strategic acquisitions and investments, and return capital to investors.</w:t>
      </w:r>
    </w:p>
    <w:p>
      <w:pPr>
        <w:sectPr>
          <w:pgSz w:w="11900" w:h="16838" w:orient="portrait"/>
          <w:cols w:equalWidth="0" w:num="1">
            <w:col w:w="11220"/>
          </w:cols>
          <w:pgMar w:left="320" w:top="1093" w:right="359" w:bottom="1440" w:gutter="0" w:footer="0" w:header="0"/>
        </w:sectPr>
      </w:pPr>
    </w:p>
    <w:bookmarkStart w:id="15" w:name="page16"/>
    <w:bookmarkEnd w:id="15"/>
    <w:p>
      <w:pPr>
        <w:spacing w:after="0" w:line="262"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defined as cash flow from operations adjusted for the following: cash interest, cash taxes, cash deferred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plan distributions, cash acquisition expenses, cash realignment costs, changes in operating assets and liabilities, and other cash items (such as those related to our interest rate swap). From time to time, we may exclude from </w:t>
      </w:r>
      <w:r>
        <w:rPr>
          <w:rFonts w:ascii="Arial" w:cs="Arial" w:eastAsia="Arial" w:hAnsi="Arial"/>
          <w:sz w:val="18"/>
          <w:szCs w:val="18"/>
          <w:i w:val="1"/>
          <w:iCs w:val="1"/>
          <w:color w:val="auto"/>
        </w:rPr>
        <w:t>Adjusted EBITDA</w:t>
      </w:r>
      <w:r>
        <w:rPr>
          <w:rFonts w:ascii="Arial" w:cs="Arial" w:eastAsia="Arial" w:hAnsi="Arial"/>
          <w:sz w:val="18"/>
          <w:szCs w:val="18"/>
          <w:color w:val="auto"/>
        </w:rPr>
        <w:t xml:space="preserve"> the impact of certain cash receipts or payments that affect period-to-period comparability.</w:t>
      </w:r>
    </w:p>
    <w:sectPr>
      <w:pgSz w:w="11900" w:h="16838" w:orient="portrait"/>
      <w:cols w:equalWidth="0" w:num="1">
        <w:col w:w="11180"/>
      </w:cols>
      <w:pgMar w:left="320" w:top="109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decimal"/>
      <w:start w:val="1"/>
    </w:lvl>
  </w:abstractNum>
  <w:abstractNum w:abstractNumId="5">
    <w:nsid w:val="507ED7AB"/>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2025-08-06T06:09:50Z</dcterms:created>
  <dcterms:modified xsi:type="dcterms:W3CDTF">2025-08-06T06:09:50Z</dcterms:modified>
</cp:coreProperties>
</file>