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27"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82" w:lineRule="exact"/>
        <w:rPr>
          <w:sz w:val="24"/>
          <w:szCs w:val="24"/>
          <w:color w:val="auto"/>
        </w:rPr>
      </w:pPr>
    </w:p>
    <w:p>
      <w:pPr>
        <w:ind w:left="140"/>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1040" w:hanging="607"/>
        <w:spacing w:after="0"/>
        <w:tabs>
          <w:tab w:leader="none" w:pos="10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65" w:lineRule="exact"/>
        <w:rPr>
          <w:rFonts w:ascii="MS PGothic" w:cs="MS PGothic" w:eastAsia="MS PGothic" w:hAnsi="MS PGothic"/>
          <w:sz w:val="17"/>
          <w:szCs w:val="17"/>
          <w:color w:val="auto"/>
        </w:rPr>
      </w:pPr>
    </w:p>
    <w:p>
      <w:pPr>
        <w:ind w:left="1040"/>
        <w:spacing w:after="0"/>
        <w:rPr>
          <w:rFonts w:ascii="MS PGothic" w:cs="MS PGothic" w:eastAsia="MS PGothic" w:hAnsi="MS PGothic"/>
          <w:sz w:val="17"/>
          <w:szCs w:val="17"/>
          <w:color w:val="auto"/>
        </w:rPr>
      </w:pPr>
      <w:r>
        <w:rPr>
          <w:rFonts w:ascii="Arial" w:cs="Arial" w:eastAsia="Arial" w:hAnsi="Arial"/>
          <w:sz w:val="16"/>
          <w:szCs w:val="16"/>
          <w:b w:val="1"/>
          <w:bCs w:val="1"/>
          <w:color w:val="auto"/>
        </w:rPr>
        <w:t>For the quarterly period ended September 30, 2021</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040" w:hanging="607"/>
        <w:spacing w:after="0"/>
        <w:tabs>
          <w:tab w:leader="none" w:pos="10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372" w:right="339" w:bottom="1440" w:gutter="0" w:footer="0" w:header="0"/>
        </w:sectPr>
      </w:pPr>
    </w:p>
    <w:p>
      <w:pPr>
        <w:spacing w:after="0" w:line="66" w:lineRule="exact"/>
        <w:rPr>
          <w:sz w:val="24"/>
          <w:szCs w:val="24"/>
          <w:color w:val="auto"/>
        </w:rPr>
      </w:pPr>
    </w:p>
    <w:p>
      <w:pPr>
        <w:ind w:left="104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0" w:lineRule="exact"/>
        <w:rPr>
          <w:sz w:val="24"/>
          <w:szCs w:val="24"/>
          <w:color w:val="auto"/>
        </w:rPr>
      </w:pPr>
    </w:p>
    <w:p>
      <w:pPr>
        <w:sectPr>
          <w:pgSz w:w="11900" w:h="16838" w:orient="portrait"/>
          <w:cols w:equalWidth="0" w:num="2">
            <w:col w:w="3140" w:space="560"/>
            <w:col w:w="7540"/>
          </w:cols>
          <w:pgMar w:left="320" w:top="1372" w:right="339" w:bottom="1440" w:gutter="0" w:footer="0" w:header="0"/>
          <w:type w:val="continuous"/>
        </w:sectPr>
      </w:pPr>
    </w:p>
    <w:p>
      <w:pPr>
        <w:spacing w:after="0" w:line="193"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Commission File Number: 001-39548</w:t>
      </w:r>
    </w:p>
    <w:p>
      <w:pPr>
        <w:spacing w:after="0" w:line="21"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18" w:lineRule="exact"/>
        <w:rPr>
          <w:sz w:val="24"/>
          <w:szCs w:val="24"/>
          <w:color w:val="auto"/>
        </w:rPr>
      </w:pPr>
    </w:p>
    <w:p>
      <w:pPr>
        <w:jc w:val="center"/>
        <w:ind w:right="-319"/>
        <w:spacing w:after="0"/>
        <w:rPr>
          <w:sz w:val="20"/>
          <w:szCs w:val="20"/>
          <w:color w:val="auto"/>
        </w:rPr>
      </w:pPr>
      <w:r>
        <w:rPr>
          <w:rFonts w:ascii="Arial" w:cs="Arial" w:eastAsia="Arial" w:hAnsi="Arial"/>
          <w:sz w:val="28"/>
          <w:szCs w:val="28"/>
          <w:b w:val="1"/>
          <w:bCs w:val="1"/>
          <w:color w:val="auto"/>
        </w:rPr>
        <w:t>BENTLEY SYSTEMS, INCORPORATED</w:t>
      </w:r>
    </w:p>
    <w:p>
      <w:pPr>
        <w:spacing w:after="0" w:line="41" w:lineRule="exact"/>
        <w:rPr>
          <w:sz w:val="24"/>
          <w:szCs w:val="24"/>
          <w:color w:val="auto"/>
        </w:rPr>
      </w:pPr>
    </w:p>
    <w:p>
      <w:pPr>
        <w:jc w:val="center"/>
        <w:ind w:right="-319"/>
        <w:spacing w:after="0"/>
        <w:rPr>
          <w:sz w:val="20"/>
          <w:szCs w:val="20"/>
          <w:color w:val="auto"/>
        </w:rPr>
      </w:pPr>
      <w:r>
        <w:rPr>
          <w:rFonts w:ascii="Arial" w:cs="Arial" w:eastAsia="Arial" w:hAnsi="Arial"/>
          <w:sz w:val="14"/>
          <w:szCs w:val="14"/>
          <w:color w:val="auto"/>
        </w:rPr>
        <w:t>(Exact name of registrant as specified in its charter)</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ectPr>
          <w:pgSz w:w="11900" w:h="16838" w:orient="portrait"/>
          <w:cols w:equalWidth="0" w:num="1">
            <w:col w:w="11240"/>
          </w:cols>
          <w:pgMar w:left="320" w:top="1372" w:right="339" w:bottom="1440" w:gutter="0" w:footer="0" w:header="0"/>
          <w:type w:val="continuous"/>
        </w:sectPr>
      </w:pPr>
    </w:p>
    <w:p>
      <w:pPr>
        <w:spacing w:after="0" w:line="264" w:lineRule="exact"/>
        <w:rPr>
          <w:sz w:val="24"/>
          <w:szCs w:val="24"/>
          <w:color w:val="auto"/>
        </w:rPr>
      </w:pPr>
    </w:p>
    <w:p>
      <w:pPr>
        <w:ind w:left="22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95-3936623</w:t>
      </w:r>
    </w:p>
    <w:p>
      <w:pPr>
        <w:spacing w:after="0" w:line="90" w:lineRule="exact"/>
        <w:rPr>
          <w:sz w:val="24"/>
          <w:szCs w:val="24"/>
          <w:color w:val="auto"/>
        </w:rPr>
      </w:pPr>
    </w:p>
    <w:p>
      <w:pPr>
        <w:sectPr>
          <w:pgSz w:w="11900" w:h="16838" w:orient="portrait"/>
          <w:cols w:equalWidth="0" w:num="2">
            <w:col w:w="7600" w:space="720"/>
            <w:col w:w="2920"/>
          </w:cols>
          <w:pgMar w:left="320" w:top="1372" w:right="339" w:bottom="1440" w:gutter="0" w:footer="0" w:header="0"/>
          <w:type w:val="continuous"/>
        </w:sectPr>
      </w:pPr>
    </w:p>
    <w:p>
      <w:pPr>
        <w:ind w:left="8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66" w:lineRule="exact"/>
        <w:rPr>
          <w:sz w:val="24"/>
          <w:szCs w:val="24"/>
          <w:color w:val="auto"/>
        </w:rPr>
      </w:pPr>
    </w:p>
    <w:p>
      <w:pPr>
        <w:sectPr>
          <w:pgSz w:w="11900" w:h="16838" w:orient="portrait"/>
          <w:cols w:equalWidth="0" w:num="2">
            <w:col w:w="6940" w:space="720"/>
            <w:col w:w="3580"/>
          </w:cols>
          <w:pgMar w:left="320" w:top="1372" w:right="339" w:bottom="1440" w:gutter="0" w:footer="0" w:header="0"/>
          <w:type w:val="continuous"/>
        </w:sectPr>
      </w:pPr>
    </w:p>
    <w:p>
      <w:pPr>
        <w:ind w:left="1880"/>
        <w:spacing w:after="0"/>
        <w:rPr>
          <w:sz w:val="20"/>
          <w:szCs w:val="20"/>
          <w:color w:val="auto"/>
        </w:rPr>
      </w:pPr>
      <w:r>
        <w:rPr>
          <w:rFonts w:ascii="Arial" w:cs="Arial" w:eastAsia="Arial" w:hAnsi="Arial"/>
          <w:sz w:val="15"/>
          <w:szCs w:val="15"/>
          <w:b w:val="1"/>
          <w:bCs w:val="1"/>
          <w:color w:val="auto"/>
        </w:rPr>
        <w:t>685 Stockton Drive</w:t>
      </w:r>
    </w:p>
    <w:p>
      <w:pPr>
        <w:spacing w:after="0" w:line="44" w:lineRule="exact"/>
        <w:rPr>
          <w:sz w:val="24"/>
          <w:szCs w:val="24"/>
          <w:color w:val="auto"/>
        </w:rPr>
      </w:pPr>
    </w:p>
    <w:p>
      <w:pPr>
        <w:ind w:left="1840"/>
        <w:spacing w:after="0"/>
        <w:rPr>
          <w:sz w:val="20"/>
          <w:szCs w:val="20"/>
          <w:color w:val="auto"/>
        </w:rPr>
      </w:pPr>
      <w:r>
        <w:rPr>
          <w:rFonts w:ascii="Arial" w:cs="Arial" w:eastAsia="Arial" w:hAnsi="Arial"/>
          <w:sz w:val="14"/>
          <w:szCs w:val="14"/>
          <w:b w:val="1"/>
          <w:bCs w:val="1"/>
          <w:color w:val="auto"/>
        </w:rPr>
        <w:t>Exton, Pennsylvania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19341</w:t>
      </w:r>
    </w:p>
    <w:p>
      <w:pPr>
        <w:spacing w:after="0" w:line="50" w:lineRule="exact"/>
        <w:rPr>
          <w:sz w:val="24"/>
          <w:szCs w:val="24"/>
          <w:color w:val="auto"/>
        </w:rPr>
      </w:pPr>
    </w:p>
    <w:p>
      <w:pPr>
        <w:sectPr>
          <w:pgSz w:w="11900" w:h="16838" w:orient="portrait"/>
          <w:cols w:equalWidth="0" w:num="2">
            <w:col w:w="7780" w:space="720"/>
            <w:col w:w="2740"/>
          </w:cols>
          <w:pgMar w:left="320" w:top="1372" w:right="339" w:bottom="1440" w:gutter="0" w:footer="0" w:header="0"/>
          <w:type w:val="continuous"/>
        </w:sectPr>
      </w:pPr>
    </w:p>
    <w:p>
      <w:pPr>
        <w:ind w:left="14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39" w:lineRule="exact"/>
        <w:rPr>
          <w:sz w:val="24"/>
          <w:szCs w:val="24"/>
          <w:color w:val="auto"/>
        </w:rPr>
      </w:pPr>
    </w:p>
    <w:p>
      <w:pPr>
        <w:sectPr>
          <w:pgSz w:w="11900" w:h="16838" w:orient="portrait"/>
          <w:cols w:equalWidth="0" w:num="2">
            <w:col w:w="7660" w:space="720"/>
            <w:col w:w="2860"/>
          </w:cols>
          <w:pgMar w:left="320" w:top="1372" w:right="339" w:bottom="1440" w:gutter="0" w:footer="0" w:header="0"/>
          <w:type w:val="continuous"/>
        </w:sectPr>
      </w:pPr>
    </w:p>
    <w:p>
      <w:pPr>
        <w:jc w:val="center"/>
        <w:ind w:right="-33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(610) 458-5000</w:t>
      </w:r>
    </w:p>
    <w:p>
      <w:pPr>
        <w:spacing w:after="0" w:line="21"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___________________________________</w:t>
      </w:r>
    </w:p>
    <w:p>
      <w:pPr>
        <w:spacing w:after="0" w:line="232" w:lineRule="exact"/>
        <w:rPr>
          <w:sz w:val="24"/>
          <w:szCs w:val="24"/>
          <w:color w:val="auto"/>
        </w:rPr>
      </w:pPr>
    </w:p>
    <w:tbl>
      <w:tblPr>
        <w:tblLayout w:type="fixed"/>
        <w:tblInd w:w="340" w:type="dxa"/>
        <w:tblCellMar>
          <w:top w:w="0" w:type="dxa"/>
          <w:left w:w="0" w:type="dxa"/>
          <w:bottom w:w="0" w:type="dxa"/>
          <w:right w:w="0" w:type="dxa"/>
        </w:tblCellMar>
      </w:tblPr>
      <w:tr>
        <w:trPr>
          <w:trHeight w:val="182"/>
        </w:trPr>
        <w:tc>
          <w:tcPr>
            <w:tcW w:w="478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tcPr>
          <w:p>
            <w:pPr>
              <w:spacing w:after="0"/>
              <w:rPr>
                <w:sz w:val="15"/>
                <w:szCs w:val="15"/>
                <w:color w:val="auto"/>
              </w:rPr>
            </w:pPr>
          </w:p>
        </w:tc>
      </w:tr>
      <w:tr>
        <w:trPr>
          <w:trHeight w:val="451"/>
        </w:trPr>
        <w:tc>
          <w:tcPr>
            <w:tcW w:w="620" w:type="dxa"/>
            <w:vAlign w:val="bottom"/>
          </w:tcPr>
          <w:p>
            <w:pPr>
              <w:spacing w:after="0"/>
              <w:rPr>
                <w:sz w:val="24"/>
                <w:szCs w:val="24"/>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Trading Symbol</w:t>
            </w:r>
          </w:p>
        </w:tc>
        <w:tc>
          <w:tcPr>
            <w:tcW w:w="200" w:type="dxa"/>
            <w:vAlign w:val="bottom"/>
          </w:tcPr>
          <w:p>
            <w:pPr>
              <w:spacing w:after="0"/>
              <w:rPr>
                <w:sz w:val="24"/>
                <w:szCs w:val="24"/>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04"/>
        </w:trPr>
        <w:tc>
          <w:tcPr>
            <w:tcW w:w="620" w:type="dxa"/>
            <w:vAlign w:val="bottom"/>
          </w:tcPr>
          <w:p>
            <w:pPr>
              <w:spacing w:after="0"/>
              <w:rPr>
                <w:sz w:val="17"/>
                <w:szCs w:val="17"/>
                <w:color w:val="auto"/>
              </w:rPr>
            </w:pPr>
          </w:p>
        </w:tc>
        <w:tc>
          <w:tcPr>
            <w:tcW w:w="4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Class B Common Stock, par value $0.01 per share</w:t>
            </w:r>
          </w:p>
        </w:tc>
        <w:tc>
          <w:tcPr>
            <w:tcW w:w="1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BSY</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bl>
    <w:p>
      <w:pPr>
        <w:spacing w:after="0" w:line="317" w:lineRule="exact"/>
        <w:rPr>
          <w:sz w:val="24"/>
          <w:szCs w:val="24"/>
          <w:color w:val="auto"/>
        </w:rPr>
      </w:pPr>
    </w:p>
    <w:p>
      <w:pPr>
        <w:ind w:right="20" w:firstLine="324"/>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05" w:lineRule="exact"/>
        <w:rPr>
          <w:sz w:val="24"/>
          <w:szCs w:val="24"/>
          <w:color w:val="auto"/>
        </w:rPr>
      </w:pPr>
    </w:p>
    <w:p>
      <w:pPr>
        <w:ind w:firstLine="324"/>
        <w:spacing w:after="0" w:line="208"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Arial" w:cs="Arial" w:eastAsia="Arial" w:hAnsi="Arial"/>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05" w:lineRule="exact"/>
        <w:rPr>
          <w:sz w:val="24"/>
          <w:szCs w:val="24"/>
          <w:color w:val="auto"/>
        </w:rPr>
      </w:pPr>
    </w:p>
    <w:p>
      <w:pPr>
        <w:ind w:firstLine="324"/>
        <w:spacing w:after="0" w:line="172"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Arial" w:cs="Arial" w:eastAsia="Arial" w:hAnsi="Arial"/>
          <w:sz w:val="14"/>
          <w:szCs w:val="14"/>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7"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390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4180" w:type="dxa"/>
            <w:vAlign w:val="bottom"/>
          </w:tcPr>
          <w:p>
            <w:pPr>
              <w:ind w:left="24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39"/>
        </w:trPr>
        <w:tc>
          <w:tcPr>
            <w:tcW w:w="390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4180" w:type="dxa"/>
            <w:vAlign w:val="bottom"/>
          </w:tcPr>
          <w:p>
            <w:pPr>
              <w:ind w:left="2440"/>
              <w:spacing w:after="0" w:line="161"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4"/>
                <w:szCs w:val="14"/>
                <w:color w:val="auto"/>
                <w:w w:val="92"/>
              </w:rPr>
              <w:t>☐</w:t>
            </w:r>
          </w:p>
        </w:tc>
      </w:tr>
      <w:tr>
        <w:trPr>
          <w:trHeight w:val="230"/>
        </w:trPr>
        <w:tc>
          <w:tcPr>
            <w:tcW w:w="3900" w:type="dxa"/>
            <w:vAlign w:val="bottom"/>
          </w:tcPr>
          <w:p>
            <w:pPr>
              <w:spacing w:after="0"/>
              <w:rPr>
                <w:sz w:val="19"/>
                <w:szCs w:val="19"/>
                <w:color w:val="auto"/>
              </w:rPr>
            </w:pPr>
          </w:p>
        </w:tc>
        <w:tc>
          <w:tcPr>
            <w:tcW w:w="4180" w:type="dxa"/>
            <w:vAlign w:val="bottom"/>
          </w:tcPr>
          <w:p>
            <w:pPr>
              <w:ind w:left="2440"/>
              <w:spacing w:after="0" w:line="161" w:lineRule="exact"/>
              <w:rPr>
                <w:sz w:val="20"/>
                <w:szCs w:val="20"/>
                <w:color w:val="auto"/>
              </w:rPr>
            </w:pPr>
            <w:r>
              <w:rPr>
                <w:rFonts w:ascii="Arial" w:cs="Arial" w:eastAsia="Arial" w:hAnsi="Arial"/>
                <w:sz w:val="14"/>
                <w:szCs w:val="14"/>
                <w:color w:val="auto"/>
                <w:w w:val="93"/>
              </w:rPr>
              <w:t xml:space="preserve">Emerging growth company </w:t>
            </w:r>
            <w:r>
              <w:rPr>
                <w:rFonts w:ascii="MS PGothic" w:cs="MS PGothic" w:eastAsia="MS PGothic" w:hAnsi="MS PGothic"/>
                <w:sz w:val="14"/>
                <w:szCs w:val="14"/>
                <w:color w:val="auto"/>
                <w:w w:val="93"/>
              </w:rPr>
              <w:t>☒</w:t>
            </w:r>
          </w:p>
        </w:tc>
      </w:tr>
    </w:tbl>
    <w:p>
      <w:pPr>
        <w:spacing w:after="0" w:line="85" w:lineRule="exact"/>
        <w:rPr>
          <w:sz w:val="24"/>
          <w:szCs w:val="24"/>
          <w:color w:val="auto"/>
        </w:rPr>
      </w:pPr>
    </w:p>
    <w:p>
      <w:pPr>
        <w:ind w:firstLine="324"/>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7" w:lineRule="exact"/>
        <w:rPr>
          <w:sz w:val="24"/>
          <w:szCs w:val="24"/>
          <w:color w:val="auto"/>
        </w:rPr>
      </w:pPr>
    </w:p>
    <w:p>
      <w:pPr>
        <w:ind w:left="340"/>
        <w:spacing w:after="0" w:line="196"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29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November 2, 2021, the registrant had 11,601,757 shares of Class A and 270,744,044 shares of Class B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type w:val="continuous"/>
        </w:sectPr>
      </w:pPr>
    </w:p>
    <w:bookmarkStart w:id="1" w:name="page2"/>
    <w:bookmarkEnd w:id="1"/>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TABLE OF CONTENTS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500" w:type="dxa"/>
            <w:vAlign w:val="bottom"/>
            <w:gridSpan w:val="21"/>
            <w:vMerge w:val="restart"/>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7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10500" w:type="dxa"/>
            <w:vAlign w:val="bottom"/>
            <w:gridSpan w:val="21"/>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38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2">
              <w:r>
                <w:rPr>
                  <w:rFonts w:ascii="Arial" w:cs="Arial" w:eastAsia="Arial" w:hAnsi="Arial"/>
                  <w:sz w:val="18"/>
                  <w:szCs w:val="18"/>
                  <w:color w:val="0000FF"/>
                  <w:w w:val="90"/>
                </w:rPr>
                <w:t>Item 1. Unaudited Consolidated Financial Statements</w:t>
              </w:r>
            </w:hyperlink>
          </w:p>
        </w:tc>
        <w:tc>
          <w:tcPr>
            <w:tcW w:w="6480" w:type="dxa"/>
            <w:vAlign w:val="bottom"/>
            <w:gridSpan w:val="9"/>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740" w:type="dxa"/>
            <w:vAlign w:val="bottom"/>
            <w:tcBorders>
              <w:bottom w:val="single" w:sz="8" w:color="0000FF"/>
            </w:tcBorders>
            <w:gridSpan w:val="13"/>
          </w:tcPr>
          <w:p>
            <w:pPr>
              <w:ind w:left="20"/>
              <w:spacing w:after="0"/>
              <w:rPr>
                <w:rFonts w:ascii="Arial" w:cs="Arial" w:eastAsia="Arial" w:hAnsi="Arial"/>
                <w:sz w:val="18"/>
                <w:szCs w:val="18"/>
                <w:color w:val="0000FF"/>
                <w:w w:val="88"/>
              </w:rPr>
            </w:pPr>
            <w:hyperlink w:anchor="page2">
              <w:r>
                <w:rPr>
                  <w:rFonts w:ascii="Arial" w:cs="Arial" w:eastAsia="Arial" w:hAnsi="Arial"/>
                  <w:sz w:val="18"/>
                  <w:szCs w:val="18"/>
                  <w:color w:val="0000FF"/>
                  <w:w w:val="88"/>
                </w:rPr>
                <w:t>Consolidated Balance Sheets as of September 30, 2021 and December 31, 2020</w:t>
              </w:r>
            </w:hyperlink>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gridSpan w:val="2"/>
          </w:tcPr>
          <w:p>
            <w:pPr>
              <w:jc w:val="center"/>
              <w:ind w:left="190"/>
              <w:spacing w:after="0"/>
              <w:rPr>
                <w:sz w:val="20"/>
                <w:szCs w:val="20"/>
                <w:color w:val="auto"/>
              </w:rPr>
            </w:pPr>
            <w:r>
              <w:rPr>
                <w:rFonts w:ascii="Arial" w:cs="Arial" w:eastAsia="Arial" w:hAnsi="Arial"/>
                <w:sz w:val="18"/>
                <w:szCs w:val="18"/>
                <w:color w:val="0000FF"/>
                <w:w w:val="79"/>
              </w:rPr>
              <w:t>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60" w:type="dxa"/>
            <w:vAlign w:val="bottom"/>
            <w:gridSpan w:val="16"/>
            <w:vMerge w:val="restart"/>
          </w:tcPr>
          <w:p>
            <w:pPr>
              <w:ind w:left="20"/>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Statements of Operations for the three and nine months ended September 30, 2021 and 2020</w:t>
              </w:r>
            </w:hyperlink>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60" w:type="dxa"/>
            <w:vAlign w:val="bottom"/>
            <w:tcBorders>
              <w:bottom w:val="single" w:sz="8" w:color="0000FF"/>
            </w:tcBorders>
            <w:gridSpan w:val="16"/>
            <w:vMerge w:val="continue"/>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80" w:type="dxa"/>
            <w:vAlign w:val="bottom"/>
            <w:gridSpan w:val="18"/>
            <w:vMerge w:val="restart"/>
          </w:tcPr>
          <w:p>
            <w:pPr>
              <w:ind w:left="20"/>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Comprehensive (Loss) Income for the three and nine months ended September 30, 2021 and 2020</w:t>
              </w:r>
            </w:hyperlink>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80" w:type="dxa"/>
            <w:vAlign w:val="bottom"/>
            <w:tcBorders>
              <w:bottom w:val="single" w:sz="8" w:color="0000FF"/>
            </w:tcBorders>
            <w:gridSpan w:val="18"/>
            <w:vMerge w:val="continue"/>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380" w:type="dxa"/>
            <w:vAlign w:val="bottom"/>
            <w:gridSpan w:val="17"/>
            <w:vMerge w:val="restart"/>
          </w:tcPr>
          <w:p>
            <w:pPr>
              <w:ind w:left="20"/>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Consolidated Statements of Stockholders’ Equity for the three and nine months ended September 30, 2021 and 2020</w:t>
              </w:r>
            </w:hyperlink>
          </w:p>
        </w:tc>
        <w:tc>
          <w:tcPr>
            <w:tcW w:w="1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80" w:type="dxa"/>
            <w:vAlign w:val="bottom"/>
            <w:tcBorders>
              <w:bottom w:val="single" w:sz="8" w:color="0000FF"/>
            </w:tcBorders>
            <w:gridSpan w:val="17"/>
            <w:vMerge w:val="continue"/>
          </w:tcPr>
          <w:p>
            <w:pPr>
              <w:spacing w:after="0"/>
              <w:rPr>
                <w:sz w:val="18"/>
                <w:szCs w:val="18"/>
                <w:color w:val="auto"/>
              </w:rPr>
            </w:pPr>
          </w:p>
        </w:tc>
        <w:tc>
          <w:tcPr>
            <w:tcW w:w="1800" w:type="dxa"/>
            <w:vAlign w:val="bottom"/>
            <w:gridSpan w:val="2"/>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0" w:type="dxa"/>
            <w:vAlign w:val="bottom"/>
            <w:gridSpan w:val="15"/>
            <w:vMerge w:val="restart"/>
          </w:tcPr>
          <w:p>
            <w:pPr>
              <w:ind w:left="20"/>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Consolidated Statements of Cash Flows for the nine months ended September 30, 2021 and 2020</w:t>
              </w:r>
            </w:hyperlink>
          </w:p>
        </w:tc>
        <w:tc>
          <w:tcPr>
            <w:tcW w:w="31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0" w:type="dxa"/>
            <w:vAlign w:val="bottom"/>
            <w:tcBorders>
              <w:bottom w:val="single" w:sz="8" w:color="0000FF"/>
            </w:tcBorders>
            <w:gridSpan w:val="15"/>
            <w:vMerge w:val="continue"/>
          </w:tcPr>
          <w:p>
            <w:pPr>
              <w:spacing w:after="0"/>
              <w:rPr>
                <w:sz w:val="18"/>
                <w:szCs w:val="18"/>
                <w:color w:val="auto"/>
              </w:rPr>
            </w:pPr>
          </w:p>
        </w:tc>
        <w:tc>
          <w:tcPr>
            <w:tcW w:w="3180" w:type="dxa"/>
            <w:vAlign w:val="bottom"/>
            <w:gridSpan w:val="4"/>
          </w:tcPr>
          <w:p>
            <w:pPr>
              <w:spacing w:after="0"/>
              <w:rPr>
                <w:sz w:val="18"/>
                <w:szCs w:val="18"/>
                <w:color w:val="auto"/>
              </w:rPr>
            </w:pPr>
          </w:p>
        </w:tc>
        <w:tc>
          <w:tcPr>
            <w:tcW w:w="440" w:type="dxa"/>
            <w:vAlign w:val="bottom"/>
            <w:gridSpan w:val="2"/>
          </w:tcPr>
          <w:p>
            <w:pPr>
              <w:jc w:val="center"/>
              <w:ind w:left="19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9"/>
            <w:vMerge w:val="restart"/>
          </w:tcPr>
          <w:p>
            <w:pPr>
              <w:ind w:left="20"/>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Consolidated Financial Statements</w:t>
              </w:r>
            </w:hyperlink>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Borders>
              <w:bottom w:val="single" w:sz="8" w:color="0000FF"/>
            </w:tcBorders>
            <w:gridSpan w:val="9"/>
            <w:vMerge w:val="continue"/>
          </w:tcPr>
          <w:p>
            <w:pPr>
              <w:spacing w:after="0"/>
              <w:rPr>
                <w:sz w:val="18"/>
                <w:szCs w:val="18"/>
                <w:color w:val="auto"/>
              </w:rPr>
            </w:pPr>
          </w:p>
        </w:tc>
        <w:tc>
          <w:tcPr>
            <w:tcW w:w="15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3320" w:type="dxa"/>
            <w:vAlign w:val="bottom"/>
            <w:gridSpan w:val="5"/>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20" w:type="dxa"/>
            <w:vAlign w:val="bottom"/>
            <w:gridSpan w:val="15"/>
            <w:vMerge w:val="restart"/>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Item 2. Management’s Discussion and Analysis of Financial Condition and Results of Operations</w:t>
              </w:r>
            </w:hyperlink>
          </w:p>
        </w:tc>
        <w:tc>
          <w:tcPr>
            <w:tcW w:w="33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7020" w:type="dxa"/>
            <w:vAlign w:val="bottom"/>
            <w:tcBorders>
              <w:bottom w:val="single" w:sz="8" w:color="0000FF"/>
            </w:tcBorders>
            <w:gridSpan w:val="15"/>
            <w:vMerge w:val="continue"/>
          </w:tcPr>
          <w:p>
            <w:pPr>
              <w:spacing w:after="0"/>
              <w:rPr>
                <w:sz w:val="18"/>
                <w:szCs w:val="18"/>
                <w:color w:val="auto"/>
              </w:rPr>
            </w:pPr>
          </w:p>
        </w:tc>
        <w:tc>
          <w:tcPr>
            <w:tcW w:w="3320" w:type="dxa"/>
            <w:vAlign w:val="bottom"/>
            <w:gridSpan w:val="5"/>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920" w:type="dxa"/>
            <w:vAlign w:val="bottom"/>
            <w:gridSpan w:val="13"/>
            <w:vMerge w:val="restart"/>
          </w:tcPr>
          <w:p>
            <w:pPr>
              <w:spacing w:after="0"/>
              <w:rPr>
                <w:rFonts w:ascii="Arial" w:cs="Arial" w:eastAsia="Arial" w:hAnsi="Arial"/>
                <w:sz w:val="18"/>
                <w:szCs w:val="18"/>
                <w:color w:val="0000FF"/>
                <w:w w:val="92"/>
              </w:rPr>
            </w:pPr>
            <w:hyperlink w:anchor="page81">
              <w:r>
                <w:rPr>
                  <w:rFonts w:ascii="Arial" w:cs="Arial" w:eastAsia="Arial" w:hAnsi="Arial"/>
                  <w:sz w:val="18"/>
                  <w:szCs w:val="18"/>
                  <w:color w:val="0000FF"/>
                  <w:w w:val="92"/>
                </w:rPr>
                <w:t>Item 3. Quantitative and Qualitative Disclosures About Market Risk</w:t>
              </w:r>
            </w:hyperlink>
          </w:p>
        </w:tc>
        <w:tc>
          <w:tcPr>
            <w:tcW w:w="542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4920" w:type="dxa"/>
            <w:vAlign w:val="bottom"/>
            <w:tcBorders>
              <w:bottom w:val="single" w:sz="8" w:color="0000FF"/>
            </w:tcBorders>
            <w:gridSpan w:val="13"/>
            <w:vMerge w:val="continue"/>
          </w:tcPr>
          <w:p>
            <w:pPr>
              <w:spacing w:after="0"/>
              <w:rPr>
                <w:sz w:val="18"/>
                <w:szCs w:val="18"/>
                <w:color w:val="auto"/>
              </w:rPr>
            </w:pPr>
          </w:p>
        </w:tc>
        <w:tc>
          <w:tcPr>
            <w:tcW w:w="5420" w:type="dxa"/>
            <w:vAlign w:val="bottom"/>
            <w:gridSpan w:val="7"/>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82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rFonts w:ascii="Arial" w:cs="Arial" w:eastAsia="Arial" w:hAnsi="Arial"/>
                <w:sz w:val="18"/>
                <w:szCs w:val="18"/>
                <w:color w:val="0000FF"/>
                <w:w w:val="94"/>
              </w:rPr>
            </w:pPr>
            <w:hyperlink w:anchor="page82">
              <w:r>
                <w:rPr>
                  <w:rFonts w:ascii="Arial" w:cs="Arial" w:eastAsia="Arial" w:hAnsi="Arial"/>
                  <w:sz w:val="18"/>
                  <w:szCs w:val="18"/>
                  <w:color w:val="0000FF"/>
                  <w:w w:val="94"/>
                </w:rPr>
                <w:t>Item 4.</w:t>
              </w:r>
            </w:hyperlink>
          </w:p>
        </w:tc>
        <w:tc>
          <w:tcPr>
            <w:tcW w:w="1800" w:type="dxa"/>
            <w:vAlign w:val="bottom"/>
            <w:gridSpan w:val="5"/>
            <w:vMerge w:val="restart"/>
          </w:tcPr>
          <w:p>
            <w:pPr>
              <w:ind w:left="20"/>
              <w:spacing w:after="0"/>
              <w:rPr>
                <w:rFonts w:ascii="Arial" w:cs="Arial" w:eastAsia="Arial" w:hAnsi="Arial"/>
                <w:sz w:val="18"/>
                <w:szCs w:val="18"/>
                <w:color w:val="0000FF"/>
                <w:w w:val="88"/>
              </w:rPr>
            </w:pPr>
            <w:hyperlink w:anchor="page82">
              <w:r>
                <w:rPr>
                  <w:rFonts w:ascii="Arial" w:cs="Arial" w:eastAsia="Arial" w:hAnsi="Arial"/>
                  <w:sz w:val="18"/>
                  <w:szCs w:val="18"/>
                  <w:color w:val="0000FF"/>
                  <w:w w:val="88"/>
                </w:rPr>
                <w:t>Controls and Procedures</w:t>
              </w:r>
            </w:hyperlink>
          </w:p>
        </w:tc>
        <w:tc>
          <w:tcPr>
            <w:tcW w:w="8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1800" w:type="dxa"/>
            <w:vAlign w:val="bottom"/>
            <w:tcBorders>
              <w:bottom w:val="single" w:sz="8" w:color="0000FF"/>
            </w:tcBorders>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gridSpan w:val="4"/>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82">
              <w:r>
                <w:rPr>
                  <w:rFonts w:ascii="Arial" w:cs="Arial" w:eastAsia="Arial" w:hAnsi="Arial"/>
                  <w:sz w:val="18"/>
                  <w:szCs w:val="18"/>
                  <w:color w:val="0000FF"/>
                  <w:w w:val="89"/>
                </w:rPr>
                <w:t>83</w:t>
              </w:r>
            </w:hyperlink>
          </w:p>
        </w:tc>
        <w:tc>
          <w:tcPr>
            <w:tcW w:w="0" w:type="dxa"/>
            <w:vAlign w:val="bottom"/>
          </w:tcPr>
          <w:p>
            <w:pPr>
              <w:spacing w:after="0"/>
              <w:rPr>
                <w:sz w:val="1"/>
                <w:szCs w:val="1"/>
                <w:color w:val="auto"/>
              </w:rPr>
            </w:pPr>
          </w:p>
        </w:tc>
      </w:tr>
      <w:tr>
        <w:trPr>
          <w:trHeight w:val="20"/>
        </w:trPr>
        <w:tc>
          <w:tcPr>
            <w:tcW w:w="2580" w:type="dxa"/>
            <w:vAlign w:val="bottom"/>
            <w:gridSpan w:val="9"/>
            <w:vMerge w:val="restart"/>
          </w:tcPr>
          <w:p>
            <w:pPr>
              <w:spacing w:after="0"/>
              <w:rPr>
                <w:rFonts w:ascii="Arial" w:cs="Arial" w:eastAsia="Arial" w:hAnsi="Arial"/>
                <w:sz w:val="18"/>
                <w:szCs w:val="18"/>
                <w:color w:val="0000FF"/>
                <w:w w:val="95"/>
              </w:rPr>
            </w:pPr>
            <w:hyperlink w:anchor="page83">
              <w:r>
                <w:rPr>
                  <w:rFonts w:ascii="Arial" w:cs="Arial" w:eastAsia="Arial" w:hAnsi="Arial"/>
                  <w:sz w:val="18"/>
                  <w:szCs w:val="18"/>
                  <w:color w:val="0000FF"/>
                  <w:w w:val="95"/>
                </w:rPr>
                <w:t>PART II. OTHER INFORMATION</w:t>
              </w:r>
            </w:hyperlink>
          </w:p>
        </w:tc>
        <w:tc>
          <w:tcPr>
            <w:tcW w:w="7920" w:type="dxa"/>
            <w:vAlign w:val="bottom"/>
            <w:gridSpan w:val="12"/>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580" w:type="dxa"/>
            <w:vAlign w:val="bottom"/>
            <w:tcBorders>
              <w:bottom w:val="single" w:sz="8" w:color="0000FF"/>
            </w:tcBorders>
            <w:gridSpan w:val="9"/>
            <w:vMerge w:val="continue"/>
          </w:tcPr>
          <w:p>
            <w:pPr>
              <w:spacing w:after="0"/>
              <w:rPr>
                <w:sz w:val="24"/>
                <w:szCs w:val="24"/>
                <w:color w:val="auto"/>
              </w:rPr>
            </w:pPr>
          </w:p>
        </w:tc>
        <w:tc>
          <w:tcPr>
            <w:tcW w:w="7920" w:type="dxa"/>
            <w:vAlign w:val="bottom"/>
            <w:gridSpan w:val="1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40" w:type="dxa"/>
            <w:vAlign w:val="bottom"/>
            <w:tcBorders>
              <w:bottom w:val="single" w:sz="8" w:color="0000FF"/>
            </w:tcBorders>
            <w:gridSpan w:val="2"/>
          </w:tcPr>
          <w:p>
            <w:pPr>
              <w:spacing w:after="0"/>
              <w:rPr>
                <w:rFonts w:ascii="Arial" w:cs="Arial" w:eastAsia="Arial" w:hAnsi="Arial"/>
                <w:sz w:val="18"/>
                <w:szCs w:val="18"/>
                <w:color w:val="0000FF"/>
                <w:w w:val="94"/>
              </w:rPr>
            </w:pPr>
            <w:hyperlink w:anchor="page83">
              <w:r>
                <w:rPr>
                  <w:rFonts w:ascii="Arial" w:cs="Arial" w:eastAsia="Arial" w:hAnsi="Arial"/>
                  <w:sz w:val="18"/>
                  <w:szCs w:val="18"/>
                  <w:color w:val="0000FF"/>
                  <w:w w:val="94"/>
                </w:rPr>
                <w:t>Item 1.</w:t>
              </w:r>
            </w:hyperlink>
          </w:p>
        </w:tc>
        <w:tc>
          <w:tcPr>
            <w:tcW w:w="1360" w:type="dxa"/>
            <w:vAlign w:val="bottom"/>
            <w:tcBorders>
              <w:bottom w:val="single" w:sz="8" w:color="0000FF"/>
            </w:tcBorders>
            <w:gridSpan w:val="4"/>
          </w:tcPr>
          <w:p>
            <w:pPr>
              <w:ind w:left="20"/>
              <w:spacing w:after="0"/>
              <w:rPr>
                <w:rFonts w:ascii="Arial" w:cs="Arial" w:eastAsia="Arial" w:hAnsi="Arial"/>
                <w:sz w:val="18"/>
                <w:szCs w:val="18"/>
                <w:color w:val="0000FF"/>
                <w:w w:val="88"/>
              </w:rPr>
            </w:pPr>
            <w:hyperlink w:anchor="page83">
              <w:r>
                <w:rPr>
                  <w:rFonts w:ascii="Arial" w:cs="Arial" w:eastAsia="Arial" w:hAnsi="Arial"/>
                  <w:sz w:val="18"/>
                  <w:szCs w:val="18"/>
                  <w:color w:val="0000FF"/>
                  <w:w w:val="88"/>
                </w:rPr>
                <w:t>Legal Proceedings</w:t>
              </w:r>
            </w:hyperlink>
          </w:p>
        </w:tc>
        <w:tc>
          <w:tcPr>
            <w:tcW w:w="3000" w:type="dxa"/>
            <w:vAlign w:val="bottom"/>
            <w:gridSpan w:val="6"/>
          </w:tcPr>
          <w:p>
            <w:pPr>
              <w:spacing w:after="0"/>
              <w:rPr>
                <w:sz w:val="19"/>
                <w:szCs w:val="19"/>
                <w:color w:val="auto"/>
              </w:rPr>
            </w:pPr>
          </w:p>
        </w:tc>
        <w:tc>
          <w:tcPr>
            <w:tcW w:w="5440" w:type="dxa"/>
            <w:vAlign w:val="bottom"/>
            <w:gridSpan w:val="8"/>
          </w:tcPr>
          <w:p>
            <w:pPr>
              <w:spacing w:after="0"/>
              <w:rPr>
                <w:sz w:val="19"/>
                <w:szCs w:val="19"/>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0" w:type="dxa"/>
            <w:vAlign w:val="bottom"/>
            <w:gridSpan w:val="5"/>
            <w:vMerge w:val="restart"/>
          </w:tcPr>
          <w:p>
            <w:pPr>
              <w:spacing w:after="0"/>
              <w:rPr>
                <w:rFonts w:ascii="Arial" w:cs="Arial" w:eastAsia="Arial" w:hAnsi="Arial"/>
                <w:sz w:val="18"/>
                <w:szCs w:val="18"/>
                <w:color w:val="0000FF"/>
                <w:w w:val="91"/>
              </w:rPr>
            </w:pPr>
            <w:hyperlink w:anchor="page84">
              <w:r>
                <w:rPr>
                  <w:rFonts w:ascii="Arial" w:cs="Arial" w:eastAsia="Arial" w:hAnsi="Arial"/>
                  <w:sz w:val="18"/>
                  <w:szCs w:val="18"/>
                  <w:color w:val="0000FF"/>
                  <w:w w:val="91"/>
                </w:rPr>
                <w:t>Item 1A. Risk Factors</w:t>
              </w:r>
            </w:hyperlink>
          </w:p>
        </w:tc>
        <w:tc>
          <w:tcPr>
            <w:tcW w:w="3300" w:type="dxa"/>
            <w:vAlign w:val="bottom"/>
            <w:gridSpan w:val="7"/>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1600" w:type="dxa"/>
            <w:vAlign w:val="bottom"/>
            <w:tcBorders>
              <w:bottom w:val="single" w:sz="8" w:color="0000FF"/>
            </w:tcBorders>
            <w:gridSpan w:val="5"/>
            <w:vMerge w:val="continue"/>
          </w:tcPr>
          <w:p>
            <w:pPr>
              <w:spacing w:after="0"/>
              <w:rPr>
                <w:sz w:val="18"/>
                <w:szCs w:val="18"/>
                <w:color w:val="auto"/>
              </w:rPr>
            </w:pPr>
          </w:p>
        </w:tc>
        <w:tc>
          <w:tcPr>
            <w:tcW w:w="3300" w:type="dxa"/>
            <w:vAlign w:val="bottom"/>
            <w:gridSpan w:val="7"/>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rFonts w:ascii="Arial" w:cs="Arial" w:eastAsia="Arial" w:hAnsi="Arial"/>
                <w:sz w:val="18"/>
                <w:szCs w:val="18"/>
                <w:color w:val="0000FF"/>
                <w:w w:val="94"/>
              </w:rPr>
            </w:pPr>
            <w:hyperlink w:anchor="page84">
              <w:r>
                <w:rPr>
                  <w:rFonts w:ascii="Arial" w:cs="Arial" w:eastAsia="Arial" w:hAnsi="Arial"/>
                  <w:sz w:val="18"/>
                  <w:szCs w:val="18"/>
                  <w:color w:val="0000FF"/>
                  <w:w w:val="94"/>
                </w:rPr>
                <w:t>Item 2.</w:t>
              </w:r>
            </w:hyperlink>
          </w:p>
        </w:tc>
        <w:tc>
          <w:tcPr>
            <w:tcW w:w="4360" w:type="dxa"/>
            <w:vAlign w:val="bottom"/>
            <w:gridSpan w:val="10"/>
            <w:vMerge w:val="restart"/>
          </w:tcPr>
          <w:p>
            <w:pPr>
              <w:ind w:left="20"/>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Unregistered Sales of Equity Securities and Use of Proceeds</w:t>
              </w:r>
            </w:hyperlink>
          </w:p>
        </w:tc>
        <w:tc>
          <w:tcPr>
            <w:tcW w:w="544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4360" w:type="dxa"/>
            <w:vAlign w:val="bottom"/>
            <w:tcBorders>
              <w:bottom w:val="single" w:sz="8" w:color="0000FF"/>
            </w:tcBorders>
            <w:gridSpan w:val="10"/>
            <w:vMerge w:val="continue"/>
          </w:tcPr>
          <w:p>
            <w:pPr>
              <w:spacing w:after="0"/>
              <w:rPr>
                <w:sz w:val="18"/>
                <w:szCs w:val="18"/>
                <w:color w:val="auto"/>
              </w:rPr>
            </w:pPr>
          </w:p>
        </w:tc>
        <w:tc>
          <w:tcPr>
            <w:tcW w:w="5440" w:type="dxa"/>
            <w:vAlign w:val="bottom"/>
            <w:gridSpan w:val="8"/>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40" w:type="dxa"/>
            <w:vAlign w:val="bottom"/>
            <w:gridSpan w:val="2"/>
            <w:vMerge w:val="restart"/>
          </w:tcPr>
          <w:p>
            <w:pPr>
              <w:spacing w:after="0"/>
              <w:rPr>
                <w:rFonts w:ascii="Arial" w:cs="Arial" w:eastAsia="Arial" w:hAnsi="Arial"/>
                <w:sz w:val="18"/>
                <w:szCs w:val="18"/>
                <w:color w:val="0000FF"/>
                <w:w w:val="94"/>
              </w:rPr>
            </w:pPr>
            <w:hyperlink w:anchor="page84">
              <w:r>
                <w:rPr>
                  <w:rFonts w:ascii="Arial" w:cs="Arial" w:eastAsia="Arial" w:hAnsi="Arial"/>
                  <w:sz w:val="18"/>
                  <w:szCs w:val="18"/>
                  <w:color w:val="0000FF"/>
                  <w:w w:val="94"/>
                </w:rPr>
                <w:t>Item 6.</w:t>
              </w:r>
            </w:hyperlink>
          </w:p>
        </w:tc>
        <w:tc>
          <w:tcPr>
            <w:tcW w:w="620" w:type="dxa"/>
            <w:vAlign w:val="bottom"/>
            <w:gridSpan w:val="2"/>
            <w:vMerge w:val="restart"/>
          </w:tcPr>
          <w:p>
            <w:pPr>
              <w:ind w:left="20"/>
              <w:spacing w:after="0"/>
              <w:rPr>
                <w:rFonts w:ascii="Arial" w:cs="Arial" w:eastAsia="Arial" w:hAnsi="Arial"/>
                <w:sz w:val="18"/>
                <w:szCs w:val="18"/>
                <w:color w:val="0000FF"/>
                <w:w w:val="91"/>
              </w:rPr>
            </w:pPr>
            <w:hyperlink w:anchor="page84">
              <w:r>
                <w:rPr>
                  <w:rFonts w:ascii="Arial" w:cs="Arial" w:eastAsia="Arial" w:hAnsi="Arial"/>
                  <w:sz w:val="18"/>
                  <w:szCs w:val="18"/>
                  <w:color w:val="0000FF"/>
                  <w:w w:val="91"/>
                </w:rPr>
                <w:t>Exhibits</w:t>
              </w:r>
            </w:hyperlink>
          </w:p>
        </w:tc>
        <w:tc>
          <w:tcPr>
            <w:tcW w:w="9180" w:type="dxa"/>
            <w:vAlign w:val="bottom"/>
            <w:gridSpan w:val="1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60" w:type="dxa"/>
            <w:vAlign w:val="bottom"/>
          </w:tcPr>
          <w:p>
            <w:pPr>
              <w:spacing w:after="0"/>
              <w:rPr>
                <w:sz w:val="18"/>
                <w:szCs w:val="18"/>
                <w:color w:val="auto"/>
              </w:rPr>
            </w:pPr>
          </w:p>
        </w:tc>
        <w:tc>
          <w:tcPr>
            <w:tcW w:w="540" w:type="dxa"/>
            <w:vAlign w:val="bottom"/>
            <w:tcBorders>
              <w:bottom w:val="single" w:sz="8" w:color="0000FF"/>
            </w:tcBorders>
            <w:gridSpan w:val="2"/>
            <w:vMerge w:val="continue"/>
          </w:tcPr>
          <w:p>
            <w:pPr>
              <w:spacing w:after="0"/>
              <w:rPr>
                <w:sz w:val="18"/>
                <w:szCs w:val="18"/>
                <w:color w:val="auto"/>
              </w:rPr>
            </w:pPr>
          </w:p>
        </w:tc>
        <w:tc>
          <w:tcPr>
            <w:tcW w:w="620" w:type="dxa"/>
            <w:vAlign w:val="bottom"/>
            <w:tcBorders>
              <w:bottom w:val="single" w:sz="8" w:color="0000FF"/>
            </w:tcBorders>
            <w:gridSpan w:val="2"/>
            <w:vMerge w:val="continue"/>
          </w:tcPr>
          <w:p>
            <w:pPr>
              <w:spacing w:after="0"/>
              <w:rPr>
                <w:sz w:val="18"/>
                <w:szCs w:val="18"/>
                <w:color w:val="auto"/>
              </w:rPr>
            </w:pPr>
          </w:p>
        </w:tc>
        <w:tc>
          <w:tcPr>
            <w:tcW w:w="9180" w:type="dxa"/>
            <w:vAlign w:val="bottom"/>
            <w:gridSpan w:val="16"/>
          </w:tcPr>
          <w:p>
            <w:pPr>
              <w:spacing w:after="0"/>
              <w:rPr>
                <w:sz w:val="18"/>
                <w:szCs w:val="18"/>
                <w:color w:val="auto"/>
              </w:rPr>
            </w:pPr>
          </w:p>
        </w:tc>
        <w:tc>
          <w:tcPr>
            <w:tcW w:w="720" w:type="dxa"/>
            <w:vAlign w:val="bottom"/>
            <w:gridSpan w:val="3"/>
          </w:tcPr>
          <w:p>
            <w:pPr>
              <w:jc w:val="center"/>
              <w:ind w:right="20"/>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85</w:t>
              </w:r>
            </w:hyperlink>
          </w:p>
        </w:tc>
        <w:tc>
          <w:tcPr>
            <w:tcW w:w="0" w:type="dxa"/>
            <w:vAlign w:val="bottom"/>
          </w:tcPr>
          <w:p>
            <w:pPr>
              <w:spacing w:after="0"/>
              <w:rPr>
                <w:sz w:val="1"/>
                <w:szCs w:val="1"/>
                <w:color w:val="auto"/>
              </w:rPr>
            </w:pPr>
          </w:p>
        </w:tc>
      </w:tr>
      <w:tr>
        <w:trPr>
          <w:trHeight w:val="20"/>
        </w:trPr>
        <w:tc>
          <w:tcPr>
            <w:tcW w:w="1000" w:type="dxa"/>
            <w:vAlign w:val="bottom"/>
            <w:gridSpan w:val="4"/>
          </w:tcPr>
          <w:p>
            <w:pPr>
              <w:spacing w:after="0" w:line="20" w:lineRule="exact"/>
              <w:rPr>
                <w:sz w:val="1"/>
                <w:szCs w:val="1"/>
                <w:color w:val="auto"/>
              </w:rPr>
            </w:pPr>
          </w:p>
        </w:tc>
        <w:tc>
          <w:tcPr>
            <w:tcW w:w="9500" w:type="dxa"/>
            <w:vAlign w:val="bottom"/>
            <w:gridSpan w:val="1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500" w:type="dxa"/>
            <w:vAlign w:val="bottom"/>
            <w:gridSpan w:val="21"/>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SIGNATURE</w:t>
              </w:r>
            </w:hyperlink>
          </w:p>
        </w:tc>
        <w:tc>
          <w:tcPr>
            <w:tcW w:w="720" w:type="dxa"/>
            <w:vAlign w:val="bottom"/>
            <w:gridSpan w:val="3"/>
          </w:tcPr>
          <w:p>
            <w:pPr>
              <w:jc w:val="center"/>
              <w:ind w:right="20"/>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86</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1740" w:type="dxa"/>
            <w:vAlign w:val="bottom"/>
          </w:tcPr>
          <w:p>
            <w:pPr>
              <w:jc w:val="right"/>
              <w:ind w:right="230"/>
              <w:spacing w:after="0"/>
              <w:rPr>
                <w:sz w:val="20"/>
                <w:szCs w:val="20"/>
                <w:color w:val="auto"/>
              </w:rPr>
            </w:pPr>
            <w:r>
              <w:rPr>
                <w:rFonts w:ascii="Arial" w:cs="Arial" w:eastAsia="Arial" w:hAnsi="Arial"/>
                <w:sz w:val="16"/>
                <w:szCs w:val="16"/>
                <w:b w:val="1"/>
                <w:bCs w:val="1"/>
                <w:color w:val="auto"/>
                <w:w w:val="97"/>
              </w:rPr>
              <w:t>December 31, 2020</w:t>
            </w:r>
          </w:p>
        </w:tc>
      </w:tr>
      <w:tr>
        <w:trPr>
          <w:trHeight w:val="213"/>
        </w:trPr>
        <w:tc>
          <w:tcPr>
            <w:tcW w:w="7100" w:type="dxa"/>
            <w:vAlign w:val="bottom"/>
            <w:tcBorders>
              <w:top w:val="single" w:sz="8" w:color="CCEEFF"/>
            </w:tcBorders>
            <w:shd w:val="clear" w:color="auto" w:fill="CCEEFF"/>
          </w:tcPr>
          <w:p>
            <w:pPr>
              <w:ind w:left="32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155,755</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122,006</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194,682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195,782</w:t>
            </w: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Prepaid income taxes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20,958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3,535</w:t>
            </w: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35,062</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24,694</w:t>
            </w:r>
          </w:p>
        </w:tc>
      </w:tr>
      <w:tr>
        <w:trPr>
          <w:trHeight w:val="224"/>
        </w:trPr>
        <w:tc>
          <w:tcPr>
            <w:tcW w:w="71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400,102</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340,258</w:t>
            </w:r>
          </w:p>
        </w:tc>
      </w:tr>
      <w:tr>
        <w:trPr>
          <w:trHeight w:val="26"/>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28,414</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48,642</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46,128</w:t>
            </w: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251,467</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45,627</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1,592,399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581,174</w:t>
            </w: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5,429</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77,418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39,224</w:t>
            </w: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47,523</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39,519</w:t>
            </w:r>
          </w:p>
        </w:tc>
      </w:tr>
      <w:tr>
        <w:trPr>
          <w:trHeight w:val="223"/>
        </w:trPr>
        <w:tc>
          <w:tcPr>
            <w:tcW w:w="71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2,454,083</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1,126,035</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7"/>
        </w:trPr>
        <w:tc>
          <w:tcPr>
            <w:tcW w:w="7100" w:type="dxa"/>
            <w:vAlign w:val="bottom"/>
            <w:shd w:val="clear" w:color="auto" w:fill="CCEEFF"/>
          </w:tcPr>
          <w:p>
            <w:pPr>
              <w:ind w:left="21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12,502</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16,492</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Accruals and other current liabilities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317,271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226,793</w:t>
            </w: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189,683</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202,294</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18,003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16,610</w:t>
            </w: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11,974</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r>
      <w:tr>
        <w:trPr>
          <w:trHeight w:val="224"/>
        </w:trPr>
        <w:tc>
          <w:tcPr>
            <w:tcW w:w="71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549,433</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465,555</w:t>
            </w:r>
          </w:p>
        </w:tc>
      </w:tr>
      <w:tr>
        <w:trPr>
          <w:trHeight w:val="26"/>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1,302,845</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246,000</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Deferred compensation plan liabilities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89,174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2,422</w:t>
            </w: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32,583</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31,767</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6,614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7,020</w:t>
            </w: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69,471</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10,849</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7,613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7,883</w:t>
            </w: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17,352</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12,940</w:t>
            </w:r>
          </w:p>
        </w:tc>
      </w:tr>
      <w:tr>
        <w:trPr>
          <w:trHeight w:val="224"/>
        </w:trPr>
        <w:tc>
          <w:tcPr>
            <w:tcW w:w="71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2,075,085</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784,436</w:t>
            </w:r>
          </w:p>
        </w:tc>
      </w:tr>
      <w:tr>
        <w:trPr>
          <w:trHeight w:val="26"/>
        </w:trPr>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18)</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Preferred stock, $0.01 par value, authorized 100,000,000 shares; none issued or outstanding</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57"/>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of September 30, 2021 and December 31, 2020</w:t>
            </w:r>
          </w:p>
        </w:tc>
        <w:tc>
          <w:tcPr>
            <w:tcW w:w="20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Pr>
          <w:p>
            <w:pPr>
              <w:ind w:left="180"/>
              <w:spacing w:after="0"/>
              <w:rPr>
                <w:sz w:val="20"/>
                <w:szCs w:val="20"/>
                <w:color w:val="auto"/>
              </w:rPr>
            </w:pPr>
            <w:r>
              <w:rPr>
                <w:rFonts w:ascii="Arial" w:cs="Arial" w:eastAsia="Arial" w:hAnsi="Arial"/>
                <w:sz w:val="18"/>
                <w:szCs w:val="18"/>
                <w:color w:val="auto"/>
              </w:rPr>
              <w:t>Class A Common Stock, $0.01 par value, authorized 100,000,000 shares; issued and</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w w:val="96"/>
              </w:rPr>
              <w:t>outstanding 11,601,757 shares as of September 30, 2021 and December 31, 2020, and</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w w:val="96"/>
              </w:rPr>
              <w:t>Class B Common Stock, $0.01 par value, authorized 1,800,000,000 shares; issued and</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outstanding 270,436,807 and 260,552,747 shares as of September 30, 2021 and</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7"/>
        </w:trPr>
        <w:tc>
          <w:tcPr>
            <w:tcW w:w="7100" w:type="dxa"/>
            <w:vAlign w:val="bottom"/>
          </w:tcPr>
          <w:p>
            <w:pPr>
              <w:ind w:left="360"/>
              <w:spacing w:after="0"/>
              <w:rPr>
                <w:sz w:val="20"/>
                <w:szCs w:val="20"/>
                <w:color w:val="auto"/>
              </w:rPr>
            </w:pPr>
            <w:r>
              <w:rPr>
                <w:rFonts w:ascii="Arial" w:cs="Arial" w:eastAsia="Arial" w:hAnsi="Arial"/>
                <w:sz w:val="18"/>
                <w:szCs w:val="18"/>
                <w:color w:val="auto"/>
              </w:rPr>
              <w:t>December 31, 2020, respectively</w:t>
            </w: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2,820</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2,722</w:t>
            </w: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921,410</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741,113</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(81,880)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(26,233)</w:t>
            </w:r>
          </w:p>
        </w:tc>
      </w:tr>
      <w:tr>
        <w:trPr>
          <w:trHeight w:val="27"/>
        </w:trPr>
        <w:tc>
          <w:tcPr>
            <w:tcW w:w="7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(463,352)</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(376,003)</w:t>
            </w:r>
          </w:p>
        </w:tc>
      </w:tr>
      <w:tr>
        <w:trPr>
          <w:trHeight w:val="224"/>
        </w:trPr>
        <w:tc>
          <w:tcPr>
            <w:tcW w:w="710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378,998</w:t>
            </w: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341,599</w:t>
            </w:r>
          </w:p>
        </w:tc>
      </w:tr>
      <w:tr>
        <w:trPr>
          <w:trHeight w:val="26"/>
        </w:trPr>
        <w:tc>
          <w:tcPr>
            <w:tcW w:w="7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8"/>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2,454,083</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1,126,035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823" w:right="339" w:bottom="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63" w:gutter="0" w:footer="0" w:header="0"/>
          <w:type w:val="continuous"/>
        </w:sectPr>
      </w:pPr>
    </w:p>
    <w:bookmarkStart w:id="3" w:name="page4"/>
    <w:bookmarkEnd w:id="3"/>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860" w:type="dxa"/>
            <w:vAlign w:val="bottom"/>
            <w:gridSpan w:val="4"/>
          </w:tcPr>
          <w:p>
            <w:pPr>
              <w:jc w:val="right"/>
              <w:ind w:right="79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4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212,227</w:t>
            </w:r>
          </w:p>
        </w:tc>
        <w:tc>
          <w:tcPr>
            <w:tcW w:w="24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173,174</w:t>
            </w:r>
          </w:p>
        </w:tc>
        <w:tc>
          <w:tcPr>
            <w:tcW w:w="2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585,804</w:t>
            </w:r>
          </w:p>
        </w:tc>
        <w:tc>
          <w:tcPr>
            <w:tcW w:w="24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501,011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11,866</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33,373</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36,020</w:t>
            </w:r>
          </w:p>
        </w:tc>
        <w:tc>
          <w:tcPr>
            <w:tcW w:w="0" w:type="dxa"/>
            <w:vAlign w:val="bottom"/>
          </w:tcPr>
          <w:p>
            <w:pPr>
              <w:spacing w:after="0"/>
              <w:rPr>
                <w:sz w:val="1"/>
                <w:szCs w:val="1"/>
                <w:color w:val="auto"/>
              </w:rPr>
            </w:pPr>
          </w:p>
        </w:tc>
      </w:tr>
      <w:tr>
        <w:trPr>
          <w:trHeight w:val="250"/>
        </w:trPr>
        <w:tc>
          <w:tcPr>
            <w:tcW w:w="4700" w:type="dxa"/>
            <w:vAlign w:val="bottom"/>
          </w:tcPr>
          <w:p>
            <w:pPr>
              <w:ind w:left="360"/>
              <w:spacing w:after="0"/>
              <w:rPr>
                <w:sz w:val="20"/>
                <w:szCs w:val="20"/>
                <w:color w:val="auto"/>
              </w:rPr>
            </w:pPr>
            <w:r>
              <w:rPr>
                <w:rFonts w:ascii="Arial" w:cs="Arial" w:eastAsia="Arial" w:hAnsi="Arial"/>
                <w:sz w:val="18"/>
                <w:szCs w:val="18"/>
                <w:color w:val="auto"/>
              </w:rPr>
              <w:t>Subscriptions and licenses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224,093</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186,001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619,177</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537,031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24,387</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16,996</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74,239</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248,480</w:t>
            </w:r>
          </w:p>
        </w:tc>
        <w:tc>
          <w:tcPr>
            <w:tcW w:w="2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202,997</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693,416</w:t>
            </w:r>
          </w:p>
        </w:tc>
        <w:tc>
          <w:tcPr>
            <w:tcW w:w="2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581,977</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Cost of subscriptions and licenses</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31,056</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23,338</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89,882</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66,466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23,176</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19,290</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67,090</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54,232</w:t>
            </w:r>
          </w:p>
        </w:tc>
        <w:tc>
          <w:tcPr>
            <w:tcW w:w="2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42,628</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156,972</w:t>
            </w:r>
          </w:p>
        </w:tc>
        <w:tc>
          <w:tcPr>
            <w:tcW w:w="2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116,592</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194,248</w:t>
            </w:r>
          </w:p>
        </w:tc>
        <w:tc>
          <w:tcPr>
            <w:tcW w:w="2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160,369</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536,444</w:t>
            </w:r>
          </w:p>
        </w:tc>
        <w:tc>
          <w:tcPr>
            <w:tcW w:w="2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465,385</w:t>
            </w:r>
          </w:p>
        </w:tc>
        <w:tc>
          <w:tcPr>
            <w:tcW w:w="0" w:type="dxa"/>
            <w:vAlign w:val="bottom"/>
          </w:tcPr>
          <w:p>
            <w:pPr>
              <w:spacing w:after="0"/>
              <w:rPr>
                <w:sz w:val="1"/>
                <w:szCs w:val="1"/>
                <w:color w:val="auto"/>
              </w:rPr>
            </w:pPr>
          </w:p>
        </w:tc>
      </w:tr>
      <w:tr>
        <w:trPr>
          <w:trHeight w:val="209"/>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 (income):</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57,334</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50,217</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157,913</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139,570</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44,392</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41,824</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114,846</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107,551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35,329</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32,956</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110,233</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85,390</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Deferred compensation plan</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88,965</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89,327</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16,703</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Expenses associated with initial public offering</w:t>
            </w:r>
          </w:p>
        </w:tc>
        <w:tc>
          <w:tcPr>
            <w:tcW w:w="280" w:type="dxa"/>
            <w:vAlign w:val="bottom"/>
          </w:tcPr>
          <w:p>
            <w:pPr>
              <w:spacing w:after="0"/>
              <w:rPr>
                <w:sz w:val="23"/>
                <w:szCs w:val="23"/>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26,130</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26,130</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234,696</w:t>
            </w:r>
          </w:p>
        </w:tc>
        <w:tc>
          <w:tcPr>
            <w:tcW w:w="24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155,046</w:t>
            </w:r>
          </w:p>
        </w:tc>
        <w:tc>
          <w:tcPr>
            <w:tcW w:w="24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489,022</w:t>
            </w:r>
          </w:p>
        </w:tc>
        <w:tc>
          <w:tcPr>
            <w:tcW w:w="24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369,510</w:t>
            </w:r>
          </w:p>
        </w:tc>
        <w:tc>
          <w:tcPr>
            <w:tcW w:w="0" w:type="dxa"/>
            <w:vAlign w:val="bottom"/>
          </w:tcPr>
          <w:p>
            <w:pPr>
              <w:spacing w:after="0"/>
              <w:rPr>
                <w:sz w:val="1"/>
                <w:szCs w:val="1"/>
                <w:color w:val="auto"/>
              </w:rPr>
            </w:pPr>
          </w:p>
        </w:tc>
      </w:tr>
      <w:tr>
        <w:trPr>
          <w:trHeight w:val="250"/>
        </w:trPr>
        <w:tc>
          <w:tcPr>
            <w:tcW w:w="4700" w:type="dxa"/>
            <w:vAlign w:val="bottom"/>
          </w:tcPr>
          <w:p>
            <w:pPr>
              <w:ind w:left="360"/>
              <w:spacing w:after="0"/>
              <w:rPr>
                <w:sz w:val="20"/>
                <w:szCs w:val="20"/>
                <w:color w:val="auto"/>
              </w:rPr>
            </w:pPr>
            <w:r>
              <w:rPr>
                <w:rFonts w:ascii="Arial" w:cs="Arial" w:eastAsia="Arial" w:hAnsi="Arial"/>
                <w:sz w:val="18"/>
                <w:szCs w:val="18"/>
                <w:color w:val="auto"/>
              </w:rPr>
              <w:t>(Loss) income from operations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(40,448)</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47,422</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95,875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9,748</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income before income taxes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(45,241)</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17,130</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48,562</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(4,223)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(10,705)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Loss from investment accounted for using the equity method,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4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24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50"/>
        </w:trPr>
        <w:tc>
          <w:tcPr>
            <w:tcW w:w="4700" w:type="dxa"/>
            <w:vAlign w:val="bottom"/>
          </w:tcPr>
          <w:p>
            <w:pPr>
              <w:ind w:left="360"/>
              <w:spacing w:after="0"/>
              <w:rPr>
                <w:sz w:val="20"/>
                <w:szCs w:val="20"/>
                <w:color w:val="auto"/>
              </w:rPr>
            </w:pPr>
            <w:r>
              <w:rPr>
                <w:rFonts w:ascii="Arial" w:cs="Arial" w:eastAsia="Arial" w:hAnsi="Arial"/>
                <w:sz w:val="18"/>
                <w:szCs w:val="18"/>
                <w:color w:val="auto"/>
              </w:rPr>
              <w:t>Net (loss) income</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(50,128)</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5,844</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51,788</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74,589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Less: Net (loss) income attributable to participating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4700" w:type="dxa"/>
            <w:vAlign w:val="bottom"/>
          </w:tcPr>
          <w:p>
            <w:pPr>
              <w:ind w:left="360"/>
              <w:spacing w:after="0"/>
              <w:rPr>
                <w:sz w:val="20"/>
                <w:szCs w:val="20"/>
                <w:color w:val="auto"/>
              </w:rPr>
            </w:pPr>
            <w:r>
              <w:rPr>
                <w:rFonts w:ascii="Arial" w:cs="Arial" w:eastAsia="Arial" w:hAnsi="Arial"/>
                <w:sz w:val="18"/>
                <w:szCs w:val="18"/>
                <w:color w:val="auto"/>
              </w:rPr>
              <w:t>Net (loss) income attributable to Class A and</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520"/>
              <w:spacing w:after="0"/>
              <w:rPr>
                <w:sz w:val="20"/>
                <w:szCs w:val="20"/>
                <w:color w:val="auto"/>
              </w:rPr>
            </w:pPr>
            <w:r>
              <w:rPr>
                <w:rFonts w:ascii="Arial" w:cs="Arial" w:eastAsia="Arial" w:hAnsi="Arial"/>
                <w:sz w:val="18"/>
                <w:szCs w:val="18"/>
                <w:color w:val="auto"/>
              </w:rPr>
              <w:t>Class B common stockholders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(50,131)</w:t>
            </w:r>
          </w:p>
        </w:tc>
        <w:tc>
          <w:tcPr>
            <w:tcW w:w="24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51,782</w:t>
            </w:r>
          </w:p>
        </w:tc>
        <w:tc>
          <w:tcPr>
            <w:tcW w:w="24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information:</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Net (loss) income per share, 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per share,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shares,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308,195,379</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289,318,391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305,119,985</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287,063,892</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308,195,379</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299,634,961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314,658,136</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297,251,349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rPr>
              <w:t>(unaudited)</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454"/>
        </w:trPr>
        <w:tc>
          <w:tcPr>
            <w:tcW w:w="4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6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24"/>
                <w:szCs w:val="24"/>
                <w:color w:val="auto"/>
              </w:rPr>
            </w:pPr>
          </w:p>
        </w:tc>
        <w:tc>
          <w:tcPr>
            <w:tcW w:w="226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Nine Months Ended</w:t>
            </w:r>
          </w:p>
        </w:tc>
      </w:tr>
      <w:tr>
        <w:trPr>
          <w:trHeight w:val="242"/>
        </w:trPr>
        <w:tc>
          <w:tcPr>
            <w:tcW w:w="4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21"/>
                <w:szCs w:val="21"/>
                <w:color w:val="auto"/>
              </w:rPr>
            </w:pPr>
          </w:p>
        </w:tc>
      </w:tr>
      <w:tr>
        <w:trPr>
          <w:trHeight w:val="237"/>
        </w:trPr>
        <w:tc>
          <w:tcPr>
            <w:tcW w:w="436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89"/>
              </w:rPr>
              <w:t>2020</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89"/>
              </w:rPr>
              <w:t>2020</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5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(50,128)</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51,788</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74,589</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Other comprehensive loss, net of taxes:</w:t>
            </w: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5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(27,014)</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(55,709)</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w:t>
            </w:r>
          </w:p>
        </w:tc>
      </w:tr>
      <w:tr>
        <w:trPr>
          <w:trHeight w:val="229"/>
        </w:trPr>
        <w:tc>
          <w:tcPr>
            <w:tcW w:w="6260" w:type="dxa"/>
            <w:vAlign w:val="bottom"/>
            <w:gridSpan w:val="3"/>
          </w:tcPr>
          <w:p>
            <w:pPr>
              <w:ind w:left="180"/>
              <w:spacing w:after="0"/>
              <w:rPr>
                <w:sz w:val="20"/>
                <w:szCs w:val="20"/>
                <w:color w:val="auto"/>
              </w:rPr>
            </w:pPr>
            <w:r>
              <w:rPr>
                <w:rFonts w:ascii="Arial" w:cs="Arial" w:eastAsia="Arial" w:hAnsi="Arial"/>
                <w:sz w:val="18"/>
                <w:szCs w:val="18"/>
                <w:color w:val="auto"/>
              </w:rPr>
              <w:t>Actuarial gain on retirement plan, net of tax effect of $(8), $(6), $(25), and</w:t>
            </w: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7"/>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$(21), respectively</w:t>
            </w:r>
          </w:p>
        </w:tc>
        <w:tc>
          <w:tcPr>
            <w:tcW w:w="1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comprehensive loss, net of taxes</w:t>
            </w:r>
          </w:p>
        </w:tc>
        <w:tc>
          <w:tcPr>
            <w:tcW w:w="15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(26,994)</w:t>
            </w:r>
          </w:p>
        </w:tc>
        <w:tc>
          <w:tcPr>
            <w:tcW w:w="2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(55,647)</w:t>
            </w:r>
          </w:p>
        </w:tc>
        <w:tc>
          <w:tcPr>
            <w:tcW w:w="26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15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(77,122)</w:t>
            </w: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w:t>
            </w: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69,305</w:t>
            </w:r>
          </w:p>
        </w:tc>
      </w:tr>
      <w:tr>
        <w:trPr>
          <w:trHeight w:val="20"/>
        </w:trPr>
        <w:tc>
          <w:tcPr>
            <w:tcW w:w="4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Three Months Ended September 30, 2021</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9"/>
        </w:trPr>
        <w:tc>
          <w:tcPr>
            <w:tcW w:w="3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Class A and Class B</w:t>
            </w: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r>
      <w:tr>
        <w:trPr>
          <w:trHeight w:val="188"/>
        </w:trPr>
        <w:tc>
          <w:tcPr>
            <w:tcW w:w="3700" w:type="dxa"/>
            <w:vAlign w:val="bottom"/>
          </w:tcPr>
          <w:p>
            <w:pPr>
              <w:spacing w:after="0"/>
              <w:rPr>
                <w:sz w:val="16"/>
                <w:szCs w:val="16"/>
                <w:color w:val="auto"/>
              </w:rPr>
            </w:pPr>
          </w:p>
        </w:tc>
        <w:tc>
          <w:tcPr>
            <w:tcW w:w="134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Equity</w:t>
            </w: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2021</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281,189,127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910,951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w w:val="93"/>
              </w:rPr>
              <w:t>(54,886)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(387,063)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471,814</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(50,128)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(50,128)</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ind w:left="600"/>
              <w:spacing w:after="0"/>
              <w:rPr>
                <w:sz w:val="20"/>
                <w:szCs w:val="20"/>
                <w:color w:val="auto"/>
              </w:rPr>
            </w:pPr>
            <w:r>
              <w:rPr>
                <w:rFonts w:ascii="Arial" w:cs="Arial" w:eastAsia="Arial" w:hAnsi="Arial"/>
                <w:sz w:val="16"/>
                <w:szCs w:val="16"/>
                <w:color w:val="auto"/>
                <w:w w:val="93"/>
              </w:rPr>
              <w:t>(26,994)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(26,994)</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(8,485)</w:t>
            </w:r>
          </w:p>
        </w:tc>
      </w:tr>
      <w:tr>
        <w:trPr>
          <w:trHeight w:val="20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issued in connection with deferred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6"/>
        </w:trPr>
        <w:tc>
          <w:tcPr>
            <w:tcW w:w="3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 plan,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88,920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w:t>
            </w:r>
          </w:p>
        </w:tc>
      </w:tr>
      <w:tr>
        <w:trPr>
          <w:trHeight w:val="206"/>
        </w:trPr>
        <w:tc>
          <w:tcPr>
            <w:tcW w:w="3700" w:type="dxa"/>
            <w:vAlign w:val="bottom"/>
          </w:tcPr>
          <w:p>
            <w:pPr>
              <w:ind w:left="180"/>
              <w:spacing w:after="0"/>
              <w:rPr>
                <w:sz w:val="20"/>
                <w:szCs w:val="20"/>
                <w:color w:val="auto"/>
              </w:rPr>
            </w:pPr>
            <w:r>
              <w:rPr>
                <w:rFonts w:ascii="Arial" w:cs="Arial" w:eastAsia="Arial" w:hAnsi="Arial"/>
                <w:sz w:val="16"/>
                <w:szCs w:val="16"/>
                <w:color w:val="auto"/>
              </w:rPr>
              <w:t>Deferred compensation plan elective participant</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6"/>
                <w:szCs w:val="16"/>
                <w:color w:val="auto"/>
              </w:rPr>
              <w:t>deferrals</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527</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compensation plan modification</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(4,739)</w:t>
            </w:r>
          </w:p>
        </w:tc>
      </w:tr>
      <w:tr>
        <w:trPr>
          <w:trHeight w:val="206"/>
        </w:trPr>
        <w:tc>
          <w:tcPr>
            <w:tcW w:w="3700" w:type="dxa"/>
            <w:vAlign w:val="bottom"/>
          </w:tcPr>
          <w:p>
            <w:pPr>
              <w:ind w:left="180"/>
              <w:spacing w:after="0"/>
              <w:rPr>
                <w:sz w:val="20"/>
                <w:szCs w:val="20"/>
                <w:color w:val="auto"/>
              </w:rPr>
            </w:pPr>
            <w:r>
              <w:rPr>
                <w:rFonts w:ascii="Arial" w:cs="Arial" w:eastAsia="Arial" w:hAnsi="Arial"/>
                <w:sz w:val="16"/>
                <w:szCs w:val="16"/>
                <w:color w:val="auto"/>
                <w:w w:val="98"/>
              </w:rPr>
              <w:t>Shares issued in connection with Executive Bonus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6"/>
                <w:szCs w:val="16"/>
                <w:color w:val="auto"/>
              </w:rPr>
              <w:t>Plan,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41,172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2,422</w:t>
            </w:r>
          </w:p>
        </w:tc>
      </w:tr>
      <w:tr>
        <w:trPr>
          <w:trHeight w:val="20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issued in connection with employee stock</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6"/>
        </w:trPr>
        <w:tc>
          <w:tcPr>
            <w:tcW w:w="3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plan</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104,716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3,408</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Stock option exercises,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612,277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(5,246)</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5,835</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Shares related to restricted stock,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2,352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(5,644)</w:t>
            </w:r>
          </w:p>
        </w:tc>
      </w:tr>
      <w:tr>
        <w:trPr>
          <w:trHeight w:val="23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September 30, 2021</w:t>
            </w:r>
          </w:p>
        </w:tc>
        <w:tc>
          <w:tcPr>
            <w:tcW w:w="12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282,038,564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921,410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w w:val="93"/>
              </w:rPr>
              <w:t>(81,880)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(463,352)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378,998</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37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4"/>
              </w:rPr>
              <w:t>Nine Months Ended September 30, 2021</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79"/>
        </w:trPr>
        <w:tc>
          <w:tcPr>
            <w:tcW w:w="3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Class A and Class B</w:t>
            </w: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3700" w:type="dxa"/>
            <w:vAlign w:val="bottom"/>
          </w:tcPr>
          <w:p>
            <w:pPr>
              <w:spacing w:after="0"/>
              <w:rPr>
                <w:sz w:val="16"/>
                <w:szCs w:val="16"/>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r>
      <w:tr>
        <w:trPr>
          <w:trHeight w:val="188"/>
        </w:trPr>
        <w:tc>
          <w:tcPr>
            <w:tcW w:w="3700" w:type="dxa"/>
            <w:vAlign w:val="bottom"/>
          </w:tcPr>
          <w:p>
            <w:pPr>
              <w:spacing w:after="0"/>
              <w:rPr>
                <w:sz w:val="16"/>
                <w:szCs w:val="16"/>
                <w:color w:val="auto"/>
              </w:rPr>
            </w:pPr>
          </w:p>
        </w:tc>
        <w:tc>
          <w:tcPr>
            <w:tcW w:w="134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Equity</w:t>
            </w: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272,154,504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741,113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w w:val="93"/>
              </w:rPr>
              <w:t>(26,233)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(376,003)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341,599</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51,788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51,788</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ind w:left="600"/>
              <w:spacing w:after="0"/>
              <w:rPr>
                <w:sz w:val="20"/>
                <w:szCs w:val="20"/>
                <w:color w:val="auto"/>
              </w:rPr>
            </w:pPr>
            <w:r>
              <w:rPr>
                <w:rFonts w:ascii="Arial" w:cs="Arial" w:eastAsia="Arial" w:hAnsi="Arial"/>
                <w:sz w:val="16"/>
                <w:szCs w:val="16"/>
                <w:color w:val="auto"/>
                <w:w w:val="93"/>
              </w:rPr>
              <w:t>(55,647)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(55,647)</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Shares issued related to acquisition</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3,141,342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182,359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182,390</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Purchase of capped call options, net of tax of $12,584</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(39,021)</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(25,076)</w:t>
            </w:r>
          </w:p>
        </w:tc>
      </w:tr>
      <w:tr>
        <w:trPr>
          <w:trHeight w:val="20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issued in connection with deferred</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6"/>
        </w:trPr>
        <w:tc>
          <w:tcPr>
            <w:tcW w:w="3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compensation plan,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2,290,999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(65,684)</w:t>
            </w:r>
          </w:p>
        </w:tc>
      </w:tr>
      <w:tr>
        <w:trPr>
          <w:trHeight w:val="206"/>
        </w:trPr>
        <w:tc>
          <w:tcPr>
            <w:tcW w:w="3700" w:type="dxa"/>
            <w:vAlign w:val="bottom"/>
          </w:tcPr>
          <w:p>
            <w:pPr>
              <w:ind w:left="180"/>
              <w:spacing w:after="0"/>
              <w:rPr>
                <w:sz w:val="20"/>
                <w:szCs w:val="20"/>
                <w:color w:val="auto"/>
              </w:rPr>
            </w:pPr>
            <w:r>
              <w:rPr>
                <w:rFonts w:ascii="Arial" w:cs="Arial" w:eastAsia="Arial" w:hAnsi="Arial"/>
                <w:sz w:val="16"/>
                <w:szCs w:val="16"/>
                <w:color w:val="auto"/>
              </w:rPr>
              <w:t>Deferred compensation plan elective participant</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6"/>
                <w:szCs w:val="16"/>
                <w:color w:val="auto"/>
              </w:rPr>
              <w:t>deferrals</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2,020</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compensation plan modification</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(4,739)</w:t>
            </w:r>
          </w:p>
        </w:tc>
      </w:tr>
      <w:tr>
        <w:trPr>
          <w:trHeight w:val="206"/>
        </w:trPr>
        <w:tc>
          <w:tcPr>
            <w:tcW w:w="3700" w:type="dxa"/>
            <w:vAlign w:val="bottom"/>
          </w:tcPr>
          <w:p>
            <w:pPr>
              <w:ind w:left="180"/>
              <w:spacing w:after="0"/>
              <w:rPr>
                <w:sz w:val="20"/>
                <w:szCs w:val="20"/>
                <w:color w:val="auto"/>
              </w:rPr>
            </w:pPr>
            <w:r>
              <w:rPr>
                <w:rFonts w:ascii="Arial" w:cs="Arial" w:eastAsia="Arial" w:hAnsi="Arial"/>
                <w:sz w:val="16"/>
                <w:szCs w:val="16"/>
                <w:color w:val="auto"/>
                <w:w w:val="98"/>
              </w:rPr>
              <w:t>Shares issued in connection with Executive Bonus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6"/>
                <w:szCs w:val="16"/>
                <w:color w:val="auto"/>
              </w:rPr>
              <w:t>Plan,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190,619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9,429</w:t>
            </w:r>
          </w:p>
        </w:tc>
      </w:tr>
      <w:tr>
        <w:trPr>
          <w:trHeight w:val="20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issued in connection with employee stock</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6"/>
        </w:trPr>
        <w:tc>
          <w:tcPr>
            <w:tcW w:w="3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plan</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104,716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3,408</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Stock option exercises,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4,269,335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(34,978)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(29,949)</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issued for stock grants,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14,383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14,383</w:t>
            </w:r>
          </w:p>
        </w:tc>
      </w:tr>
      <w:tr>
        <w:trPr>
          <w:trHeight w:val="243"/>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related to restricted stock, net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(6,353)</w:t>
            </w: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Balance, September 30, 2021</w:t>
            </w:r>
          </w:p>
        </w:tc>
        <w:tc>
          <w:tcPr>
            <w:tcW w:w="12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282,038,564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921,410</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color w:val="auto"/>
                <w:w w:val="93"/>
              </w:rPr>
              <w:t>(81,880)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(463,352)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378,998</w:t>
            </w:r>
          </w:p>
        </w:tc>
      </w:tr>
      <w:tr>
        <w:trPr>
          <w:trHeight w:val="20"/>
        </w:trPr>
        <w:tc>
          <w:tcPr>
            <w:tcW w:w="3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6" w:name="page7"/>
    <w:bookmarkEnd w:id="6"/>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Three Months Ended September 30, 2020</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9"/>
        </w:trPr>
        <w:tc>
          <w:tcPr>
            <w:tcW w:w="3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3700" w:type="dxa"/>
            <w:vAlign w:val="bottom"/>
          </w:tcPr>
          <w:p>
            <w:pPr>
              <w:spacing w:after="0"/>
              <w:rPr>
                <w:sz w:val="16"/>
                <w:szCs w:val="16"/>
                <w:color w:val="auto"/>
              </w:rPr>
            </w:pPr>
          </w:p>
        </w:tc>
        <w:tc>
          <w:tcPr>
            <w:tcW w:w="2500" w:type="dxa"/>
            <w:vAlign w:val="bottom"/>
            <w:gridSpan w:val="5"/>
          </w:tcPr>
          <w:p>
            <w:pPr>
              <w:ind w:left="580"/>
              <w:spacing w:after="0"/>
              <w:rPr>
                <w:sz w:val="20"/>
                <w:szCs w:val="20"/>
                <w:color w:val="auto"/>
              </w:rPr>
            </w:pPr>
            <w:r>
              <w:rPr>
                <w:rFonts w:ascii="Arial" w:cs="Arial" w:eastAsia="Arial" w:hAnsi="Arial"/>
                <w:sz w:val="14"/>
                <w:szCs w:val="14"/>
                <w:b w:val="1"/>
                <w:bCs w:val="1"/>
                <w:color w:val="auto"/>
              </w:rPr>
              <w:t>Class A and Class B</w:t>
            </w: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3700" w:type="dxa"/>
            <w:vAlign w:val="bottom"/>
          </w:tcPr>
          <w:p>
            <w:pPr>
              <w:spacing w:after="0"/>
              <w:rPr>
                <w:sz w:val="16"/>
                <w:szCs w:val="16"/>
                <w:color w:val="auto"/>
              </w:rPr>
            </w:pPr>
          </w:p>
        </w:tc>
        <w:tc>
          <w:tcPr>
            <w:tcW w:w="2500" w:type="dxa"/>
            <w:vAlign w:val="bottom"/>
            <w:gridSpan w:val="5"/>
          </w:tcPr>
          <w:p>
            <w:pPr>
              <w:ind w:left="7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r>
      <w:tr>
        <w:trPr>
          <w:trHeight w:val="188"/>
        </w:trPr>
        <w:tc>
          <w:tcPr>
            <w:tcW w:w="3700" w:type="dxa"/>
            <w:vAlign w:val="bottom"/>
          </w:tcPr>
          <w:p>
            <w:pPr>
              <w:spacing w:after="0"/>
              <w:rPr>
                <w:sz w:val="16"/>
                <w:szCs w:val="16"/>
                <w:color w:val="auto"/>
              </w:rPr>
            </w:pPr>
          </w:p>
        </w:tc>
        <w:tc>
          <w:tcPr>
            <w:tcW w:w="134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Equity</w:t>
            </w: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2020</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259,209,355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415,883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379,744</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5,844</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(400,311)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(400,311)</w:t>
            </w:r>
          </w:p>
        </w:tc>
      </w:tr>
      <w:tr>
        <w:trPr>
          <w:trHeight w:val="246"/>
        </w:trPr>
        <w:tc>
          <w:tcPr>
            <w:tcW w:w="3700" w:type="dxa"/>
            <w:vAlign w:val="bottom"/>
            <w:shd w:val="clear" w:color="auto" w:fill="CCEEFF"/>
          </w:tcPr>
          <w:p>
            <w:pPr>
              <w:ind w:left="180"/>
              <w:spacing w:after="0" w:line="184" w:lineRule="exact"/>
              <w:rPr>
                <w:sz w:val="20"/>
                <w:szCs w:val="20"/>
                <w:color w:val="auto"/>
              </w:rPr>
            </w:pPr>
            <w:r>
              <w:rPr>
                <w:rFonts w:ascii="Arial" w:cs="Arial" w:eastAsia="Arial" w:hAnsi="Arial"/>
                <w:sz w:val="16"/>
                <w:szCs w:val="16"/>
                <w:color w:val="auto"/>
              </w:rPr>
              <w:t>Profit</w:t>
            </w:r>
            <w:r>
              <w:rPr>
                <w:rFonts w:ascii="MS PGothic" w:cs="MS PGothic" w:eastAsia="MS PGothic" w:hAnsi="MS PGothic"/>
                <w:sz w:val="16"/>
                <w:szCs w:val="16"/>
                <w:color w:val="auto"/>
              </w:rPr>
              <w:t>‑</w:t>
            </w:r>
            <w:r>
              <w:rPr>
                <w:rFonts w:ascii="Arial" w:cs="Arial" w:eastAsia="Arial" w:hAnsi="Arial"/>
                <w:sz w:val="16"/>
                <w:szCs w:val="16"/>
                <w:color w:val="auto"/>
              </w:rPr>
              <w:t>sharing plan shares, net</w:t>
            </w:r>
          </w:p>
        </w:tc>
        <w:tc>
          <w:tcPr>
            <w:tcW w:w="124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3"/>
              </w:rPr>
              <w:t>(164,266)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(2,542)</w:t>
            </w:r>
          </w:p>
        </w:tc>
      </w:tr>
      <w:tr>
        <w:trPr>
          <w:trHeight w:val="206"/>
        </w:trPr>
        <w:tc>
          <w:tcPr>
            <w:tcW w:w="3700" w:type="dxa"/>
            <w:vAlign w:val="bottom"/>
          </w:tcPr>
          <w:p>
            <w:pPr>
              <w:ind w:left="180"/>
              <w:spacing w:after="0"/>
              <w:rPr>
                <w:sz w:val="20"/>
                <w:szCs w:val="20"/>
                <w:color w:val="auto"/>
              </w:rPr>
            </w:pPr>
            <w:r>
              <w:rPr>
                <w:rFonts w:ascii="Arial" w:cs="Arial" w:eastAsia="Arial" w:hAnsi="Arial"/>
                <w:sz w:val="16"/>
                <w:szCs w:val="16"/>
                <w:color w:val="auto"/>
              </w:rPr>
              <w:t>Shares issued in connection with deferred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6"/>
                <w:szCs w:val="16"/>
                <w:color w:val="auto"/>
              </w:rPr>
              <w:t>compensation plan,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24,800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0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compensation plan elective participant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6"/>
        </w:trPr>
        <w:tc>
          <w:tcPr>
            <w:tcW w:w="3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deferrals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Stock option exercises,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1,321,475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4,985</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 expense</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19,517</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Shares related to restricted stock,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1,835,672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8"/>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September 30, 2020</w:t>
            </w:r>
          </w:p>
        </w:tc>
        <w:tc>
          <w:tcPr>
            <w:tcW w:w="12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262,227,036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441,723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(407,961)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7,173</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37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4"/>
              </w:rPr>
              <w:t>Nine Months Ended September 30, 2020</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79"/>
        </w:trPr>
        <w:tc>
          <w:tcPr>
            <w:tcW w:w="3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6"/>
        </w:trPr>
        <w:tc>
          <w:tcPr>
            <w:tcW w:w="3700" w:type="dxa"/>
            <w:vAlign w:val="bottom"/>
          </w:tcPr>
          <w:p>
            <w:pPr>
              <w:spacing w:after="0"/>
              <w:rPr>
                <w:sz w:val="16"/>
                <w:szCs w:val="16"/>
                <w:color w:val="auto"/>
              </w:rPr>
            </w:pPr>
          </w:p>
        </w:tc>
        <w:tc>
          <w:tcPr>
            <w:tcW w:w="2500" w:type="dxa"/>
            <w:vAlign w:val="bottom"/>
            <w:gridSpan w:val="5"/>
          </w:tcPr>
          <w:p>
            <w:pPr>
              <w:ind w:left="580"/>
              <w:spacing w:after="0"/>
              <w:rPr>
                <w:sz w:val="20"/>
                <w:szCs w:val="20"/>
                <w:color w:val="auto"/>
              </w:rPr>
            </w:pPr>
            <w:r>
              <w:rPr>
                <w:rFonts w:ascii="Arial" w:cs="Arial" w:eastAsia="Arial" w:hAnsi="Arial"/>
                <w:sz w:val="14"/>
                <w:szCs w:val="14"/>
                <w:b w:val="1"/>
                <w:bCs w:val="1"/>
                <w:color w:val="auto"/>
              </w:rPr>
              <w:t>Class A and Class B</w:t>
            </w: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Total</w:t>
            </w:r>
          </w:p>
        </w:tc>
      </w:tr>
      <w:tr>
        <w:trPr>
          <w:trHeight w:val="195"/>
        </w:trPr>
        <w:tc>
          <w:tcPr>
            <w:tcW w:w="3700" w:type="dxa"/>
            <w:vAlign w:val="bottom"/>
          </w:tcPr>
          <w:p>
            <w:pPr>
              <w:spacing w:after="0"/>
              <w:rPr>
                <w:sz w:val="16"/>
                <w:szCs w:val="16"/>
                <w:color w:val="auto"/>
              </w:rPr>
            </w:pPr>
          </w:p>
        </w:tc>
        <w:tc>
          <w:tcPr>
            <w:tcW w:w="2500" w:type="dxa"/>
            <w:vAlign w:val="bottom"/>
            <w:gridSpan w:val="5"/>
          </w:tcPr>
          <w:p>
            <w:pPr>
              <w:ind w:left="7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060" w:type="dxa"/>
            <w:vAlign w:val="bottom"/>
          </w:tcPr>
          <w:p>
            <w:pPr>
              <w:jc w:val="center"/>
              <w:ind w:right="61"/>
              <w:spacing w:after="0"/>
              <w:rPr>
                <w:sz w:val="20"/>
                <w:szCs w:val="20"/>
                <w:color w:val="auto"/>
              </w:rPr>
            </w:pPr>
            <w:r>
              <w:rPr>
                <w:rFonts w:ascii="Arial" w:cs="Arial" w:eastAsia="Arial" w:hAnsi="Arial"/>
                <w:sz w:val="14"/>
                <w:szCs w:val="14"/>
                <w:b w:val="1"/>
                <w:bCs w:val="1"/>
                <w:color w:val="auto"/>
                <w:w w:val="90"/>
              </w:rPr>
              <w:t>Stockholders’</w:t>
            </w:r>
          </w:p>
        </w:tc>
      </w:tr>
      <w:tr>
        <w:trPr>
          <w:trHeight w:val="188"/>
        </w:trPr>
        <w:tc>
          <w:tcPr>
            <w:tcW w:w="3700" w:type="dxa"/>
            <w:vAlign w:val="bottom"/>
          </w:tcPr>
          <w:p>
            <w:pPr>
              <w:spacing w:after="0"/>
              <w:rPr>
                <w:sz w:val="16"/>
                <w:szCs w:val="16"/>
                <w:color w:val="auto"/>
              </w:rPr>
            </w:pPr>
          </w:p>
        </w:tc>
        <w:tc>
          <w:tcPr>
            <w:tcW w:w="134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Arial" w:cs="Arial" w:eastAsia="Arial" w:hAnsi="Arial"/>
                <w:sz w:val="14"/>
                <w:szCs w:val="14"/>
                <w:b w:val="1"/>
                <w:bCs w:val="1"/>
                <w:color w:val="auto"/>
                <w:w w:val="98"/>
              </w:rPr>
              <w:t>Equity</w:t>
            </w: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254,842,949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408,667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(52,669)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334,619</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74,589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74,589</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(5,284)</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Dividends declared</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(415,748)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(415,748)</w:t>
            </w:r>
          </w:p>
        </w:tc>
      </w:tr>
      <w:tr>
        <w:trPr>
          <w:trHeight w:val="246"/>
        </w:trPr>
        <w:tc>
          <w:tcPr>
            <w:tcW w:w="3700" w:type="dxa"/>
            <w:vAlign w:val="bottom"/>
            <w:shd w:val="clear" w:color="auto" w:fill="CCEEFF"/>
          </w:tcPr>
          <w:p>
            <w:pPr>
              <w:ind w:left="180"/>
              <w:spacing w:after="0" w:line="184" w:lineRule="exact"/>
              <w:rPr>
                <w:sz w:val="20"/>
                <w:szCs w:val="20"/>
                <w:color w:val="auto"/>
              </w:rPr>
            </w:pPr>
            <w:r>
              <w:rPr>
                <w:rFonts w:ascii="Arial" w:cs="Arial" w:eastAsia="Arial" w:hAnsi="Arial"/>
                <w:sz w:val="16"/>
                <w:szCs w:val="16"/>
                <w:color w:val="auto"/>
              </w:rPr>
              <w:t>Profit</w:t>
            </w:r>
            <w:r>
              <w:rPr>
                <w:rFonts w:ascii="MS PGothic" w:cs="MS PGothic" w:eastAsia="MS PGothic" w:hAnsi="MS PGothic"/>
                <w:sz w:val="16"/>
                <w:szCs w:val="16"/>
                <w:color w:val="auto"/>
              </w:rPr>
              <w:t>‑</w:t>
            </w:r>
            <w:r>
              <w:rPr>
                <w:rFonts w:ascii="Arial" w:cs="Arial" w:eastAsia="Arial" w:hAnsi="Arial"/>
                <w:sz w:val="16"/>
                <w:szCs w:val="16"/>
                <w:color w:val="auto"/>
              </w:rPr>
              <w:t>sharing plan shares, net</w:t>
            </w:r>
          </w:p>
        </w:tc>
        <w:tc>
          <w:tcPr>
            <w:tcW w:w="1240" w:type="dxa"/>
            <w:vAlign w:val="bottom"/>
            <w:shd w:val="clear" w:color="auto" w:fill="CCEEFF"/>
          </w:tcPr>
          <w:p>
            <w:pPr>
              <w:ind w:left="580"/>
              <w:spacing w:after="0"/>
              <w:rPr>
                <w:sz w:val="20"/>
                <w:szCs w:val="20"/>
                <w:color w:val="auto"/>
              </w:rPr>
            </w:pPr>
            <w:r>
              <w:rPr>
                <w:rFonts w:ascii="Arial" w:cs="Arial" w:eastAsia="Arial" w:hAnsi="Arial"/>
                <w:sz w:val="16"/>
                <w:szCs w:val="16"/>
                <w:color w:val="auto"/>
                <w:w w:val="93"/>
              </w:rPr>
              <w:t>(549,834)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(6,970)</w:t>
            </w:r>
          </w:p>
        </w:tc>
      </w:tr>
      <w:tr>
        <w:trPr>
          <w:trHeight w:val="206"/>
        </w:trPr>
        <w:tc>
          <w:tcPr>
            <w:tcW w:w="3700" w:type="dxa"/>
            <w:vAlign w:val="bottom"/>
          </w:tcPr>
          <w:p>
            <w:pPr>
              <w:ind w:left="180"/>
              <w:spacing w:after="0"/>
              <w:rPr>
                <w:sz w:val="20"/>
                <w:szCs w:val="20"/>
                <w:color w:val="auto"/>
              </w:rPr>
            </w:pPr>
            <w:r>
              <w:rPr>
                <w:rFonts w:ascii="Arial" w:cs="Arial" w:eastAsia="Arial" w:hAnsi="Arial"/>
                <w:sz w:val="16"/>
                <w:szCs w:val="16"/>
                <w:color w:val="auto"/>
              </w:rPr>
              <w:t>Shares issued in connection with deferred</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6"/>
                <w:szCs w:val="16"/>
                <w:color w:val="auto"/>
              </w:rPr>
              <w:t>compensation plan,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2,984,531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(1,877)</w:t>
            </w:r>
          </w:p>
        </w:tc>
      </w:tr>
      <w:tr>
        <w:trPr>
          <w:trHeight w:val="209"/>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compensation plan elective participant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6"/>
        </w:trPr>
        <w:tc>
          <w:tcPr>
            <w:tcW w:w="3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deferrals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Payment of shareholder Put and Call rights</w:t>
            </w:r>
          </w:p>
        </w:tc>
        <w:tc>
          <w:tcPr>
            <w:tcW w:w="1240" w:type="dxa"/>
            <w:vAlign w:val="bottom"/>
          </w:tcPr>
          <w:p>
            <w:pPr>
              <w:ind w:left="580"/>
              <w:spacing w:after="0"/>
              <w:rPr>
                <w:sz w:val="20"/>
                <w:szCs w:val="20"/>
                <w:color w:val="auto"/>
              </w:rPr>
            </w:pPr>
            <w:r>
              <w:rPr>
                <w:rFonts w:ascii="Arial" w:cs="Arial" w:eastAsia="Arial" w:hAnsi="Arial"/>
                <w:sz w:val="16"/>
                <w:szCs w:val="16"/>
                <w:color w:val="auto"/>
                <w:w w:val="93"/>
              </w:rPr>
              <w:t>(128,176)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(1,454)</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Purchase Agreement,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Stock option exercises, net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3,506,103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4,158</w:t>
            </w:r>
          </w:p>
        </w:tc>
      </w:tr>
      <w:tr>
        <w:trPr>
          <w:trHeight w:val="246"/>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issued for stock grants</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40"/>
        </w:trPr>
        <w:tc>
          <w:tcPr>
            <w:tcW w:w="370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22,510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22,510</w:t>
            </w:r>
          </w:p>
        </w:tc>
      </w:tr>
      <w:tr>
        <w:trPr>
          <w:trHeight w:val="243"/>
        </w:trPr>
        <w:tc>
          <w:tcPr>
            <w:tcW w:w="3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Shares related to restricted stock, net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1,553,883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Balance, September 30, 2020</w:t>
            </w:r>
          </w:p>
        </w:tc>
        <w:tc>
          <w:tcPr>
            <w:tcW w:w="12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262,227,036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441,723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(29,211)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(407,961)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7,173</w:t>
            </w:r>
          </w:p>
        </w:tc>
      </w:tr>
      <w:tr>
        <w:trPr>
          <w:trHeight w:val="20"/>
        </w:trPr>
        <w:tc>
          <w:tcPr>
            <w:tcW w:w="37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7" w:name="page8"/>
    <w:bookmarkEnd w:id="7"/>
    <w:p>
      <w:pPr>
        <w:spacing w:after="0" w:line="194"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BENTLEY SYSTEMS, INCORPORATED AND SUBSIDIARIES</w:t>
      </w:r>
    </w:p>
    <w:p>
      <w:pPr>
        <w:spacing w:after="0" w:line="3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Nine Months Ended</w:t>
      </w:r>
    </w:p>
    <w:p>
      <w:pPr>
        <w:spacing w:after="0" w:line="32"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20320</wp:posOffset>
            </wp:positionV>
            <wp:extent cx="18084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9" w:lineRule="exact"/>
        <w:rPr>
          <w:sz w:val="20"/>
          <w:szCs w:val="20"/>
          <w:color w:val="auto"/>
        </w:rPr>
      </w:pPr>
    </w:p>
    <w:p>
      <w:pPr>
        <w:jc w:val="both"/>
        <w:ind w:left="8880"/>
        <w:spacing w:after="0"/>
        <w:tabs>
          <w:tab w:leader="none" w:pos="1042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ectPr>
          <w:pgSz w:w="11900" w:h="16838" w:orient="portrait"/>
          <w:cols w:equalWidth="0" w:num="1">
            <w:col w:w="11240"/>
          </w:cols>
          <w:pgMar w:left="320" w:top="1440" w:right="339" w:bottom="482"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Bad debt allowance (recovery)</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w:t>
      </w:r>
    </w:p>
    <w:p>
      <w:pPr>
        <w:spacing w:after="0" w:line="63" w:lineRule="exact"/>
        <w:rPr>
          <w:sz w:val="20"/>
          <w:szCs w:val="20"/>
          <w:color w:val="auto"/>
        </w:rPr>
      </w:pPr>
    </w:p>
    <w:p>
      <w:pPr>
        <w:ind w:left="360" w:right="3140"/>
        <w:spacing w:after="0" w:line="313" w:lineRule="auto"/>
        <w:rPr>
          <w:sz w:val="20"/>
          <w:szCs w:val="20"/>
          <w:color w:val="auto"/>
        </w:rPr>
      </w:pPr>
      <w:r>
        <w:rPr>
          <w:rFonts w:ascii="Arial" w:cs="Arial" w:eastAsia="Arial" w:hAnsi="Arial"/>
          <w:sz w:val="18"/>
          <w:szCs w:val="18"/>
          <w:color w:val="auto"/>
        </w:rPr>
        <w:t>Amortization and write-off of deferred debt issuance costs Change in fair value of derivative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Change in fair value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Foreign currency remeasurement loss (gain)</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Loss from investment accounted for using the equity method,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assets and liabilities, net of effect from acquisitions: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and other assets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 accruals,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compensation plan liabilities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taxes payable, net of prepaid income taxes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Net cash provided by operating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Purchases of property and equipment and investment in capitalized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Acquisitions, net of cash acquired of $37,837 and $2,064, respectively</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investing activities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credit facilities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Proceeds from convertible senior notes, net of discounts and commissions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capped call options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financing leases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acquisition debt and other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of dividends</w:t>
      </w:r>
    </w:p>
    <w:p>
      <w:pPr>
        <w:spacing w:after="0" w:line="63" w:lineRule="exact"/>
        <w:rPr>
          <w:sz w:val="20"/>
          <w:szCs w:val="20"/>
          <w:color w:val="auto"/>
        </w:rPr>
      </w:pPr>
    </w:p>
    <w:p>
      <w:pPr>
        <w:ind w:left="180" w:right="2820"/>
        <w:spacing w:after="0" w:line="331" w:lineRule="auto"/>
        <w:rPr>
          <w:sz w:val="20"/>
          <w:szCs w:val="20"/>
          <w:color w:val="auto"/>
        </w:rPr>
      </w:pPr>
      <w:r>
        <w:rPr>
          <w:rFonts w:ascii="Arial" w:cs="Arial" w:eastAsia="Arial" w:hAnsi="Arial"/>
          <w:sz w:val="17"/>
          <w:szCs w:val="17"/>
          <w:color w:val="auto"/>
        </w:rPr>
        <w:t>Payments for shares acquired including shares withheld for taxes Proceeds from Common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80" w:right="2600"/>
        <w:spacing w:after="0" w:line="317" w:lineRule="auto"/>
        <w:rPr>
          <w:sz w:val="20"/>
          <w:szCs w:val="20"/>
          <w:color w:val="auto"/>
        </w:rPr>
      </w:pPr>
      <w:r>
        <w:rPr>
          <w:rFonts w:ascii="Arial" w:cs="Arial" w:eastAsia="Arial" w:hAnsi="Arial"/>
          <w:sz w:val="18"/>
          <w:szCs w:val="18"/>
          <w:color w:val="auto"/>
        </w:rPr>
        <w:t>Proceeds from stock purchases under employee stock purchase plan 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51,788</w:t>
            </w:r>
          </w:p>
        </w:tc>
        <w:tc>
          <w:tcPr>
            <w:tcW w:w="26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74,589</w:t>
            </w:r>
          </w:p>
        </w:tc>
      </w:tr>
      <w:tr>
        <w:trPr>
          <w:trHeight w:val="540"/>
        </w:trPr>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35,946</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25,836</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(17,788)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7,853</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32,853</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23,617</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4,160</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(9,198)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3,365</w:t>
            </w:r>
          </w:p>
        </w:tc>
      </w:tr>
      <w:tr>
        <w:trPr>
          <w:trHeight w:val="270"/>
        </w:trPr>
        <w:tc>
          <w:tcPr>
            <w:tcW w:w="260" w:type="dxa"/>
            <w:vAlign w:val="bottom"/>
          </w:tcPr>
          <w:p>
            <w:pPr>
              <w:spacing w:after="0"/>
              <w:rPr>
                <w:sz w:val="23"/>
                <w:szCs w:val="23"/>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(1,340)</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(9,067)</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2,939</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1,447</w:t>
            </w:r>
          </w:p>
        </w:tc>
      </w:tr>
      <w:tr>
        <w:trPr>
          <w:trHeight w:val="540"/>
        </w:trPr>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26,305</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46,661</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11,310</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8,907</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31,766</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31,486</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86,608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(36,598)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(35,134)</w:t>
            </w:r>
          </w:p>
        </w:tc>
      </w:tr>
      <w:tr>
        <w:trPr>
          <w:trHeight w:val="270"/>
        </w:trPr>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(13,243)</w:t>
            </w:r>
          </w:p>
        </w:tc>
        <w:tc>
          <w:tcPr>
            <w:tcW w:w="2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r>
      <w:tr>
        <w:trPr>
          <w:trHeight w:val="243"/>
        </w:trPr>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207,417</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176,025</w:t>
            </w:r>
          </w:p>
        </w:tc>
      </w:tr>
      <w:tr>
        <w:trPr>
          <w:trHeight w:val="486"/>
        </w:trPr>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(11,152)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(13,533)</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(1,033,695)</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(68,920)</w:t>
            </w:r>
          </w:p>
        </w:tc>
      </w:tr>
      <w:tr>
        <w:trPr>
          <w:trHeight w:val="270"/>
        </w:trPr>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(6,355)</w:t>
            </w:r>
          </w:p>
        </w:tc>
      </w:tr>
      <w:tr>
        <w:trPr>
          <w:trHeight w:val="243"/>
        </w:trPr>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(1,047,847)</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(88,808)</w:t>
            </w:r>
          </w:p>
        </w:tc>
      </w:tr>
      <w:tr>
        <w:trPr>
          <w:trHeight w:val="486"/>
        </w:trPr>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682,083</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432,375</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(860,228)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(201,125)</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1,233,377</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(5,643)</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(51,555)</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60" w:type="dxa"/>
            <w:vAlign w:val="bottom"/>
          </w:tcPr>
          <w:p>
            <w:pPr>
              <w:spacing w:after="0"/>
              <w:rPr>
                <w:sz w:val="23"/>
                <w:szCs w:val="23"/>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r>
      <w:tr>
        <w:trPr>
          <w:trHeight w:val="270"/>
        </w:trPr>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r>
    </w:tbl>
    <w:p>
      <w:pPr>
        <w:spacing w:after="0" w:line="40" w:lineRule="exact"/>
        <w:rPr>
          <w:sz w:val="20"/>
          <w:szCs w:val="20"/>
          <w:color w:val="auto"/>
        </w:rPr>
      </w:pPr>
    </w:p>
    <w:p>
      <w:pPr>
        <w:ind w:left="2280" w:hanging="1409"/>
        <w:spacing w:after="0"/>
        <w:tabs>
          <w:tab w:leader="none" w:pos="2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(2,034)</w:t>
      </w:r>
    </w:p>
    <w:p>
      <w:pPr>
        <w:spacing w:after="0" w:line="7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(25,076)</w:t>
      </w:r>
      <w:r>
        <w:rPr>
          <w:rFonts w:ascii="Arial" w:cs="Arial" w:eastAsia="Arial" w:hAnsi="Arial"/>
          <w:sz w:val="16"/>
          <w:szCs w:val="16"/>
          <w:color w:val="auto"/>
        </w:rPr>
        <w:t>(412,852)</w:t>
      </w:r>
    </w:p>
    <w:p>
      <w:pPr>
        <w:spacing w:after="0" w:line="63" w:lineRule="exact"/>
        <w:rPr>
          <w:sz w:val="20"/>
          <w:szCs w:val="20"/>
          <w:color w:val="auto"/>
        </w:rPr>
      </w:pPr>
    </w:p>
    <w:p>
      <w:pPr>
        <w:ind w:left="560"/>
        <w:spacing w:after="0"/>
        <w:tabs>
          <w:tab w:leader="none" w:pos="2180" w:val="left"/>
        </w:tabs>
        <w:rPr>
          <w:sz w:val="20"/>
          <w:szCs w:val="20"/>
          <w:color w:val="auto"/>
        </w:rPr>
      </w:pPr>
      <w:r>
        <w:rPr>
          <w:rFonts w:ascii="Arial" w:cs="Arial" w:eastAsia="Arial" w:hAnsi="Arial"/>
          <w:sz w:val="17"/>
          <w:szCs w:val="17"/>
          <w:color w:val="auto"/>
        </w:rPr>
        <w:t>(111,306)</w:t>
      </w:r>
      <w:r>
        <w:rPr>
          <w:sz w:val="20"/>
          <w:szCs w:val="20"/>
          <w:color w:val="auto"/>
        </w:rPr>
        <w:tab/>
      </w:r>
      <w:r>
        <w:rPr>
          <w:rFonts w:ascii="Arial" w:cs="Arial" w:eastAsia="Arial" w:hAnsi="Arial"/>
          <w:sz w:val="17"/>
          <w:szCs w:val="17"/>
          <w:color w:val="auto"/>
        </w:rPr>
        <w:t>(72,476)</w:t>
      </w:r>
    </w:p>
    <w:p>
      <w:pPr>
        <w:spacing w:after="0" w:line="7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58,349</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3,846—</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5,039</w:t>
      </w:r>
      <w:r>
        <w:rPr>
          <w:rFonts w:ascii="Arial" w:cs="Arial" w:eastAsia="Arial" w:hAnsi="Arial"/>
          <w:sz w:val="15"/>
          <w:szCs w:val="15"/>
          <w:color w:val="auto"/>
        </w:rPr>
        <w:t>3,206</w:t>
      </w:r>
    </w:p>
    <w:p>
      <w:pPr>
        <w:spacing w:after="0" w:line="43" w:lineRule="exact"/>
        <w:rPr>
          <w:sz w:val="20"/>
          <w:szCs w:val="20"/>
          <w:color w:val="auto"/>
        </w:rPr>
      </w:pPr>
    </w:p>
    <w:p>
      <w:pPr>
        <w:sectPr>
          <w:pgSz w:w="11900" w:h="16838" w:orient="portrait"/>
          <w:cols w:equalWidth="0" w:num="2">
            <w:col w:w="7680" w:space="720"/>
            <w:col w:w="2840"/>
          </w:cols>
          <w:pgMar w:left="320" w:top="1440" w:right="339" w:bottom="482"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869,649</w:t>
            </w:r>
          </w:p>
        </w:tc>
        <w:tc>
          <w:tcPr>
            <w:tcW w:w="26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(70,130)</w:t>
            </w: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50"/>
        </w:trPr>
        <w:tc>
          <w:tcPr>
            <w:tcW w:w="8400" w:type="dxa"/>
            <w:vAlign w:val="bottom"/>
          </w:tcPr>
          <w:p>
            <w:pPr>
              <w:ind w:left="360"/>
              <w:spacing w:after="0"/>
              <w:rPr>
                <w:sz w:val="20"/>
                <w:szCs w:val="20"/>
                <w:color w:val="auto"/>
              </w:rPr>
            </w:pPr>
            <w:r>
              <w:rPr>
                <w:rFonts w:ascii="Arial" w:cs="Arial" w:eastAsia="Arial" w:hAnsi="Arial"/>
                <w:sz w:val="18"/>
                <w:szCs w:val="18"/>
                <w:color w:val="auto"/>
              </w:rPr>
              <w:t>Increase in cash and cash equivalents</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33,749</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16,497</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122,006</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121,101</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155,755</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137,598</w:t>
            </w:r>
          </w:p>
        </w:tc>
      </w:tr>
      <w:tr>
        <w:trPr>
          <w:trHeight w:val="21"/>
        </w:trPr>
        <w:tc>
          <w:tcPr>
            <w:tcW w:w="8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482" w:gutter="0" w:footer="0" w:header="0"/>
          <w:type w:val="continuous"/>
        </w:sect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482" w:gutter="0" w:footer="0" w:header="0"/>
          <w:type w:val="continuous"/>
        </w:sectPr>
      </w:pPr>
    </w:p>
    <w:bookmarkStart w:id="8" w:name="page9"/>
    <w:bookmarkEnd w:id="8"/>
    <w:p>
      <w:pPr>
        <w:spacing w:after="0" w:line="194"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BENTLEY SYSTEMS, INCORPORATED AND SUBSIDIARIES</w:t>
      </w:r>
    </w:p>
    <w:p>
      <w:pPr>
        <w:spacing w:after="0" w:line="3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(in thousands)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Nine Months Ended</w:t>
      </w:r>
    </w:p>
    <w:p>
      <w:pPr>
        <w:spacing w:after="0" w:line="55" w:lineRule="exact"/>
        <w:rPr>
          <w:sz w:val="20"/>
          <w:szCs w:val="20"/>
          <w:color w:val="auto"/>
        </w:rPr>
      </w:pPr>
    </w:p>
    <w:p>
      <w:pPr>
        <w:jc w:val="center"/>
        <w:ind w:left="870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5521325</wp:posOffset>
            </wp:positionH>
            <wp:positionV relativeFrom="paragraph">
              <wp:posOffset>20320</wp:posOffset>
            </wp:positionV>
            <wp:extent cx="16027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 paid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Income tax refunds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paid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Shares issued related to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Contingent acquisition consideration</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Deferred, non-contingent consideration,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Convertible senior notes expenses included in </w:t>
      </w:r>
      <w:r>
        <w:rPr>
          <w:rFonts w:ascii="Arial" w:cs="Arial" w:eastAsia="Arial" w:hAnsi="Arial"/>
          <w:sz w:val="16"/>
          <w:szCs w:val="16"/>
          <w:i w:val="1"/>
          <w:iCs w:val="1"/>
          <w:color w:val="auto"/>
        </w:rPr>
        <w:t>Accounts payable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 xml:space="preserve">Capped call options expenses included in </w:t>
      </w:r>
      <w:r>
        <w:rPr>
          <w:rFonts w:ascii="Arial" w:cs="Arial" w:eastAsia="Arial" w:hAnsi="Arial"/>
          <w:sz w:val="17"/>
          <w:szCs w:val="17"/>
          <w:i w:val="1"/>
          <w:iCs w:val="1"/>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Share-settled Executive Bonus Plan awards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Deferred compensation plan elective participant deferrals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r>
      <w:tr>
        <w:trPr>
          <w:trHeight w:val="486"/>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32,359</w:t>
            </w:r>
          </w:p>
        </w:tc>
        <w:tc>
          <w:tcPr>
            <w:tcW w:w="26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17,338</w:t>
            </w:r>
          </w:p>
        </w:tc>
      </w:tr>
      <w:tr>
        <w:trPr>
          <w:trHeight w:val="270"/>
        </w:trPr>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7,820</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1,630</w:t>
            </w:r>
          </w:p>
        </w:tc>
      </w:tr>
      <w:tr>
        <w:trPr>
          <w:trHeight w:val="270"/>
        </w:trPr>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3,281</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4,658</w:t>
            </w:r>
          </w:p>
        </w:tc>
      </w:tr>
    </w:tbl>
    <w:p>
      <w:pPr>
        <w:spacing w:after="0" w:line="269" w:lineRule="exact"/>
        <w:rPr>
          <w:sz w:val="20"/>
          <w:szCs w:val="20"/>
          <w:color w:val="auto"/>
        </w:rPr>
      </w:pPr>
    </w:p>
    <w:p>
      <w:pPr>
        <w:ind w:left="480"/>
        <w:spacing w:after="0"/>
        <w:tabs>
          <w:tab w:leader="none" w:pos="2240" w:val="left"/>
        </w:tabs>
        <w:rPr>
          <w:sz w:val="20"/>
          <w:szCs w:val="20"/>
          <w:color w:val="auto"/>
        </w:rPr>
      </w:pPr>
      <w:r>
        <w:rPr>
          <w:rFonts w:ascii="Arial" w:cs="Arial" w:eastAsia="Arial" w:hAnsi="Arial"/>
          <w:sz w:val="18"/>
          <w:szCs w:val="18"/>
          <w:color w:val="auto"/>
        </w:rPr>
        <w:t>182,390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5,581</w:t>
      </w:r>
      <w:r>
        <w:rPr>
          <w:sz w:val="20"/>
          <w:szCs w:val="20"/>
          <w:color w:val="auto"/>
        </w:rPr>
        <w:tab/>
      </w:r>
      <w:r>
        <w:rPr>
          <w:rFonts w:ascii="Arial" w:cs="Arial" w:eastAsia="Arial" w:hAnsi="Arial"/>
          <w:sz w:val="18"/>
          <w:szCs w:val="18"/>
          <w:color w:val="auto"/>
        </w:rPr>
        <w:t>1,902</w:t>
      </w:r>
    </w:p>
    <w:p>
      <w:pPr>
        <w:spacing w:after="0" w:line="63" w:lineRule="exact"/>
        <w:rPr>
          <w:sz w:val="20"/>
          <w:szCs w:val="20"/>
          <w:color w:val="auto"/>
        </w:rPr>
      </w:pPr>
    </w:p>
    <w:p>
      <w:pPr>
        <w:ind w:left="560"/>
        <w:spacing w:after="0"/>
        <w:tabs>
          <w:tab w:leader="none" w:pos="2080" w:val="left"/>
        </w:tabs>
        <w:rPr>
          <w:sz w:val="20"/>
          <w:szCs w:val="20"/>
          <w:color w:val="auto"/>
        </w:rPr>
      </w:pPr>
      <w:r>
        <w:rPr>
          <w:rFonts w:ascii="Arial" w:cs="Arial" w:eastAsia="Arial" w:hAnsi="Arial"/>
          <w:sz w:val="17"/>
          <w:szCs w:val="17"/>
          <w:color w:val="auto"/>
        </w:rPr>
        <w:t>10,081</w:t>
      </w:r>
      <w:r>
        <w:rPr>
          <w:sz w:val="20"/>
          <w:szCs w:val="20"/>
          <w:color w:val="auto"/>
        </w:rPr>
        <w:tab/>
      </w:r>
      <w:r>
        <w:rPr>
          <w:rFonts w:ascii="Arial" w:cs="Arial" w:eastAsia="Arial" w:hAnsi="Arial"/>
          <w:sz w:val="17"/>
          <w:szCs w:val="17"/>
          <w:color w:val="auto"/>
        </w:rPr>
        <w:t>(141)</w:t>
      </w:r>
    </w:p>
    <w:p>
      <w:pPr>
        <w:spacing w:after="0" w:line="75" w:lineRule="exact"/>
        <w:rPr>
          <w:sz w:val="20"/>
          <w:szCs w:val="20"/>
          <w:color w:val="auto"/>
        </w:rPr>
      </w:pPr>
    </w:p>
    <w:p>
      <w:pPr>
        <w:ind w:left="2260" w:hanging="1472"/>
        <w:spacing w:after="0"/>
        <w:tabs>
          <w:tab w:leader="none" w:pos="2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2260" w:hanging="1382"/>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p>
    <w:p>
      <w:pPr>
        <w:spacing w:after="0" w:line="59" w:lineRule="exact"/>
        <w:rPr>
          <w:sz w:val="20"/>
          <w:szCs w:val="20"/>
          <w:color w:val="auto"/>
        </w:rPr>
      </w:pPr>
    </w:p>
    <w:p>
      <w:pPr>
        <w:ind w:left="560"/>
        <w:spacing w:after="0"/>
        <w:tabs>
          <w:tab w:leader="none" w:pos="2240" w:val="left"/>
        </w:tabs>
        <w:rPr>
          <w:sz w:val="20"/>
          <w:szCs w:val="20"/>
          <w:color w:val="auto"/>
        </w:rPr>
      </w:pPr>
      <w:r>
        <w:rPr>
          <w:rFonts w:ascii="Arial" w:cs="Arial" w:eastAsia="Arial" w:hAnsi="Arial"/>
          <w:sz w:val="18"/>
          <w:szCs w:val="18"/>
          <w:color w:val="auto"/>
        </w:rPr>
        <w:t>16,015</w:t>
      </w:r>
      <w:r>
        <w:rPr>
          <w:sz w:val="20"/>
          <w:szCs w:val="20"/>
          <w:color w:val="auto"/>
        </w:rPr>
        <w:tab/>
      </w:r>
      <w:r>
        <w:rPr>
          <w:rFonts w:ascii="Arial" w:cs="Arial" w:eastAsia="Arial" w:hAnsi="Arial"/>
          <w:sz w:val="18"/>
          <w:szCs w:val="18"/>
          <w:b w:val="1"/>
          <w:bCs w:val="1"/>
          <w:color w:val="auto"/>
        </w:rPr>
        <w:t>—</w:t>
      </w:r>
    </w:p>
    <w:p>
      <w:pPr>
        <w:spacing w:after="0" w:line="67"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2,602</w:t>
      </w:r>
    </w:p>
    <w:p>
      <w:pPr>
        <w:spacing w:after="0" w:line="200" w:lineRule="exact"/>
        <w:rPr>
          <w:sz w:val="20"/>
          <w:szCs w:val="20"/>
          <w:color w:val="auto"/>
        </w:rPr>
      </w:pPr>
    </w:p>
    <w:p>
      <w:pPr>
        <w:sectPr>
          <w:pgSz w:w="11900" w:h="16838" w:orient="portrait"/>
          <w:cols w:equalWidth="0" w:num="2">
            <w:col w:w="7980" w:space="720"/>
            <w:col w:w="2520"/>
          </w:cols>
          <w:pgMar w:left="340" w:top="1440" w:right="339" w:bottom="1440" w:gutter="0" w:footer="0" w:header="0"/>
          <w:type w:val="continuous"/>
        </w:sectPr>
      </w:pPr>
    </w:p>
    <w:p>
      <w:pPr>
        <w:spacing w:after="0" w:line="14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207645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9" w:name="page10"/>
    <w:bookmarkEnd w:id="9"/>
    <w:p>
      <w:pPr>
        <w:jc w:val="center"/>
        <w:ind w:right="-339"/>
        <w:spacing w:after="0"/>
        <w:rPr>
          <w:sz w:val="20"/>
          <w:szCs w:val="20"/>
          <w:color w:val="auto"/>
        </w:rPr>
      </w:pPr>
      <w:r>
        <w:rPr>
          <w:rFonts w:ascii="Arial" w:cs="Arial" w:eastAsia="Arial" w:hAnsi="Arial"/>
          <w:sz w:val="18"/>
          <w:szCs w:val="18"/>
          <w:b w:val="1"/>
          <w:bCs w:val="1"/>
          <w:color w:val="auto"/>
        </w:rPr>
        <w:t>BENTLEY SYSTEMS, INCORPORATED AND SUBSIDIARIES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 The accompanying unaudited consolidated financial statements include the accounts of Bentley Systems, Incorporated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(“Bentley” or the “Company”) and its wholly-owned subsidiaries, and have been prepared in accordance with accounting principles generally accepted in the United States of America (“U.S. GAAP”) and in accordance with the rules and regulations of the United States Securities and Exchange Commission (“SEC”) regarding interim financial reporting. Accordingly, they do not include all the information and notes required by U.S. GAAP for annual financial statements. These unaudited consolidated financial statements should be read in conjunction with the audited consolidated financial statements and notes thereto included in Part II, Item 8 of the Company’s 2020 Annual Report on Form 10</w:t>
      </w:r>
      <w:r>
        <w:rPr>
          <w:rFonts w:ascii="MS PGothic" w:cs="MS PGothic" w:eastAsia="MS PGothic" w:hAnsi="MS PGothic"/>
          <w:sz w:val="16"/>
          <w:szCs w:val="16"/>
          <w:i w:val="1"/>
          <w:iCs w:val="1"/>
          <w:color w:val="auto"/>
        </w:rPr>
        <w:t>‑</w:t>
      </w:r>
      <w:r>
        <w:rPr>
          <w:rFonts w:ascii="Arial" w:cs="Arial" w:eastAsia="Arial" w:hAnsi="Arial"/>
          <w:sz w:val="16"/>
          <w:szCs w:val="16"/>
          <w:color w:val="auto"/>
        </w:rPr>
        <w:t>K on file with the SEC.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at the dates and for the periods indicated. The preparation of financial statements in conformity with U.S. GAAP requires management to make estimates and assumptions that affect reported amounts in the financial statements and accompanying notes. Actual results could differ from those estimates. The December 31, 2020 consolidated balance sheet included herein is derived from the Company’s audited consolidated financial statements.</w:t>
      </w:r>
    </w:p>
    <w:p>
      <w:pPr>
        <w:spacing w:after="0" w:line="20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Seequent Acquisition </w:t>
      </w:r>
      <w:r>
        <w:rPr>
          <w:rFonts w:ascii="Arial" w:cs="Arial" w:eastAsia="Arial" w:hAnsi="Arial"/>
          <w:sz w:val="18"/>
          <w:szCs w:val="18"/>
          <w:color w:val="auto"/>
        </w:rPr>
        <w:t>— On June 17, 2021, the Company completed the acquisition of Seequent Holdings Limited (“Seequent”), a leader in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geological and geophysical modeling, geotechnical stability, and cloud services for geodata management and collaboration, for $910,997 in cash, net of cash acquired, plus 3,141,342 shares of the Company’s Class B Common Stock (see Note 4).</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Convertible Senior Notes </w:t>
      </w:r>
      <w:r>
        <w:rPr>
          <w:rFonts w:ascii="Arial" w:cs="Arial" w:eastAsia="Arial" w:hAnsi="Arial"/>
          <w:sz w:val="17"/>
          <w:szCs w:val="17"/>
          <w:color w:val="auto"/>
        </w:rPr>
        <w:t>— On January 26, 2021, the Company completed a private offering of $690,000 of 0.125% convertible senior notes due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2026 (the “2026 Notes”). The Company incurred $18,055 of expenses in connection with the 2026 Notes offering consisting of the payment of initial purchasers’ discounts and commissions, professional fees, and other expenses (“transaction costs”). In connection with the pricing of the 2026 Notes, the Company entered into capped call options with certain of the initial purchasers or their respective affiliates and certain other financial institutions. The capped call options are expected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Company paid premiums of $25,530 in connection with the capped call options (see Note 10).</w:t>
      </w:r>
    </w:p>
    <w:p>
      <w:pPr>
        <w:spacing w:after="0" w:line="17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June 28, 2021, the Company completed a private offering of $575,000 of 0.375% convertible senior notes due 2027 (the “2027 Notes”). The Company incurred $15,065 of expenses in connection with the 2027 Notes offering consisting of transaction costs. In connection with the pricing of the 2027 Notes, the Company entered into capped call options with certain of the initial purchasers or their respective affiliates and certain other financial institutions. The capped call options are expected to reduce potential dilution to the Company’s Class B Common Stock upon any conversion of 2027 Notes and/or offset any cash payments the Company is required to make in excess of the principal amount of converted notes, as the case may be, with such reduction and/or offset subject to a cap. The Company paid premiums of $25,875 in connection with the capped call options (see 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spacing w:after="0" w:line="198"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b w:val="1"/>
          <w:bCs w:val="1"/>
          <w:i w:val="1"/>
          <w:iCs w:val="1"/>
          <w:color w:val="auto"/>
        </w:rPr>
        <w:t xml:space="preserve">Deferred Compensation </w:t>
      </w:r>
      <w:r>
        <w:rPr>
          <w:rFonts w:ascii="Arial" w:cs="Arial" w:eastAsia="Arial" w:hAnsi="Arial"/>
          <w:sz w:val="16"/>
          <w:szCs w:val="16"/>
          <w:color w:val="auto"/>
        </w:rPr>
        <w:t>— Under the Company’s unfunded Nonqualified Deferred Compensation Plan, as amended and restated, effective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22, 2020 (the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tax and accounting purposes in the same manner as actual shares of Class B Common Stock, and are recorded as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in the consolidated statements of operations (see Note 15).</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In August 2021, the Company’s Board of Directors approved an amendment to the DCP, which offered to certain active executives in the DCP a one</w:t>
      </w:r>
      <w:r>
        <w:rPr>
          <w:rFonts w:ascii="MS PGothic" w:cs="MS PGothic" w:eastAsia="MS PGothic" w:hAnsi="MS PGothic"/>
          <w:sz w:val="18"/>
          <w:szCs w:val="18"/>
          <w:color w:val="auto"/>
        </w:rPr>
        <w:t>‑</w:t>
      </w:r>
      <w:r>
        <w:rPr>
          <w:rFonts w:ascii="Arial" w:cs="Arial" w:eastAsia="Arial" w:hAnsi="Arial"/>
          <w:sz w:val="18"/>
          <w:szCs w:val="18"/>
          <w:color w:val="auto"/>
        </w:rPr>
        <w:t>time, short</w:t>
      </w:r>
      <w:r>
        <w:rPr>
          <w:rFonts w:ascii="MS PGothic" w:cs="MS PGothic" w:eastAsia="MS PGothic" w:hAnsi="MS PGothic"/>
          <w:sz w:val="18"/>
          <w:szCs w:val="18"/>
          <w:color w:val="auto"/>
        </w:rPr>
        <w:t>‑</w:t>
      </w:r>
      <w:r>
        <w:rPr>
          <w:rFonts w:ascii="Arial" w:cs="Arial" w:eastAsia="Arial" w:hAnsi="Arial"/>
          <w:sz w:val="18"/>
          <w:szCs w:val="18"/>
          <w:color w:val="auto"/>
        </w:rPr>
        <w:t>term election to reallocate a limited portion of their DCP holdings from phantom shares of the Company’s Class B Common Stock into other DCP phantom investment funds. The offer to reallocate was subject to a proration mechanism which adjusted the aggregate elections to a maximum of 1,500,000 phantom shares of the Company’s Class B Common Stock. This resulted in a reduction of 1,500,000 shares in both the basic and diluted count of Company shares.</w:t>
      </w:r>
    </w:p>
    <w:p>
      <w:pPr>
        <w:spacing w:after="0" w:line="20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 xml:space="preserve">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three and nine months ended September 30, 2021, the Company reclassified cumulative compensation cost of $4,739 from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to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or </w:t>
      </w:r>
      <w:r>
        <w:rPr>
          <w:rFonts w:ascii="Arial" w:cs="Arial" w:eastAsia="Arial" w:hAnsi="Arial"/>
          <w:sz w:val="17"/>
          <w:szCs w:val="17"/>
          <w:i w:val="1"/>
          <w:iCs w:val="1"/>
          <w:color w:val="auto"/>
        </w:rPr>
        <w:t>Deferred compensation plan liabilities</w:t>
      </w:r>
      <w:r>
        <w:rPr>
          <w:rFonts w:ascii="Arial" w:cs="Arial" w:eastAsia="Arial" w:hAnsi="Arial"/>
          <w:sz w:val="17"/>
          <w:szCs w:val="17"/>
          <w:color w:val="auto"/>
        </w:rPr>
        <w:t xml:space="preserve"> in the consolidated balance sheet and recognized a compensation charge of $90,721 to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xml:space="preserve"> expenses in the consolidated statements of operations to record the reallocated deferred compensation plan liabilities at their fair value of $95,460. Subsequent to the one</w:t>
      </w:r>
      <w:r>
        <w:rPr>
          <w:rFonts w:ascii="MS PGothic" w:cs="MS PGothic" w:eastAsia="MS PGothic" w:hAnsi="MS PGothic"/>
          <w:sz w:val="17"/>
          <w:szCs w:val="17"/>
          <w:color w:val="auto"/>
        </w:rPr>
        <w:t>‑</w:t>
      </w:r>
      <w:r>
        <w:rPr>
          <w:rFonts w:ascii="Arial" w:cs="Arial" w:eastAsia="Arial" w:hAnsi="Arial"/>
          <w:sz w:val="17"/>
          <w:szCs w:val="17"/>
          <w:color w:val="auto"/>
        </w:rPr>
        <w:t xml:space="preserve">time reallocation, these diversified deferred compensation plan liabilities are marked to market at the end of each reporting period, with changes in the liabilities recorded as an expense (income) to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xml:space="preserve"> in the consolidated statements of operations.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reclassifications of prior period amounts have been made to conform to the current period presentation (see Note 12).</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6"/>
          <w:szCs w:val="16"/>
          <w:b w:val="1"/>
          <w:bCs w:val="1"/>
          <w:i w:val="1"/>
          <w:iCs w:val="1"/>
          <w:color w:val="auto"/>
        </w:rPr>
        <w:t xml:space="preserve">Initial Public Offering </w:t>
      </w:r>
      <w:r>
        <w:rPr>
          <w:rFonts w:ascii="Arial" w:cs="Arial" w:eastAsia="Arial" w:hAnsi="Arial"/>
          <w:sz w:val="16"/>
          <w:szCs w:val="16"/>
          <w:color w:val="auto"/>
        </w:rPr>
        <w:t>— On September 25, 2020, the Company completed its initial public offering (“IPO”). The selling stockholders sold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12,360,991 shares of Class B Common Stock at a public offering price of $22.00 per share. The Company did not sell any shares in the IPO and did not receive any of the proceeds from the sale of the Class B Common Stock sold by the selling stockholders. For further detail, see the audited consolidated financial statements and notes thereto included in Part II, Item 8 of the Company’s 2020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on file with the SEC.</w:t>
      </w:r>
    </w:p>
    <w:p>
      <w:pPr>
        <w:spacing w:after="0" w:line="20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b w:val="1"/>
          <w:bCs w:val="1"/>
          <w:i w:val="1"/>
          <w:iCs w:val="1"/>
          <w:color w:val="auto"/>
        </w:rPr>
        <w:t xml:space="preserve">Follow-On Public Offering </w:t>
      </w:r>
      <w:r>
        <w:rPr>
          <w:rFonts w:ascii="Arial" w:cs="Arial" w:eastAsia="Arial" w:hAnsi="Arial"/>
          <w:sz w:val="18"/>
          <w:szCs w:val="18"/>
          <w:color w:val="auto"/>
        </w:rPr>
        <w:t>— On November 17, 2020, the Company completed its follow</w:t>
      </w:r>
      <w:r>
        <w:rPr>
          <w:rFonts w:ascii="MS PGothic" w:cs="MS PGothic" w:eastAsia="MS PGothic" w:hAnsi="MS PGothic"/>
          <w:sz w:val="18"/>
          <w:szCs w:val="18"/>
          <w:color w:val="auto"/>
        </w:rPr>
        <w:t>‑</w:t>
      </w:r>
      <w:r>
        <w:rPr>
          <w:rFonts w:ascii="Arial" w:cs="Arial" w:eastAsia="Arial" w:hAnsi="Arial"/>
          <w:sz w:val="18"/>
          <w:szCs w:val="18"/>
          <w:color w:val="auto"/>
        </w:rPr>
        <w:t>on public offering of 11,500,000 shares of Class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at a public offering price of $32.00 per share (the “Follow</w:t>
      </w:r>
      <w:r>
        <w:rPr>
          <w:rFonts w:ascii="MS PGothic" w:cs="MS PGothic" w:eastAsia="MS PGothic" w:hAnsi="MS PGothic"/>
          <w:sz w:val="18"/>
          <w:szCs w:val="18"/>
          <w:color w:val="auto"/>
        </w:rPr>
        <w:t>‑</w:t>
      </w:r>
      <w:r>
        <w:rPr>
          <w:rFonts w:ascii="Arial" w:cs="Arial" w:eastAsia="Arial" w:hAnsi="Arial"/>
          <w:sz w:val="18"/>
          <w:szCs w:val="18"/>
          <w:color w:val="auto"/>
        </w:rPr>
        <w:t>On Offering”). The Company sold 9,603,965 shares of Class B Common Stock (inclusive of 1,500,000 shares sold upon the exercise by the underwriters of their option to purchase additional shares of the Company’s Class B Common Stock). The selling stockholders sold 1,896,035 shares of Class B Common Stock. The Company received net proceeds of $294,429 after deducting expenses of $12,898. The Company did not receive any of the proceeds from the sale of the Class B Common Stock sold by the selling stockholders. For further detail, see the audited consolidated financial statements and notes thereto included in Part II, Item 8 of the Company’s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w:t>
      </w:r>
    </w:p>
    <w:p>
      <w:pPr>
        <w:spacing w:after="0" w:line="20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b w:val="1"/>
          <w:bCs w:val="1"/>
          <w:i w:val="1"/>
          <w:iCs w:val="1"/>
          <w:color w:val="auto"/>
        </w:rPr>
        <w:t xml:space="preserve">Special Dividend </w:t>
      </w:r>
      <w:r>
        <w:rPr>
          <w:rFonts w:ascii="Arial" w:cs="Arial" w:eastAsia="Arial" w:hAnsi="Arial"/>
          <w:sz w:val="17"/>
          <w:szCs w:val="17"/>
          <w:color w:val="auto"/>
        </w:rPr>
        <w:t>— On August 28, 2020, the Company’s board of directors declared a special dividend of $1.50 per share of the Company’s common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($392,489 in the aggregate) (the “Special Dividend”), payable to all stockholders of record as of August 31, 2020, including dividends which accrue on certain unvested restricted stock and restricted stock units (“RSUs”). For further detail, see the audited consolidated financial statements and notes thereto included in Part II, Item 8 of the Company’s 2020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on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98"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b w:val="1"/>
          <w:bCs w:val="1"/>
          <w:i w:val="1"/>
          <w:iCs w:val="1"/>
          <w:color w:val="auto"/>
        </w:rPr>
        <w:t>Risks and Uncertainties — COVID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19 Pandemic </w:t>
      </w:r>
      <w:r>
        <w:rPr>
          <w:rFonts w:ascii="Arial" w:cs="Arial" w:eastAsia="Arial" w:hAnsi="Arial"/>
          <w:sz w:val="16"/>
          <w:szCs w:val="16"/>
          <w:color w:val="auto"/>
        </w:rPr>
        <w:t>— In March 2020, the World Health Organization declared a global pandemic related to the rapidly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outbreak of the disease COVID</w:t>
      </w:r>
      <w:r>
        <w:rPr>
          <w:rFonts w:ascii="MS PGothic" w:cs="MS PGothic" w:eastAsia="MS PGothic" w:hAnsi="MS PGothic"/>
          <w:sz w:val="16"/>
          <w:szCs w:val="16"/>
          <w:color w:val="auto"/>
        </w:rPr>
        <w:t>‑</w:t>
      </w:r>
      <w:r>
        <w:rPr>
          <w:rFonts w:ascii="Arial" w:cs="Arial" w:eastAsia="Arial" w:hAnsi="Arial"/>
          <w:sz w:val="16"/>
          <w:szCs w:val="16"/>
          <w:color w:val="auto"/>
        </w:rPr>
        <w:t>19, caused by a novel strain of coronavirus, SARS</w:t>
      </w:r>
      <w:r>
        <w:rPr>
          <w:rFonts w:ascii="MS PGothic" w:cs="MS PGothic" w:eastAsia="MS PGothic" w:hAnsi="MS PGothic"/>
          <w:sz w:val="16"/>
          <w:szCs w:val="16"/>
          <w:color w:val="auto"/>
        </w:rPr>
        <w:t>‑</w:t>
      </w:r>
      <w:r>
        <w:rPr>
          <w:rFonts w:ascii="Arial" w:cs="Arial" w:eastAsia="Arial" w:hAnsi="Arial"/>
          <w:sz w:val="16"/>
          <w:szCs w:val="16"/>
          <w:color w:val="auto"/>
        </w:rPr>
        <w:t>CoV</w:t>
      </w:r>
      <w:r>
        <w:rPr>
          <w:rFonts w:ascii="MS PGothic" w:cs="MS PGothic" w:eastAsia="MS PGothic" w:hAnsi="MS PGothic"/>
          <w:sz w:val="16"/>
          <w:szCs w:val="16"/>
          <w:color w:val="auto"/>
        </w:rPr>
        <w:t>‑</w:t>
      </w:r>
      <w:r>
        <w:rPr>
          <w:rFonts w:ascii="Arial" w:cs="Arial" w:eastAsia="Arial" w:hAnsi="Arial"/>
          <w:sz w:val="16"/>
          <w:szCs w:val="16"/>
          <w:color w:val="auto"/>
        </w:rPr>
        <w:t>2. The COVID</w:t>
      </w:r>
      <w:r>
        <w:rPr>
          <w:rFonts w:ascii="MS PGothic" w:cs="MS PGothic" w:eastAsia="MS PGothic" w:hAnsi="MS PGothic"/>
          <w:sz w:val="16"/>
          <w:szCs w:val="16"/>
          <w:color w:val="auto"/>
        </w:rPr>
        <w:t>‑</w:t>
      </w:r>
      <w:r>
        <w:rPr>
          <w:rFonts w:ascii="Arial" w:cs="Arial" w:eastAsia="Arial" w:hAnsi="Arial"/>
          <w:sz w:val="16"/>
          <w:szCs w:val="16"/>
          <w:color w:val="auto"/>
        </w:rPr>
        <w:t>19 outbreak and certain preventative or protective actions that governments, businesses, and individuals have taken in respect of COVID</w:t>
      </w:r>
      <w:r>
        <w:rPr>
          <w:rFonts w:ascii="MS PGothic" w:cs="MS PGothic" w:eastAsia="MS PGothic" w:hAnsi="MS PGothic"/>
          <w:sz w:val="16"/>
          <w:szCs w:val="16"/>
          <w:color w:val="auto"/>
        </w:rPr>
        <w:t>‑</w:t>
      </w:r>
      <w:r>
        <w:rPr>
          <w:rFonts w:ascii="Arial" w:cs="Arial" w:eastAsia="Arial" w:hAnsi="Arial"/>
          <w:sz w:val="16"/>
          <w:szCs w:val="16"/>
          <w:color w:val="auto"/>
        </w:rPr>
        <w:t>19 have resulted in global business disruptions.</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auto"/>
        </w:rPr>
        <w:t>In response to the COVID</w:t>
      </w:r>
      <w:r>
        <w:rPr>
          <w:rFonts w:ascii="MS PGothic" w:cs="MS PGothic" w:eastAsia="MS PGothic" w:hAnsi="MS PGothic"/>
          <w:sz w:val="17"/>
          <w:szCs w:val="17"/>
          <w:color w:val="auto"/>
        </w:rPr>
        <w:t>‑</w:t>
      </w:r>
      <w:r>
        <w:rPr>
          <w:rFonts w:ascii="Arial" w:cs="Arial" w:eastAsia="Arial" w:hAnsi="Arial"/>
          <w:sz w:val="17"/>
          <w:szCs w:val="17"/>
          <w:color w:val="auto"/>
        </w:rPr>
        <w:t>19 pandemic, the Company implemented a number of initiatives to ensure the safety of its colleagues and enable them to move to a work from home environment seamlessly and continue working effectively. The Company continues to monitor the global situation, with the health and safety of our colleagues and users as a top priority. Currently, the majority of the Company’s workforce remains remote due to COVID-19. The Company’s business model is such that there was minimal disruption to the Company’s ability to deliver its solutions to accounts.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In October 2021, the Financial Accounting Standards Board (“FASB”) issued Accounting Standards Update (“ASU”) No. 2021</w:t>
      </w:r>
      <w:r>
        <w:rPr>
          <w:rFonts w:ascii="MS PGothic" w:cs="MS PGothic" w:eastAsia="MS PGothic" w:hAnsi="MS PGothic"/>
          <w:sz w:val="18"/>
          <w:szCs w:val="18"/>
          <w:color w:val="auto"/>
        </w:rPr>
        <w:t>‑</w:t>
      </w:r>
      <w:r>
        <w:rPr>
          <w:rFonts w:ascii="Arial" w:cs="Arial" w:eastAsia="Arial" w:hAnsi="Arial"/>
          <w:sz w:val="18"/>
          <w:szCs w:val="18"/>
          <w:color w:val="auto"/>
        </w:rPr>
        <w:t xml:space="preserve">08,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(Topic 805): Accounting for Contract Assets and Contract Liabilities from Contracts with Customers </w:t>
      </w:r>
      <w:r>
        <w:rPr>
          <w:rFonts w:ascii="Arial" w:cs="Arial" w:eastAsia="Arial" w:hAnsi="Arial"/>
          <w:sz w:val="18"/>
          <w:szCs w:val="18"/>
          <w:color w:val="auto"/>
        </w:rPr>
        <w:t>(“ASU 2021</w:t>
      </w:r>
      <w:r>
        <w:rPr>
          <w:rFonts w:ascii="MS PGothic" w:cs="MS PGothic" w:eastAsia="MS PGothic" w:hAnsi="MS PGothic"/>
          <w:sz w:val="18"/>
          <w:szCs w:val="18"/>
          <w:color w:val="auto"/>
        </w:rPr>
        <w:t>‑</w:t>
      </w:r>
      <w:r>
        <w:rPr>
          <w:rFonts w:ascii="Arial" w:cs="Arial" w:eastAsia="Arial" w:hAnsi="Arial"/>
          <w:sz w:val="18"/>
          <w:szCs w:val="18"/>
          <w:color w:val="auto"/>
        </w:rPr>
        <w:t>08”), which improves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comparability of accounting for acquired revenue contracts with customers in a business combination. The new guidance is meant to reduce diversity in practice and inconsistencies related to recognition of an acquired contract liability and revenue contract payment terms and their effect on subsequent revenue recognized by the acquirer. ASU 2021</w:t>
      </w:r>
      <w:r>
        <w:rPr>
          <w:rFonts w:ascii="MS PGothic" w:cs="MS PGothic" w:eastAsia="MS PGothic" w:hAnsi="MS PGothic"/>
          <w:sz w:val="18"/>
          <w:szCs w:val="18"/>
          <w:color w:val="auto"/>
        </w:rPr>
        <w:t>‑</w:t>
      </w:r>
      <w:r>
        <w:rPr>
          <w:rFonts w:ascii="Arial" w:cs="Arial" w:eastAsia="Arial" w:hAnsi="Arial"/>
          <w:sz w:val="18"/>
          <w:szCs w:val="18"/>
          <w:color w:val="auto"/>
        </w:rPr>
        <w:t>08 is effective for the Company for the interim and annual reporting periods beginning after December 15, 2022. Early adoption is permitted, including adoption in an interim period. The Company is currently evaluating the impact the ASU will have on its consolidated financial statements.</w:t>
      </w:r>
    </w:p>
    <w:p>
      <w:pPr>
        <w:spacing w:after="0" w:line="207"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In March 2020, the FASB issued ASU No. 2020</w:t>
      </w:r>
      <w:r>
        <w:rPr>
          <w:rFonts w:ascii="MS PGothic" w:cs="MS PGothic" w:eastAsia="MS PGothic" w:hAnsi="MS PGothic"/>
          <w:sz w:val="17"/>
          <w:szCs w:val="17"/>
          <w:color w:val="auto"/>
        </w:rPr>
        <w:t>‑</w:t>
      </w:r>
      <w:r>
        <w:rPr>
          <w:rFonts w:ascii="Arial" w:cs="Arial" w:eastAsia="Arial" w:hAnsi="Arial"/>
          <w:sz w:val="17"/>
          <w:szCs w:val="17"/>
          <w:color w:val="auto"/>
        </w:rPr>
        <w:t xml:space="preserve">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Reporting </w:t>
      </w:r>
      <w:r>
        <w:rPr>
          <w:rFonts w:ascii="Arial" w:cs="Arial" w:eastAsia="Arial" w:hAnsi="Arial"/>
          <w:sz w:val="17"/>
          <w:szCs w:val="17"/>
          <w:color w:val="auto"/>
        </w:rPr>
        <w:t>(“ASU 2020</w:t>
      </w:r>
      <w:r>
        <w:rPr>
          <w:rFonts w:ascii="MS PGothic" w:cs="MS PGothic" w:eastAsia="MS PGothic" w:hAnsi="MS PGothic"/>
          <w:sz w:val="17"/>
          <w:szCs w:val="17"/>
          <w:color w:val="auto"/>
        </w:rPr>
        <w:t>‑</w:t>
      </w:r>
      <w:r>
        <w:rPr>
          <w:rFonts w:ascii="Arial" w:cs="Arial" w:eastAsia="Arial" w:hAnsi="Arial"/>
          <w:sz w:val="17"/>
          <w:szCs w:val="17"/>
          <w:color w:val="auto"/>
        </w:rPr>
        <w:t>04”), which provides optional expedients and exceptions for applying U.S. GAAP to contracts, hedging relationships,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transactions affected by reference rate reform if certain criteria are met. ASU 2020</w:t>
      </w:r>
      <w:r>
        <w:rPr>
          <w:rFonts w:ascii="MS PGothic" w:cs="MS PGothic" w:eastAsia="MS PGothic" w:hAnsi="MS PGothic"/>
          <w:sz w:val="17"/>
          <w:szCs w:val="17"/>
          <w:color w:val="auto"/>
        </w:rPr>
        <w:t>‑</w:t>
      </w:r>
      <w:r>
        <w:rPr>
          <w:rFonts w:ascii="Arial" w:cs="Arial" w:eastAsia="Arial" w:hAnsi="Arial"/>
          <w:sz w:val="17"/>
          <w:szCs w:val="17"/>
          <w:color w:val="auto"/>
        </w:rPr>
        <w:t>04 applies only to contracts, hedging relationships, and other transactions that reference the London Interbank Offered Rate (“LIBOR”) or another reference rate expected to be discontinued because of reference rate reform between March 12, 2020 and December 31, 2022. The expedients and exceptions provided by ASU 2020</w:t>
      </w:r>
      <w:r>
        <w:rPr>
          <w:rFonts w:ascii="MS PGothic" w:cs="MS PGothic" w:eastAsia="MS PGothic" w:hAnsi="MS PGothic"/>
          <w:sz w:val="17"/>
          <w:szCs w:val="17"/>
          <w:color w:val="auto"/>
        </w:rPr>
        <w:t>‑</w:t>
      </w:r>
      <w:r>
        <w:rPr>
          <w:rFonts w:ascii="Arial" w:cs="Arial" w:eastAsia="Arial" w:hAnsi="Arial"/>
          <w:sz w:val="17"/>
          <w:szCs w:val="17"/>
          <w:color w:val="auto"/>
        </w:rPr>
        <w:t>04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Company had no transactions that were impacted by ASU 2020</w:t>
      </w:r>
      <w:r>
        <w:rPr>
          <w:rFonts w:ascii="MS PGothic" w:cs="MS PGothic" w:eastAsia="MS PGothic" w:hAnsi="MS PGothic"/>
          <w:sz w:val="17"/>
          <w:szCs w:val="17"/>
          <w:color w:val="auto"/>
        </w:rPr>
        <w:t>‑</w:t>
      </w:r>
      <w:r>
        <w:rPr>
          <w:rFonts w:ascii="Arial" w:cs="Arial" w:eastAsia="Arial" w:hAnsi="Arial"/>
          <w:sz w:val="17"/>
          <w:szCs w:val="17"/>
          <w:color w:val="auto"/>
        </w:rPr>
        <w:t>04 during the nine months ended September 30,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In January 2017, the FASB issued ASU No. 2017</w:t>
      </w:r>
      <w:r>
        <w:rPr>
          <w:rFonts w:ascii="MS PGothic" w:cs="MS PGothic" w:eastAsia="MS PGothic" w:hAnsi="MS PGothic"/>
          <w:sz w:val="16"/>
          <w:szCs w:val="16"/>
          <w:color w:val="auto"/>
        </w:rPr>
        <w:t>‑</w:t>
      </w:r>
      <w:r>
        <w:rPr>
          <w:rFonts w:ascii="Arial" w:cs="Arial" w:eastAsia="Arial" w:hAnsi="Arial"/>
          <w:sz w:val="16"/>
          <w:szCs w:val="16"/>
          <w:color w:val="auto"/>
        </w:rPr>
        <w:t xml:space="preserve">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which removes Step 2 of the goodwill impairment test. A goodwill impairment will now be calculated as the amount by which a reporting unit’s carrying value exceeds its fair value, not to exceed the carrying amount of goodwill. The new guidance is required to be applied on a prospective basis and as such, the Company will use the simplified test in its annual fourth quarter testing or more often if circumstances indicate a potential impairment may exist. The Company does not believe this ASU will have a material impact on its consolidated results of operations and financial position.</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In August 2018, the FASB issued ASU No. 2018</w:t>
      </w:r>
      <w:r>
        <w:rPr>
          <w:rFonts w:ascii="MS PGothic" w:cs="MS PGothic" w:eastAsia="MS PGothic" w:hAnsi="MS PGothic"/>
          <w:sz w:val="18"/>
          <w:szCs w:val="18"/>
          <w:color w:val="auto"/>
        </w:rPr>
        <w:t>‑</w:t>
      </w:r>
      <w:r>
        <w:rPr>
          <w:rFonts w:ascii="Arial" w:cs="Arial" w:eastAsia="Arial" w:hAnsi="Arial"/>
          <w:sz w:val="18"/>
          <w:szCs w:val="18"/>
          <w:color w:val="auto"/>
        </w:rPr>
        <w:t xml:space="preserve">15, </w:t>
      </w:r>
      <w:r>
        <w:rPr>
          <w:rFonts w:ascii="Arial" w:cs="Arial" w:eastAsia="Arial" w:hAnsi="Arial"/>
          <w:sz w:val="18"/>
          <w:szCs w:val="18"/>
          <w:i w:val="1"/>
          <w:iCs w:val="1"/>
          <w:color w:val="auto"/>
        </w:rPr>
        <w:t>Intangibles–Goodwill and Other–Internal-Use Software (Subtopic 350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w:t>
      </w:r>
      <w:r>
        <w:rPr>
          <w:rFonts w:ascii="MS PGothic" w:cs="MS PGothic" w:eastAsia="MS PGothic" w:hAnsi="MS PGothic"/>
          <w:sz w:val="18"/>
          <w:szCs w:val="18"/>
          <w:color w:val="auto"/>
        </w:rPr>
        <w:t>‑</w:t>
      </w:r>
      <w:r>
        <w:rPr>
          <w:rFonts w:ascii="Arial" w:cs="Arial" w:eastAsia="Arial" w:hAnsi="Arial"/>
          <w:sz w:val="18"/>
          <w:szCs w:val="18"/>
          <w:color w:val="auto"/>
        </w:rPr>
        <w:t>15”), which aligns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capitalizing implementation costs in cloud computing arrangements with the requirements for capitalizing implementation costs incurred to develop or obtain internal</w:t>
      </w:r>
      <w:r>
        <w:rPr>
          <w:rFonts w:ascii="MS PGothic" w:cs="MS PGothic" w:eastAsia="MS PGothic" w:hAnsi="MS PGothic"/>
          <w:sz w:val="18"/>
          <w:szCs w:val="18"/>
          <w:color w:val="auto"/>
        </w:rPr>
        <w:t>‑</w:t>
      </w:r>
      <w:r>
        <w:rPr>
          <w:rFonts w:ascii="Arial" w:cs="Arial" w:eastAsia="Arial" w:hAnsi="Arial"/>
          <w:sz w:val="18"/>
          <w:szCs w:val="18"/>
          <w:color w:val="auto"/>
        </w:rPr>
        <w:t xml:space="preserve">use software. The Company prospectively adopted the ASU effective January 1, 2021. Capitalized costs related to cloud computing arrangements for the nine months ended September 30, 2021, which are included in </w:t>
      </w:r>
      <w:r>
        <w:rPr>
          <w:rFonts w:ascii="Arial" w:cs="Arial" w:eastAsia="Arial" w:hAnsi="Arial"/>
          <w:sz w:val="18"/>
          <w:szCs w:val="18"/>
          <w:i w:val="1"/>
          <w:iCs w:val="1"/>
          <w:color w:val="auto"/>
        </w:rPr>
        <w:t>Prepaid and other current assets</w:t>
      </w:r>
      <w:r>
        <w:rPr>
          <w:rFonts w:ascii="Arial" w:cs="Arial" w:eastAsia="Arial" w:hAnsi="Arial"/>
          <w:sz w:val="18"/>
          <w:szCs w:val="18"/>
          <w:color w:val="auto"/>
        </w:rPr>
        <w:t xml:space="preserve"> in the consolidated balance sheet,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8"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In August 2020, the FASB issued ASU No. 2020</w:t>
      </w:r>
      <w:r>
        <w:rPr>
          <w:rFonts w:ascii="MS PGothic" w:cs="MS PGothic" w:eastAsia="MS PGothic" w:hAnsi="MS PGothic"/>
          <w:sz w:val="18"/>
          <w:szCs w:val="18"/>
          <w:color w:val="auto"/>
        </w:rPr>
        <w:t>‑</w:t>
      </w:r>
      <w:r>
        <w:rPr>
          <w:rFonts w:ascii="Arial" w:cs="Arial" w:eastAsia="Arial" w:hAnsi="Arial"/>
          <w:sz w:val="18"/>
          <w:szCs w:val="18"/>
          <w:color w:val="auto"/>
        </w:rPr>
        <w:t xml:space="preserve">06, </w:t>
      </w:r>
      <w:r>
        <w:rPr>
          <w:rFonts w:ascii="Arial" w:cs="Arial" w:eastAsia="Arial" w:hAnsi="Arial"/>
          <w:sz w:val="18"/>
          <w:szCs w:val="18"/>
          <w:i w:val="1"/>
          <w:iCs w:val="1"/>
          <w:color w:val="auto"/>
        </w:rPr>
        <w:t>Debt–Debt with Conversion and Other Options (Subtopic 470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 xml:space="preserve">40): Accounting for Convertible Instruments and Contracts in an Entity’s Own Equity </w:t>
      </w:r>
      <w:r>
        <w:rPr>
          <w:rFonts w:ascii="Arial" w:cs="Arial" w:eastAsia="Arial" w:hAnsi="Arial"/>
          <w:sz w:val="18"/>
          <w:szCs w:val="18"/>
          <w:color w:val="auto"/>
        </w:rPr>
        <w:t>(“ASU 2020</w:t>
      </w:r>
      <w:r>
        <w:rPr>
          <w:rFonts w:ascii="MS PGothic" w:cs="MS PGothic" w:eastAsia="MS PGothic" w:hAnsi="MS PGothic"/>
          <w:sz w:val="18"/>
          <w:szCs w:val="18"/>
          <w:color w:val="auto"/>
        </w:rPr>
        <w:t>‑</w:t>
      </w:r>
      <w:r>
        <w:rPr>
          <w:rFonts w:ascii="Arial" w:cs="Arial" w:eastAsia="Arial" w:hAnsi="Arial"/>
          <w:sz w:val="18"/>
          <w:szCs w:val="18"/>
          <w:color w:val="auto"/>
        </w:rPr>
        <w:t>06”),</w:t>
      </w:r>
      <w:r>
        <w:rPr>
          <w:rFonts w:ascii="Arial" w:cs="Arial" w:eastAsia="Arial" w:hAnsi="Arial"/>
          <w:sz w:val="18"/>
          <w:szCs w:val="18"/>
          <w:i w:val="1"/>
          <w:iCs w:val="1"/>
          <w:color w:val="auto"/>
        </w:rPr>
        <w:t xml:space="preserve"> </w:t>
      </w:r>
      <w:r>
        <w:rPr>
          <w:rFonts w:ascii="Arial" w:cs="Arial" w:eastAsia="Arial" w:hAnsi="Arial"/>
          <w:sz w:val="18"/>
          <w:szCs w:val="18"/>
          <w:color w:val="auto"/>
        </w:rPr>
        <w:t>which simplifies 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w:t>
      </w:r>
      <w:r>
        <w:rPr>
          <w:rFonts w:ascii="MS PGothic" w:cs="MS PGothic" w:eastAsia="MS PGothic" w:hAnsi="MS PGothic"/>
          <w:sz w:val="18"/>
          <w:szCs w:val="18"/>
          <w:color w:val="auto"/>
        </w:rPr>
        <w:t>‑</w:t>
      </w:r>
      <w:r>
        <w:rPr>
          <w:rFonts w:ascii="Arial" w:cs="Arial" w:eastAsia="Arial" w:hAnsi="Arial"/>
          <w:sz w:val="18"/>
          <w:szCs w:val="18"/>
          <w:color w:val="auto"/>
        </w:rPr>
        <w:t>converted method. The Company early adopted the ASU effective January 1, 2021 using the modified retrospective method of adoption (see Notes 10 and 23).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from Contracts with Customers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recognizes revenue upon the transfer of promised goods or services to customers in an amount that reflects the expected consideration received in exchange for those goods or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Products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generates revenues from subscriptions, perpetual licenses, and professional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SELECT subscriptions </w:t>
      </w:r>
      <w:r>
        <w:rPr>
          <w:rFonts w:ascii="Arial" w:cs="Arial" w:eastAsia="Arial" w:hAnsi="Arial"/>
          <w:sz w:val="17"/>
          <w:szCs w:val="17"/>
          <w:color w:val="auto"/>
        </w:rPr>
        <w:t>— A prepaid annual recurring subscription that accounts (which are based on distinct contractual and billing relationships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where affiliated entities of a single parent company may each have an independent account with the Company) can elect to add to a new or previously purchased perpetual license. 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7"/>
          <w:szCs w:val="17"/>
          <w:color w:val="auto"/>
        </w:rPr>
        <w:t>‑</w:t>
      </w:r>
      <w:r>
        <w:rPr>
          <w:rFonts w:ascii="Arial" w:cs="Arial" w:eastAsia="Arial" w:hAnsi="Arial"/>
          <w:sz w:val="17"/>
          <w:szCs w:val="17"/>
          <w:color w:val="auto"/>
        </w:rPr>
        <w:t>based cloud collaboration services, mobility advantages, and access to other available benefits. SELECT subscriptions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w:t>
      </w:r>
    </w:p>
    <w:p>
      <w:pPr>
        <w:spacing w:after="0" w:line="20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Enterprise subscriptions </w:t>
      </w:r>
      <w:r>
        <w:rPr>
          <w:rFonts w:ascii="Arial" w:cs="Arial" w:eastAsia="Arial" w:hAnsi="Arial"/>
          <w:sz w:val="17"/>
          <w:szCs w:val="17"/>
          <w:color w:val="auto"/>
        </w:rPr>
        <w:t>— The Company also provides Enterprise subscription offerings which provide its largest accounts with complete and</w:t>
      </w:r>
      <w:r>
        <w:rPr>
          <w:rFonts w:ascii="Arial" w:cs="Arial" w:eastAsia="Arial" w:hAnsi="Arial"/>
          <w:sz w:val="17"/>
          <w:szCs w:val="17"/>
          <w:i w:val="1"/>
          <w:iCs w:val="1"/>
          <w:color w:val="auto"/>
        </w:rPr>
        <w:t xml:space="preserve"> </w:t>
      </w:r>
      <w:r>
        <w:rPr>
          <w:rFonts w:ascii="Arial" w:cs="Arial" w:eastAsia="Arial" w:hAnsi="Arial"/>
          <w:sz w:val="17"/>
          <w:szCs w:val="17"/>
          <w:color w:val="auto"/>
        </w:rPr>
        <w:t>unlimited global access to the Company’s comprehensive portfolio of solutions. Enterprise License Subscriptions (“ELS”) provide access for a prepaid fee, which is based on the account’s usage of software in the preceding year, to effectively create a fee</w:t>
      </w:r>
      <w:r>
        <w:rPr>
          <w:rFonts w:ascii="MS PGothic" w:cs="MS PGothic" w:eastAsia="MS PGothic" w:hAnsi="MS PGothic"/>
          <w:sz w:val="17"/>
          <w:szCs w:val="17"/>
          <w:color w:val="auto"/>
        </w:rPr>
        <w:t>‑</w:t>
      </w:r>
      <w:r>
        <w:rPr>
          <w:rFonts w:ascii="Arial" w:cs="Arial" w:eastAsia="Arial" w:hAnsi="Arial"/>
          <w:sz w:val="17"/>
          <w:szCs w:val="17"/>
          <w:color w:val="auto"/>
        </w:rPr>
        <w:t>certain consumption</w:t>
      </w:r>
      <w:r>
        <w:rPr>
          <w:rFonts w:ascii="MS PGothic" w:cs="MS PGothic" w:eastAsia="MS PGothic" w:hAnsi="MS PGothic"/>
          <w:sz w:val="17"/>
          <w:szCs w:val="17"/>
          <w:color w:val="auto"/>
        </w:rPr>
        <w:t>‑</w:t>
      </w:r>
      <w:r>
        <w:rPr>
          <w:rFonts w:ascii="Arial" w:cs="Arial" w:eastAsia="Arial" w:hAnsi="Arial"/>
          <w:sz w:val="17"/>
          <w:szCs w:val="17"/>
          <w:color w:val="auto"/>
        </w:rPr>
        <w:t xml:space="preserve">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standalone selling price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Arial" w:cs="Arial" w:eastAsia="Arial" w:hAnsi="Arial"/>
          <w:sz w:val="17"/>
          <w:szCs w:val="17"/>
          <w:i w:val="1"/>
          <w:iCs w:val="1"/>
          <w:color w:val="auto"/>
        </w:rPr>
        <w:t>Deferred revenues</w:t>
      </w:r>
      <w:r>
        <w:rPr>
          <w:rFonts w:ascii="Arial" w:cs="Arial" w:eastAsia="Arial" w:hAnsi="Arial"/>
          <w:sz w:val="17"/>
          <w:szCs w:val="17"/>
          <w:color w:val="auto"/>
        </w:rPr>
        <w:t xml:space="preserve"> in the consolidated balance sheets.</w:t>
      </w:r>
    </w:p>
    <w:p>
      <w:pPr>
        <w:spacing w:after="0" w:line="2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Enterprise 365 (“E365”) subscriptions provide unrestricted access to the Company’s comprehensive software portfolio, similar to ELS, however, the accounts are charged based upon daily usage. The daily usage fee also includes a term license component, SELECT maintenance and support, hosting, and Success Plan services, which are designed to achieve business outcomes through more efficient and effective use of the Company’s software. E365 revenues are recognized based upon usage incurred by the account. Usage is defined as distinct user access on a daily basis. E365 subscriptions can contain quarterly usage floors or collars as accounts transition to the usage model or for accounts within the public sector. The term of E365 subscriptions aligns with calendar quarters and revenue is recognized based on actual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8"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i w:val="1"/>
          <w:iCs w:val="1"/>
          <w:color w:val="auto"/>
        </w:rPr>
        <w:t xml:space="preserve">Term license subscriptions </w:t>
      </w:r>
      <w:r>
        <w:rPr>
          <w:rFonts w:ascii="Arial" w:cs="Arial" w:eastAsia="Arial" w:hAnsi="Arial"/>
          <w:sz w:val="16"/>
          <w:szCs w:val="16"/>
          <w:color w:val="auto"/>
        </w:rPr>
        <w:t>— The Company provides annual, quarterly, and monthly term licenses for its software products. Term license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subscriptions contain a term license component and SELECT maintenance and support. Revenue is allocated to the various performance obligations based on their SSP. Annual term licenses (“ATL”) are generally prepaid annually for named user access to specific products.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Cloud Services Subscription (“CSS”), which is described below. For ATL, revenue allocated to the term license component is recognized upon delivery at the start of the subscription term while revenue for the SELECT maintenance and support is recognized as delivered over the subscription term. Billings in advance are recorded as </w:t>
      </w:r>
      <w:r>
        <w:rPr>
          <w:rFonts w:ascii="Arial" w:cs="Arial" w:eastAsia="Arial" w:hAnsi="Arial"/>
          <w:sz w:val="16"/>
          <w:szCs w:val="16"/>
          <w:i w:val="1"/>
          <w:iCs w:val="1"/>
          <w:color w:val="auto"/>
        </w:rPr>
        <w:t>Deferred revenues</w:t>
      </w:r>
      <w:r>
        <w:rPr>
          <w:rFonts w:ascii="Arial" w:cs="Arial" w:eastAsia="Arial" w:hAnsi="Arial"/>
          <w:sz w:val="16"/>
          <w:szCs w:val="16"/>
          <w:color w:val="auto"/>
        </w:rPr>
        <w:t xml:space="preserve"> in the consolidated balance sheets. For usage</w:t>
      </w:r>
      <w:r>
        <w:rPr>
          <w:rFonts w:ascii="MS PGothic" w:cs="MS PGothic" w:eastAsia="MS PGothic" w:hAnsi="MS PGothic"/>
          <w:sz w:val="16"/>
          <w:szCs w:val="16"/>
          <w:color w:val="auto"/>
        </w:rPr>
        <w:t>‑</w:t>
      </w:r>
      <w:r>
        <w:rPr>
          <w:rFonts w:ascii="Arial" w:cs="Arial" w:eastAsia="Arial" w:hAnsi="Arial"/>
          <w:sz w:val="16"/>
          <w:szCs w:val="16"/>
          <w:color w:val="auto"/>
        </w:rPr>
        <w:t>based QTL and MTL subscriptions, revenues are recognized based upon usage incurred by the account. Usage is defined as peak usage over the respective terms. The terms of QTL and MTL subscriptions align with calendar quarters and calendar months, respectively, and revenue is recognized based on actual usage.</w:t>
      </w:r>
    </w:p>
    <w:p>
      <w:pPr>
        <w:spacing w:after="0" w:line="2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Visas and Passports are quarterly or annual term licenses enabling users to access specific project or enterprise information and entitles users to certain functionality of the Company’s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systems. The Company’s standard offerings are usage based with monetization through the Company’s CSS program as described below.</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CSS is a program designed to streamline the procurement, administration, and payment process. The program requires an account to estimate their annual usage for CSS eligible offerings and deposit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Perpetual licenses</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Perpetual licenses may be sold with or without attaching a SELECT subscription. Historically, attachment and retention of the SELECT subscription has been high given the benefits of the SELECT subscription. Perpetual licenses revenue is recognized upon delivery of the license to the user.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color w:val="auto"/>
        </w:rPr>
        <w:t>The Company provides professional services including training, implementation, configuration, customization, and strategic consulting services. The Company performs projects on both a time and materials and a fixed fee basis. The Company’s recent and preferred contractual structures for delivering professional services include (i) delivery of the services in the form of subscription</w:t>
      </w:r>
      <w:r>
        <w:rPr>
          <w:rFonts w:ascii="MS PGothic" w:cs="MS PGothic" w:eastAsia="MS PGothic" w:hAnsi="MS PGothic"/>
          <w:sz w:val="16"/>
          <w:szCs w:val="16"/>
          <w:color w:val="auto"/>
        </w:rPr>
        <w:t>‑</w:t>
      </w:r>
      <w:r>
        <w:rPr>
          <w:rFonts w:ascii="Arial" w:cs="Arial" w:eastAsia="Arial" w:hAnsi="Arial"/>
          <w:sz w:val="16"/>
          <w:szCs w:val="16"/>
          <w:color w:val="auto"/>
        </w:rPr>
        <w:t>like, packaged offerings which are annually recurring in nature, and</w:t>
      </w:r>
    </w:p>
    <w:p>
      <w:pPr>
        <w:spacing w:after="0" w:line="2" w:lineRule="exact"/>
        <w:rPr>
          <w:sz w:val="20"/>
          <w:szCs w:val="20"/>
          <w:color w:val="auto"/>
        </w:rPr>
      </w:pPr>
    </w:p>
    <w:p>
      <w:pPr>
        <w:ind w:firstLine="8"/>
        <w:spacing w:after="0" w:line="323" w:lineRule="auto"/>
        <w:tabs>
          <w:tab w:leader="none" w:pos="285" w:val="left"/>
        </w:tabs>
        <w:numPr>
          <w:ilvl w:val="0"/>
          <w:numId w:val="7"/>
        </w:numPr>
        <w:rPr>
          <w:rFonts w:ascii="Arial" w:cs="Arial" w:eastAsia="Arial" w:hAnsi="Arial"/>
          <w:sz w:val="16"/>
          <w:szCs w:val="16"/>
          <w:color w:val="auto"/>
        </w:rPr>
      </w:pPr>
      <w:r>
        <w:rPr>
          <w:rFonts w:ascii="Arial" w:cs="Arial" w:eastAsia="Arial" w:hAnsi="Arial"/>
          <w:sz w:val="16"/>
          <w:szCs w:val="16"/>
          <w:color w:val="auto"/>
        </w:rPr>
        <w:t>delivery of the Company’s growing portfolio of Success Plans in standard offerings which offer a level of subscription service over and above the standard technical support offered to all accounts as part of their SELECT or Enterprise agreement. Revenues are recognized as services are performed.</w:t>
      </w:r>
    </w:p>
    <w:p>
      <w:pPr>
        <w:spacing w:after="0" w:line="138"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Company primarily utilizes its direct internal sales force and also has arrangements through independent channel partners to promote and sell Bentley products and subscriptions to end</w:t>
      </w:r>
      <w:r>
        <w:rPr>
          <w:rFonts w:ascii="MS PGothic" w:cs="MS PGothic" w:eastAsia="MS PGothic" w:hAnsi="MS PGothic"/>
          <w:sz w:val="18"/>
          <w:szCs w:val="18"/>
          <w:color w:val="auto"/>
        </w:rPr>
        <w:t>‑</w:t>
      </w:r>
      <w:r>
        <w:rPr>
          <w:rFonts w:ascii="Arial" w:cs="Arial" w:eastAsia="Arial" w:hAnsi="Arial"/>
          <w:sz w:val="18"/>
          <w:szCs w:val="18"/>
          <w:color w:val="auto"/>
        </w:rPr>
        <w:t>users. Channel partners are authorized to promote the sale of an authorized set of Bentley products and subscriptions within an authorized geography under a Channel Partner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and Estimates</w:t>
      </w:r>
    </w:p>
    <w:p>
      <w:pPr>
        <w:spacing w:after="0" w:line="22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The Company’s contracts with customers may include promises to transfer licenses (perpetual or term</w:t>
      </w:r>
      <w:r>
        <w:rPr>
          <w:rFonts w:ascii="MS PGothic" w:cs="MS PGothic" w:eastAsia="MS PGothic" w:hAnsi="MS PGothic"/>
          <w:sz w:val="16"/>
          <w:szCs w:val="16"/>
          <w:color w:val="auto"/>
        </w:rPr>
        <w:t>‑</w:t>
      </w:r>
      <w:r>
        <w:rPr>
          <w:rFonts w:ascii="Arial" w:cs="Arial" w:eastAsia="Arial" w:hAnsi="Arial"/>
          <w:sz w:val="16"/>
          <w:szCs w:val="16"/>
          <w:color w:val="auto"/>
        </w:rPr>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20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The Company’s SELECT agreement provides users with perpetual licenses a right to exchange software for other eligible perpetual licenses on an annual basis upon renewal. The Company refers to this option as portfolio balancing and has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 As of September 30, 2021 and December 31, 2020, the Company has deferred $18,504 and $18,166, respectively, related to portfolio balancing exchange rights which is included in </w:t>
      </w:r>
      <w:r>
        <w:rPr>
          <w:rFonts w:ascii="Arial" w:cs="Arial" w:eastAsia="Arial" w:hAnsi="Arial"/>
          <w:sz w:val="17"/>
          <w:szCs w:val="17"/>
          <w:i w:val="1"/>
          <w:iCs w:val="1"/>
          <w:color w:val="auto"/>
        </w:rPr>
        <w:t>Deferred revenues</w:t>
      </w:r>
      <w:r>
        <w:rPr>
          <w:rFonts w:ascii="Arial" w:cs="Arial" w:eastAsia="Arial" w:hAnsi="Arial"/>
          <w:sz w:val="17"/>
          <w:szCs w:val="17"/>
          <w:color w:val="auto"/>
        </w:rPr>
        <w:t xml:space="preserve"> in the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Contract Liabilities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1740" w:type="dxa"/>
            <w:vAlign w:val="bottom"/>
          </w:tcPr>
          <w:p>
            <w:pPr>
              <w:jc w:val="right"/>
              <w:ind w:right="233"/>
              <w:spacing w:after="0"/>
              <w:rPr>
                <w:sz w:val="20"/>
                <w:szCs w:val="20"/>
                <w:color w:val="auto"/>
              </w:rPr>
            </w:pPr>
            <w:r>
              <w:rPr>
                <w:rFonts w:ascii="Arial" w:cs="Arial" w:eastAsia="Arial" w:hAnsi="Arial"/>
                <w:sz w:val="16"/>
                <w:szCs w:val="16"/>
                <w:b w:val="1"/>
                <w:bCs w:val="1"/>
                <w:color w:val="auto"/>
                <w:w w:val="97"/>
              </w:rPr>
              <w:t>December 31, 2020</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Deferred revenues</w:t>
            </w: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196,297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209,314</w:t>
            </w:r>
          </w:p>
        </w:tc>
      </w:tr>
    </w:tbl>
    <w:p>
      <w:pPr>
        <w:spacing w:after="0" w:line="2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As of September 30, 2021 and December 31, 2020, the Company’s contract assets relate to performance obligations completed in advance of the right to invoice and are included in </w:t>
      </w:r>
      <w:r>
        <w:rPr>
          <w:rFonts w:ascii="Arial" w:cs="Arial" w:eastAsia="Arial" w:hAnsi="Arial"/>
          <w:sz w:val="18"/>
          <w:szCs w:val="18"/>
          <w:i w:val="1"/>
          <w:iCs w:val="1"/>
          <w:color w:val="auto"/>
        </w:rPr>
        <w:t>Prepaid and other current assets</w:t>
      </w:r>
      <w:r>
        <w:rPr>
          <w:rFonts w:ascii="Arial" w:cs="Arial" w:eastAsia="Arial" w:hAnsi="Arial"/>
          <w:sz w:val="18"/>
          <w:szCs w:val="18"/>
          <w:color w:val="auto"/>
        </w:rPr>
        <w:t xml:space="preserve"> in the consolidated balance sheets. Contract assets were not impaired as of September 30, 2021 and December 31, 2020.</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Deferred revenues consist of billings made or payments received in advance of revenue recognition from subscriptions and professional services. The timing of revenue recognition may differ from the timing of billings to users.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nine months ended September 30, 2021, $164,539 of revenue that was included in the December 31, 2020 deferred revenue balance was recognized. There were additional deferrals of $157,680, which were primarily related to new billings and acquisitions (see Note 4). For the nine months ended September 30, 2020, $177,462 of revenue that was included in the December 31, 2019 deferred revenue opening balance was recognized. There were additional deferrals of $142,678, which were primarily related to new billings.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contracts with customers include amounts allocated to performance obligations that will be satisfied at a later date. As of September 30, 2021, amounts allocated to these remaining performance obligations are $196,297, of which the Company expects to recognize 96.6% over the next 12 months with the remaining amount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92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w w:val="89"/>
              </w:rPr>
              <w:t>2020</w:t>
            </w:r>
          </w:p>
        </w:tc>
      </w:tr>
      <w:tr>
        <w:trPr>
          <w:trHeight w:val="212"/>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Subscriptions: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0"/>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SELECT subscriptions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66,648</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67,509</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199,722</w:t>
            </w: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199,848</w:t>
            </w:r>
          </w:p>
        </w:tc>
      </w:tr>
      <w:tr>
        <w:trPr>
          <w:trHeight w:val="27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 xml:space="preserve">Enterprise subscriptions </w:t>
            </w:r>
            <w:r>
              <w:rPr>
                <w:rFonts w:ascii="Arial" w:cs="Arial" w:eastAsia="Arial" w:hAnsi="Arial"/>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75,381</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55,978</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214,058</w:t>
            </w: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165,268</w:t>
            </w:r>
          </w:p>
        </w:tc>
      </w:tr>
      <w:tr>
        <w:trPr>
          <w:trHeight w:val="270"/>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Term license subscriptions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70,198</w:t>
            </w:r>
          </w:p>
        </w:tc>
        <w:tc>
          <w:tcPr>
            <w:tcW w:w="2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49,687</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172,024</w:t>
            </w:r>
          </w:p>
        </w:tc>
        <w:tc>
          <w:tcPr>
            <w:tcW w:w="26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135,895</w:t>
            </w:r>
          </w:p>
        </w:tc>
      </w:tr>
      <w:tr>
        <w:trPr>
          <w:trHeight w:val="250"/>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Subscriptions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212,227</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173,174</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585,804</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501,011</w:t>
            </w: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Perpetual licenses: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70"/>
        </w:trPr>
        <w:tc>
          <w:tcPr>
            <w:tcW w:w="4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Perpetual licenses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11,866</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12,827</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33,373</w:t>
            </w:r>
          </w:p>
        </w:tc>
        <w:tc>
          <w:tcPr>
            <w:tcW w:w="26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36,020</w:t>
            </w:r>
          </w:p>
        </w:tc>
      </w:tr>
      <w:tr>
        <w:trPr>
          <w:trHeight w:val="250"/>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Subscriptions and licenses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224,093</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186,001</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619,177</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537,031</w:t>
            </w: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Services: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70"/>
        </w:trPr>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Professional services (recurring)</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16,243</w:t>
            </w:r>
          </w:p>
        </w:tc>
        <w:tc>
          <w:tcPr>
            <w:tcW w:w="2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w:t>
            </w:r>
          </w:p>
        </w:tc>
      </w:tr>
      <w:tr>
        <w:trPr>
          <w:trHeight w:val="270"/>
        </w:trPr>
        <w:tc>
          <w:tcPr>
            <w:tcW w:w="4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Professional services (other)</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19,227</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12,688</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57,996</w:t>
            </w:r>
          </w:p>
        </w:tc>
        <w:tc>
          <w:tcPr>
            <w:tcW w:w="26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33,322</w:t>
            </w:r>
          </w:p>
        </w:tc>
      </w:tr>
      <w:tr>
        <w:trPr>
          <w:trHeight w:val="250"/>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24,387</w:t>
            </w:r>
          </w:p>
        </w:tc>
        <w:tc>
          <w:tcPr>
            <w:tcW w:w="26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16,996</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74,239</w:t>
            </w:r>
          </w:p>
        </w:tc>
        <w:tc>
          <w:tcPr>
            <w:tcW w:w="26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44,946</w:t>
            </w:r>
          </w:p>
        </w:tc>
      </w:tr>
      <w:tr>
        <w:trPr>
          <w:trHeight w:val="22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248,480</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202,997</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693,416</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581,977</w:t>
            </w:r>
          </w:p>
        </w:tc>
      </w:tr>
      <w:tr>
        <w:trPr>
          <w:trHeight w:val="20"/>
        </w:trPr>
        <w:tc>
          <w:tcPr>
            <w:tcW w:w="3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line="308" w:lineRule="auto"/>
        <w:tabs>
          <w:tab w:leader="none" w:pos="334" w:val="left"/>
        </w:tabs>
        <w:numPr>
          <w:ilvl w:val="0"/>
          <w:numId w:val="8"/>
        </w:numPr>
        <w:rPr>
          <w:rFonts w:ascii="Arial" w:cs="Arial" w:eastAsia="Arial" w:hAnsi="Arial"/>
          <w:sz w:val="17"/>
          <w:szCs w:val="17"/>
          <w:color w:val="auto"/>
        </w:rPr>
      </w:pPr>
      <w:r>
        <w:rPr>
          <w:rFonts w:ascii="Arial" w:cs="Arial" w:eastAsia="Arial" w:hAnsi="Arial"/>
          <w:sz w:val="17"/>
          <w:szCs w:val="17"/>
          <w:color w:val="auto"/>
        </w:rPr>
        <w:t>Enterprise subscriptions includes revenue attributable to E365 subscriptions of $60,102 and $29,363 for the three months ended September 30, 2021 and 2020, respectively, and $162,120 and $76,536 for the nine months ended September 30, 2021 and 2020, respectively.</w:t>
      </w:r>
    </w:p>
    <w:p>
      <w:pPr>
        <w:spacing w:after="0" w:line="1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Company recognizes perpetual licenses and the term license component of subscriptions as revenue when either the licenses are delivered or at the start of the subscription term. For the three months ended September 30, 2021 and 2020, the Company recognized $108,524 and $85,369 of license related revenues, respectively, of which $96,658 and $72,542, respectively, were attributable to the term license component of the Company’s subscription based commercial offerings recorded in </w:t>
      </w:r>
      <w:r>
        <w:rPr>
          <w:rFonts w:ascii="Arial" w:cs="Arial" w:eastAsia="Arial" w:hAnsi="Arial"/>
          <w:sz w:val="18"/>
          <w:szCs w:val="18"/>
          <w:i w:val="1"/>
          <w:iCs w:val="1"/>
          <w:color w:val="auto"/>
        </w:rPr>
        <w:t>Subscriptions</w:t>
      </w:r>
      <w:r>
        <w:rPr>
          <w:rFonts w:ascii="Arial" w:cs="Arial" w:eastAsia="Arial" w:hAnsi="Arial"/>
          <w:sz w:val="18"/>
          <w:szCs w:val="18"/>
          <w:color w:val="auto"/>
        </w:rPr>
        <w:t xml:space="preserve"> in the consolidated statements of operations. For the nine months ended September 30, 2021 and 2020, the Company recognized $292,034 and $245,639 of license related revenues, respectively, of which $258,661 and $209,619, respectively, were attributable to the term license component of the Company’s subscription based commercial offerings recorded in </w:t>
      </w:r>
      <w:r>
        <w:rPr>
          <w:rFonts w:ascii="Arial" w:cs="Arial" w:eastAsia="Arial" w:hAnsi="Arial"/>
          <w:sz w:val="18"/>
          <w:szCs w:val="18"/>
          <w:i w:val="1"/>
          <w:iCs w:val="1"/>
          <w:color w:val="auto"/>
        </w:rPr>
        <w:t>Subscriptions</w:t>
      </w:r>
      <w:r>
        <w:rPr>
          <w:rFonts w:ascii="Arial" w:cs="Arial" w:eastAsia="Arial" w:hAnsi="Arial"/>
          <w:sz w:val="18"/>
          <w:szCs w:val="18"/>
          <w:color w:val="auto"/>
        </w:rPr>
        <w:t xml:space="preserve"> in the consolidated statements of operations.</w:t>
      </w:r>
    </w:p>
    <w:p>
      <w:pPr>
        <w:spacing w:after="0" w:line="19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derived 7% and 8% of its total revenues through channel partners for the three months ended September 30, 2021 and 2020, respectively, 7% and 8% of its total revenues through channel partners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to external customers is attributed to individual countries based upon the location of the customer.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12"/>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51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126,583</w:t>
            </w:r>
          </w:p>
        </w:tc>
        <w:tc>
          <w:tcPr>
            <w:tcW w:w="2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102,104</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347,753</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287,942</w:t>
            </w:r>
          </w:p>
        </w:tc>
      </w:tr>
      <w:tr>
        <w:trPr>
          <w:trHeight w:val="229"/>
        </w:trPr>
        <w:tc>
          <w:tcPr>
            <w:tcW w:w="51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Europe, the Middle East, and Africa (“EMEA”)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75,982</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218,845</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184,913</w:t>
            </w:r>
          </w:p>
        </w:tc>
      </w:tr>
      <w:tr>
        <w:trPr>
          <w:trHeight w:val="230"/>
        </w:trPr>
        <w:tc>
          <w:tcPr>
            <w:tcW w:w="5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Asia-Pacific (“APAC”)</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45,915</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37,558</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126,818</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109,122</w:t>
            </w:r>
          </w:p>
        </w:tc>
      </w:tr>
      <w:tr>
        <w:trPr>
          <w:trHeight w:val="248"/>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248,480</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202,997</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693,416</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581,977</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spacing w:after="0" w:line="121" w:lineRule="exact"/>
        <w:rPr>
          <w:sz w:val="20"/>
          <w:szCs w:val="20"/>
          <w:color w:val="auto"/>
        </w:rPr>
      </w:pPr>
    </w:p>
    <w:p>
      <w:pPr>
        <w:jc w:val="both"/>
        <w:ind w:left="340" w:hanging="332"/>
        <w:spacing w:after="0" w:line="263"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Americas includes the United States (“U.S.”), Canada, and Latin America (including the Caribbean). Revenue attributable to the U.S. totaled $104,805 and $91,993 for the three months ended September 30, 2021 and 2020, respectively, and $289,245 and $251,194 for the nine months ended September 30, 2021 and 2020, respectively.</w:t>
      </w:r>
    </w:p>
    <w:p>
      <w:pPr>
        <w:spacing w:after="0" w:line="129"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attributable to the United Kingdom (“U.K.”) totaled $22,703 and $18,470 for the three months ended September 30, 2021 and 2020, respectively, and $65,328 and $46,355 for the nine months ended September 30,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For the nine months ended September 30, 2021 and the year ended December 31, 2020, the Company completed a number of acquisitions, for an aggregate purchase price of $1,269,584 and $102,094, respectively. On June 17, 2021, the Company completed the acquisition of Seequent, a leader in software for geological and geophysical modeling, geotechnical stability, and cloud services for geodata management and collaboration, for $910,997 in cash, net of cash acquired, plus 3,141,342 shares of the Company’s Class B Common Stock. The operating results of the acquired businesses, except for Seequent, were not material, individually or in the aggregate, to the Company’s consolidated statements of operations and financial position.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details of the Company’s acquisition activity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4"/>
          </w:tcPr>
          <w:p>
            <w:pPr>
              <w:jc w:val="right"/>
              <w:ind w:right="1133"/>
              <w:spacing w:after="0"/>
              <w:rPr>
                <w:sz w:val="20"/>
                <w:szCs w:val="20"/>
                <w:color w:val="auto"/>
              </w:rPr>
            </w:pPr>
            <w:r>
              <w:rPr>
                <w:rFonts w:ascii="Arial" w:cs="Arial" w:eastAsia="Arial" w:hAnsi="Arial"/>
                <w:sz w:val="16"/>
                <w:szCs w:val="16"/>
                <w:b w:val="1"/>
                <w:bCs w:val="1"/>
                <w:color w:val="auto"/>
              </w:rPr>
              <w:t>Acquisitions Completed in</w:t>
            </w:r>
          </w:p>
        </w:tc>
      </w:tr>
      <w:tr>
        <w:trPr>
          <w:trHeight w:val="207"/>
        </w:trPr>
        <w:tc>
          <w:tcPr>
            <w:tcW w:w="30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ind w:left="100"/>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tcPr>
          <w:p>
            <w:pPr>
              <w:spacing w:after="0"/>
              <w:rPr>
                <w:sz w:val="17"/>
                <w:szCs w:val="17"/>
                <w:color w:val="auto"/>
              </w:rPr>
            </w:pPr>
          </w:p>
        </w:tc>
        <w:tc>
          <w:tcPr>
            <w:tcW w:w="1780" w:type="dxa"/>
            <w:vAlign w:val="bottom"/>
          </w:tcPr>
          <w:p>
            <w:pPr>
              <w:jc w:val="right"/>
              <w:ind w:right="513"/>
              <w:spacing w:after="0"/>
              <w:rPr>
                <w:sz w:val="20"/>
                <w:szCs w:val="20"/>
                <w:color w:val="auto"/>
              </w:rPr>
            </w:pPr>
            <w:r>
              <w:rPr>
                <w:rFonts w:ascii="Arial" w:cs="Arial" w:eastAsia="Arial" w:hAnsi="Arial"/>
                <w:sz w:val="16"/>
                <w:szCs w:val="16"/>
                <w:b w:val="1"/>
                <w:bCs w:val="1"/>
                <w:color w:val="auto"/>
              </w:rPr>
              <w:t>Year Ended</w:t>
            </w:r>
          </w:p>
        </w:tc>
      </w:tr>
      <w:tr>
        <w:trPr>
          <w:trHeight w:val="219"/>
        </w:trPr>
        <w:tc>
          <w:tcPr>
            <w:tcW w:w="30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Pr>
          <w:p>
            <w:pPr>
              <w:spacing w:after="0"/>
              <w:rPr>
                <w:sz w:val="19"/>
                <w:szCs w:val="19"/>
                <w:color w:val="auto"/>
              </w:rPr>
            </w:pPr>
          </w:p>
        </w:tc>
        <w:tc>
          <w:tcPr>
            <w:tcW w:w="1780" w:type="dxa"/>
            <w:vAlign w:val="bottom"/>
          </w:tcPr>
          <w:p>
            <w:pPr>
              <w:jc w:val="right"/>
              <w:ind w:right="253"/>
              <w:spacing w:after="0"/>
              <w:rPr>
                <w:sz w:val="20"/>
                <w:szCs w:val="20"/>
                <w:color w:val="auto"/>
              </w:rPr>
            </w:pPr>
            <w:r>
              <w:rPr>
                <w:rFonts w:ascii="Arial" w:cs="Arial" w:eastAsia="Arial" w:hAnsi="Arial"/>
                <w:sz w:val="16"/>
                <w:szCs w:val="16"/>
                <w:b w:val="1"/>
                <w:bCs w:val="1"/>
                <w:color w:val="auto"/>
                <w:w w:val="98"/>
              </w:rPr>
              <w:t>December 31, 2020</w:t>
            </w:r>
          </w:p>
        </w:tc>
      </w:tr>
      <w:tr>
        <w:trPr>
          <w:trHeight w:val="226"/>
        </w:trPr>
        <w:tc>
          <w:tcPr>
            <w:tcW w:w="6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Number of acquisitions</w:t>
            </w:r>
          </w:p>
        </w:tc>
        <w:tc>
          <w:tcPr>
            <w:tcW w:w="2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9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Cash paid at closing </w:t>
            </w:r>
            <w:r>
              <w:rPr>
                <w:rFonts w:ascii="Arial" w:cs="Arial" w:eastAsia="Arial" w:hAnsi="Arial"/>
                <w:sz w:val="23"/>
                <w:szCs w:val="23"/>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1,071,532</w:t>
            </w:r>
          </w:p>
        </w:tc>
        <w:tc>
          <w:tcPr>
            <w:tcW w:w="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98,298</w:t>
            </w:r>
          </w:p>
        </w:tc>
      </w:tr>
      <w:tr>
        <w:trPr>
          <w:trHeight w:val="23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acquired</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(37,837)</w:t>
            </w:r>
          </w:p>
        </w:tc>
        <w:tc>
          <w:tcPr>
            <w:tcW w:w="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Net cash paid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1,033,695</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93,032</w:t>
            </w:r>
          </w:p>
        </w:tc>
      </w:tr>
      <w:tr>
        <w:trPr>
          <w:trHeight w:val="20"/>
        </w:trPr>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3"/>
        </w:trPr>
        <w:tc>
          <w:tcPr>
            <w:tcW w:w="3000" w:type="dxa"/>
            <w:vAlign w:val="bottom"/>
            <w:tcBorders>
              <w:bottom w:val="single" w:sz="8" w:color="auto"/>
            </w:tcBorders>
          </w:tcPr>
          <w:p>
            <w:pPr>
              <w:spacing w:after="0"/>
              <w:rPr>
                <w:sz w:val="15"/>
                <w:szCs w:val="15"/>
                <w:color w:val="auto"/>
              </w:rPr>
            </w:pPr>
          </w:p>
        </w:tc>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r>
    </w:tbl>
    <w:p>
      <w:pPr>
        <w:spacing w:after="0" w:line="134" w:lineRule="exact"/>
        <w:rPr>
          <w:sz w:val="20"/>
          <w:szCs w:val="20"/>
          <w:color w:val="auto"/>
        </w:rPr>
      </w:pPr>
    </w:p>
    <w:p>
      <w:pPr>
        <w:ind w:left="340" w:hanging="332"/>
        <w:spacing w:after="0" w:line="277"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Of the cash paid at closing for the nine months ended September 30, 2021, $7,050 was deposited into an escrow account to secure any potential indemnification and other obligations of the seller.</w:t>
      </w:r>
    </w:p>
    <w:p>
      <w:pPr>
        <w:spacing w:after="0" w:line="17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fair value of the contingent consideration from acquisitions is included in the consolidated balance sheets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Pr>
          <w:p>
            <w:pPr>
              <w:spacing w:after="0"/>
              <w:rPr>
                <w:sz w:val="18"/>
                <w:szCs w:val="18"/>
                <w:color w:val="auto"/>
              </w:rPr>
            </w:pPr>
          </w:p>
        </w:tc>
        <w:tc>
          <w:tcPr>
            <w:tcW w:w="1780" w:type="dxa"/>
            <w:vAlign w:val="bottom"/>
          </w:tcPr>
          <w:p>
            <w:pPr>
              <w:jc w:val="right"/>
              <w:ind w:right="252"/>
              <w:spacing w:after="0"/>
              <w:rPr>
                <w:sz w:val="20"/>
                <w:szCs w:val="20"/>
                <w:color w:val="auto"/>
              </w:rPr>
            </w:pPr>
            <w:r>
              <w:rPr>
                <w:rFonts w:ascii="Arial" w:cs="Arial" w:eastAsia="Arial" w:hAnsi="Arial"/>
                <w:sz w:val="16"/>
                <w:szCs w:val="16"/>
                <w:b w:val="1"/>
                <w:bCs w:val="1"/>
                <w:color w:val="auto"/>
                <w:w w:val="98"/>
              </w:rPr>
              <w:t>December 31, 2020</w:t>
            </w:r>
          </w:p>
        </w:tc>
      </w:tr>
      <w:tr>
        <w:trPr>
          <w:trHeight w:val="226"/>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non-contingent consideration from acquisitions is included in the consolidated balance sheets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Pr>
          <w:p>
            <w:pPr>
              <w:spacing w:after="0"/>
              <w:rPr>
                <w:sz w:val="18"/>
                <w:szCs w:val="18"/>
                <w:color w:val="auto"/>
              </w:rPr>
            </w:pPr>
          </w:p>
        </w:tc>
        <w:tc>
          <w:tcPr>
            <w:tcW w:w="1780" w:type="dxa"/>
            <w:vAlign w:val="bottom"/>
          </w:tcPr>
          <w:p>
            <w:pPr>
              <w:jc w:val="right"/>
              <w:ind w:right="252"/>
              <w:spacing w:after="0"/>
              <w:rPr>
                <w:sz w:val="20"/>
                <w:szCs w:val="20"/>
                <w:color w:val="auto"/>
              </w:rPr>
            </w:pPr>
            <w:r>
              <w:rPr>
                <w:rFonts w:ascii="Arial" w:cs="Arial" w:eastAsia="Arial" w:hAnsi="Arial"/>
                <w:sz w:val="16"/>
                <w:szCs w:val="16"/>
                <w:b w:val="1"/>
                <w:bCs w:val="1"/>
                <w:color w:val="auto"/>
                <w:w w:val="98"/>
              </w:rPr>
              <w:t>December 31, 2020</w:t>
            </w:r>
          </w:p>
        </w:tc>
      </w:tr>
      <w:tr>
        <w:trPr>
          <w:trHeight w:val="226"/>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11,787</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w:t>
      </w:r>
    </w:p>
    <w:p>
      <w:pPr>
        <w:spacing w:after="0" w:line="18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In connection with the purchase price allocations related to the Company’s acquisitions, the Company has estimated the fair values of the support obligations assumed relative to acquired deferred revenue. The estimated fair values of the support obligations assumed were determined using a cost</w:t>
      </w:r>
      <w:r>
        <w:rPr>
          <w:rFonts w:ascii="MS PGothic" w:cs="MS PGothic" w:eastAsia="MS PGothic" w:hAnsi="MS PGothic"/>
          <w:sz w:val="18"/>
          <w:szCs w:val="18"/>
          <w:color w:val="auto"/>
        </w:rPr>
        <w:t>‑</w:t>
      </w:r>
      <w:r>
        <w:rPr>
          <w:rFonts w:ascii="Arial" w:cs="Arial" w:eastAsia="Arial" w:hAnsi="Arial"/>
          <w:sz w:val="18"/>
          <w:szCs w:val="18"/>
          <w:color w:val="auto"/>
        </w:rPr>
        <w:t>build</w:t>
      </w:r>
      <w:r>
        <w:rPr>
          <w:rFonts w:ascii="MS PGothic" w:cs="MS PGothic" w:eastAsia="MS PGothic" w:hAnsi="MS PGothic"/>
          <w:sz w:val="18"/>
          <w:szCs w:val="18"/>
          <w:color w:val="auto"/>
        </w:rPr>
        <w:t>‑</w:t>
      </w:r>
      <w:r>
        <w:rPr>
          <w:rFonts w:ascii="Arial" w:cs="Arial" w:eastAsia="Arial" w:hAnsi="Arial"/>
          <w:sz w:val="18"/>
          <w:szCs w:val="18"/>
          <w:color w:val="auto"/>
        </w:rPr>
        <w:t>up approach. The cost</w:t>
      </w:r>
      <w:r>
        <w:rPr>
          <w:rFonts w:ascii="MS PGothic" w:cs="MS PGothic" w:eastAsia="MS PGothic" w:hAnsi="MS PGothic"/>
          <w:sz w:val="18"/>
          <w:szCs w:val="18"/>
          <w:color w:val="auto"/>
        </w:rPr>
        <w:t>‑</w:t>
      </w:r>
      <w:r>
        <w:rPr>
          <w:rFonts w:ascii="Arial" w:cs="Arial" w:eastAsia="Arial" w:hAnsi="Arial"/>
          <w:sz w:val="18"/>
          <w:szCs w:val="18"/>
          <w:color w:val="auto"/>
        </w:rPr>
        <w:t>build</w:t>
      </w:r>
      <w:r>
        <w:rPr>
          <w:rFonts w:ascii="MS PGothic" w:cs="MS PGothic" w:eastAsia="MS PGothic" w:hAnsi="MS PGothic"/>
          <w:sz w:val="18"/>
          <w:szCs w:val="18"/>
          <w:color w:val="auto"/>
        </w:rPr>
        <w:t>‑</w:t>
      </w:r>
      <w:r>
        <w:rPr>
          <w:rFonts w:ascii="Arial" w:cs="Arial" w:eastAsia="Arial" w:hAnsi="Arial"/>
          <w:sz w:val="18"/>
          <w:szCs w:val="18"/>
          <w:color w:val="auto"/>
        </w:rPr>
        <w:t>up approach determines fair value by estimating the costs related to fulfilling the obligations plus a normal profit margin. These fair value adjustments reduce the revenues recognizable over the remaining support contract term of the Company’s acquired contracts. For the three months ended September 30, 2021 and 2020, the fair value adjustments to reduce revenue were $2,914 and $288, respectively, and $3,924 and $483 for the nine months ended September 30, 2021 and 2020, respectively.</w:t>
      </w:r>
    </w:p>
    <w:p>
      <w:pPr>
        <w:spacing w:after="0" w:line="2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purchase accounting for the 12 acquisitions completed for the nine months ended September 30, 2021 are not yet completed. Identifiable assets acquired and liabilities assumed were provisionally recorded at their estimated fair values on the respective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16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Acquisition and integration costs are expensed as incurred and are recorded in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in the consolidated statements of operations. For the three months ended September 30, 2021 and 2020, the Company incurred acquisition and integration costs of $943 and $531, respectively, and $18,037 and $1,609 for the nine months ended September 30, 2021 and 2020, respectively, which include costs related to legal, accounting, valuation, general administrative, and other consulting fees. For the three and nine months ended September 30, 2021, $389 and $16,285, respectively, of the Company’s acquisition and integration costs related to the acquisition of Seequent.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4"/>
          </w:tcPr>
          <w:p>
            <w:pPr>
              <w:jc w:val="right"/>
              <w:ind w:right="1131"/>
              <w:spacing w:after="0"/>
              <w:rPr>
                <w:sz w:val="20"/>
                <w:szCs w:val="20"/>
                <w:color w:val="auto"/>
              </w:rPr>
            </w:pPr>
            <w:r>
              <w:rPr>
                <w:rFonts w:ascii="Arial" w:cs="Arial" w:eastAsia="Arial" w:hAnsi="Arial"/>
                <w:sz w:val="16"/>
                <w:szCs w:val="16"/>
                <w:b w:val="1"/>
                <w:bCs w:val="1"/>
                <w:color w:val="auto"/>
              </w:rPr>
              <w:t>Acquisitions Completed in</w:t>
            </w:r>
          </w:p>
        </w:tc>
      </w:tr>
      <w:tr>
        <w:trPr>
          <w:trHeight w:val="207"/>
        </w:trPr>
        <w:tc>
          <w:tcPr>
            <w:tcW w:w="30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2"/>
          </w:tcPr>
          <w:p>
            <w:pPr>
              <w:ind w:left="100"/>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tcPr>
          <w:p>
            <w:pPr>
              <w:spacing w:after="0"/>
              <w:rPr>
                <w:sz w:val="17"/>
                <w:szCs w:val="17"/>
                <w:color w:val="auto"/>
              </w:rPr>
            </w:pPr>
          </w:p>
        </w:tc>
        <w:tc>
          <w:tcPr>
            <w:tcW w:w="1780" w:type="dxa"/>
            <w:vAlign w:val="bottom"/>
          </w:tcPr>
          <w:p>
            <w:pPr>
              <w:jc w:val="right"/>
              <w:ind w:right="511"/>
              <w:spacing w:after="0"/>
              <w:rPr>
                <w:sz w:val="20"/>
                <w:szCs w:val="20"/>
                <w:color w:val="auto"/>
              </w:rPr>
            </w:pPr>
            <w:r>
              <w:rPr>
                <w:rFonts w:ascii="Arial" w:cs="Arial" w:eastAsia="Arial" w:hAnsi="Arial"/>
                <w:sz w:val="16"/>
                <w:szCs w:val="16"/>
                <w:b w:val="1"/>
                <w:bCs w:val="1"/>
                <w:color w:val="auto"/>
              </w:rPr>
              <w:t>Year Ended</w:t>
            </w:r>
          </w:p>
        </w:tc>
      </w:tr>
      <w:tr>
        <w:trPr>
          <w:trHeight w:val="219"/>
        </w:trPr>
        <w:tc>
          <w:tcPr>
            <w:tcW w:w="30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2021</w:t>
            </w:r>
          </w:p>
        </w:tc>
        <w:tc>
          <w:tcPr>
            <w:tcW w:w="220" w:type="dxa"/>
            <w:vAlign w:val="bottom"/>
          </w:tcPr>
          <w:p>
            <w:pPr>
              <w:spacing w:after="0"/>
              <w:rPr>
                <w:sz w:val="19"/>
                <w:szCs w:val="19"/>
                <w:color w:val="auto"/>
              </w:rPr>
            </w:pPr>
          </w:p>
        </w:tc>
        <w:tc>
          <w:tcPr>
            <w:tcW w:w="178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December 31, 2020</w:t>
            </w:r>
          </w:p>
        </w:tc>
      </w:tr>
      <w:tr>
        <w:trPr>
          <w:trHeight w:val="212"/>
        </w:trPr>
        <w:tc>
          <w:tcPr>
            <w:tcW w:w="6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Consideration:</w:t>
            </w: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70"/>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Cash paid at closing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1,071,532</w:t>
            </w:r>
          </w:p>
        </w:tc>
        <w:tc>
          <w:tcPr>
            <w:tcW w:w="2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98,298</w:t>
            </w:r>
          </w:p>
        </w:tc>
      </w:tr>
      <w:tr>
        <w:trPr>
          <w:trHeight w:val="27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Shares issued at closing </w:t>
            </w:r>
            <w:r>
              <w:rPr>
                <w:rFonts w:ascii="Arial" w:cs="Arial" w:eastAsia="Arial" w:hAnsi="Arial"/>
                <w:sz w:val="23"/>
                <w:szCs w:val="23"/>
                <w:color w:val="auto"/>
                <w:vertAlign w:val="superscript"/>
              </w:rPr>
              <w:t>(1)(2)</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182,390</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Contingent consideration</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5,581</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2,380</w:t>
            </w:r>
          </w:p>
        </w:tc>
      </w:tr>
      <w:tr>
        <w:trPr>
          <w:trHeight w:val="27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non-contingent consideration, net</w:t>
            </w: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10,081</w:t>
            </w:r>
          </w:p>
        </w:tc>
        <w:tc>
          <w:tcPr>
            <w:tcW w:w="2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Total consideration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1,269,584</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102,094</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96"/>
        </w:trPr>
        <w:tc>
          <w:tcPr>
            <w:tcW w:w="69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Assets acquired and liabilities assumed:</w:t>
            </w: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70"/>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37,837</w:t>
            </w:r>
          </w:p>
        </w:tc>
        <w:tc>
          <w:tcPr>
            <w:tcW w:w="2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5,266</w:t>
            </w:r>
          </w:p>
        </w:tc>
      </w:tr>
      <w:tr>
        <w:trPr>
          <w:trHeight w:val="27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23,709</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w:t>
            </w:r>
          </w:p>
        </w:tc>
      </w:tr>
      <w:tr>
        <w:trPr>
          <w:trHeight w:val="270"/>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12,074</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2,529</w:t>
            </w:r>
          </w:p>
        </w:tc>
      </w:tr>
      <w:tr>
        <w:trPr>
          <w:trHeight w:val="27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70"/>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23"/>
                <w:szCs w:val="23"/>
                <w:color w:val="auto"/>
              </w:rPr>
            </w:pP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Software and technology (weighted average useful life of 5 and 3 years, respectively)</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45,753</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2,207</w:t>
            </w:r>
          </w:p>
        </w:tc>
      </w:tr>
      <w:tr>
        <w:trPr>
          <w:trHeight w:val="27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 (weighted average useful life of 9 and 6 years, respectively)</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143,794</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w:t>
            </w:r>
          </w:p>
        </w:tc>
      </w:tr>
      <w:tr>
        <w:trPr>
          <w:trHeight w:val="270"/>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Trademarks (weighted average useful life of 10 and 7 years, respectively)</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42,444</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3,953</w:t>
            </w:r>
          </w:p>
        </w:tc>
      </w:tr>
      <w:tr>
        <w:trPr>
          <w:trHeight w:val="27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Non-compete agreement (useful life of 5 years)</w:t>
            </w:r>
          </w:p>
        </w:tc>
        <w:tc>
          <w:tcPr>
            <w:tcW w:w="22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69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In-process research and development</w:t>
            </w: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2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identifiable assets acquired excluding goodwill</w:t>
            </w:r>
          </w:p>
        </w:tc>
        <w:tc>
          <w:tcPr>
            <w:tcW w:w="2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315,268</w:t>
            </w:r>
          </w:p>
        </w:tc>
        <w:tc>
          <w:tcPr>
            <w:tcW w:w="2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34,762</w:t>
            </w:r>
          </w:p>
        </w:tc>
      </w:tr>
      <w:tr>
        <w:trPr>
          <w:trHeight w:val="250"/>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Accruals and other current liabilities</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(28,065)</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(4,991)</w:t>
            </w:r>
          </w:p>
        </w:tc>
      </w:tr>
      <w:tr>
        <w:trPr>
          <w:trHeight w:val="27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(18,412)</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r>
      <w:tr>
        <w:trPr>
          <w:trHeight w:val="270"/>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(11,966)</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(2,529)</w:t>
            </w:r>
          </w:p>
        </w:tc>
      </w:tr>
      <w:tr>
        <w:trPr>
          <w:trHeight w:val="27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(48,374)</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r>
      <w:tr>
        <w:trPr>
          <w:trHeight w:val="270"/>
        </w:trPr>
        <w:tc>
          <w:tcPr>
            <w:tcW w:w="69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2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50"/>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assumed</w:t>
            </w:r>
          </w:p>
        </w:tc>
        <w:tc>
          <w:tcPr>
            <w:tcW w:w="2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(107,533)</w:t>
            </w:r>
          </w:p>
        </w:tc>
        <w:tc>
          <w:tcPr>
            <w:tcW w:w="2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(14,658)</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Net identifiable assets acquired excluding goodwill</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207,735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20,104</w:t>
            </w:r>
          </w:p>
        </w:tc>
      </w:tr>
      <w:tr>
        <w:trPr>
          <w:trHeight w:val="270"/>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1,061,849</w:t>
            </w:r>
          </w:p>
        </w:tc>
        <w:tc>
          <w:tcPr>
            <w:tcW w:w="2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81,990</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1,269,584</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102,094</w:t>
            </w:r>
          </w:p>
        </w:tc>
      </w:tr>
      <w:tr>
        <w:trPr>
          <w:trHeight w:val="20"/>
        </w:trPr>
        <w:tc>
          <w:tcPr>
            <w:tcW w:w="30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line="224" w:lineRule="exact"/>
        <w:tabs>
          <w:tab w:leader="none" w:pos="334" w:val="left"/>
        </w:tabs>
        <w:numPr>
          <w:ilvl w:val="0"/>
          <w:numId w:val="11"/>
        </w:numPr>
        <w:rPr>
          <w:rFonts w:ascii="Arial" w:cs="Arial" w:eastAsia="Arial" w:hAnsi="Arial"/>
          <w:sz w:val="17"/>
          <w:szCs w:val="17"/>
          <w:color w:val="auto"/>
        </w:rPr>
      </w:pPr>
      <w:r>
        <w:rPr>
          <w:rFonts w:ascii="Arial" w:cs="Arial" w:eastAsia="Arial" w:hAnsi="Arial"/>
          <w:sz w:val="17"/>
          <w:szCs w:val="17"/>
          <w:color w:val="auto"/>
        </w:rPr>
        <w:t>Of the total 3,141,342 shares issued at closing, 83,627 shares are subject to forfeiture if post</w:t>
      </w:r>
      <w:r>
        <w:rPr>
          <w:rFonts w:ascii="MS PGothic" w:cs="MS PGothic" w:eastAsia="MS PGothic" w:hAnsi="MS PGothic"/>
          <w:sz w:val="17"/>
          <w:szCs w:val="17"/>
          <w:color w:val="auto"/>
        </w:rPr>
        <w:t>‑</w:t>
      </w:r>
      <w:r>
        <w:rPr>
          <w:rFonts w:ascii="Arial" w:cs="Arial" w:eastAsia="Arial" w:hAnsi="Arial"/>
          <w:sz w:val="17"/>
          <w:szCs w:val="17"/>
          <w:color w:val="auto"/>
        </w:rPr>
        <w:t>closing employment service conditions are not met. Accordingly, $5,452 is being recorded as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over the related forfeiture period of two years (see Note 15).</w:t>
      </w:r>
    </w:p>
    <w:p>
      <w:pPr>
        <w:spacing w:after="0" w:line="147" w:lineRule="exact"/>
        <w:rPr>
          <w:rFonts w:ascii="Arial" w:cs="Arial" w:eastAsia="Arial" w:hAnsi="Arial"/>
          <w:sz w:val="17"/>
          <w:szCs w:val="17"/>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fair value adjustment of $16,943 was applied to the stock consideration due to restrictions on the transfer of securities.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fair values of the working capital, other assets (liabilities), and property and equipment approximated their respective carrying values as of the acquisition date.</w:t>
      </w:r>
    </w:p>
    <w:p>
      <w:pPr>
        <w:spacing w:after="0" w:line="170"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As discussed above, the fair values of deferred revenues were determined using the cost</w:t>
      </w:r>
      <w:r>
        <w:rPr>
          <w:rFonts w:ascii="MS PGothic" w:cs="MS PGothic" w:eastAsia="MS PGothic" w:hAnsi="MS PGothic"/>
          <w:sz w:val="18"/>
          <w:szCs w:val="18"/>
          <w:color w:val="auto"/>
        </w:rPr>
        <w:t>‑</w:t>
      </w:r>
      <w:r>
        <w:rPr>
          <w:rFonts w:ascii="Arial" w:cs="Arial" w:eastAsia="Arial" w:hAnsi="Arial"/>
          <w:sz w:val="18"/>
          <w:szCs w:val="18"/>
          <w:color w:val="auto"/>
        </w:rPr>
        <w:t>build</w:t>
      </w:r>
      <w:r>
        <w:rPr>
          <w:rFonts w:ascii="MS PGothic" w:cs="MS PGothic" w:eastAsia="MS PGothic" w:hAnsi="MS PGothic"/>
          <w:sz w:val="18"/>
          <w:szCs w:val="18"/>
          <w:color w:val="auto"/>
        </w:rPr>
        <w:t>‑</w:t>
      </w:r>
      <w:r>
        <w:rPr>
          <w:rFonts w:ascii="Arial" w:cs="Arial" w:eastAsia="Arial" w:hAnsi="Arial"/>
          <w:sz w:val="18"/>
          <w:szCs w:val="18"/>
          <w:color w:val="auto"/>
        </w:rPr>
        <w:t>up approach.</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198"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w:t>
      </w:r>
      <w:r>
        <w:rPr>
          <w:rFonts w:ascii="MS PGothic" w:cs="MS PGothic" w:eastAsia="MS PGothic" w:hAnsi="MS PGothic"/>
          <w:sz w:val="18"/>
          <w:szCs w:val="18"/>
          <w:color w:val="auto"/>
        </w:rPr>
        <w:t>‑</w:t>
      </w:r>
      <w:r>
        <w:rPr>
          <w:rFonts w:ascii="Arial" w:cs="Arial" w:eastAsia="Arial" w:hAnsi="Arial"/>
          <w:sz w:val="18"/>
          <w:szCs w:val="18"/>
          <w:color w:val="auto"/>
        </w:rPr>
        <w: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20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Goodwill recorded in connection with the acquisitions was attributable to synergies expected to arise from cost saving opportunities, as well as future expected cash flows. Of the goodwill recorded as of September 30, 2021, $16,244 is expected to be deductible for tax purposes.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Had the acquisition of Seequent been made at the beginning of 2020, unaudited pro forma total revenues for the three months ended September 30, 2021 and 2020 would have been $248,480 and $220,828, respectively, and $746,025 and $640,008 for the nine months ended September 30, 2021 and 2020, respectively. Net (loss) income, net (loss) income per share, basic, and net (loss) income per share, diluted for the three and nine months ended September 30, 2021 and 2020 would not have been materially different than the amounts reported primarily due to the pro forma adjustments to reflect the amortization of purchased intangibles and the cost to finance the transaction, net of the related tax effects.</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unaudited pro forma financial information is for informational purposes only and is not indicative of the results of operations that would have been achieved if the acquisition had taken place at the beginning of 2020. The unaudited pro forma financial information combines the historical results of the Company, the adjusted historical results of Seequent considering the date the Company completed the acquisition of Seequent, and the effects of the pro forma adjustments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174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December 31, 2020</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34,630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33,094</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44,369</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15,545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12,849</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97,256</w:t>
            </w:r>
          </w:p>
        </w:tc>
      </w:tr>
      <w:tr>
        <w:trPr>
          <w:trHeight w:val="270"/>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(76,316)</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(68,842)</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was $3,028 and $2,630 for the three months ended September 30, 2021 and 2020, respectively, and $8,142 and $7,556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w w:val="95"/>
              </w:rPr>
              <w:t>Note 6: Goodwill and Other Intangible Assets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60" w:type="dxa"/>
            <w:vAlign w:val="bottom"/>
            <w:gridSpan w:val="6"/>
          </w:tcPr>
          <w:p>
            <w:pPr>
              <w:ind w:left="340"/>
              <w:spacing w:after="0"/>
              <w:rPr>
                <w:sz w:val="20"/>
                <w:szCs w:val="20"/>
                <w:color w:val="auto"/>
              </w:rPr>
            </w:pPr>
            <w:r>
              <w:rPr>
                <w:rFonts w:ascii="Arial" w:cs="Arial" w:eastAsia="Arial" w:hAnsi="Arial"/>
                <w:sz w:val="18"/>
                <w:szCs w:val="18"/>
                <w:color w:val="auto"/>
                <w:w w:val="92"/>
              </w:rPr>
              <w:t>The changes in the carrying amount of goodwill are as follows: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581,174</w:t>
            </w:r>
          </w:p>
        </w:tc>
        <w:tc>
          <w:tcPr>
            <w:tcW w:w="0" w:type="dxa"/>
            <w:vAlign w:val="bottom"/>
          </w:tcPr>
          <w:p>
            <w:pPr>
              <w:spacing w:after="0"/>
              <w:rPr>
                <w:sz w:val="1"/>
                <w:szCs w:val="1"/>
                <w:color w:val="auto"/>
              </w:rPr>
            </w:pPr>
          </w:p>
        </w:tc>
      </w:tr>
      <w:tr>
        <w:trPr>
          <w:trHeight w:val="270"/>
        </w:trPr>
        <w:tc>
          <w:tcPr>
            <w:tcW w:w="244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1,061,849</w:t>
            </w:r>
          </w:p>
        </w:tc>
        <w:tc>
          <w:tcPr>
            <w:tcW w:w="0" w:type="dxa"/>
            <w:vAlign w:val="bottom"/>
          </w:tcPr>
          <w:p>
            <w:pPr>
              <w:spacing w:after="0"/>
              <w:rPr>
                <w:sz w:val="1"/>
                <w:szCs w:val="1"/>
                <w:color w:val="auto"/>
              </w:rPr>
            </w:pPr>
          </w:p>
        </w:tc>
      </w:tr>
      <w:tr>
        <w:trPr>
          <w:trHeight w:val="270"/>
        </w:trPr>
        <w:tc>
          <w:tcPr>
            <w:tcW w:w="3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(50,234)</w:t>
            </w:r>
          </w:p>
        </w:tc>
        <w:tc>
          <w:tcPr>
            <w:tcW w:w="0" w:type="dxa"/>
            <w:vAlign w:val="bottom"/>
          </w:tcPr>
          <w:p>
            <w:pPr>
              <w:spacing w:after="0"/>
              <w:rPr>
                <w:sz w:val="1"/>
                <w:szCs w:val="1"/>
                <w:color w:val="auto"/>
              </w:rPr>
            </w:pPr>
          </w:p>
        </w:tc>
      </w:tr>
      <w:tr>
        <w:trPr>
          <w:trHeight w:val="270"/>
        </w:trPr>
        <w:tc>
          <w:tcPr>
            <w:tcW w:w="24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adjustments</w:t>
            </w: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2021</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1,592,399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6"/>
            <w:vMerge w:val="restart"/>
          </w:tcPr>
          <w:p>
            <w:pPr>
              <w:ind w:left="340"/>
              <w:spacing w:after="0"/>
              <w:rPr>
                <w:sz w:val="20"/>
                <w:szCs w:val="20"/>
                <w:color w:val="auto"/>
              </w:rPr>
            </w:pPr>
            <w:r>
              <w:rPr>
                <w:rFonts w:ascii="Arial" w:cs="Arial" w:eastAsia="Arial" w:hAnsi="Arial"/>
                <w:sz w:val="18"/>
                <w:szCs w:val="18"/>
                <w:color w:val="auto"/>
                <w:w w:val="93"/>
              </w:rPr>
              <w:t>Details of intangible assets other than goodwill are as follows:</w:t>
            </w: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96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September 30, 2021</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December 31, 2020</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440" w:type="dxa"/>
            <w:vAlign w:val="bottom"/>
          </w:tcPr>
          <w:p>
            <w:pPr>
              <w:spacing w:after="0"/>
              <w:rPr>
                <w:sz w:val="11"/>
                <w:szCs w:val="11"/>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Estimated</w:t>
            </w: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6"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1"/>
                <w:szCs w:val="11"/>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1"/>
              </w:rPr>
              <w:t>Net Book</w:t>
            </w: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6"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238"/>
              <w:spacing w:after="0"/>
              <w:rPr>
                <w:sz w:val="20"/>
                <w:szCs w:val="20"/>
                <w:color w:val="auto"/>
              </w:rPr>
            </w:pPr>
            <w:r>
              <w:rPr>
                <w:rFonts w:ascii="Arial" w:cs="Arial" w:eastAsia="Arial" w:hAnsi="Arial"/>
                <w:sz w:val="13"/>
                <w:szCs w:val="13"/>
                <w:b w:val="1"/>
                <w:bCs w:val="1"/>
                <w:color w:val="auto"/>
              </w:rPr>
              <w:t>Net Book</w:t>
            </w: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44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Useful Life</w:t>
            </w:r>
          </w:p>
        </w:tc>
        <w:tc>
          <w:tcPr>
            <w:tcW w:w="20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Value</w:t>
            </w:r>
          </w:p>
        </w:tc>
        <w:tc>
          <w:tcPr>
            <w:tcW w:w="20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Amortization</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338"/>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93"/>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subject to</w:t>
            </w: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440" w:type="dxa"/>
            <w:vAlign w:val="bottom"/>
          </w:tcPr>
          <w:p>
            <w:pPr>
              <w:ind w:left="180"/>
              <w:spacing w:after="0"/>
              <w:rPr>
                <w:sz w:val="20"/>
                <w:szCs w:val="20"/>
                <w:color w:val="auto"/>
              </w:rPr>
            </w:pPr>
            <w:r>
              <w:rPr>
                <w:rFonts w:ascii="Arial" w:cs="Arial" w:eastAsia="Arial" w:hAnsi="Arial"/>
                <w:sz w:val="16"/>
                <w:szCs w:val="16"/>
                <w:color w:val="auto"/>
              </w:rPr>
              <w:t>Software and technology</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3-5 years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105,507</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(62,028)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43,479</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67,691</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(63,046)</w:t>
            </w:r>
          </w:p>
        </w:tc>
        <w:tc>
          <w:tcPr>
            <w:tcW w:w="6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4,645</w:t>
            </w:r>
          </w:p>
        </w:tc>
        <w:tc>
          <w:tcPr>
            <w:tcW w:w="0" w:type="dxa"/>
            <w:vAlign w:val="bottom"/>
          </w:tcPr>
          <w:p>
            <w:pPr>
              <w:spacing w:after="0"/>
              <w:rPr>
                <w:sz w:val="1"/>
                <w:szCs w:val="1"/>
                <w:color w:val="auto"/>
              </w:rPr>
            </w:pPr>
          </w:p>
        </w:tc>
      </w:tr>
      <w:tr>
        <w:trPr>
          <w:trHeight w:val="246"/>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12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3-10 years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233,305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(77,584)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155,721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97,008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30,978</w:t>
            </w:r>
          </w:p>
        </w:tc>
        <w:tc>
          <w:tcPr>
            <w:tcW w:w="0" w:type="dxa"/>
            <w:vAlign w:val="bottom"/>
          </w:tcPr>
          <w:p>
            <w:pPr>
              <w:spacing w:after="0"/>
              <w:rPr>
                <w:sz w:val="1"/>
                <w:szCs w:val="1"/>
                <w:color w:val="auto"/>
              </w:rPr>
            </w:pPr>
          </w:p>
        </w:tc>
      </w:tr>
      <w:tr>
        <w:trPr>
          <w:trHeight w:val="240"/>
        </w:trPr>
        <w:tc>
          <w:tcPr>
            <w:tcW w:w="2440" w:type="dxa"/>
            <w:vAlign w:val="bottom"/>
          </w:tcPr>
          <w:p>
            <w:pPr>
              <w:ind w:left="180"/>
              <w:spacing w:after="0"/>
              <w:rPr>
                <w:sz w:val="20"/>
                <w:szCs w:val="20"/>
                <w:color w:val="auto"/>
              </w:rPr>
            </w:pPr>
            <w:r>
              <w:rPr>
                <w:rFonts w:ascii="Arial" w:cs="Arial" w:eastAsia="Arial" w:hAnsi="Arial"/>
                <w:sz w:val="16"/>
                <w:szCs w:val="16"/>
                <w:color w:val="auto"/>
              </w:rPr>
              <w:t>Trademarks</w:t>
            </w: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3-10 years</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67,343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(19,543)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47,800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26,610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(16,888)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9,722</w:t>
            </w:r>
          </w:p>
        </w:tc>
        <w:tc>
          <w:tcPr>
            <w:tcW w:w="0" w:type="dxa"/>
            <w:vAlign w:val="bottom"/>
          </w:tcPr>
          <w:p>
            <w:pPr>
              <w:spacing w:after="0"/>
              <w:rPr>
                <w:sz w:val="1"/>
                <w:szCs w:val="1"/>
                <w:color w:val="auto"/>
              </w:rPr>
            </w:pPr>
          </w:p>
        </w:tc>
      </w:tr>
      <w:tr>
        <w:trPr>
          <w:trHeight w:val="243"/>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Non-compete agreements</w:t>
            </w: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5 years</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406,505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(159,276)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247,229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191,659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(146,032)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45,627</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not subject to</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40" w:type="dxa"/>
            <w:vAlign w:val="bottom"/>
          </w:tcPr>
          <w:p>
            <w:pPr>
              <w:ind w:left="180"/>
              <w:spacing w:after="0"/>
              <w:rPr>
                <w:sz w:val="20"/>
                <w:szCs w:val="20"/>
                <w:color w:val="auto"/>
              </w:rPr>
            </w:pPr>
            <w:r>
              <w:rPr>
                <w:rFonts w:ascii="Arial" w:cs="Arial" w:eastAsia="Arial" w:hAnsi="Arial"/>
                <w:sz w:val="16"/>
                <w:szCs w:val="16"/>
                <w:color w:val="auto"/>
              </w:rPr>
              <w:t>In-process research and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development</w:t>
            </w: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410,743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(159,276)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251,467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191,659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(146,032)</w:t>
            </w:r>
          </w:p>
        </w:tc>
        <w:tc>
          <w:tcPr>
            <w:tcW w:w="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45,627</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aggregate amortization expense for purchased intangible assets with finite lives was reflected in the Company’s consolidated statements of operations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3"/>
          </w:tcPr>
          <w:p>
            <w:pPr>
              <w:jc w:val="right"/>
              <w:ind w:right="21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4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47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1,265</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r>
      <w:tr>
        <w:trPr>
          <w:trHeight w:val="23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8,676</w:t>
            </w:r>
          </w:p>
        </w:tc>
        <w:tc>
          <w:tcPr>
            <w:tcW w:w="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3,869</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16,703</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10,984</w:t>
            </w: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11,447</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5,134</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21,720</w:t>
            </w: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14,410</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August 2021, via its iTwin Ventures corporate venture capital fund, the Company made an investment in a software development company in the form of a $2,000 convertible note, which the Company accounts for using the cost method. The convertible note will mature in February 2023. The note can be converted into the borrower’s equity at the borrower’s next issuance of preferred stock. If not previously converted, principal and interest is payable at maturity. As of September 30, 2021, the carrying amount of the Company’s convertible note was $2,006.</w:t>
      </w:r>
    </w:p>
    <w:p>
      <w:pPr>
        <w:spacing w:after="0" w:line="171"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June 2021, in connection with the acquisition of Seequent, the Company recorded an equity method investment arising from a pre</w:t>
      </w:r>
      <w:r>
        <w:rPr>
          <w:rFonts w:ascii="MS PGothic" w:cs="MS PGothic" w:eastAsia="MS PGothic" w:hAnsi="MS PGothic"/>
          <w:sz w:val="18"/>
          <w:szCs w:val="18"/>
          <w:color w:val="auto"/>
        </w:rPr>
        <w:t>‑</w:t>
      </w:r>
      <w:r>
        <w:rPr>
          <w:rFonts w:ascii="Arial" w:cs="Arial" w:eastAsia="Arial" w:hAnsi="Arial"/>
          <w:sz w:val="18"/>
          <w:szCs w:val="18"/>
          <w:color w:val="auto"/>
        </w:rPr>
        <w:t>existing investment made by Seequent. The investee offers a broad range of data and software related services with a focus on the mining and exploration industry. During the third quarter of 2021, the Company acquired the remaining interest in this investment and accounted for it as a business combination (see Note 4).</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September 2020, the Company acquired an interest in a software company with a focus on digital twin integration in the energy sector, which the Company accounts for using the cost method. As of September 30, 2021 and December 31, 2020, the carrying amount of the Company’s cost method investment was $3,376 and $3,440, respectively.</w:t>
      </w:r>
    </w:p>
    <w:p>
      <w:pPr>
        <w:spacing w:after="0" w:line="18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In September 2019, the Company and Topcon Positioning Systems, Inc. (“Topcon”) formed Digital Construction Works, Inc. (“DCW”), a joint venture which operates as a digital integrator of software and cloud services for the construction industry, which the Company accounts for using the equity method. DCW’s focus is to transform the construction industry from its legacy document</w:t>
      </w:r>
      <w:r>
        <w:rPr>
          <w:rFonts w:ascii="MS PGothic" w:cs="MS PGothic" w:eastAsia="MS PGothic" w:hAnsi="MS PGothic"/>
          <w:sz w:val="16"/>
          <w:szCs w:val="16"/>
          <w:color w:val="auto"/>
        </w:rPr>
        <w:t>‑</w:t>
      </w:r>
      <w:r>
        <w:rPr>
          <w:rFonts w:ascii="Arial" w:cs="Arial" w:eastAsia="Arial" w:hAnsi="Arial"/>
          <w:sz w:val="16"/>
          <w:szCs w:val="16"/>
          <w:color w:val="auto"/>
        </w:rPr>
        <w:t>centric paradigm by simplifying and enabling digital automated workflows and processes, technology integration, and digital twinning services for infrastructure. The Company and Topcon each have a 50% ownership in DCW. For the nine months ended September 30, 2021 and 2020, the Company invested $500 and $1,500 in DCW, respectively. As of September 30, 2021 and December 31, 2020, the carrying amount of the Company’s investment in DCW was de minimis and $2,251, respectively.</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tests its investments for impairment whenever circumstances indicate that the carrying value of the investment may not be recoverable.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were not impaired as of September 30, 2021.</w:t>
      </w:r>
    </w:p>
    <w:p>
      <w:pPr>
        <w:spacing w:after="0" w:line="211"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 xml:space="preserve">Related Party Disclosures </w:t>
      </w:r>
      <w:r>
        <w:rPr>
          <w:rFonts w:ascii="Arial" w:cs="Arial" w:eastAsia="Arial" w:hAnsi="Arial"/>
          <w:sz w:val="18"/>
          <w:szCs w:val="18"/>
          <w:color w:val="auto"/>
        </w:rPr>
        <w:t>— Pursuant to Accounting Standards Codification (“ASC”) 850</w:t>
      </w:r>
      <w:r>
        <w:rPr>
          <w:rFonts w:ascii="MS PGothic" w:cs="MS PGothic" w:eastAsia="MS PGothic" w:hAnsi="MS PGothic"/>
          <w:sz w:val="18"/>
          <w:szCs w:val="18"/>
          <w:color w:val="auto"/>
        </w:rPr>
        <w:t>‑</w:t>
      </w: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20,</w:t>
      </w:r>
      <w:r>
        <w:rPr>
          <w:rFonts w:ascii="Arial" w:cs="Arial" w:eastAsia="Arial" w:hAnsi="Arial"/>
          <w:sz w:val="18"/>
          <w:szCs w:val="18"/>
          <w:i w:val="1"/>
          <w:iCs w:val="1"/>
          <w:color w:val="auto"/>
        </w:rPr>
        <w:t xml:space="preserve"> Related Party Disclosures</w:t>
      </w:r>
      <w:r>
        <w:rPr>
          <w:rFonts w:ascii="Arial" w:cs="Arial" w:eastAsia="Arial" w:hAnsi="Arial"/>
          <w:sz w:val="18"/>
          <w:szCs w:val="18"/>
          <w:color w:val="auto"/>
        </w:rPr>
        <w:t>,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that DCW is a related party. For the three and nine months ended September 30, 2021 and 2020, transactions between the Company and DCW were not material to the Company’s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operating leases consist of office facilities, office equipment, and automobiles, and the Company’s finance lease consists of computer equipment. The finance lease is not material for the periods presented. As of September 30, 2021, the Company’s leases have remaining terms of less than one year to nine years, some of which include one or more options to renew, with renewal terms from one year to ten years and some of which include options to terminate the leases from less than one year to five years.</w:t>
      </w:r>
    </w:p>
    <w:p>
      <w:pPr>
        <w:spacing w:after="0" w:line="187"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For contracts with lease and non</w:t>
      </w:r>
      <w:r>
        <w:rPr>
          <w:rFonts w:ascii="MS PGothic" w:cs="MS PGothic" w:eastAsia="MS PGothic" w:hAnsi="MS PGothic"/>
          <w:sz w:val="16"/>
          <w:szCs w:val="16"/>
          <w:color w:val="auto"/>
        </w:rPr>
        <w:t>‑</w:t>
      </w:r>
      <w:r>
        <w:rPr>
          <w:rFonts w:ascii="Arial" w:cs="Arial" w:eastAsia="Arial" w:hAnsi="Arial"/>
          <w:sz w:val="16"/>
          <w:szCs w:val="16"/>
          <w:color w:val="auto"/>
        </w:rPr>
        <w:t>lease components, the Company has elected not to allocate the contract consideration, and account for the lease and non-lease components as a single lease component. Payments under the Company’s lease arrangements are primarily fixed, however, certain lease agreements contain variable payments, which are expensed as incurred and not included in the operating lease assets and liabilities. Variable lease cost may include common area maintenance, property taxes, utilities, and fluctuations in rent due to a change in an index or rate. The Company has elected not to recognize a right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asset or lease liability for short</w:t>
      </w:r>
      <w:r>
        <w:rPr>
          <w:rFonts w:ascii="MS PGothic" w:cs="MS PGothic" w:eastAsia="MS PGothic" w:hAnsi="MS PGothic"/>
          <w:sz w:val="16"/>
          <w:szCs w:val="16"/>
          <w:color w:val="auto"/>
        </w:rPr>
        <w:t>‑</w:t>
      </w:r>
      <w:r>
        <w:rPr>
          <w:rFonts w:ascii="Arial" w:cs="Arial" w:eastAsia="Arial" w:hAnsi="Arial"/>
          <w:sz w:val="16"/>
          <w:szCs w:val="16"/>
          <w:color w:val="auto"/>
        </w:rPr>
        <w:t>term leases (leases with a term of twelve months or less). Short</w:t>
      </w:r>
      <w:r>
        <w:rPr>
          <w:rFonts w:ascii="MS PGothic" w:cs="MS PGothic" w:eastAsia="MS PGothic" w:hAnsi="MS PGothic"/>
          <w:sz w:val="16"/>
          <w:szCs w:val="16"/>
          <w:color w:val="auto"/>
        </w:rPr>
        <w:t>‑</w:t>
      </w:r>
      <w:r>
        <w:rPr>
          <w:rFonts w:ascii="Arial" w:cs="Arial" w:eastAsia="Arial" w:hAnsi="Arial"/>
          <w:sz w:val="16"/>
          <w:szCs w:val="16"/>
          <w:color w:val="auto"/>
        </w:rPr>
        <w:t>term leases are recognized in the consolidated statements of operations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lease term. Short</w:t>
      </w:r>
      <w:r>
        <w:rPr>
          <w:rFonts w:ascii="MS PGothic" w:cs="MS PGothic" w:eastAsia="MS PGothic" w:hAnsi="MS PGothic"/>
          <w:sz w:val="16"/>
          <w:szCs w:val="16"/>
          <w:color w:val="auto"/>
        </w:rPr>
        <w:t>‑</w:t>
      </w:r>
      <w:r>
        <w:rPr>
          <w:rFonts w:ascii="Arial" w:cs="Arial" w:eastAsia="Arial" w:hAnsi="Arial"/>
          <w:sz w:val="16"/>
          <w:szCs w:val="16"/>
          <w:color w:val="auto"/>
        </w:rPr>
        <w:t>term lease expense was not material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212529"/>
        </w:rPr>
        <w:t>The components of operating lease cost reflected in the consolidated statements of operations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0" w:type="dxa"/>
            <w:vAlign w:val="bottom"/>
            <w:gridSpan w:val="4"/>
          </w:tcPr>
          <w:p>
            <w:pPr>
              <w:jc w:val="right"/>
              <w:ind w:right="213"/>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47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(1)</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4,836</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4,565</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14,224</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13,424</w:t>
            </w:r>
          </w:p>
        </w:tc>
      </w:tr>
      <w:tr>
        <w:trPr>
          <w:trHeight w:val="229"/>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Variable lease cost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1,082</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1,016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2,970</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2,898</w:t>
            </w:r>
          </w:p>
        </w:tc>
      </w:tr>
      <w:tr>
        <w:trPr>
          <w:trHeight w:val="23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Total operating lease cost</w:t>
            </w:r>
          </w:p>
        </w:tc>
        <w:tc>
          <w:tcPr>
            <w:tcW w:w="92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5,922</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5,601</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17,209</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16,349</w:t>
            </w:r>
          </w:p>
        </w:tc>
      </w:tr>
      <w:tr>
        <w:trPr>
          <w:trHeight w:val="21"/>
        </w:trPr>
        <w:tc>
          <w:tcPr>
            <w:tcW w:w="3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3000" w:type="dxa"/>
            <w:vAlign w:val="bottom"/>
            <w:tcBorders>
              <w:bottom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121" w:lineRule="exact"/>
        <w:rPr>
          <w:sz w:val="20"/>
          <w:szCs w:val="20"/>
          <w:color w:val="auto"/>
        </w:rPr>
      </w:pPr>
    </w:p>
    <w:p>
      <w:pPr>
        <w:ind w:left="340" w:right="20" w:hanging="332"/>
        <w:spacing w:after="0" w:line="308" w:lineRule="auto"/>
        <w:tabs>
          <w:tab w:leader="none" w:pos="334" w:val="left"/>
        </w:tabs>
        <w:numPr>
          <w:ilvl w:val="0"/>
          <w:numId w:val="12"/>
        </w:numPr>
        <w:rPr>
          <w:rFonts w:ascii="Arial" w:cs="Arial" w:eastAsia="Arial" w:hAnsi="Arial"/>
          <w:sz w:val="17"/>
          <w:szCs w:val="17"/>
          <w:color w:val="auto"/>
        </w:rPr>
      </w:pPr>
      <w:r>
        <w:rPr>
          <w:rFonts w:ascii="Arial" w:cs="Arial" w:eastAsia="Arial" w:hAnsi="Arial"/>
          <w:sz w:val="17"/>
          <w:szCs w:val="17"/>
          <w:color w:val="auto"/>
        </w:rPr>
        <w:t>Operating lease cost includes rent cost related to operating leases for office facilities of $4,619 and $4,386 for the three months ended September 30, 2021 and 2020, respectively, and $13,588 and $12,857 for the nine months ended September 30, 2021 and 2020, respectively.</w:t>
      </w:r>
    </w:p>
    <w:p>
      <w:pPr>
        <w:spacing w:after="0" w:line="146"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 xml:space="preserve">Other information related to leases </w:t>
      </w:r>
      <w:r>
        <w:rPr>
          <w:rFonts w:ascii="Arial" w:cs="Arial" w:eastAsia="Arial" w:hAnsi="Arial"/>
          <w:sz w:val="18"/>
          <w:szCs w:val="18"/>
          <w:color w:val="212529"/>
        </w:rPr>
        <w:t>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right"/>
              <w:ind w:right="793"/>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5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212"/>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70"/>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14,602</w:t>
            </w:r>
          </w:p>
        </w:tc>
        <w:tc>
          <w:tcPr>
            <w:tcW w:w="26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13,589</w:t>
            </w:r>
          </w:p>
        </w:tc>
      </w:tr>
      <w:tr>
        <w:trPr>
          <w:trHeight w:val="229"/>
        </w:trPr>
        <w:tc>
          <w:tcPr>
            <w:tcW w:w="81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Right-of-use assets obtained in exchange for new operating lease liabilities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14,530</w:t>
            </w:r>
          </w:p>
        </w:tc>
      </w:tr>
      <w:tr>
        <w:trPr>
          <w:trHeight w:val="216"/>
        </w:trPr>
        <w:tc>
          <w:tcPr>
            <w:tcW w:w="3000" w:type="dxa"/>
            <w:vAlign w:val="bottom"/>
            <w:tcBorders>
              <w:bottom w:val="single" w:sz="8" w:color="auto"/>
            </w:tcBorders>
          </w:tcPr>
          <w:p>
            <w:pPr>
              <w:spacing w:after="0"/>
              <w:rPr>
                <w:sz w:val="18"/>
                <w:szCs w:val="18"/>
                <w:color w:val="auto"/>
              </w:rPr>
            </w:pPr>
          </w:p>
        </w:tc>
        <w:tc>
          <w:tcPr>
            <w:tcW w:w="5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134" w:lineRule="exact"/>
        <w:rPr>
          <w:sz w:val="20"/>
          <w:szCs w:val="20"/>
          <w:color w:val="auto"/>
        </w:rPr>
      </w:pPr>
    </w:p>
    <w:p>
      <w:pPr>
        <w:ind w:left="340" w:right="20" w:hanging="332"/>
        <w:spacing w:after="0" w:line="223" w:lineRule="exact"/>
        <w:tabs>
          <w:tab w:leader="none" w:pos="3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Right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use assets obtained in exchange for new operating lease liabilities does not include the impact from acquisitions of $12,074 and $1,668 for the nine months ended September 30, 2021 and 2020, respectively.</w:t>
      </w:r>
    </w:p>
    <w:p>
      <w:pPr>
        <w:spacing w:after="0" w:line="20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weighted average remaining lease term for operating leases was 3.8 years and 3.7 years as of September 30, 2021 and December 31, 2020, respectively. The weighted average discount rate was 2.1% as of September 30, 2021 and December 31, 2020.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operating lease liabilities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5"/>
              </w:rPr>
              <w:t>September 30, 2021</w:t>
            </w:r>
          </w:p>
        </w:tc>
      </w:tr>
      <w:tr>
        <w:trPr>
          <w:trHeight w:val="226"/>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17,420</w:t>
            </w:r>
          </w:p>
        </w:tc>
      </w:tr>
      <w:tr>
        <w:trPr>
          <w:trHeight w:val="230"/>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w:t>
            </w:r>
          </w:p>
        </w:tc>
      </w:tr>
      <w:tr>
        <w:trPr>
          <w:trHeight w:val="230"/>
        </w:trPr>
        <w:tc>
          <w:tcPr>
            <w:tcW w:w="930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7,541</w:t>
            </w:r>
          </w:p>
        </w:tc>
      </w:tr>
      <w:tr>
        <w:trPr>
          <w:trHeight w:val="229"/>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52,362</w:t>
            </w:r>
          </w:p>
        </w:tc>
      </w:tr>
      <w:tr>
        <w:trPr>
          <w:trHeight w:val="270"/>
        </w:trPr>
        <w:tc>
          <w:tcPr>
            <w:tcW w:w="9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50,586</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2021, the Company had additional operating lease minimum lease payments of $7,649 for executed leases that have not yet commenced, primarily for office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the financing lease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174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December 31, 2020</w:t>
            </w:r>
          </w:p>
        </w:tc>
        <w:tc>
          <w:tcPr>
            <w:tcW w:w="0" w:type="dxa"/>
            <w:vAlign w:val="bottom"/>
          </w:tcPr>
          <w:p>
            <w:pPr>
              <w:spacing w:after="0"/>
              <w:rPr>
                <w:sz w:val="1"/>
                <w:szCs w:val="1"/>
                <w:color w:val="auto"/>
              </w:rPr>
            </w:pP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8"/>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financing lease 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Accruals and Other Current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tcPr>
          <w:p>
            <w:pPr>
              <w:ind w:left="340"/>
              <w:spacing w:after="0"/>
              <w:rPr>
                <w:sz w:val="20"/>
                <w:szCs w:val="20"/>
                <w:color w:val="auto"/>
              </w:rPr>
            </w:pPr>
            <w:r>
              <w:rPr>
                <w:rFonts w:ascii="Arial" w:cs="Arial" w:eastAsia="Arial" w:hAnsi="Arial"/>
                <w:sz w:val="18"/>
                <w:szCs w:val="18"/>
                <w:color w:val="auto"/>
              </w:rPr>
              <w:t>Accruals and other current liabilities consist of the following:</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24"/>
                <w:szCs w:val="24"/>
                <w:color w:val="auto"/>
              </w:rPr>
            </w:pPr>
          </w:p>
        </w:tc>
        <w:tc>
          <w:tcPr>
            <w:tcW w:w="174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December 31, 2020</w:t>
            </w:r>
          </w:p>
        </w:tc>
        <w:tc>
          <w:tcPr>
            <w:tcW w:w="0" w:type="dxa"/>
            <w:vAlign w:val="bottom"/>
          </w:tcPr>
          <w:p>
            <w:pPr>
              <w:spacing w:after="0"/>
              <w:rPr>
                <w:sz w:val="1"/>
                <w:szCs w:val="1"/>
                <w:color w:val="auto"/>
              </w:rPr>
            </w:pP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CSS deposits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169,216</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110,291</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Accrued benefits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41,322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36,613</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22,131</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Due to customers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13,408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9,869</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acquisition stay bonus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Deferred compensation plan liabilities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7,306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from acquisitions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Accrued cloud provisioning costs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6,546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Non-contingent consideration from acquisitions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indirect taxes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Employee stock purchase plan contributions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2,589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facility costs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Accrued severance and realignment costs</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7,209</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and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17,576</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10,689</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Total accruals and other current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317,271</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226,793</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Note 10: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Debt</w:t>
      </w:r>
    </w:p>
    <w:p>
      <w:pPr>
        <w:spacing w:after="0" w:line="229"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174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December 31, 2020</w:t>
            </w:r>
          </w:p>
        </w:tc>
      </w:tr>
      <w:tr>
        <w:trPr>
          <w:trHeight w:val="213"/>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70"/>
        </w:trPr>
        <w:tc>
          <w:tcPr>
            <w:tcW w:w="7100" w:type="dxa"/>
            <w:vAlign w:val="bottom"/>
          </w:tcPr>
          <w:p>
            <w:pPr>
              <w:ind w:left="180"/>
              <w:spacing w:after="0"/>
              <w:rPr>
                <w:sz w:val="20"/>
                <w:szCs w:val="20"/>
                <w:color w:val="auto"/>
              </w:rPr>
            </w:pPr>
            <w:r>
              <w:rPr>
                <w:rFonts w:ascii="Arial" w:cs="Arial" w:eastAsia="Arial" w:hAnsi="Arial"/>
                <w:sz w:val="18"/>
                <w:szCs w:val="18"/>
                <w:color w:val="auto"/>
              </w:rPr>
              <w:t>Senior secured revolving loan facility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67,854</w:t>
            </w:r>
          </w:p>
        </w:tc>
        <w:tc>
          <w:tcPr>
            <w:tcW w:w="26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246,000</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 Notes: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70"/>
        </w:trPr>
        <w:tc>
          <w:tcPr>
            <w:tcW w:w="7100" w:type="dxa"/>
            <w:vAlign w:val="bottom"/>
          </w:tcPr>
          <w:p>
            <w:pPr>
              <w:ind w:left="180"/>
              <w:spacing w:after="0"/>
              <w:rPr>
                <w:sz w:val="20"/>
                <w:szCs w:val="20"/>
                <w:color w:val="auto"/>
              </w:rPr>
            </w:pPr>
            <w:r>
              <w:rPr>
                <w:rFonts w:ascii="Arial" w:cs="Arial" w:eastAsia="Arial" w:hAnsi="Arial"/>
                <w:sz w:val="18"/>
                <w:szCs w:val="18"/>
                <w:color w:val="auto"/>
              </w:rPr>
              <w:t>Principal</w:t>
            </w:r>
          </w:p>
        </w:tc>
        <w:tc>
          <w:tcPr>
            <w:tcW w:w="2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690,000</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(15,585)</w:t>
            </w:r>
          </w:p>
        </w:tc>
        <w:tc>
          <w:tcPr>
            <w:tcW w:w="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carrying value</w:t>
            </w: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674,415</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Notes: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70"/>
        </w:trPr>
        <w:tc>
          <w:tcPr>
            <w:tcW w:w="7100" w:type="dxa"/>
            <w:vAlign w:val="bottom"/>
          </w:tcPr>
          <w:p>
            <w:pPr>
              <w:ind w:left="180"/>
              <w:spacing w:after="0"/>
              <w:rPr>
                <w:sz w:val="20"/>
                <w:szCs w:val="20"/>
                <w:color w:val="auto"/>
              </w:rPr>
            </w:pPr>
            <w:r>
              <w:rPr>
                <w:rFonts w:ascii="Arial" w:cs="Arial" w:eastAsia="Arial" w:hAnsi="Arial"/>
                <w:sz w:val="18"/>
                <w:szCs w:val="18"/>
                <w:color w:val="auto"/>
              </w:rPr>
              <w:t>Principal</w:t>
            </w:r>
          </w:p>
        </w:tc>
        <w:tc>
          <w:tcPr>
            <w:tcW w:w="2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575,000</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(14,424)</w:t>
            </w:r>
          </w:p>
        </w:tc>
        <w:tc>
          <w:tcPr>
            <w:tcW w:w="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carrying value</w:t>
            </w: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560,576</w:t>
            </w: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1,302,845</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246,000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 Credit Facility</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On January 25, 2021, the Company entered into the Second Amendment to the Amended and Restated Credit Agreement dated December 19, 2017, which increased the senior secured revolving loan facility from $500,000 to $850,000 and extended the maturity date from December 18, 2022 to November 15, 2025 (the “Credit Facility”). In connection with the Second Amendment, certain lenders exited the Credit Facility. The Company performed an extinguishment versus modification assessment on a lender</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lender basis resulting in the write</w:t>
      </w:r>
      <w:r>
        <w:rPr>
          <w:rFonts w:ascii="MS PGothic" w:cs="MS PGothic" w:eastAsia="MS PGothic" w:hAnsi="MS PGothic"/>
          <w:sz w:val="18"/>
          <w:szCs w:val="18"/>
          <w:color w:val="auto"/>
        </w:rPr>
        <w:t>‑</w:t>
      </w:r>
      <w:r>
        <w:rPr>
          <w:rFonts w:ascii="Arial" w:cs="Arial" w:eastAsia="Arial" w:hAnsi="Arial"/>
          <w:sz w:val="18"/>
          <w:szCs w:val="18"/>
          <w:color w:val="auto"/>
        </w:rPr>
        <w:t>off of unamortized debt issuance costs of $353 and the capitalization of fees paid to lenders and third parties of $3,577. Debt issuance costs are amortized to interest expense through the maturity date of November 15, 2025.</w:t>
      </w: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June 22, 2021, the Company entered into the Third Amendment to the Credit Facility, which increased the aggregate amount of approved convertible debt to permit the issuance and sale of additional convertible senior notes. See the section titled “—Convertible Senior Notes—2027 Notes” below.</w:t>
      </w:r>
    </w:p>
    <w:p>
      <w:pPr>
        <w:spacing w:after="0" w:line="18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addition to the senior secured revolving loan facility, the Credit Facility also provides up to $50,000 of letters of credit and other incremental borrowings subject to availability, including a $85,000 multi</w:t>
      </w:r>
      <w:r>
        <w:rPr>
          <w:rFonts w:ascii="MS PGothic" w:cs="MS PGothic" w:eastAsia="MS PGothic" w:hAnsi="MS PGothic"/>
          <w:sz w:val="18"/>
          <w:szCs w:val="18"/>
          <w:color w:val="auto"/>
        </w:rPr>
        <w:t>‑</w:t>
      </w:r>
      <w:r>
        <w:rPr>
          <w:rFonts w:ascii="Arial" w:cs="Arial" w:eastAsia="Arial" w:hAnsi="Arial"/>
          <w:sz w:val="18"/>
          <w:szCs w:val="18"/>
          <w:color w:val="auto"/>
        </w:rPr>
        <w:t>currency swing</w:t>
      </w:r>
      <w:r>
        <w:rPr>
          <w:rFonts w:ascii="MS PGothic" w:cs="MS PGothic" w:eastAsia="MS PGothic" w:hAnsi="MS PGothic"/>
          <w:sz w:val="18"/>
          <w:szCs w:val="18"/>
          <w:color w:val="auto"/>
        </w:rPr>
        <w:t>‑</w:t>
      </w:r>
      <w:r>
        <w:rPr>
          <w:rFonts w:ascii="Arial" w:cs="Arial" w:eastAsia="Arial" w:hAnsi="Arial"/>
          <w:sz w:val="18"/>
          <w:szCs w:val="18"/>
          <w:color w:val="auto"/>
        </w:rPr>
        <w:t>line sub</w:t>
      </w:r>
      <w:r>
        <w:rPr>
          <w:rFonts w:ascii="MS PGothic" w:cs="MS PGothic" w:eastAsia="MS PGothic" w:hAnsi="MS PGothic"/>
          <w:sz w:val="18"/>
          <w:szCs w:val="18"/>
          <w:color w:val="auto"/>
        </w:rPr>
        <w:t>‑</w:t>
      </w:r>
      <w:r>
        <w:rPr>
          <w:rFonts w:ascii="Arial" w:cs="Arial" w:eastAsia="Arial" w:hAnsi="Arial"/>
          <w:sz w:val="18"/>
          <w:szCs w:val="18"/>
          <w:color w:val="auto"/>
        </w:rPr>
        <w:t>facility and a $200,000 incremental “accordion” sub</w:t>
      </w:r>
      <w:r>
        <w:rPr>
          <w:rFonts w:ascii="MS PGothic" w:cs="MS PGothic" w:eastAsia="MS PGothic" w:hAnsi="MS PGothic"/>
          <w:sz w:val="18"/>
          <w:szCs w:val="18"/>
          <w:color w:val="auto"/>
        </w:rPr>
        <w:t>‑</w:t>
      </w:r>
      <w:r>
        <w:rPr>
          <w:rFonts w:ascii="Arial" w:cs="Arial" w:eastAsia="Arial" w:hAnsi="Arial"/>
          <w:sz w:val="18"/>
          <w:szCs w:val="18"/>
          <w:color w:val="auto"/>
        </w:rPr>
        <w:t>facility. The Company had $150 of letters of credit and surety bonds outstanding as of September 30, 2021 and December 31, 2020. As of September 30, 2021 and December 31, 2020, the Company had $781,996 and $253,850 available under the Credit Facility.</w:t>
      </w:r>
    </w:p>
    <w:p>
      <w:pPr>
        <w:spacing w:after="0" w:line="123"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Under the Credit Facility, the Company may make either Euro currency or non</w:t>
      </w:r>
      <w:r>
        <w:rPr>
          <w:rFonts w:ascii="MS PGothic" w:cs="MS PGothic" w:eastAsia="MS PGothic" w:hAnsi="MS PGothic"/>
          <w:sz w:val="16"/>
          <w:szCs w:val="16"/>
          <w:color w:val="auto"/>
        </w:rPr>
        <w:t>‑</w:t>
      </w:r>
      <w:r>
        <w:rPr>
          <w:rFonts w:ascii="Arial" w:cs="Arial" w:eastAsia="Arial" w:hAnsi="Arial"/>
          <w:sz w:val="16"/>
          <w:szCs w:val="16"/>
          <w:color w:val="auto"/>
        </w:rPr>
        <w:t>Euro currency interest rate elections. Interest on the Euro currency borrowings bear a base interest rate of LIBOR plus a spread ranging from 125 basis points (“bps”) to 225 bps as determined by the Company’s net leverage ratio. Under the non</w:t>
      </w:r>
      <w:r>
        <w:rPr>
          <w:rFonts w:ascii="MS PGothic" w:cs="MS PGothic" w:eastAsia="MS PGothic" w:hAnsi="MS PGothic"/>
          <w:sz w:val="16"/>
          <w:szCs w:val="16"/>
          <w:color w:val="auto"/>
        </w:rPr>
        <w:t>‑</w:t>
      </w:r>
      <w:r>
        <w:rPr>
          <w:rFonts w:ascii="Arial" w:cs="Arial" w:eastAsia="Arial" w:hAnsi="Arial"/>
          <w:sz w:val="16"/>
          <w:szCs w:val="16"/>
          <w:color w:val="auto"/>
        </w:rPr>
        <w:t>Euro currency elections, Credit Facility borrowings bear a base interest rate of the highest of (i) the prime rate, (ii) the overnight bank funding effective rate plus 50 bps, or (iii) LIBOR plus 100 bps, plus a spread ranging from 25 bps to 125 bps as determined by the Company’s leverage ratio. In addition, a commitment fee for the unused Credit Facility ranges from 20 bps to 30 bps as determined by the Company’s net leverage ratio.</w:t>
      </w:r>
    </w:p>
    <w:p>
      <w:pPr>
        <w:spacing w:after="0" w:line="136"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Borrowings under the Credit Facility are guaranteed by all of the Company’s first tier domestic subsidiaries and are secured by a first priority security interest in substantially all of the Company’s and the guarantors’ U.S. assets and 65% of the stock of their directly owned foreign subsidiaries. The Credit Facility contains both affirmative and negative covenants, including maximum leverage ratios. As of September 30, 2021 and December 31, 2020, the Company was in compliance with all covenants in its Credit Facility debt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agreement governing the Credit Facility contains customary events of default, including, without limitation, payment defaults, breaches of representations and warranties, covenants defaults, cross-defaults to certain other indebtedness in excess of $50,000, certain events of bankruptcy and insolvency, judgment defaults in excess of $10,000, failure of any security document supporting the Credit Facility to be in full force and effect, and a change of control.</w:t>
      </w:r>
    </w:p>
    <w:p>
      <w:pPr>
        <w:spacing w:after="0" w:line="18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Voluntary prepayments of amounts outstanding under the Credit Facility, in whole or in part, are permitted at any time, so long as the Company gives notice as required by the Credit Facility. However, if prepayment is made with respect to a LIBOR</w:t>
      </w:r>
      <w:r>
        <w:rPr>
          <w:rFonts w:ascii="MS PGothic" w:cs="MS PGothic" w:eastAsia="MS PGothic" w:hAnsi="MS PGothic"/>
          <w:sz w:val="18"/>
          <w:szCs w:val="18"/>
          <w:color w:val="auto"/>
        </w:rPr>
        <w:t>‑</w:t>
      </w:r>
      <w:r>
        <w:rPr>
          <w:rFonts w:ascii="Arial" w:cs="Arial" w:eastAsia="Arial" w:hAnsi="Arial"/>
          <w:sz w:val="18"/>
          <w:szCs w:val="18"/>
          <w:color w:val="auto"/>
        </w:rPr>
        <w:t>based loan and the prepayment is made on a date other than an interest payment date, the Company must pay customary breakage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Notes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On January 26, 2021, the Company completed a private offering of $690,000 of 0.125% convertible senior notes due 2026. The 2026 Notes were issued pursuant to an indenture, dated as of January 26, 2021, between the Company and Wilmington Trust, National Association, as trustee (the “2026 Trustee”) (the “2026 Indenture”). Interest will accrue from January 26, 2021 and will be payable semi</w:t>
      </w:r>
      <w:r>
        <w:rPr>
          <w:rFonts w:ascii="MS PGothic" w:cs="MS PGothic" w:eastAsia="MS PGothic" w:hAnsi="MS PGothic"/>
          <w:sz w:val="16"/>
          <w:szCs w:val="16"/>
          <w:color w:val="auto"/>
        </w:rPr>
        <w:t>‑</w:t>
      </w:r>
      <w:r>
        <w:rPr>
          <w:rFonts w:ascii="Arial" w:cs="Arial" w:eastAsia="Arial" w:hAnsi="Arial"/>
          <w:sz w:val="16"/>
          <w:szCs w:val="16"/>
          <w:color w:val="auto"/>
        </w:rPr>
        <w:t>annually in arrears in cash on January 15 and July 15 of each year, with the first payment due on July 15, 2021. The 2026 Notes will mature on January 15, 2026, unless earlier converted, redeemed or repurchased. The Company incurred $18,055 of expenses in connection with the 2026 Notes offering consisting of transaction costs. The Company used $25,530 of the net proceeds from the sale of the 2026 Notes to pay the premiums of the capped call options described further below, and approximately $250,500 to repay outstanding indebtedness under the Credit Facility and to pay related fees and expenses. The Company used the remainder of the net proceeds from the sale of the 2026 Notes for general corporate purposes and towards funding certain acquisitions, including Seequent (see Note 4).</w:t>
      </w:r>
    </w:p>
    <w:p>
      <w:pPr>
        <w:spacing w:after="0" w:line="20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2026 Indenture; and (4) if the Company calls the 2026 Notes for redemption. On or after October 15, 2025 until 5:00 p.m., New York City time, on the second scheduled trading day immediately before the maturity date, the 2026 Notes will be convertible at the option of the holder at any time.</w:t>
      </w:r>
    </w:p>
    <w:p>
      <w:pPr>
        <w:spacing w:after="0" w:line="16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15.5925 shares of the Company’s Class B Common Stock per $1 principal amount of 2026 Notes, which represents an initial conversion price of approximately $64.13 per share, and is subject to adjustment as described in the 2026 Indenture. If a “make-whole fundamental change” (as defined in the 2026 Indenture) occurs, then the Company will, in certain circumstances, increase the conversion rate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have the option to redeem the 2026 Notes in whole or in part at any time on or after January 20,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2026 Notes to be redeemed, plus accrued and unpaid interest, if any, to, but excluding, the redemption date.</w:t>
      </w:r>
    </w:p>
    <w:p>
      <w:pPr>
        <w:spacing w:after="0" w:line="192"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Upon a fundamental change (as defined in the 2026 Indenture), holders may, subject to certain exceptions, require the Company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(as defined in the 2026 Indenture), the Company will, under certain circumstances, increase the applicable conversion rate for a holder that elects to convert its 2026 Notes in connection with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is either less than $44.23 per share or greater than $210.00 per share. The Company will not increase the conversion rate to an amount that exceeds 22.6090 shares per $1 principal amount of 2026 Notes, subject to adjustment. The 2026 Indenture also contains a customary merger covenant.</w:t>
      </w:r>
    </w:p>
    <w:p>
      <w:pPr>
        <w:spacing w:after="0" w:line="20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Under the 2026 Indenture, the 2026 Notes may be accelerated upon the occurrence of certain customary events of default. If certain bankruptcy and insolvency</w:t>
      </w:r>
      <w:r>
        <w:rPr>
          <w:rFonts w:ascii="MS PGothic" w:cs="MS PGothic" w:eastAsia="MS PGothic" w:hAnsi="MS PGothic"/>
          <w:sz w:val="16"/>
          <w:szCs w:val="16"/>
          <w:color w:val="auto"/>
        </w:rPr>
        <w:t>‑</w:t>
      </w:r>
      <w:r>
        <w:rPr>
          <w:rFonts w:ascii="Arial" w:cs="Arial" w:eastAsia="Arial" w:hAnsi="Arial"/>
          <w:sz w:val="16"/>
          <w:szCs w:val="16"/>
          <w:color w:val="auto"/>
        </w:rPr>
        <w:t>related events of default with respect to the Company occur, the principal of, and accrued and unpaid interest on, all of the then outstanding 2026 Notes shall automatically become due and payable. If any other event of default occurs and is continuing, the 2026 Trustee by notice to the Company, or the holders of the 2026 Notes of at least 25% in principal amount of the outstanding 2026 Notes by notice to the Company and the 2026 Trustee, may declare the principal of, and accrued and unpaid interest on, all of the then outstanding 2026 Notes to be due and payable. Notwithstanding the foregoing, the 2026 Indenture provides that, to the extent the Company elects, the sole remedy for an event of default relating to certain failures by the Company to comply with reporting covenant in the 2026 Indenture consists exclusively of the right to receive additional interest on the 2026 Notes.</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As discussed in Note 2, the Company early adopted ASU 2020</w:t>
      </w:r>
      <w:r>
        <w:rPr>
          <w:rFonts w:ascii="MS PGothic" w:cs="MS PGothic" w:eastAsia="MS PGothic" w:hAnsi="MS PGothic"/>
          <w:sz w:val="18"/>
          <w:szCs w:val="18"/>
          <w:color w:val="auto"/>
        </w:rPr>
        <w:t>‑</w:t>
      </w:r>
      <w:r>
        <w:rPr>
          <w:rFonts w:ascii="Arial" w:cs="Arial" w:eastAsia="Arial" w:hAnsi="Arial"/>
          <w:sz w:val="18"/>
          <w:szCs w:val="18"/>
          <w:color w:val="auto"/>
        </w:rPr>
        <w:t>06 as of January 1, 2021 and concluded the 2026 Notes will be accounted for as debt, with no bifurcation of the embedded conversion feature. Transaction costs were recorded as a direct deduction from the related debt liability in the consolidated balance sheet and are amortized to interest expense using the effective interest method over the term of the 2026 Notes. The effective interest rate for the 2026 Notes is 0.658%.</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2021, none of the conditions of the 2026 Notes to early convert has been met.</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2026 Notes are the Company’s senior, unsecured obligations that rank senior in right of payment to the Company’s future indebtedness that is expressly subordinated to the 2026 Notes, rank equally in right of payment with the Company’s existing and future senior unsecured indebtedness that is not so subordinated (including the Company’s 2027 Notes, see the section titled “—2027 Notes” below), effectively subordinated to the Company’s existing and future secured indebtedness (including obligations under the Company’s senior secured credit facilities), to the extent of the value of the collateral securing such indebtedness, and structurally subordinated to all existing and future indebtedness and other liabilities (including trade payables and preferred equity (to the extent the Company is not a holder thereof)) of the Company’s subsidiaries. The 2026 Notes contain both affirmative and negative covenants. As of September 30, 2021, the Company was in compliance with all covenants in the 2026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Capped Call Options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pricing of the 2026 Notes, the Company entered into capped call options with certain of the initial purchasers or their respective affiliates and certain other financial institutions. The Company incurred $150 of expenses in connection with the capped call options. The capped call options are expected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the Company’s Class B Common Stock on the Nasdaq Global Select Market on January 21, 2021 and is subject to customary adjustments under the terms of the capped call options.</w:t>
      </w:r>
    </w:p>
    <w:p>
      <w:pPr>
        <w:spacing w:after="0" w:line="19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the Company accounts for the capped call options separately from the 2026 Notes. The capped call options are indexed to the Company’s own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2027 Notes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On June 28, 2021, the Company completed a private offering of $575,000 of 0.375% convertible senior notes due 2027. The 2027 Notes were issued pursuant to an indenture, dated as of June 28, 2021, between the Company and Wilmington Trust, National Association, as trustee (the “2027 Trustee”) (the “2027 Indenture”). Interest will accrue from June 28, 2021 and will be payable semi</w:t>
      </w:r>
      <w:r>
        <w:rPr>
          <w:rFonts w:ascii="MS PGothic" w:cs="MS PGothic" w:eastAsia="MS PGothic" w:hAnsi="MS PGothic"/>
          <w:sz w:val="17"/>
          <w:szCs w:val="17"/>
          <w:color w:val="auto"/>
        </w:rPr>
        <w:t>‑</w:t>
      </w:r>
      <w:r>
        <w:rPr>
          <w:rFonts w:ascii="Arial" w:cs="Arial" w:eastAsia="Arial" w:hAnsi="Arial"/>
          <w:sz w:val="17"/>
          <w:szCs w:val="17"/>
          <w:color w:val="auto"/>
        </w:rPr>
        <w:t xml:space="preserve">annually in arrears in cash on January 1 and July 1 of each year, with the first payment due on January 1, 2022. The 2027 Notes will mature on July 1, 2027, unless earlier converted, redeemed or repurchased. The Company incurred $15,065 of expenses in connection with the 2027 Notes offering consisting of transaction costs. As of September 30, 2021, $375 of the transaction costs were recorded in </w:t>
      </w:r>
      <w:r>
        <w:rPr>
          <w:rFonts w:ascii="Arial" w:cs="Arial" w:eastAsia="Arial" w:hAnsi="Arial"/>
          <w:sz w:val="17"/>
          <w:szCs w:val="17"/>
          <w:i w:val="1"/>
          <w:iCs w:val="1"/>
          <w:color w:val="auto"/>
        </w:rPr>
        <w:t>Accounts payable</w:t>
      </w:r>
      <w:r>
        <w:rPr>
          <w:rFonts w:ascii="Arial" w:cs="Arial" w:eastAsia="Arial" w:hAnsi="Arial"/>
          <w:sz w:val="17"/>
          <w:szCs w:val="17"/>
          <w:color w:val="auto"/>
        </w:rPr>
        <w:t xml:space="preserve"> in the consolidated balance sheet. The Company used $25,875 of the net proceeds from the sale of the 2027 Notes to pay the premiums of the capped call options described further below, and $536,062 to repay outstanding indebtedness under the Credit Facility and to pay related fees and expenses.</w:t>
      </w:r>
    </w:p>
    <w:p>
      <w:pPr>
        <w:spacing w:after="0" w:line="20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2027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2027 Indenture; and (4) if the Company calls the 2027 Notes for redemption. On or after April 1, 2027 until 5:00 p.m., New York City time, on the second scheduled trading day immediately before the maturity date, the 2027 Notes will be convertible at the option of the holder at any time.</w:t>
      </w:r>
    </w:p>
    <w:p>
      <w:pPr>
        <w:spacing w:after="0" w:line="16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12.0153 shares of the Company’s Class B Common Stock per $1 principal amount of 2027 Notes, which represents an initial conversion price of approximately $83.23 per share, and is subject to adjustment as described in the 2027 Indenture. If a “make-whole fundamental change” (as defined in the 2027 Indenture) occurs, then the Company will, in certain circumstances, increase the conversion rate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will have the option to redeem the 2027 Notes in whole or in part at any time on or after July 5, 2024 and on or before the 40th scheduled trading day immediately before the maturity date if the last reported sale price per share of the Company’s Class B common stock exceeds 130% of the conversion price on (1) each of at least 20 trading days, whether or not consecutive, during any 30 consecutive trading days ending on, and including, the trading day immediately before the date the Company sends the related redemption notice; and (2) the trading day immediately before the date the Company sends such notice. The redemption price will be equal to the principal amount of the 2027 Notes to be redeemed, plus accrued and unpaid interest, if any, to, but excluding, the redemption date.</w:t>
      </w:r>
    </w:p>
    <w:p>
      <w:pPr>
        <w:spacing w:after="0" w:line="192"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Upon a fundamental change (as defined in the 2027 Indenture), holders may, subject to certain exceptions, require the Company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(as defined in the 2027 Indenture), the Company will, under certain circumstances, increase the applicable conversion rate for a holder that elects to convert its 2027 Notes in connection with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No adjustment to the conversion rate will be made if the stock price in such Make</w:t>
      </w:r>
      <w:r>
        <w:rPr>
          <w:rFonts w:ascii="MS PGothic" w:cs="MS PGothic" w:eastAsia="MS PGothic" w:hAnsi="MS PGothic"/>
          <w:sz w:val="18"/>
          <w:szCs w:val="18"/>
          <w:color w:val="auto"/>
        </w:rPr>
        <w:t>‑</w:t>
      </w:r>
      <w:r>
        <w:rPr>
          <w:rFonts w:ascii="Arial" w:cs="Arial" w:eastAsia="Arial" w:hAnsi="Arial"/>
          <w:sz w:val="18"/>
          <w:szCs w:val="18"/>
          <w:color w:val="auto"/>
        </w:rPr>
        <w:t>Whole Fundamental Change is either less than $61.65 per share or greater than $325.00 per share. The Company will not increase the conversion rate to an amount that exceeds 16.2206 shares per $1 principal amount of 2027 Notes, subject to adjustment. The 2027 Indenture also contains a customary merger covenant.</w:t>
      </w:r>
    </w:p>
    <w:p>
      <w:pPr>
        <w:spacing w:after="0" w:line="20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Under the 2027 Indenture, the 2027 Notes may be accelerated upon the occurrence of certain customary events of default. If certain bankruptcy and insolvency</w:t>
      </w:r>
      <w:r>
        <w:rPr>
          <w:rFonts w:ascii="MS PGothic" w:cs="MS PGothic" w:eastAsia="MS PGothic" w:hAnsi="MS PGothic"/>
          <w:sz w:val="16"/>
          <w:szCs w:val="16"/>
          <w:color w:val="auto"/>
        </w:rPr>
        <w:t>‑</w:t>
      </w:r>
      <w:r>
        <w:rPr>
          <w:rFonts w:ascii="Arial" w:cs="Arial" w:eastAsia="Arial" w:hAnsi="Arial"/>
          <w:sz w:val="16"/>
          <w:szCs w:val="16"/>
          <w:color w:val="auto"/>
        </w:rPr>
        <w:t>related events of default with respect to the Company occur, the principal of, and accrued and unpaid interest on, all of the then outstanding 2027 Notes shall automatically become due and payable. If any other event of default occurs and is continuing, the 2027 Trustee by notice to the Company, or the holders of the 2027 Notes of at least 25% in principal amount of the outstanding 2027 Notes by notice to the Company and the 2027 Trustee, may declare the principal of, and accrued and unpaid interest on, all of the then outstanding 2027 Notes to be due and payable. Notwithstanding the foregoing, the 2027 Indenture provides that, to the extent the Company elects, the sole remedy for an event of default relating to certain failures by the Company to comply with reporting covenant in the 2027 Indenture consists exclusively of the right to receive additional interest on the 2027 Notes.</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As discussed in Note 2, the Company early adopted ASU 2020</w:t>
      </w:r>
      <w:r>
        <w:rPr>
          <w:rFonts w:ascii="MS PGothic" w:cs="MS PGothic" w:eastAsia="MS PGothic" w:hAnsi="MS PGothic"/>
          <w:sz w:val="18"/>
          <w:szCs w:val="18"/>
          <w:color w:val="auto"/>
        </w:rPr>
        <w:t>‑</w:t>
      </w:r>
      <w:r>
        <w:rPr>
          <w:rFonts w:ascii="Arial" w:cs="Arial" w:eastAsia="Arial" w:hAnsi="Arial"/>
          <w:sz w:val="18"/>
          <w:szCs w:val="18"/>
          <w:color w:val="auto"/>
        </w:rPr>
        <w:t>06 as of January 1, 2021 and concluded the 2027 Notes will be accounted for as debt, with no bifurcation of the embedded conversion feature. Transaction costs were recorded as a direct deduction from the related debt liability in the consolidated balance sheet and are amortized to interest expense using the effective interest method over the term of the 2027 Notes. The effective interest rate for the 2027 Notes is 0.864%.</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2021, none of the conditions of the 2027 Notes to early convert has been met.</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2027 Notes are the Company’s senior, unsecured obligations that rank senior in right of payment to the Company’s future indebtedness that is expressly subordinated to the 2027 Notes, rank equally in right of payment with the Company’s existing and future senior unsecured indebtedness that is not so subordinated (including the Company’s 2026 Notes), effectively subordinated to the Company’s existing and future secured indebtedness (including obligations under the Company’s senior secured credit facilities), to the extent of the value of the collateral securing such indebtedness, and structurally subordinated to all existing and future indebtedness and other liabilities (including trade payables and preferred equity (to the extent the Company is not a holder thereof)) of the Company’s subsidiaries. The 2027 Notes contain both affirmative and negative covenants. As of September 30, 2021, the Company was in compliance with all covenants in the 2027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Capped Call Options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connection with the pricing of the 2027 Notes, the Company entered into capped call options with certain of the initial purchasers or their respective affiliates and certain other financial institutions. The Company incurred $50 of expenses in connection with the capped call options, which were recorded in </w:t>
      </w:r>
      <w:r>
        <w:rPr>
          <w:rFonts w:ascii="Arial" w:cs="Arial" w:eastAsia="Arial" w:hAnsi="Arial"/>
          <w:sz w:val="16"/>
          <w:szCs w:val="16"/>
          <w:i w:val="1"/>
          <w:iCs w:val="1"/>
          <w:color w:val="auto"/>
        </w:rPr>
        <w:t xml:space="preserve">Accounts payable </w:t>
      </w:r>
      <w:r>
        <w:rPr>
          <w:rFonts w:ascii="Arial" w:cs="Arial" w:eastAsia="Arial" w:hAnsi="Arial"/>
          <w:sz w:val="16"/>
          <w:szCs w:val="16"/>
          <w:color w:val="auto"/>
        </w:rPr>
        <w:t>in the consolidated balance sheet as of September 30, 2021. The capped call options are expected to reduce potential dilution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Class B Common Stock upon any conversion of 2027 Notes and/or offset any cash payments the Company is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the Company’s Class B Common Stock on the Nasdaq Global Select Market on June 23, 2021 and is subject to customary adjustments under the terms of the capped call options.</w:t>
      </w:r>
    </w:p>
    <w:p>
      <w:pPr>
        <w:spacing w:after="0" w:line="16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the Company accounts for the capped call options separately from the 2027 Notes. The capped call options are indexed to the Company’s own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consists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380" w:type="dxa"/>
            <w:vAlign w:val="bottom"/>
            <w:gridSpan w:val="4"/>
          </w:tcPr>
          <w:p>
            <w:pPr>
              <w:jc w:val="right"/>
              <w:ind w:right="133"/>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6"/>
                <w:szCs w:val="16"/>
                <w:b w:val="1"/>
                <w:bCs w:val="1"/>
                <w:color w:val="auto"/>
                <w:w w:val="98"/>
              </w:rPr>
              <w:t>September 30,</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r>
      <w:tr>
        <w:trPr>
          <w:trHeight w:val="212"/>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70"/>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 xml:space="preserve">Senior secured revolving loan facility </w:t>
            </w:r>
            <w:r>
              <w:rPr>
                <w:rFonts w:ascii="Arial" w:cs="Arial" w:eastAsia="Arial" w:hAnsi="Arial"/>
                <w:sz w:val="23"/>
                <w:szCs w:val="23"/>
                <w:color w:val="auto"/>
                <w:vertAlign w:val="superscript"/>
              </w:rPr>
              <w:t>(1)</w:t>
            </w: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911</w:t>
            </w:r>
          </w:p>
        </w:tc>
        <w:tc>
          <w:tcPr>
            <w:tcW w:w="260" w:type="dxa"/>
            <w:vAlign w:val="bottom"/>
          </w:tcPr>
          <w:p>
            <w:pPr>
              <w:spacing w:after="0"/>
              <w:rPr>
                <w:sz w:val="23"/>
                <w:szCs w:val="23"/>
                <w:color w:val="auto"/>
              </w:rPr>
            </w:pPr>
          </w:p>
        </w:tc>
        <w:tc>
          <w:tcPr>
            <w:tcW w:w="820" w:type="dxa"/>
            <w:vAlign w:val="bottom"/>
          </w:tcPr>
          <w:p>
            <w:pPr>
              <w:jc w:val="right"/>
              <w:ind w:right="63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1,519</w:t>
            </w:r>
          </w:p>
        </w:tc>
        <w:tc>
          <w:tcPr>
            <w:tcW w:w="26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2,490</w:t>
            </w:r>
          </w:p>
        </w:tc>
        <w:tc>
          <w:tcPr>
            <w:tcW w:w="26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3,953</w:t>
            </w:r>
          </w:p>
        </w:tc>
      </w:tr>
      <w:tr>
        <w:trPr>
          <w:trHeight w:val="27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w:t>
            </w:r>
          </w:p>
        </w:tc>
        <w:tc>
          <w:tcPr>
            <w:tcW w:w="82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70"/>
        </w:trPr>
        <w:tc>
          <w:tcPr>
            <w:tcW w:w="5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Amortization and write-off of deferred debt issuance costs</w:t>
            </w:r>
          </w:p>
        </w:tc>
        <w:tc>
          <w:tcPr>
            <w:tcW w:w="8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6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2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r>
      <w:tr>
        <w:trPr>
          <w:trHeight w:val="223"/>
        </w:trPr>
        <w:tc>
          <w:tcPr>
            <w:tcW w:w="30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1,489</w:t>
            </w:r>
          </w:p>
        </w:tc>
        <w:tc>
          <w:tcPr>
            <w:tcW w:w="2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1,960</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r>
      <w:tr>
        <w:trPr>
          <w:trHeight w:val="21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2026 Notes:</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Coupon interest</w:t>
            </w:r>
          </w:p>
        </w:tc>
        <w:tc>
          <w:tcPr>
            <w:tcW w:w="82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8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909</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2,470</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1,130</w:t>
            </w:r>
          </w:p>
        </w:tc>
        <w:tc>
          <w:tcPr>
            <w:tcW w:w="2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2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2027 Notes:</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0"/>
        </w:trPr>
        <w:tc>
          <w:tcPr>
            <w:tcW w:w="5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Coupon interest</w:t>
            </w:r>
          </w:p>
        </w:tc>
        <w:tc>
          <w:tcPr>
            <w:tcW w:w="82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80" w:type="dxa"/>
            <w:vAlign w:val="bottom"/>
            <w:gridSpan w:val="2"/>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8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627</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641</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1,178</w:t>
            </w:r>
          </w:p>
        </w:tc>
        <w:tc>
          <w:tcPr>
            <w:tcW w:w="2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obligations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82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3,861</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1,975</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8,844</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21" w:lineRule="exact"/>
        <w:rPr>
          <w:sz w:val="20"/>
          <w:szCs w:val="20"/>
          <w:color w:val="auto"/>
        </w:rPr>
      </w:pPr>
    </w:p>
    <w:p>
      <w:pPr>
        <w:ind w:left="340" w:hanging="332"/>
        <w:spacing w:after="0" w:line="277"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weighted average interest rate was 2.33% and 1.59% for the three months ended September 30, 2021 and 2020, respectively, and 2.02% and 1.92%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Interest rate risk associated with the Credit Facility is managed through an interest rate swap which the Company executed on March 31, 2020. The swap has an effective date of April 2, 2020 and a termination date of April 2, 2030. Under the terms of the swap, the Company fixed its LIBOR borrowing rate at 0.73% on a notional amount of $200,000. The interest rate swap is not designated as a hedging instrument for accounting purposes. The Company accounts for the swap as either an asset or a liability in the consolidated balance sheets and carries the derivative at fair value. Gains and losses from the change in fair value are recognized in </w:t>
      </w:r>
      <w:r>
        <w:rPr>
          <w:rFonts w:ascii="Arial" w:cs="Arial" w:eastAsia="Arial" w:hAnsi="Arial"/>
          <w:sz w:val="18"/>
          <w:szCs w:val="18"/>
          <w:i w:val="1"/>
          <w:iCs w:val="1"/>
          <w:color w:val="auto"/>
        </w:rPr>
        <w:t>Other (expense) income, net</w:t>
      </w:r>
      <w:r>
        <w:rPr>
          <w:rFonts w:ascii="Arial" w:cs="Arial" w:eastAsia="Arial" w:hAnsi="Arial"/>
          <w:sz w:val="18"/>
          <w:szCs w:val="18"/>
          <w:color w:val="auto"/>
        </w:rPr>
        <w:t xml:space="preserve"> in the consolidated statements of operations. As of September 30, 2021 and December 31, 2020, the Company recorded a swap related asset at fair value of $9,545 and $347, respectively,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consolidated balance sheets.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Executive Bonus Plan</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Certain of the Company’s key employees, including its named executive officers, participate in the Bentley Systems, Incorporated Bonus Pool Plan, as amended and restated, effective as of September 22, 2020 (the “Bonus Plan”). Pursuant to the Bonus Plan, participants are eligible to receive incentive bonuses that are determined based on the Company’s adjusted Management Report Operating Income (“MROI”), as defined in the plan agreement and before deduction for such plan payments. For purposes of the Bonus Plan, the bonus pool thereunder may be funded with up to an aggregate of 20% of the Company’s adjusted MROI, subject to approval by the board of directors, with payments made to plan participants based on each such participant’s allocated interest in the bonus pool. The plan permits the deduction of certain holdback amounts from the plan’s pool, from which amounts can then be allocated to fund items including equity and/or cash incentive compensation for non</w:t>
      </w:r>
      <w:r>
        <w:rPr>
          <w:rFonts w:ascii="MS PGothic" w:cs="MS PGothic" w:eastAsia="MS PGothic" w:hAnsi="MS PGothic"/>
          <w:sz w:val="16"/>
          <w:szCs w:val="16"/>
          <w:color w:val="auto"/>
        </w:rPr>
        <w:t>‑</w:t>
      </w:r>
      <w:r>
        <w:rPr>
          <w:rFonts w:ascii="Arial" w:cs="Arial" w:eastAsia="Arial" w:hAnsi="Arial"/>
          <w:sz w:val="16"/>
          <w:szCs w:val="16"/>
          <w:color w:val="auto"/>
        </w:rPr>
        <w:t>plan participants and participant charitable contributions.</w:t>
      </w:r>
    </w:p>
    <w:p>
      <w:pPr>
        <w:spacing w:after="0" w:line="204"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color w:val="auto"/>
        </w:rPr>
        <w:t>A participant may defer any portion, or all, of such participant’s incentive bonus payable pursuant to the Bonus Plan into the DCP (see Note 12). Prior to September 22, 2020, a participant’s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was payable in cash. Effective September 22, 2020, the Bonus Plan provides, in part, that a participant may elect to receive any portion, or all, of such participant’s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in the form of shares of fully vested Class B Common Stock issued under the Bentley Systems, Incorporated 2020 Omnibus Incentive Plan (the “2020 Incentive Award Plan”) beginning in the fourth quarter of 2020, subject to the limitation described below. The Company records the election of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in the form of shares of fully vested Class B Common Stock as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in the consolidated statements of operations (see Note 15). Such election must be made prior to the start of the applicable calendar quarter for which the incentive bonus is to be paid, and the number of shares of Class B Common Stock payable in respect of such elected amount is calculated using a volume-weighted average price of the Company’s Class B Common Stock for the period commencing on the tenth trading day prior to the end of the applicable calendar quarter and ending on the tenth trading day following the end of the applicable calendar quarter. Notwithstanding participants’ elections to receive shares of fully vested Class B Common Stock in respect of their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payments, if, in any calendar quarter, the aggregate U.S. Dollar value of shares of fully vested Class B Common Stock payable in respect of the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bonuses exceeds $7,500, the portion of each participant’s non</w:t>
      </w:r>
      <w:r>
        <w:rPr>
          <w:rFonts w:ascii="MS PGothic" w:cs="MS PGothic" w:eastAsia="MS PGothic" w:hAnsi="MS PGothic"/>
          <w:sz w:val="17"/>
          <w:szCs w:val="17"/>
          <w:color w:val="auto"/>
        </w:rPr>
        <w:t>‑</w:t>
      </w:r>
      <w:r>
        <w:rPr>
          <w:rFonts w:ascii="Arial" w:cs="Arial" w:eastAsia="Arial" w:hAnsi="Arial"/>
          <w:sz w:val="17"/>
          <w:szCs w:val="17"/>
          <w:color w:val="auto"/>
        </w:rPr>
        <w:t>deferred incentive bonus payable in shares of fully vested Class B Common Stock will be reduced pro rata such that the $7,500 limit is not exceeded, and, for each affected participant, the amount of such reduction will be payable in cash.</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September 30, 2021 and 2020, the incentive compensation, including cash payments, election to receive shares of fully vested Class B Common Stock beginning in the fourth quarter of 2020, and deferred compensation to plan participants, recognized under this plan (net of all applicable holdbacks) was $8,128 and $9,905, respectively, and $24,686 and $26,469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12: Retirement Plans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6"/>
          <w:szCs w:val="16"/>
          <w:color w:val="auto"/>
        </w:rPr>
        <w:t>Under the Company’s unfunded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tax and accounting purposes in the same manner as actual shares of Class B Common Stock, and are recorded as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in the consolidated statements of operations (see Note 15).</w:t>
      </w:r>
    </w:p>
    <w:p>
      <w:pPr>
        <w:spacing w:after="0" w:line="203"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In August 2021, the Company’s Board of Directors approved an amendment to the DCP, which offered to certain active executives in the DCP a one</w:t>
      </w:r>
      <w:r>
        <w:rPr>
          <w:rFonts w:ascii="MS PGothic" w:cs="MS PGothic" w:eastAsia="MS PGothic" w:hAnsi="MS PGothic"/>
          <w:sz w:val="18"/>
          <w:szCs w:val="18"/>
          <w:color w:val="auto"/>
        </w:rPr>
        <w:t>‑</w:t>
      </w:r>
      <w:r>
        <w:rPr>
          <w:rFonts w:ascii="Arial" w:cs="Arial" w:eastAsia="Arial" w:hAnsi="Arial"/>
          <w:sz w:val="18"/>
          <w:szCs w:val="18"/>
          <w:color w:val="auto"/>
        </w:rPr>
        <w:t>time, short</w:t>
      </w:r>
      <w:r>
        <w:rPr>
          <w:rFonts w:ascii="MS PGothic" w:cs="MS PGothic" w:eastAsia="MS PGothic" w:hAnsi="MS PGothic"/>
          <w:sz w:val="18"/>
          <w:szCs w:val="18"/>
          <w:color w:val="auto"/>
        </w:rPr>
        <w:t>‑</w:t>
      </w:r>
      <w:r>
        <w:rPr>
          <w:rFonts w:ascii="Arial" w:cs="Arial" w:eastAsia="Arial" w:hAnsi="Arial"/>
          <w:sz w:val="18"/>
          <w:szCs w:val="18"/>
          <w:color w:val="auto"/>
        </w:rPr>
        <w:t>term election to reallocate a limited portion of their DCP holdings from phantom shares of the Company’s Class B Common Stock into other DCP phantom investment funds. The offer to reallocate was subject to a proration mechanism which adjusted the aggregate elections to a maximum of 1,500,000 phantom shares of the Company’s Class B Common Stock. This resulted in a reduction of 1,500,000 shares in both the basic and diluted count of Company shares.</w:t>
      </w:r>
    </w:p>
    <w:p>
      <w:pPr>
        <w:spacing w:after="0" w:line="20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 xml:space="preserve">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three and nine months ended September 30, 2021, the Company reclassified cumulative compensation cost of $4,739 from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xml:space="preserve"> to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or </w:t>
      </w:r>
      <w:r>
        <w:rPr>
          <w:rFonts w:ascii="Arial" w:cs="Arial" w:eastAsia="Arial" w:hAnsi="Arial"/>
          <w:sz w:val="17"/>
          <w:szCs w:val="17"/>
          <w:i w:val="1"/>
          <w:iCs w:val="1"/>
          <w:color w:val="auto"/>
        </w:rPr>
        <w:t>Deferred compensation plan liabilities</w:t>
      </w:r>
      <w:r>
        <w:rPr>
          <w:rFonts w:ascii="Arial" w:cs="Arial" w:eastAsia="Arial" w:hAnsi="Arial"/>
          <w:sz w:val="17"/>
          <w:szCs w:val="17"/>
          <w:color w:val="auto"/>
        </w:rPr>
        <w:t xml:space="preserve"> in the consolidated balance sheet and recognized a compensation charge of $90,721 to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xml:space="preserve"> expenses in the consolidated statements of operations to record the reallocated deferred compensation plan liabilities at their fair value of $95,460. Subsequent to the one</w:t>
      </w:r>
      <w:r>
        <w:rPr>
          <w:rFonts w:ascii="MS PGothic" w:cs="MS PGothic" w:eastAsia="MS PGothic" w:hAnsi="MS PGothic"/>
          <w:sz w:val="17"/>
          <w:szCs w:val="17"/>
          <w:color w:val="auto"/>
        </w:rPr>
        <w:t>‑</w:t>
      </w:r>
      <w:r>
        <w:rPr>
          <w:rFonts w:ascii="Arial" w:cs="Arial" w:eastAsia="Arial" w:hAnsi="Arial"/>
          <w:sz w:val="17"/>
          <w:szCs w:val="17"/>
          <w:color w:val="auto"/>
        </w:rPr>
        <w:t xml:space="preserve">time reallocation, these diversified deferred compensation plan liabilities are marked to market at the end of each reporting period, with changes in the liabilities recorded as an expense (income) to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xml:space="preserve"> in the consolidated statements of operations.</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Amounts in the DCP attributable to certain non</w:t>
      </w:r>
      <w:r>
        <w:rPr>
          <w:rFonts w:ascii="MS PGothic" w:cs="MS PGothic" w:eastAsia="MS PGothic" w:hAnsi="MS PGothic"/>
          <w:sz w:val="18"/>
          <w:szCs w:val="18"/>
          <w:color w:val="auto"/>
        </w:rPr>
        <w:t>‑</w:t>
      </w:r>
      <w:r>
        <w:rPr>
          <w:rFonts w:ascii="Arial" w:cs="Arial" w:eastAsia="Arial" w:hAnsi="Arial"/>
          <w:sz w:val="18"/>
          <w:szCs w:val="18"/>
          <w:color w:val="auto"/>
        </w:rPr>
        <w:t xml:space="preserve">colleague participants are settled in cash and are classified as liabilities in either </w:t>
      </w:r>
      <w:r>
        <w:rPr>
          <w:rFonts w:ascii="Arial" w:cs="Arial" w:eastAsia="Arial" w:hAnsi="Arial"/>
          <w:sz w:val="18"/>
          <w:szCs w:val="18"/>
          <w:i w:val="1"/>
          <w:iCs w:val="1"/>
          <w:color w:val="auto"/>
        </w:rPr>
        <w:t>Accruals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current liabilities </w:t>
      </w:r>
      <w:r>
        <w:rPr>
          <w:rFonts w:ascii="Arial" w:cs="Arial" w:eastAsia="Arial" w:hAnsi="Arial"/>
          <w:sz w:val="18"/>
          <w:szCs w:val="18"/>
          <w:color w:val="auto"/>
        </w:rPr>
        <w:t>or</w:t>
      </w:r>
      <w:r>
        <w:rPr>
          <w:rFonts w:ascii="Arial" w:cs="Arial" w:eastAsia="Arial" w:hAnsi="Arial"/>
          <w:sz w:val="18"/>
          <w:szCs w:val="18"/>
          <w:i w:val="1"/>
          <w:iCs w:val="1"/>
          <w:color w:val="auto"/>
        </w:rPr>
        <w:t xml:space="preserve"> Deferred compensation plan liabilities </w:t>
      </w:r>
      <w:r>
        <w:rPr>
          <w:rFonts w:ascii="Arial" w:cs="Arial" w:eastAsia="Arial" w:hAnsi="Arial"/>
          <w:sz w:val="18"/>
          <w:szCs w:val="18"/>
          <w:color w:val="auto"/>
        </w:rPr>
        <w:t>in the consolidated balance sheets. The deferred compensation plan liabilities are marked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market at the end of each reporting period, with changes in the liabilities recorded as an expense (income) to </w:t>
      </w:r>
      <w:r>
        <w:rPr>
          <w:rFonts w:ascii="Arial" w:cs="Arial" w:eastAsia="Arial" w:hAnsi="Arial"/>
          <w:sz w:val="18"/>
          <w:szCs w:val="18"/>
          <w:i w:val="1"/>
          <w:iCs w:val="1"/>
          <w:color w:val="auto"/>
        </w:rPr>
        <w:t>Deferred compensation plan</w:t>
      </w:r>
      <w:r>
        <w:rPr>
          <w:rFonts w:ascii="Arial" w:cs="Arial" w:eastAsia="Arial" w:hAnsi="Arial"/>
          <w:sz w:val="18"/>
          <w:szCs w:val="18"/>
          <w:color w:val="auto"/>
        </w:rPr>
        <w:t xml:space="preserve"> in the consolidated statements of operations.</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Deferred compensation plan </w:t>
      </w:r>
      <w:r>
        <w:rPr>
          <w:rFonts w:ascii="Arial" w:cs="Arial" w:eastAsia="Arial" w:hAnsi="Arial"/>
          <w:sz w:val="18"/>
          <w:szCs w:val="18"/>
          <w:color w:val="auto"/>
        </w:rPr>
        <w:t>expense (income) was $88,965 and $50 for the three months ended September 30, 2021 and 2020, respectively, and</w:t>
      </w:r>
      <w:r>
        <w:rPr>
          <w:rFonts w:ascii="Arial" w:cs="Arial" w:eastAsia="Arial" w:hAnsi="Arial"/>
          <w:sz w:val="18"/>
          <w:szCs w:val="18"/>
          <w:i w:val="1"/>
          <w:iCs w:val="1"/>
          <w:color w:val="auto"/>
        </w:rPr>
        <w:t xml:space="preserve"> </w:t>
      </w:r>
      <w:r>
        <w:rPr>
          <w:rFonts w:ascii="Arial" w:cs="Arial" w:eastAsia="Arial" w:hAnsi="Arial"/>
          <w:sz w:val="18"/>
          <w:szCs w:val="18"/>
          <w:color w:val="auto"/>
        </w:rPr>
        <w:t>$89,327 and $(115) for the nine months ended September 30, 2021 and 2020, respectively.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September 30, 2021 and 2020, DCP elective participant deferrals were $527 and $804, respectively, and $2,020 and $2,602 for the nine months ended September 30, 2021 and 2020, respectively. No discretionary contributions were made to the DCP during the three and nine months ended September 30, 2021 and 2020. As of September 30, 2021 and December 31, 2020, phantom shares of the Company’s Class B Common Stock issuable by the DCP were 25,503,049 and 30,590,955,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liabilities related to the DCP is included in the consolidated balance sheets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 2020</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Accruals and other current liabilities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compensation plan liabilities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89,174</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DCP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96,480</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13: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Repurchases, and Issuances of Company Common Stock</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June 17, 2021, the Company issued 3,141,342 shares of the Company’s Class B Common Stock pursuant to the acquisition of Seequent (see Note 4).</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September 2016, the Company entered into a Class B Common Stock Purchase Agreement with a strategic investor (the “Common Stock Purchase Agreement”), pursuant to which the investor could acquire in a series of transactions up to $200,000 of the Company’s Class B Common Stock at the then prevailing fair market value, either directly from selling stockholders, in which case the Company would act as pass through agent, or by funding the Company’s repurchase and subsequent sale to the investor of shares acquired by the Company from existing Company stockholders.</w:t>
      </w:r>
    </w:p>
    <w:p>
      <w:pPr>
        <w:spacing w:after="0" w:line="15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Common Stock Purchase Agreement grants to the strategic investor certain informational and protective rights, including, for so long as the Company remains party to a long-term strategic collaboration agreement with the investor, a pre</w:t>
      </w:r>
      <w:r>
        <w:rPr>
          <w:rFonts w:ascii="MS PGothic" w:cs="MS PGothic" w:eastAsia="MS PGothic" w:hAnsi="MS PGothic"/>
          <w:sz w:val="18"/>
          <w:szCs w:val="18"/>
          <w:color w:val="auto"/>
        </w:rPr>
        <w:t>‑</w:t>
      </w:r>
      <w:r>
        <w:rPr>
          <w:rFonts w:ascii="Arial" w:cs="Arial" w:eastAsia="Arial" w:hAnsi="Arial"/>
          <w:sz w:val="18"/>
          <w:szCs w:val="18"/>
          <w:color w:val="auto"/>
        </w:rPr>
        <w:t>IPO right of first refusal on any sale of the Company and a post</w:t>
      </w:r>
      <w:r>
        <w:rPr>
          <w:rFonts w:ascii="MS PGothic" w:cs="MS PGothic" w:eastAsia="MS PGothic" w:hAnsi="MS PGothic"/>
          <w:sz w:val="18"/>
          <w:szCs w:val="18"/>
          <w:color w:val="auto"/>
        </w:rPr>
        <w:t>‑</w:t>
      </w:r>
      <w:r>
        <w:rPr>
          <w:rFonts w:ascii="Arial" w:cs="Arial" w:eastAsia="Arial" w:hAnsi="Arial"/>
          <w:sz w:val="18"/>
          <w:szCs w:val="18"/>
          <w:color w:val="auto"/>
        </w:rPr>
        <w:t>IPO right to participate in any sale process the Company may undertake. The strategic investor’s right of first refusal terminated upon the effectiveness of the Company’s IPO registration statement.</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April 23, 2018, the Company entered into an amendment to the Common Stock Purchase Agreement, which (i) increased the maximum purchase amount from $200,000 to $250,000 thereunder, (ii) extended the expiration of the agreement from 2026 to 2030, and (iii) granted the Company the right to retain a portion of the shares that would otherwise be sold to the investor.</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During the nine months ended September 30, 2020, the investor purchased 4,574,567 shares under the Common Stock Purchase Agreement, with 3,769,346 of such shares having been repurchased by the Company and re-sold to the investor for consideration of $58,349 and 805,053 shares acquired directly by the investor for consideration of $12,462. As of December 31, 2020, the investor reached the maximum purchase amount of $250,000.</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nine months ended September 30, 2021, the Company issued 4,269,335 shares of Class B Common Stock to colleagues who exercised their stock options, net of 993,302 shares withheld at exercise to pay for the cost of the stock options, as well as for $34,988 of applicable income tax withholdings. The Company received $5,039 in proceeds from the exercise of stock options.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nine months ended September 30, 2020, the Company issued 3,506,103 shares of Class B Common Stock to colleagues who exercised their stock options, net of 1,358,841 shares withheld at exercise to pay for the cost of the stock options, as well as for $3,618 of applicable income tax withholdings. The Company received $7,776 in proceeds from the exercise of stock options. For the nine months ended September 30, 2020, the Company paid $1,454 for 128,176 shares sold back to the Company upon exercise of the Put and Call provisions under its applicable equity incentive plans. Upon the completion of the IPO, the Put and Call provisions of the Company’s Amended and Restated 2015 Equity Incentive Plan (the “2015 Equity Incentive Plan”) terminated automatically.</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nine months ended September 30, 2021, the Company issued 190,619 shares of Class B Common Stock in connection with Bonus Plan incentive compensation, net of shares withheld. Of the total 322,160 shares awarded, 131,541 shares were sold back to the Company to pay for applicable income tax withholdings of $6,586.</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nine months ended September 30, 2021 and 2020, the Company issued 2,290,999 and 2,984,531 shares of Class B Common Stock to DCP participants in connection with distributions from the plan. The distribution in shares for the nine months ended September 30, 2021 totaled 3,674,787 shares of which 1,383,788 shares were sold back to the Company in the same period to pay for applicable income tax withholdings of $65,684. The distribution in shares for the nine months ended September 30, 2020 totaled 3,165,759 shares of which 181,228 shares were sold back to the Company to pay for the cost of applicable income tax withholding of $1,877.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ind w:firstLine="324"/>
        <w:spacing w:after="0" w:line="223" w:lineRule="exact"/>
        <w:rPr>
          <w:sz w:val="20"/>
          <w:szCs w:val="20"/>
          <w:color w:val="auto"/>
        </w:rPr>
      </w:pPr>
      <w:r>
        <w:rPr>
          <w:rFonts w:ascii="Arial" w:cs="Arial" w:eastAsia="Arial" w:hAnsi="Arial"/>
          <w:sz w:val="18"/>
          <w:szCs w:val="18"/>
          <w:color w:val="auto"/>
        </w:rPr>
        <w:t>For the nine months ended September 30, 2021, the Company did not repurchase shares from its profit</w:t>
      </w:r>
      <w:r>
        <w:rPr>
          <w:rFonts w:ascii="MS PGothic" w:cs="MS PGothic" w:eastAsia="MS PGothic" w:hAnsi="MS PGothic"/>
          <w:sz w:val="18"/>
          <w:szCs w:val="18"/>
          <w:color w:val="auto"/>
        </w:rPr>
        <w:t>‑</w:t>
      </w:r>
      <w:r>
        <w:rPr>
          <w:rFonts w:ascii="Arial" w:cs="Arial" w:eastAsia="Arial" w:hAnsi="Arial"/>
          <w:sz w:val="18"/>
          <w:szCs w:val="18"/>
          <w:color w:val="auto"/>
        </w:rPr>
        <w:t>sharing plan. The Company repurchased 549,834 shares from its profit</w:t>
      </w:r>
      <w:r>
        <w:rPr>
          <w:rFonts w:ascii="MS PGothic" w:cs="MS PGothic" w:eastAsia="MS PGothic" w:hAnsi="MS PGothic"/>
          <w:sz w:val="18"/>
          <w:szCs w:val="18"/>
          <w:color w:val="auto"/>
        </w:rPr>
        <w:t>‑</w:t>
      </w:r>
      <w:r>
        <w:rPr>
          <w:rFonts w:ascii="Arial" w:cs="Arial" w:eastAsia="Arial" w:hAnsi="Arial"/>
          <w:sz w:val="18"/>
          <w:szCs w:val="18"/>
          <w:color w:val="auto"/>
        </w:rPr>
        <w:t>sharing plan for $6,970 for the nine months ended September 30, 2020.</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 The Company declared cash dividends during the periods presented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Dividend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0"/>
              </w:rPr>
              <w:t>Per Share</w:t>
            </w:r>
          </w:p>
        </w:tc>
        <w:tc>
          <w:tcPr>
            <w:tcW w:w="260" w:type="dxa"/>
            <w:vAlign w:val="bottom"/>
          </w:tcPr>
          <w:p>
            <w:pPr>
              <w:spacing w:after="0"/>
              <w:rPr>
                <w:sz w:val="19"/>
                <w:szCs w:val="19"/>
                <w:color w:val="auto"/>
              </w:rPr>
            </w:pPr>
          </w:p>
        </w:tc>
        <w:tc>
          <w:tcPr>
            <w:tcW w:w="1180" w:type="dxa"/>
            <w:vAlign w:val="bottom"/>
          </w:tcPr>
          <w:p>
            <w:pPr>
              <w:jc w:val="right"/>
              <w:ind w:right="351"/>
              <w:spacing w:after="0"/>
              <w:rPr>
                <w:sz w:val="20"/>
                <w:szCs w:val="20"/>
                <w:color w:val="auto"/>
              </w:rPr>
            </w:pPr>
            <w:r>
              <w:rPr>
                <w:rFonts w:ascii="Arial" w:cs="Arial" w:eastAsia="Arial" w:hAnsi="Arial"/>
                <w:sz w:val="16"/>
                <w:szCs w:val="16"/>
                <w:b w:val="1"/>
                <w:bCs w:val="1"/>
                <w:color w:val="auto"/>
              </w:rPr>
              <w:t>Amount</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70"/>
        </w:trPr>
        <w:tc>
          <w:tcPr>
            <w:tcW w:w="810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8,485</w:t>
            </w:r>
          </w:p>
        </w:tc>
      </w:tr>
      <w:tr>
        <w:trPr>
          <w:trHeight w:val="27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w:t>
            </w:r>
          </w:p>
        </w:tc>
      </w:tr>
      <w:tr>
        <w:trPr>
          <w:trHeight w:val="270"/>
        </w:trPr>
        <w:tc>
          <w:tcPr>
            <w:tcW w:w="810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8,219</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70"/>
        </w:trPr>
        <w:tc>
          <w:tcPr>
            <w:tcW w:w="8100" w:type="dxa"/>
            <w:vAlign w:val="bottom"/>
          </w:tcPr>
          <w:p>
            <w:pPr>
              <w:ind w:left="180"/>
              <w:spacing w:after="0"/>
              <w:rPr>
                <w:sz w:val="20"/>
                <w:szCs w:val="20"/>
                <w:color w:val="auto"/>
              </w:rPr>
            </w:pPr>
            <w:r>
              <w:rPr>
                <w:rFonts w:ascii="Arial" w:cs="Arial" w:eastAsia="Arial" w:hAnsi="Arial"/>
                <w:sz w:val="18"/>
                <w:szCs w:val="18"/>
                <w:color w:val="auto"/>
              </w:rPr>
              <w:t xml:space="preserve">Third quarter </w:t>
            </w:r>
            <w:r>
              <w:rPr>
                <w:rFonts w:ascii="Arial" w:cs="Arial" w:eastAsia="Arial" w:hAnsi="Arial"/>
                <w:sz w:val="23"/>
                <w:szCs w:val="23"/>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400,311</w:t>
            </w:r>
          </w:p>
        </w:tc>
      </w:tr>
      <w:tr>
        <w:trPr>
          <w:trHeight w:val="27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7,771</w:t>
            </w:r>
          </w:p>
        </w:tc>
      </w:tr>
      <w:tr>
        <w:trPr>
          <w:trHeight w:val="270"/>
        </w:trPr>
        <w:tc>
          <w:tcPr>
            <w:tcW w:w="810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30" w:lineRule="exact"/>
        <w:rPr>
          <w:sz w:val="20"/>
          <w:szCs w:val="20"/>
          <w:color w:val="auto"/>
        </w:rPr>
      </w:pPr>
    </w:p>
    <w:p>
      <w:pPr>
        <w:ind w:left="340" w:hanging="332"/>
        <w:spacing w:after="0" w:line="277" w:lineRule="auto"/>
        <w:tabs>
          <w:tab w:leader="none" w:pos="334"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As previously discussed in Note 1, on August 28, 2020, the Company’s board of directors declared a Special Dividend of $1.50 per share of the Company’s common stock ($392,489 in the aggregate).</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Global Employee Stock Purchase Plan </w:t>
      </w:r>
      <w:r>
        <w:rPr>
          <w:rFonts w:ascii="Arial" w:cs="Arial" w:eastAsia="Arial" w:hAnsi="Arial"/>
          <w:sz w:val="17"/>
          <w:szCs w:val="17"/>
          <w:color w:val="auto"/>
        </w:rPr>
        <w:t>— Effective September 22, 2020, the Company’s Board and its stockholders adopted and approved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Bentley Systems, Incorporated Global Employee Stock Purchase Plan (the “ESPP”). The ESPP provides eligible colleagues of the Company with an opportunity to contribute up to 15% of their eligible compensation toward the purchase of the Company’s Class B Common Stock at a discounted price, up to a maximum of $25 per year and subject to any other plan limitations. The ESPP has 25,000,000 shares of Class B Common Stock reserved for issuance. The ESPP has been implemented by means of consecutive offering periods, with the first offering period commencing on the first trading day on or after January 1, 2021 and ending on the last trading day on or before June 30, 2021. Unless otherwise determined by the board of directors, offering periods will run from January 1st (or the first trading day thereafter) through June 30th (or the first trading day prior to such date), and from July 1st (or the first trading day thereafter) through December 31st (or the first trading day prior to such date). The purchase price per share at which shares of Class B Common Stock are sold in an offering period under the ESPP will be equal to the lesser of 85% of the fair market value of a share of Class B Common Stock (i) on the first trading day of the offering period, or (ii) on the purchase date (i.e., the last trading day of the purchase period). During the nine months ended September 30, 2021, colleagues who elected to participate in the ESPP purchased a total of 104,716 shares of Class B Common Stock, net of shares withheld, resulting in cash proceeds to the Company of $3,845. Of the total 111,486 shares purchased, 6,770 shares were sold back to the Company to pay for applicable income tax withholdings of $438. As of September 30, 2021, $2,589 of ESPP withholding via colleague payroll deduction were recorded in </w:t>
      </w:r>
      <w:r>
        <w:rPr>
          <w:rFonts w:ascii="Arial" w:cs="Arial" w:eastAsia="Arial" w:hAnsi="Arial"/>
          <w:sz w:val="17"/>
          <w:szCs w:val="17"/>
          <w:i w:val="1"/>
          <w:iCs w:val="1"/>
          <w:color w:val="auto"/>
        </w:rPr>
        <w:t xml:space="preserve">Accruals and other current liabilities </w:t>
      </w:r>
      <w:r>
        <w:rPr>
          <w:rFonts w:ascii="Arial" w:cs="Arial" w:eastAsia="Arial" w:hAnsi="Arial"/>
          <w:sz w:val="17"/>
          <w:szCs w:val="17"/>
          <w:color w:val="auto"/>
        </w:rPr>
        <w:t>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loss consists of the following during the three months ended September 30, 2021 and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2021</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(53,914)</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(54,886)</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(27,014)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(26,986)</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(27,014)</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(26,994)</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(80,928)</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(81,880)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(27,411)</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(28,404)</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(812)</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loss consists of the following during the nine months ended September 30, 2021 and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(25,219)</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(26,233)</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(55,709)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(55,622)</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(55,709)</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(55,647)</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2021</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(80,928)</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(81,880)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521"/>
        </w:trPr>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1"/>
              </w:rPr>
              <w:t>Foreign</w:t>
            </w:r>
          </w:p>
        </w:tc>
        <w:tc>
          <w:tcPr>
            <w:tcW w:w="1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Actuarial (Loss)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3"/>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Retirement Plan</w:t>
            </w:r>
          </w:p>
        </w:tc>
        <w:tc>
          <w:tcPr>
            <w:tcW w:w="40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(22,908)</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(23,927)</w:t>
            </w:r>
          </w:p>
        </w:tc>
      </w:tr>
      <w:tr>
        <w:trPr>
          <w:trHeight w:val="250"/>
        </w:trPr>
        <w:tc>
          <w:tcPr>
            <w:tcW w:w="5700" w:type="dxa"/>
            <w:vAlign w:val="bottom"/>
          </w:tcPr>
          <w:p>
            <w:pPr>
              <w:ind w:left="18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(5,315)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(5,263)</w:t>
            </w: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(5,315)</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(5,284)</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(28,223)</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(29,211)</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15: Equity Awards and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was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82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26"/>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IPO vested restricted stock and RSU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15,445</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15,445</w:t>
            </w:r>
          </w:p>
        </w:tc>
      </w:tr>
      <w:tr>
        <w:trPr>
          <w:trHeight w:val="229"/>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Stock option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773</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2,494</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5,849</w:t>
            </w:r>
          </w:p>
        </w:tc>
      </w:tr>
      <w:tr>
        <w:trPr>
          <w:trHeight w:val="230"/>
        </w:trPr>
        <w:tc>
          <w:tcPr>
            <w:tcW w:w="4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Restricted stock and RSUs expense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11,139</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r>
      <w:tr>
        <w:trPr>
          <w:trHeight w:val="229"/>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Stock grants expense</w:t>
            </w:r>
          </w:p>
        </w:tc>
        <w:tc>
          <w:tcPr>
            <w:tcW w:w="34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Bonus Plan expense (see Note 11)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17,181</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gridSpan w:val="2"/>
          </w:tcPr>
          <w:p>
            <w:pPr>
              <w:ind w:left="20"/>
              <w:spacing w:after="0"/>
              <w:rPr>
                <w:sz w:val="20"/>
                <w:szCs w:val="20"/>
                <w:color w:val="auto"/>
              </w:rPr>
            </w:pPr>
            <w:r>
              <w:rPr>
                <w:rFonts w:ascii="Arial" w:cs="Arial" w:eastAsia="Arial" w:hAnsi="Arial"/>
                <w:sz w:val="18"/>
                <w:szCs w:val="18"/>
                <w:color w:val="auto"/>
                <w:w w:val="97"/>
              </w:rPr>
              <w:t xml:space="preserve">DCP elective participant deferrals expense </w:t>
            </w:r>
            <w:r>
              <w:rPr>
                <w:rFonts w:ascii="Arial" w:cs="Arial" w:eastAsia="Arial" w:hAnsi="Arial"/>
                <w:sz w:val="23"/>
                <w:szCs w:val="23"/>
                <w:color w:val="auto"/>
                <w:w w:val="97"/>
                <w:vertAlign w:val="superscript"/>
              </w:rPr>
              <w:t>(2)</w:t>
            </w:r>
            <w:r>
              <w:rPr>
                <w:rFonts w:ascii="Arial" w:cs="Arial" w:eastAsia="Arial" w:hAnsi="Arial"/>
                <w:sz w:val="18"/>
                <w:szCs w:val="18"/>
                <w:color w:val="auto"/>
                <w:w w:val="97"/>
              </w:rPr>
              <w:t xml:space="preserve"> (see Note 12)</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ESPP expense (see Note 13)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gridSpan w:val="2"/>
          </w:tcPr>
          <w:p>
            <w:pPr>
              <w:ind w:left="20"/>
              <w:spacing w:after="0" w:line="223" w:lineRule="exact"/>
              <w:rPr>
                <w:sz w:val="20"/>
                <w:szCs w:val="20"/>
                <w:color w:val="auto"/>
              </w:rPr>
            </w:pPr>
            <w:r>
              <w:rPr>
                <w:rFonts w:ascii="Arial" w:cs="Arial" w:eastAsia="Arial" w:hAnsi="Arial"/>
                <w:sz w:val="18"/>
                <w:szCs w:val="18"/>
                <w:color w:val="auto"/>
              </w:rPr>
              <w:t xml:space="preserve">Total pre-tax expense </w:t>
            </w:r>
            <w:r>
              <w:rPr>
                <w:rFonts w:ascii="Arial" w:cs="Arial" w:eastAsia="Arial" w:hAnsi="Arial"/>
                <w:sz w:val="23"/>
                <w:szCs w:val="23"/>
                <w:color w:val="auto"/>
                <w:vertAlign w:val="superscript"/>
              </w:rPr>
              <w:t>(3)</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11,752</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20,405</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32,853</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23,617</w:t>
            </w:r>
          </w:p>
        </w:tc>
      </w:tr>
      <w:tr>
        <w:trPr>
          <w:trHeight w:val="20"/>
        </w:trPr>
        <w:tc>
          <w:tcPr>
            <w:tcW w:w="3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3000" w:type="dxa"/>
            <w:vAlign w:val="bottom"/>
            <w:tcBorders>
              <w:bottom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121" w:lineRule="exact"/>
        <w:rPr>
          <w:sz w:val="20"/>
          <w:szCs w:val="20"/>
          <w:color w:val="auto"/>
        </w:rPr>
      </w:pPr>
    </w:p>
    <w:p>
      <w:pPr>
        <w:ind w:left="320" w:hanging="312"/>
        <w:spacing w:after="0" w:line="207" w:lineRule="exact"/>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acquisition</w:t>
      </w:r>
      <w:r>
        <w:rPr>
          <w:rFonts w:ascii="MS PGothic" w:cs="MS PGothic" w:eastAsia="MS PGothic" w:hAnsi="MS PGothic"/>
          <w:sz w:val="18"/>
          <w:szCs w:val="18"/>
          <w:color w:val="auto"/>
        </w:rPr>
        <w:t>‑</w:t>
      </w:r>
      <w:r>
        <w:rPr>
          <w:rFonts w:ascii="Arial" w:cs="Arial" w:eastAsia="Arial" w:hAnsi="Arial"/>
          <w:sz w:val="18"/>
          <w:szCs w:val="18"/>
          <w:color w:val="auto"/>
        </w:rPr>
        <w:t>related shares (see Note 4).</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DCP elective participant deferrals expense excludes deferred incentive bonus payable pursuant to the Bonus Plan.</w:t>
      </w:r>
    </w:p>
    <w:p>
      <w:pPr>
        <w:spacing w:after="0" w:line="225" w:lineRule="exact"/>
        <w:rPr>
          <w:rFonts w:ascii="Arial" w:cs="Arial" w:eastAsia="Arial" w:hAnsi="Arial"/>
          <w:sz w:val="18"/>
          <w:szCs w:val="18"/>
          <w:color w:val="auto"/>
        </w:rPr>
      </w:pPr>
    </w:p>
    <w:p>
      <w:pPr>
        <w:ind w:left="340" w:hanging="332"/>
        <w:spacing w:after="0" w:line="277" w:lineRule="auto"/>
        <w:tabs>
          <w:tab w:leader="none" w:pos="3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As of September 30, 2021 and December 31, 2020, $6,126 and $6,835 remained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respectively.</w:t>
      </w:r>
    </w:p>
    <w:p>
      <w:pPr>
        <w:spacing w:after="0" w:line="170" w:lineRule="exact"/>
        <w:rPr>
          <w:rFonts w:ascii="Arial" w:cs="Arial" w:eastAsia="Arial" w:hAnsi="Arial"/>
          <w:sz w:val="18"/>
          <w:szCs w:val="18"/>
          <w:color w:val="auto"/>
        </w:rPr>
      </w:pPr>
    </w:p>
    <w:p>
      <w:pPr>
        <w:ind w:left="340"/>
        <w:spacing w:after="0" w:line="207" w:lineRule="exact"/>
        <w:rPr>
          <w:rFonts w:ascii="Arial" w:cs="Arial" w:eastAsia="Arial" w:hAnsi="Arial"/>
          <w:sz w:val="18"/>
          <w:szCs w:val="18"/>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included in the consolidated statements of operations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5"/>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82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4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685</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2,779</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14,069</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1,582</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3,885</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5,987</w:t>
            </w: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2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13,392</w:t>
            </w:r>
          </w:p>
        </w:tc>
        <w:tc>
          <w:tcPr>
            <w:tcW w:w="2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Total pre-tax expense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11,752</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20,405</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32,853</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23,617</w:t>
            </w: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measured at the grant date fair value of the award and is recognized ratably over the requisite service period, which is generally the vesting period. The Company accounts for forfeitures of equity awards as those forfeitures occur.</w:t>
      </w:r>
    </w:p>
    <w:p>
      <w:pPr>
        <w:spacing w:after="0" w:line="203"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fair value of the common stock during periods prior to the IPO was determined by the board of directors at each award grant date based upon a variety of factors, including the results obtained from independent third</w:t>
      </w:r>
      <w:r>
        <w:rPr>
          <w:rFonts w:ascii="MS PGothic" w:cs="MS PGothic" w:eastAsia="MS PGothic" w:hAnsi="MS PGothic"/>
          <w:sz w:val="18"/>
          <w:szCs w:val="18"/>
          <w:color w:val="auto"/>
        </w:rPr>
        <w:t>‑</w:t>
      </w:r>
      <w:r>
        <w:rPr>
          <w:rFonts w:ascii="Arial" w:cs="Arial" w:eastAsia="Arial" w:hAnsi="Arial"/>
          <w:sz w:val="18"/>
          <w:szCs w:val="18"/>
          <w:color w:val="auto"/>
        </w:rPr>
        <w:t>party valuations, the Company’s financial position, and historical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stock option activity and related information under the Company’s applicable equity incentive plans: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Weighted</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Average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Remaining</w:t>
            </w:r>
          </w:p>
        </w:tc>
        <w:tc>
          <w:tcPr>
            <w:tcW w:w="260" w:type="dxa"/>
            <w:vAlign w:val="bottom"/>
          </w:tcPr>
          <w:p>
            <w:pPr>
              <w:spacing w:after="0"/>
              <w:rPr>
                <w:sz w:val="18"/>
                <w:szCs w:val="18"/>
                <w:color w:val="auto"/>
              </w:rPr>
            </w:pPr>
          </w:p>
        </w:tc>
        <w:tc>
          <w:tcPr>
            <w:tcW w:w="124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Aggregate</w:t>
            </w:r>
          </w:p>
        </w:tc>
      </w:tr>
      <w:tr>
        <w:trPr>
          <w:trHeight w:val="216"/>
        </w:trPr>
        <w:tc>
          <w:tcPr>
            <w:tcW w:w="46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Contractual</w:t>
            </w:r>
          </w:p>
        </w:tc>
        <w:tc>
          <w:tcPr>
            <w:tcW w:w="260" w:type="dxa"/>
            <w:vAlign w:val="bottom"/>
          </w:tcPr>
          <w:p>
            <w:pPr>
              <w:spacing w:after="0"/>
              <w:rPr>
                <w:sz w:val="18"/>
                <w:szCs w:val="18"/>
                <w:color w:val="auto"/>
              </w:rPr>
            </w:pPr>
          </w:p>
        </w:tc>
        <w:tc>
          <w:tcPr>
            <w:tcW w:w="1240" w:type="dxa"/>
            <w:vAlign w:val="bottom"/>
          </w:tcPr>
          <w:p>
            <w:pPr>
              <w:jc w:val="center"/>
              <w:ind w:right="175"/>
              <w:spacing w:after="0"/>
              <w:rPr>
                <w:sz w:val="20"/>
                <w:szCs w:val="20"/>
                <w:color w:val="auto"/>
              </w:rPr>
            </w:pPr>
            <w:r>
              <w:rPr>
                <w:rFonts w:ascii="Arial" w:cs="Arial" w:eastAsia="Arial" w:hAnsi="Arial"/>
                <w:sz w:val="16"/>
                <w:szCs w:val="16"/>
                <w:b w:val="1"/>
                <w:bCs w:val="1"/>
                <w:color w:val="auto"/>
                <w:w w:val="93"/>
              </w:rPr>
              <w:t>Intrinsic</w:t>
            </w:r>
          </w:p>
        </w:tc>
      </w:tr>
      <w:tr>
        <w:trPr>
          <w:trHeight w:val="219"/>
        </w:trPr>
        <w:tc>
          <w:tcPr>
            <w:tcW w:w="4660" w:type="dxa"/>
            <w:vAlign w:val="bottom"/>
          </w:tcPr>
          <w:p>
            <w:pPr>
              <w:spacing w:after="0"/>
              <w:rPr>
                <w:sz w:val="19"/>
                <w:szCs w:val="19"/>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Options</w:t>
            </w:r>
          </w:p>
        </w:tc>
        <w:tc>
          <w:tcPr>
            <w:tcW w:w="160" w:type="dxa"/>
            <w:vAlign w:val="bottom"/>
          </w:tcPr>
          <w:p>
            <w:pPr>
              <w:spacing w:after="0"/>
              <w:rPr>
                <w:sz w:val="19"/>
                <w:szCs w:val="19"/>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Per Share</w:t>
            </w: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Life (in years)</w:t>
            </w:r>
          </w:p>
        </w:tc>
        <w:tc>
          <w:tcPr>
            <w:tcW w:w="260" w:type="dxa"/>
            <w:vAlign w:val="bottom"/>
          </w:tcPr>
          <w:p>
            <w:pPr>
              <w:spacing w:after="0"/>
              <w:rPr>
                <w:sz w:val="19"/>
                <w:szCs w:val="19"/>
                <w:color w:val="auto"/>
              </w:rPr>
            </w:pPr>
          </w:p>
        </w:tc>
        <w:tc>
          <w:tcPr>
            <w:tcW w:w="124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Value</w:t>
            </w:r>
          </w:p>
        </w:tc>
      </w:tr>
      <w:tr>
        <w:trPr>
          <w:trHeight w:val="226"/>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12,842,226</w:t>
            </w: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r>
      <w:tr>
        <w:trPr>
          <w:trHeight w:val="270"/>
        </w:trPr>
        <w:tc>
          <w:tcPr>
            <w:tcW w:w="46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440" w:type="dxa"/>
            <w:vAlign w:val="bottom"/>
          </w:tcPr>
          <w:p>
            <w:pPr>
              <w:jc w:val="right"/>
              <w:spacing w:after="0"/>
              <w:rPr>
                <w:sz w:val="20"/>
                <w:szCs w:val="20"/>
                <w:color w:val="auto"/>
              </w:rPr>
            </w:pPr>
            <w:r>
              <w:rPr>
                <w:rFonts w:ascii="Arial" w:cs="Arial" w:eastAsia="Arial" w:hAnsi="Arial"/>
                <w:sz w:val="18"/>
                <w:szCs w:val="18"/>
                <w:color w:val="auto"/>
              </w:rPr>
              <w:t>(5,262,637)</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w:t>
            </w: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(243,250)</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Outstanding, September 30,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7,336,339</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1.78</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406,515</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September 30,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4,228,714</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1.47</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235,458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nine months ended September 30, 2021 and 2020, the Company received cash proceeds of $5,039 and $7,776, respectively, related to the exercise of stock options. The total intrinsic value of stock options exercised for the nine months ended September 30, 2021 and 2020 was $250,795 and $58,502, respectively.</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2021, there was $3,489 of unrecognized compensation expense related to unvested stock options, which is expected to be recognized over a weighted average period of approximately 1.2 years.</w:t>
      </w:r>
    </w:p>
    <w:p>
      <w:pPr>
        <w:spacing w:after="0" w:line="170"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b w:val="1"/>
          <w:bCs w:val="1"/>
          <w:i w:val="1"/>
          <w:iCs w:val="1"/>
          <w:color w:val="auto"/>
        </w:rPr>
        <w:t xml:space="preserve">Acquisition Options </w:t>
      </w:r>
      <w:r>
        <w:rPr>
          <w:rFonts w:ascii="Arial" w:cs="Arial" w:eastAsia="Arial" w:hAnsi="Arial"/>
          <w:sz w:val="18"/>
          <w:szCs w:val="18"/>
          <w:color w:val="auto"/>
        </w:rPr>
        <w:t>— In addition to stock options granted under the Company’s equity incentive plans, in connection with an acquisition completed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March 2018, the Company issued to certain selling shareholder entities options to acquire an aggregate of up to 900,000 shares of Class B Common Stock. The options have a five</w:t>
      </w:r>
      <w:r>
        <w:rPr>
          <w:rFonts w:ascii="MS PGothic" w:cs="MS PGothic" w:eastAsia="MS PGothic" w:hAnsi="MS PGothic"/>
          <w:sz w:val="18"/>
          <w:szCs w:val="18"/>
          <w:color w:val="auto"/>
        </w:rPr>
        <w:t>‑</w:t>
      </w:r>
      <w:r>
        <w:rPr>
          <w:rFonts w:ascii="Arial" w:cs="Arial" w:eastAsia="Arial" w:hAnsi="Arial"/>
          <w:sz w:val="18"/>
          <w:szCs w:val="18"/>
          <w:color w:val="auto"/>
        </w:rPr>
        <w:t>year term, are exercisable on the fourth anniversary of the closing of the acquisition, and have an initial exercise price of $6.805 per share. The options had a four</w:t>
      </w:r>
      <w:r>
        <w:rPr>
          <w:rFonts w:ascii="MS PGothic" w:cs="MS PGothic" w:eastAsia="MS PGothic" w:hAnsi="MS PGothic"/>
          <w:sz w:val="18"/>
          <w:szCs w:val="18"/>
          <w:color w:val="auto"/>
        </w:rPr>
        <w:t>‑</w:t>
      </w:r>
      <w:r>
        <w:rPr>
          <w:rFonts w:ascii="Arial" w:cs="Arial" w:eastAsia="Arial" w:hAnsi="Arial"/>
          <w:sz w:val="18"/>
          <w:szCs w:val="18"/>
          <w:color w:val="auto"/>
        </w:rPr>
        <w:t>year service condition, which terminated automatically upon the completion of the IPO, and therefore, 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associated with these options was fully recognized as of September 30, 2020. The exercise price of the options is subject to a cap and collar adjustment mechanism that automatically reduces (but not to less than $0.01) or increases the exercise price based on the difference between the exercise price and the fair market value of the Company’s Class B Common Stock on the exercise date. As of September 30, 2021, all options to acquire 900,000 shares remain outstanding. As of September 30, 2021, these options are non</w:t>
      </w:r>
      <w:r>
        <w:rPr>
          <w:rFonts w:ascii="MS PGothic" w:cs="MS PGothic" w:eastAsia="MS PGothic" w:hAnsi="MS PGothic"/>
          <w:sz w:val="18"/>
          <w:szCs w:val="18"/>
          <w:color w:val="auto"/>
        </w:rPr>
        <w:t>‑</w:t>
      </w:r>
      <w:r>
        <w:rPr>
          <w:rFonts w:ascii="Arial" w:cs="Arial" w:eastAsia="Arial" w:hAnsi="Arial"/>
          <w:sz w:val="18"/>
          <w:szCs w:val="18"/>
          <w:color w:val="auto"/>
        </w:rPr>
        <w:t>exercisable and have an aggregate intrinsic value of $7,992.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RSUs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Under the equity incentive plans, the Company may grant both time</w:t>
      </w:r>
      <w:r>
        <w:rPr>
          <w:rFonts w:ascii="MS PGothic" w:cs="MS PGothic" w:eastAsia="MS PGothic" w:hAnsi="MS PGothic"/>
          <w:sz w:val="18"/>
          <w:szCs w:val="18"/>
          <w:color w:val="auto"/>
        </w:rPr>
        <w:t>‑</w:t>
      </w:r>
      <w:r>
        <w:rPr>
          <w:rFonts w:ascii="Arial" w:cs="Arial" w:eastAsia="Arial" w:hAnsi="Arial"/>
          <w:sz w:val="18"/>
          <w:szCs w:val="18"/>
          <w:color w:val="auto"/>
        </w:rPr>
        <w:t>based and performance</w:t>
      </w:r>
      <w:r>
        <w:rPr>
          <w:rFonts w:ascii="MS PGothic" w:cs="MS PGothic" w:eastAsia="MS PGothic" w:hAnsi="MS PGothic"/>
          <w:sz w:val="18"/>
          <w:szCs w:val="18"/>
          <w:color w:val="auto"/>
        </w:rPr>
        <w:t>‑</w:t>
      </w:r>
      <w:r>
        <w:rPr>
          <w:rFonts w:ascii="Arial" w:cs="Arial" w:eastAsia="Arial" w:hAnsi="Arial"/>
          <w:sz w:val="18"/>
          <w:szCs w:val="18"/>
          <w:color w:val="auto"/>
        </w:rPr>
        <w:t>based shares of restricted Class B Common Stock and RSUs to eligible colleagues. Time</w:t>
      </w:r>
      <w:r>
        <w:rPr>
          <w:rFonts w:ascii="MS PGothic" w:cs="MS PGothic" w:eastAsia="MS PGothic" w:hAnsi="MS PGothic"/>
          <w:sz w:val="18"/>
          <w:szCs w:val="18"/>
          <w:color w:val="auto"/>
        </w:rPr>
        <w:t>‑</w:t>
      </w:r>
      <w:r>
        <w:rPr>
          <w:rFonts w:ascii="Arial" w:cs="Arial" w:eastAsia="Arial" w:hAnsi="Arial"/>
          <w:sz w:val="18"/>
          <w:szCs w:val="18"/>
          <w:color w:val="auto"/>
        </w:rPr>
        <w:t>based awards generally vest ratably on each of the first four anniversaries of the grant date. Performance</w:t>
      </w:r>
      <w:r>
        <w:rPr>
          <w:rFonts w:ascii="MS PGothic" w:cs="MS PGothic" w:eastAsia="MS PGothic" w:hAnsi="MS PGothic"/>
          <w:sz w:val="18"/>
          <w:szCs w:val="18"/>
          <w:color w:val="auto"/>
        </w:rPr>
        <w:t>‑</w:t>
      </w:r>
      <w:r>
        <w:rPr>
          <w:rFonts w:ascii="Arial" w:cs="Arial" w:eastAsia="Arial" w:hAnsi="Arial"/>
          <w:sz w:val="18"/>
          <w:szCs w:val="18"/>
          <w:color w:val="auto"/>
        </w:rPr>
        <w:t>based awards vesting is determined by the achievement of certain business profitability and growth targets, which include growth in annual recurring revenues, as well as actual bookings for perpetual licenses and non</w:t>
      </w:r>
      <w:r>
        <w:rPr>
          <w:rFonts w:ascii="MS PGothic" w:cs="MS PGothic" w:eastAsia="MS PGothic" w:hAnsi="MS PGothic"/>
          <w:sz w:val="18"/>
          <w:szCs w:val="18"/>
          <w:color w:val="auto"/>
        </w:rPr>
        <w:t>‑</w:t>
      </w:r>
      <w:r>
        <w:rPr>
          <w:rFonts w:ascii="Arial" w:cs="Arial" w:eastAsia="Arial" w:hAnsi="Arial"/>
          <w:sz w:val="18"/>
          <w:szCs w:val="18"/>
          <w:color w:val="auto"/>
        </w:rPr>
        <w:t>recurring services, and certain non</w:t>
      </w:r>
      <w:r>
        <w:rPr>
          <w:rFonts w:ascii="MS PGothic" w:cs="MS PGothic" w:eastAsia="MS PGothic" w:hAnsi="MS PGothic"/>
          <w:sz w:val="18"/>
          <w:szCs w:val="18"/>
          <w:color w:val="auto"/>
        </w:rPr>
        <w:t>‑</w:t>
      </w:r>
      <w:r>
        <w:rPr>
          <w:rFonts w:ascii="Arial" w:cs="Arial" w:eastAsia="Arial" w:hAnsi="Arial"/>
          <w:sz w:val="18"/>
          <w:szCs w:val="18"/>
          <w:color w:val="auto"/>
        </w:rPr>
        <w:t>financial performance targets. Performance targets are set for annual performance periods.</w:t>
      </w:r>
    </w:p>
    <w:p>
      <w:pPr>
        <w:spacing w:after="0" w:line="20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restricted stock and RSUs is determined by the product of the number of shares granted and the Company’s common stock price (as described above)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ind w:firstLine="324"/>
        <w:spacing w:after="0" w:line="277" w:lineRule="auto"/>
        <w:rPr>
          <w:sz w:val="20"/>
          <w:szCs w:val="20"/>
          <w:color w:val="auto"/>
        </w:rPr>
      </w:pPr>
      <w:r>
        <w:rPr>
          <w:rFonts w:ascii="Arial" w:cs="Arial" w:eastAsia="Arial" w:hAnsi="Arial"/>
          <w:sz w:val="18"/>
          <w:szCs w:val="18"/>
          <w:color w:val="auto"/>
        </w:rPr>
        <w:t>The following is a summary of unvested restricted stock and RSU activity and related information under the Company’s applicable equity incentive plans:</w:t>
      </w:r>
    </w:p>
    <w:p>
      <w:pPr>
        <w:spacing w:after="0" w:line="202" w:lineRule="exact"/>
        <w:rPr>
          <w:sz w:val="20"/>
          <w:szCs w:val="20"/>
          <w:color w:val="auto"/>
        </w:rPr>
      </w:pPr>
    </w:p>
    <w:tbl>
      <w:tblPr>
        <w:tblLayout w:type="fixed"/>
        <w:tblInd w:w="374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00" w:type="dxa"/>
            <w:vAlign w:val="bottom"/>
          </w:tcPr>
          <w:p>
            <w:pPr>
              <w:jc w:val="center"/>
              <w:ind w:left="68"/>
              <w:spacing w:after="0"/>
              <w:rPr>
                <w:sz w:val="20"/>
                <w:szCs w:val="20"/>
                <w:color w:val="auto"/>
              </w:rPr>
            </w:pPr>
            <w:r>
              <w:rPr>
                <w:rFonts w:ascii="Arial" w:cs="Arial" w:eastAsia="Arial" w:hAnsi="Arial"/>
                <w:sz w:val="14"/>
                <w:szCs w:val="14"/>
                <w:b w:val="1"/>
                <w:bCs w:val="1"/>
                <w:color w:val="auto"/>
                <w:w w:val="96"/>
              </w:rPr>
              <w:t>Time-</w:t>
            </w:r>
          </w:p>
        </w:tc>
        <w:tc>
          <w:tcPr>
            <w:tcW w:w="120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Performance-</w:t>
            </w:r>
          </w:p>
        </w:tc>
      </w:tr>
      <w:tr>
        <w:trPr>
          <w:trHeight w:val="189"/>
        </w:trPr>
        <w:tc>
          <w:tcPr>
            <w:tcW w:w="1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00" w:type="dxa"/>
            <w:vAlign w:val="bottom"/>
          </w:tcPr>
          <w:p>
            <w:pPr>
              <w:jc w:val="center"/>
              <w:ind w:left="68"/>
              <w:spacing w:after="0"/>
              <w:rPr>
                <w:sz w:val="20"/>
                <w:szCs w:val="20"/>
                <w:color w:val="auto"/>
              </w:rPr>
            </w:pPr>
            <w:r>
              <w:rPr>
                <w:rFonts w:ascii="Arial" w:cs="Arial" w:eastAsia="Arial" w:hAnsi="Arial"/>
                <w:sz w:val="14"/>
                <w:szCs w:val="14"/>
                <w:b w:val="1"/>
                <w:bCs w:val="1"/>
                <w:color w:val="auto"/>
                <w:w w:val="85"/>
              </w:rPr>
              <w:t>Based</w:t>
            </w:r>
          </w:p>
        </w:tc>
        <w:tc>
          <w:tcPr>
            <w:tcW w:w="1200" w:type="dxa"/>
            <w:vAlign w:val="bottom"/>
          </w:tcPr>
          <w:p>
            <w:pPr>
              <w:jc w:val="center"/>
              <w:ind w:left="288"/>
              <w:spacing w:after="0"/>
              <w:rPr>
                <w:sz w:val="20"/>
                <w:szCs w:val="20"/>
                <w:color w:val="auto"/>
              </w:rPr>
            </w:pPr>
            <w:r>
              <w:rPr>
                <w:rFonts w:ascii="Arial" w:cs="Arial" w:eastAsia="Arial" w:hAnsi="Arial"/>
                <w:sz w:val="14"/>
                <w:szCs w:val="14"/>
                <w:b w:val="1"/>
                <w:bCs w:val="1"/>
                <w:color w:val="auto"/>
                <w:w w:val="85"/>
              </w:rPr>
              <w:t>Based</w:t>
            </w:r>
          </w:p>
        </w:tc>
      </w:tr>
      <w:tr>
        <w:trPr>
          <w:trHeight w:val="189"/>
        </w:trPr>
        <w:tc>
          <w:tcPr>
            <w:tcW w:w="11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6"/>
              </w:rPr>
              <w:t>Time-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1500" w:type="dxa"/>
            <w:vAlign w:val="bottom"/>
          </w:tcPr>
          <w:p>
            <w:pPr>
              <w:jc w:val="center"/>
              <w:ind w:left="48"/>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Weighted</w:t>
            </w:r>
          </w:p>
        </w:tc>
      </w:tr>
      <w:tr>
        <w:trPr>
          <w:trHeight w:val="189"/>
        </w:trPr>
        <w:tc>
          <w:tcPr>
            <w:tcW w:w="1160" w:type="dxa"/>
            <w:vAlign w:val="bottom"/>
          </w:tcPr>
          <w:p>
            <w:pPr>
              <w:jc w:val="center"/>
              <w:ind w:right="448"/>
              <w:spacing w:after="0"/>
              <w:rPr>
                <w:sz w:val="20"/>
                <w:szCs w:val="20"/>
                <w:color w:val="auto"/>
              </w:rPr>
            </w:pPr>
            <w:r>
              <w:rPr>
                <w:rFonts w:ascii="Arial" w:cs="Arial" w:eastAsia="Arial" w:hAnsi="Arial"/>
                <w:sz w:val="14"/>
                <w:szCs w:val="14"/>
                <w:b w:val="1"/>
                <w:bCs w:val="1"/>
                <w:color w:val="auto"/>
                <w:w w:val="95"/>
              </w:rPr>
              <w:t>Total</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5"/>
              </w:rPr>
              <w:t>Based</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5"/>
              </w:rPr>
              <w:t>Based</w:t>
            </w:r>
          </w:p>
        </w:tc>
        <w:tc>
          <w:tcPr>
            <w:tcW w:w="1500" w:type="dxa"/>
            <w:vAlign w:val="bottom"/>
          </w:tcPr>
          <w:p>
            <w:pPr>
              <w:jc w:val="center"/>
              <w:ind w:left="48"/>
              <w:spacing w:after="0"/>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Average</w:t>
            </w:r>
          </w:p>
        </w:tc>
      </w:tr>
      <w:tr>
        <w:trPr>
          <w:trHeight w:val="189"/>
        </w:trPr>
        <w:tc>
          <w:tcPr>
            <w:tcW w:w="1160" w:type="dxa"/>
            <w:vAlign w:val="bottom"/>
          </w:tcPr>
          <w:p>
            <w:pPr>
              <w:jc w:val="center"/>
              <w:ind w:right="448"/>
              <w:spacing w:after="0"/>
              <w:rPr>
                <w:sz w:val="20"/>
                <w:szCs w:val="20"/>
                <w:color w:val="auto"/>
              </w:rPr>
            </w:pPr>
            <w:r>
              <w:rPr>
                <w:rFonts w:ascii="Arial" w:cs="Arial" w:eastAsia="Arial" w:hAnsi="Arial"/>
                <w:sz w:val="14"/>
                <w:szCs w:val="14"/>
                <w:b w:val="1"/>
                <w:bCs w:val="1"/>
                <w:color w:val="auto"/>
                <w:w w:val="93"/>
              </w:rPr>
              <w:t>Restricted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50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Grant Date</w:t>
            </w:r>
          </w:p>
        </w:tc>
        <w:tc>
          <w:tcPr>
            <w:tcW w:w="1200" w:type="dxa"/>
            <w:vAlign w:val="bottom"/>
          </w:tcPr>
          <w:p>
            <w:pPr>
              <w:jc w:val="center"/>
              <w:ind w:left="268"/>
              <w:spacing w:after="0"/>
              <w:rPr>
                <w:sz w:val="20"/>
                <w:szCs w:val="20"/>
                <w:color w:val="auto"/>
              </w:rPr>
            </w:pPr>
            <w:r>
              <w:rPr>
                <w:rFonts w:ascii="Arial" w:cs="Arial" w:eastAsia="Arial" w:hAnsi="Arial"/>
                <w:sz w:val="14"/>
                <w:szCs w:val="14"/>
                <w:b w:val="1"/>
                <w:bCs w:val="1"/>
                <w:color w:val="auto"/>
                <w:w w:val="97"/>
              </w:rPr>
              <w:t>Grant Date</w:t>
            </w:r>
          </w:p>
        </w:tc>
      </w:tr>
      <w:tr>
        <w:trPr>
          <w:trHeight w:val="189"/>
        </w:trPr>
        <w:tc>
          <w:tcPr>
            <w:tcW w:w="1160" w:type="dxa"/>
            <w:vAlign w:val="bottom"/>
          </w:tcPr>
          <w:p>
            <w:pPr>
              <w:jc w:val="center"/>
              <w:ind w:right="428"/>
              <w:spacing w:after="0"/>
              <w:rPr>
                <w:sz w:val="20"/>
                <w:szCs w:val="20"/>
                <w:color w:val="auto"/>
              </w:rPr>
            </w:pPr>
            <w:r>
              <w:rPr>
                <w:rFonts w:ascii="Arial" w:cs="Arial" w:eastAsia="Arial" w:hAnsi="Arial"/>
                <w:sz w:val="14"/>
                <w:szCs w:val="14"/>
                <w:b w:val="1"/>
                <w:bCs w:val="1"/>
                <w:color w:val="auto"/>
                <w:w w:val="89"/>
              </w:rPr>
              <w:t>Stock</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1500" w:type="dxa"/>
            <w:vAlign w:val="bottom"/>
          </w:tcPr>
          <w:p>
            <w:pPr>
              <w:jc w:val="center"/>
              <w:ind w:left="68"/>
              <w:spacing w:after="0"/>
              <w:rPr>
                <w:sz w:val="20"/>
                <w:szCs w:val="20"/>
                <w:color w:val="auto"/>
              </w:rPr>
            </w:pPr>
            <w:r>
              <w:rPr>
                <w:rFonts w:ascii="Arial" w:cs="Arial" w:eastAsia="Arial" w:hAnsi="Arial"/>
                <w:sz w:val="14"/>
                <w:szCs w:val="14"/>
                <w:b w:val="1"/>
                <w:bCs w:val="1"/>
                <w:color w:val="auto"/>
                <w:w w:val="95"/>
              </w:rPr>
              <w:t>Fair Value</w:t>
            </w:r>
          </w:p>
        </w:tc>
        <w:tc>
          <w:tcPr>
            <w:tcW w:w="1200" w:type="dxa"/>
            <w:vAlign w:val="bottom"/>
          </w:tcPr>
          <w:p>
            <w:pPr>
              <w:jc w:val="center"/>
              <w:ind w:left="288"/>
              <w:spacing w:after="0"/>
              <w:rPr>
                <w:sz w:val="20"/>
                <w:szCs w:val="20"/>
                <w:color w:val="auto"/>
              </w:rPr>
            </w:pPr>
            <w:r>
              <w:rPr>
                <w:rFonts w:ascii="Arial" w:cs="Arial" w:eastAsia="Arial" w:hAnsi="Arial"/>
                <w:sz w:val="14"/>
                <w:szCs w:val="14"/>
                <w:b w:val="1"/>
                <w:bCs w:val="1"/>
                <w:color w:val="auto"/>
                <w:w w:val="95"/>
              </w:rPr>
              <w:t>Fair Value</w:t>
            </w:r>
          </w:p>
        </w:tc>
      </w:tr>
      <w:tr>
        <w:trPr>
          <w:trHeight w:val="222"/>
        </w:trPr>
        <w:tc>
          <w:tcPr>
            <w:tcW w:w="1160" w:type="dxa"/>
            <w:vAlign w:val="bottom"/>
          </w:tcPr>
          <w:p>
            <w:pPr>
              <w:jc w:val="center"/>
              <w:ind w:right="428"/>
              <w:spacing w:after="0"/>
              <w:rPr>
                <w:sz w:val="20"/>
                <w:szCs w:val="20"/>
                <w:color w:val="auto"/>
              </w:rPr>
            </w:pPr>
            <w:r>
              <w:rPr>
                <w:rFonts w:ascii="Arial" w:cs="Arial" w:eastAsia="Arial" w:hAnsi="Arial"/>
                <w:sz w:val="14"/>
                <w:szCs w:val="14"/>
                <w:b w:val="1"/>
                <w:bCs w:val="1"/>
                <w:color w:val="auto"/>
                <w:w w:val="93"/>
              </w:rPr>
              <w:t>and RSUs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and RSUs</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9"/>
              </w:rPr>
              <w:t>and RSUs</w:t>
            </w:r>
          </w:p>
        </w:tc>
        <w:tc>
          <w:tcPr>
            <w:tcW w:w="1500" w:type="dxa"/>
            <w:vAlign w:val="bottom"/>
          </w:tcPr>
          <w:p>
            <w:pPr>
              <w:jc w:val="center"/>
              <w:ind w:left="48"/>
              <w:spacing w:after="0"/>
              <w:rPr>
                <w:sz w:val="20"/>
                <w:szCs w:val="20"/>
                <w:color w:val="auto"/>
              </w:rPr>
            </w:pPr>
            <w:r>
              <w:rPr>
                <w:rFonts w:ascii="Arial" w:cs="Arial" w:eastAsia="Arial" w:hAnsi="Arial"/>
                <w:sz w:val="14"/>
                <w:szCs w:val="14"/>
                <w:b w:val="1"/>
                <w:bCs w:val="1"/>
                <w:color w:val="auto"/>
                <w:w w:val="94"/>
              </w:rPr>
              <w:t>Per Share</w:t>
            </w:r>
          </w:p>
        </w:tc>
        <w:tc>
          <w:tcPr>
            <w:tcW w:w="120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Per Share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tbl>
      <w:tblPr>
        <w:tblLayout w:type="fixed"/>
        <w:tblInd w:w="0" w:type="dxa"/>
        <w:tblCellMar>
          <w:top w:w="0" w:type="dxa"/>
          <w:left w:w="0" w:type="dxa"/>
          <w:bottom w:w="0" w:type="dxa"/>
          <w:right w:w="0" w:type="dxa"/>
        </w:tblCellMar>
      </w:tblPr>
      <w:tr>
        <w:trPr>
          <w:trHeight w:val="230"/>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Unvested, December 31, 2020</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1,423,715</w:t>
            </w:r>
          </w:p>
        </w:tc>
      </w:tr>
      <w:tr>
        <w:trPr>
          <w:trHeight w:val="269"/>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693,016</w:t>
            </w:r>
          </w:p>
        </w:tc>
      </w:tr>
      <w:tr>
        <w:trPr>
          <w:trHeight w:val="270"/>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1180" w:type="dxa"/>
            <w:vAlign w:val="bottom"/>
          </w:tcPr>
          <w:p>
            <w:pPr>
              <w:jc w:val="right"/>
              <w:spacing w:after="0"/>
              <w:rPr>
                <w:sz w:val="20"/>
                <w:szCs w:val="20"/>
                <w:color w:val="auto"/>
              </w:rPr>
            </w:pPr>
            <w:r>
              <w:rPr>
                <w:rFonts w:ascii="Arial" w:cs="Arial" w:eastAsia="Arial" w:hAnsi="Arial"/>
                <w:sz w:val="18"/>
                <w:szCs w:val="18"/>
                <w:color w:val="auto"/>
              </w:rPr>
              <w:t>(332,532)</w:t>
            </w:r>
          </w:p>
        </w:tc>
      </w:tr>
      <w:tr>
        <w:trPr>
          <w:trHeight w:val="270"/>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(192,999)</w:t>
            </w:r>
          </w:p>
        </w:tc>
      </w:tr>
      <w:tr>
        <w:trPr>
          <w:trHeight w:val="223"/>
        </w:trPr>
        <w:tc>
          <w:tcPr>
            <w:tcW w:w="3480" w:type="dxa"/>
            <w:vAlign w:val="bottom"/>
            <w:gridSpan w:val="2"/>
          </w:tcPr>
          <w:p>
            <w:pPr>
              <w:ind w:left="20"/>
              <w:spacing w:after="0"/>
              <w:rPr>
                <w:sz w:val="20"/>
                <w:szCs w:val="20"/>
                <w:color w:val="auto"/>
              </w:rPr>
            </w:pPr>
            <w:r>
              <w:rPr>
                <w:rFonts w:ascii="Arial" w:cs="Arial" w:eastAsia="Arial" w:hAnsi="Arial"/>
                <w:sz w:val="18"/>
                <w:szCs w:val="18"/>
                <w:color w:val="auto"/>
              </w:rPr>
              <w:t>Unvested, September 30,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1,591,200</w:t>
            </w:r>
          </w:p>
        </w:tc>
      </w:tr>
      <w:tr>
        <w:trPr>
          <w:trHeight w:val="21"/>
        </w:trPr>
        <w:tc>
          <w:tcPr>
            <w:tcW w:w="3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9"/>
          <w:szCs w:val="9"/>
          <w:color w:val="auto"/>
        </w:rPr>
        <w:t>(1)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9"/>
          <w:szCs w:val="9"/>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1,263,193</w:t>
            </w:r>
          </w:p>
        </w:tc>
        <w:tc>
          <w:tcPr>
            <w:tcW w:w="48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160,522</w:t>
            </w:r>
          </w:p>
        </w:tc>
        <w:tc>
          <w:tcPr>
            <w:tcW w:w="480" w:type="dxa"/>
            <w:vAlign w:val="bottom"/>
          </w:tcPr>
          <w:p>
            <w:pPr>
              <w:jc w:val="right"/>
              <w:ind w:right="262"/>
              <w:spacing w:after="0"/>
              <w:rPr>
                <w:sz w:val="20"/>
                <w:szCs w:val="20"/>
                <w:color w:val="auto"/>
              </w:rPr>
            </w:pPr>
            <w:r>
              <w:rPr>
                <w:rFonts w:ascii="Arial" w:cs="Arial" w:eastAsia="Arial" w:hAnsi="Arial"/>
                <w:sz w:val="12"/>
                <w:szCs w:val="12"/>
                <w:color w:val="auto"/>
                <w:w w:val="95"/>
              </w:rPr>
              <w:t>(3)</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26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w:t>
            </w:r>
          </w:p>
        </w:tc>
      </w:tr>
      <w:tr>
        <w:trPr>
          <w:trHeight w:val="269"/>
        </w:trPr>
        <w:tc>
          <w:tcPr>
            <w:tcW w:w="1180" w:type="dxa"/>
            <w:vAlign w:val="bottom"/>
          </w:tcPr>
          <w:p>
            <w:pPr>
              <w:jc w:val="right"/>
              <w:spacing w:after="0"/>
              <w:rPr>
                <w:sz w:val="20"/>
                <w:szCs w:val="20"/>
                <w:color w:val="auto"/>
              </w:rPr>
            </w:pPr>
            <w:r>
              <w:rPr>
                <w:rFonts w:ascii="Arial" w:cs="Arial" w:eastAsia="Arial" w:hAnsi="Arial"/>
                <w:sz w:val="18"/>
                <w:szCs w:val="18"/>
                <w:color w:val="auto"/>
              </w:rPr>
              <w:t>593,208</w:t>
            </w:r>
          </w:p>
        </w:tc>
        <w:tc>
          <w:tcPr>
            <w:tcW w:w="4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99,808</w:t>
            </w:r>
          </w:p>
        </w:tc>
        <w:tc>
          <w:tcPr>
            <w:tcW w:w="480" w:type="dxa"/>
            <w:vAlign w:val="bottom"/>
          </w:tcPr>
          <w:p>
            <w:pPr>
              <w:jc w:val="right"/>
              <w:ind w:right="262"/>
              <w:spacing w:after="0"/>
              <w:rPr>
                <w:sz w:val="20"/>
                <w:szCs w:val="20"/>
                <w:color w:val="auto"/>
              </w:rPr>
            </w:pPr>
            <w:r>
              <w:rPr>
                <w:rFonts w:ascii="Arial" w:cs="Arial" w:eastAsia="Arial" w:hAnsi="Arial"/>
                <w:sz w:val="12"/>
                <w:szCs w:val="12"/>
                <w:color w:val="auto"/>
                <w:w w:val="95"/>
              </w:rPr>
              <w:t>(4)</w:t>
            </w: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51.22</w:t>
            </w: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49.93</w:t>
            </w:r>
          </w:p>
        </w:tc>
      </w:tr>
      <w:tr>
        <w:trPr>
          <w:trHeight w:val="310"/>
        </w:trPr>
        <w:tc>
          <w:tcPr>
            <w:tcW w:w="1180" w:type="dxa"/>
            <w:vAlign w:val="bottom"/>
          </w:tcPr>
          <w:p>
            <w:pPr>
              <w:jc w:val="right"/>
              <w:spacing w:after="0"/>
              <w:rPr>
                <w:sz w:val="20"/>
                <w:szCs w:val="20"/>
                <w:color w:val="auto"/>
              </w:rPr>
            </w:pPr>
            <w:r>
              <w:rPr>
                <w:rFonts w:ascii="Arial" w:cs="Arial" w:eastAsia="Arial" w:hAnsi="Arial"/>
                <w:sz w:val="18"/>
                <w:szCs w:val="18"/>
                <w:color w:val="auto"/>
              </w:rPr>
              <w:t>(297,602)</w:t>
            </w:r>
          </w:p>
        </w:tc>
        <w:tc>
          <w:tcPr>
            <w:tcW w:w="480" w:type="dxa"/>
            <w:vAlign w:val="bottom"/>
          </w:tcPr>
          <w:p>
            <w:pPr>
              <w:spacing w:after="0"/>
              <w:rPr>
                <w:sz w:val="24"/>
                <w:szCs w:val="24"/>
                <w:color w:val="auto"/>
              </w:rPr>
            </w:pPr>
          </w:p>
        </w:tc>
        <w:tc>
          <w:tcPr>
            <w:tcW w:w="1760" w:type="dxa"/>
            <w:vAlign w:val="bottom"/>
            <w:gridSpan w:val="2"/>
          </w:tcPr>
          <w:p>
            <w:pPr>
              <w:jc w:val="right"/>
              <w:ind w:right="262"/>
              <w:spacing w:after="0"/>
              <w:rPr>
                <w:sz w:val="20"/>
                <w:szCs w:val="20"/>
                <w:color w:val="auto"/>
              </w:rPr>
            </w:pPr>
            <w:r>
              <w:rPr>
                <w:rFonts w:ascii="Arial" w:cs="Arial" w:eastAsia="Arial" w:hAnsi="Arial"/>
                <w:sz w:val="18"/>
                <w:szCs w:val="18"/>
                <w:color w:val="auto"/>
              </w:rPr>
              <w:t xml:space="preserve">(34,930) </w:t>
            </w:r>
            <w:r>
              <w:rPr>
                <w:rFonts w:ascii="Arial" w:cs="Arial" w:eastAsia="Arial" w:hAnsi="Arial"/>
                <w:sz w:val="23"/>
                <w:szCs w:val="23"/>
                <w:color w:val="auto"/>
                <w:vertAlign w:val="superscript"/>
              </w:rPr>
              <w:t>(3)</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15.30</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16.62</w:t>
            </w:r>
          </w:p>
        </w:tc>
      </w:tr>
      <w:tr>
        <w:trPr>
          <w:trHeight w:val="230"/>
        </w:trPr>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(64,282)</w:t>
            </w:r>
          </w:p>
        </w:tc>
        <w:tc>
          <w:tcPr>
            <w:tcW w:w="48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(128,717)</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20.56</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17.43</w:t>
            </w:r>
          </w:p>
        </w:tc>
      </w:tr>
      <w:tr>
        <w:trPr>
          <w:trHeight w:val="223"/>
        </w:trPr>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1,494,517</w:t>
            </w:r>
          </w:p>
        </w:tc>
        <w:tc>
          <w:tcPr>
            <w:tcW w:w="4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96,683</w:t>
            </w:r>
          </w:p>
        </w:tc>
        <w:tc>
          <w:tcPr>
            <w:tcW w:w="4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49.93</w:t>
            </w:r>
          </w:p>
        </w:tc>
      </w:tr>
      <w:tr>
        <w:trPr>
          <w:trHeight w:val="21"/>
        </w:trPr>
        <w:tc>
          <w:tcPr>
            <w:tcW w:w="11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-530860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-187960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50" w:lineRule="exact"/>
        <w:rPr>
          <w:sz w:val="20"/>
          <w:szCs w:val="20"/>
          <w:color w:val="auto"/>
        </w:rPr>
      </w:pPr>
    </w:p>
    <w:p>
      <w:pPr>
        <w:sectPr>
          <w:pgSz w:w="11900" w:h="16838" w:orient="portrait"/>
          <w:cols w:equalWidth="0" w:num="3">
            <w:col w:w="4660" w:space="20"/>
            <w:col w:w="120" w:space="340"/>
            <w:col w:w="6100"/>
          </w:cols>
          <w:pgMar w:left="320" w:top="1421" w:right="339" w:bottom="1440" w:gutter="0" w:footer="0" w:header="0"/>
          <w:type w:val="continuous"/>
        </w:sect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nine months ended September 30, 2021, the Company only granted RSUs.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43,735 RSUs which are expected to be settled in cash.</w:t>
      </w:r>
    </w:p>
    <w:p>
      <w:pPr>
        <w:spacing w:after="0" w:line="171" w:lineRule="exact"/>
        <w:rPr>
          <w:rFonts w:ascii="Arial" w:cs="Arial" w:eastAsia="Arial" w:hAnsi="Arial"/>
          <w:sz w:val="18"/>
          <w:szCs w:val="18"/>
          <w:color w:val="auto"/>
        </w:rPr>
      </w:pPr>
    </w:p>
    <w:p>
      <w:pPr>
        <w:ind w:left="340" w:hanging="332"/>
        <w:spacing w:after="0" w:line="223" w:lineRule="exact"/>
        <w:tabs>
          <w:tab w:leader="none" w:pos="3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Relates to the 2020 annual performance period. 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associated with these awards was fully recognized as of December 31, 2020.</w:t>
      </w:r>
    </w:p>
    <w:p>
      <w:pPr>
        <w:spacing w:after="0" w:line="148"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Relates to the 2021 annual performance period.</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During the first quarter of 2020, the Company granted 12,454 shares of restricted stock, which were subject to a quarterly time</w:t>
      </w:r>
      <w:r>
        <w:rPr>
          <w:rFonts w:ascii="MS PGothic" w:cs="MS PGothic" w:eastAsia="MS PGothic" w:hAnsi="MS PGothic"/>
          <w:sz w:val="17"/>
          <w:szCs w:val="17"/>
          <w:color w:val="auto"/>
        </w:rPr>
        <w:t>‑</w:t>
      </w:r>
      <w:r>
        <w:rPr>
          <w:rFonts w:ascii="Arial" w:cs="Arial" w:eastAsia="Arial" w:hAnsi="Arial"/>
          <w:sz w:val="17"/>
          <w:szCs w:val="17"/>
          <w:color w:val="auto"/>
        </w:rPr>
        <w:t>based vesting schedule ending March 31, 2021, and had a weighted average grant date fair value of $10.84. During the third quarter of 2020, the Company granted 1,197,760 shares of restricted stock and RSUs, which vest ratably on each of the first four anniversaries of the grant date. During the third quarter of 2020, the Company granted 185,324 shares of restricted stock and RSUs, which are subject to performance-based vesting. During the third quarter of 2020, the Company granted 994,912 shares of restricted stock and RSUs, which vested upon the Company’s completion of the IPO on September 25, 2020. The weighted average grant date fair value of restricted stock and RSUs granted during the third quarter of 2020 was $15.48.</w:t>
      </w:r>
    </w:p>
    <w:p>
      <w:pPr>
        <w:spacing w:after="0" w:line="202"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6"/>
          <w:szCs w:val="16"/>
          <w:color w:val="auto"/>
        </w:rPr>
        <w:t>In 2016, the Company granted RSUs subject to performance</w:t>
      </w:r>
      <w:r>
        <w:rPr>
          <w:rFonts w:ascii="MS PGothic" w:cs="MS PGothic" w:eastAsia="MS PGothic" w:hAnsi="MS PGothic"/>
          <w:sz w:val="16"/>
          <w:szCs w:val="16"/>
          <w:color w:val="auto"/>
        </w:rPr>
        <w:t>‑</w:t>
      </w:r>
      <w:r>
        <w:rPr>
          <w:rFonts w:ascii="Arial" w:cs="Arial" w:eastAsia="Arial" w:hAnsi="Arial"/>
          <w:sz w:val="16"/>
          <w:szCs w:val="16"/>
          <w:color w:val="auto"/>
        </w:rPr>
        <w:t>based vesting as determined by the achievement of certain business growth targets. Certain colleagues elected to defer delivery of such shares upon vesting. During the nine months ended September 30, 2021 and 2020, 10,864 and 26,760 shares, respectively, were delivered to colleagues, and 33 and 3,006 additional shares, respectively, were earned as a result of dividends. As of September 30, 2021 and December 31, 2020, 20,209 and 31,040 shares, respectively, of these vested and deferred RSUs remained outstanding.</w:t>
      </w:r>
    </w:p>
    <w:p>
      <w:pPr>
        <w:spacing w:after="0" w:line="2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2021 and 2020, restricted stock and RSUs were issued net of 103,573 and 12,940 shares, respectively, which were sold back to the Company to settle applicable income tax withholdings of $6,352 and $135, respectively.</w:t>
      </w:r>
    </w:p>
    <w:p>
      <w:pPr>
        <w:spacing w:after="0" w:line="17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6"/>
          <w:szCs w:val="16"/>
          <w:color w:val="auto"/>
        </w:rPr>
        <w:t>As of September 30, 2021, there was $41,995 of unrecognized compensation expense related to unvested time</w:t>
      </w:r>
      <w:r>
        <w:rPr>
          <w:rFonts w:ascii="MS PGothic" w:cs="MS PGothic" w:eastAsia="MS PGothic" w:hAnsi="MS PGothic"/>
          <w:sz w:val="16"/>
          <w:szCs w:val="16"/>
          <w:color w:val="auto"/>
        </w:rPr>
        <w:t>‑</w:t>
      </w:r>
      <w:r>
        <w:rPr>
          <w:rFonts w:ascii="Arial" w:cs="Arial" w:eastAsia="Arial" w:hAnsi="Arial"/>
          <w:sz w:val="16"/>
          <w:szCs w:val="16"/>
          <w:color w:val="auto"/>
        </w:rPr>
        <w:t>based restricted stock and RSUs, which is expected to be recognized over a weighted average period of approximately 2.1 years. There was no remaining unrecognized compensation expense related to unvested performance</w:t>
      </w:r>
      <w:r>
        <w:rPr>
          <w:rFonts w:ascii="MS PGothic" w:cs="MS PGothic" w:eastAsia="MS PGothic" w:hAnsi="MS PGothic"/>
          <w:sz w:val="16"/>
          <w:szCs w:val="16"/>
          <w:color w:val="auto"/>
        </w:rPr>
        <w:t>‑</w:t>
      </w:r>
      <w:r>
        <w:rPr>
          <w:rFonts w:ascii="Arial" w:cs="Arial" w:eastAsia="Arial" w:hAnsi="Arial"/>
          <w:sz w:val="16"/>
          <w:szCs w:val="16"/>
          <w:color w:val="auto"/>
        </w:rPr>
        <w:t>based restricted stock. As of September 30, 2021, there was $976 of unrecognized compensation expense related to unvested performance</w:t>
      </w:r>
      <w:r>
        <w:rPr>
          <w:rFonts w:ascii="MS PGothic" w:cs="MS PGothic" w:eastAsia="MS PGothic" w:hAnsi="MS PGothic"/>
          <w:sz w:val="16"/>
          <w:szCs w:val="16"/>
          <w:color w:val="auto"/>
        </w:rPr>
        <w:t>‑</w:t>
      </w:r>
      <w:r>
        <w:rPr>
          <w:rFonts w:ascii="Arial" w:cs="Arial" w:eastAsia="Arial" w:hAnsi="Arial"/>
          <w:sz w:val="16"/>
          <w:szCs w:val="16"/>
          <w:color w:val="auto"/>
        </w:rPr>
        <w:t>based RSUs, which is expected to be recognized over a weighted average period of approximately 0.3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Stock Grants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nine months ended September 30, 2021 and 2020, the Company granted 7,824 and 17,411 fully vested shares of Class B Common Stock, respectively, with a fair value of $450 and $219,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ESPP</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accordance with the guidance in ASC 718-50, </w:t>
      </w:r>
      <w:r>
        <w:rPr>
          <w:rFonts w:ascii="Arial" w:cs="Arial" w:eastAsia="Arial" w:hAnsi="Arial"/>
          <w:sz w:val="18"/>
          <w:szCs w:val="18"/>
          <w:i w:val="1"/>
          <w:iCs w:val="1"/>
          <w:color w:val="auto"/>
        </w:rPr>
        <w:t>Compensation</w:t>
      </w:r>
      <w:r>
        <w:rPr>
          <w:rFonts w:ascii="Arial" w:cs="Arial" w:eastAsia="Arial" w:hAnsi="Arial"/>
          <w:sz w:val="18"/>
          <w:szCs w:val="18"/>
          <w:color w:val="auto"/>
        </w:rPr>
        <w:t>—</w:t>
      </w:r>
      <w:r>
        <w:rPr>
          <w:rFonts w:ascii="Arial" w:cs="Arial" w:eastAsia="Arial" w:hAnsi="Arial"/>
          <w:sz w:val="18"/>
          <w:szCs w:val="18"/>
          <w:i w:val="1"/>
          <w:iCs w:val="1"/>
          <w:color w:val="auto"/>
        </w:rPr>
        <w:t>Stock Compensation</w:t>
      </w:r>
      <w:r>
        <w:rPr>
          <w:rFonts w:ascii="Arial" w:cs="Arial" w:eastAsia="Arial" w:hAnsi="Arial"/>
          <w:sz w:val="18"/>
          <w:szCs w:val="18"/>
          <w:color w:val="auto"/>
        </w:rPr>
        <w:t>, the ability to purchase shares of the Company’s Class B Common Stock for 85% of the lower of the price of the first day of the offering period or the last day of the offering period (i.e., the purchase date) represents an option and, therefore, the ESPP is a compensatory plan under this guidance.</w:t>
      </w:r>
    </w:p>
    <w:p>
      <w:pPr>
        <w:spacing w:after="0" w:line="184" w:lineRule="exact"/>
        <w:rPr>
          <w:sz w:val="20"/>
          <w:szCs w:val="20"/>
          <w:color w:val="auto"/>
        </w:rPr>
      </w:pPr>
    </w:p>
    <w:p>
      <w:pPr>
        <w:jc w:val="both"/>
        <w:ind w:right="20" w:firstLine="324"/>
        <w:spacing w:after="0" w:line="220" w:lineRule="exact"/>
        <w:rPr>
          <w:sz w:val="20"/>
          <w:szCs w:val="20"/>
          <w:color w:val="auto"/>
        </w:rPr>
      </w:pPr>
      <w:r>
        <w:rPr>
          <w:rFonts w:ascii="Arial" w:cs="Arial" w:eastAsia="Arial" w:hAnsi="Arial"/>
          <w:sz w:val="18"/>
          <w:szCs w:val="18"/>
          <w:color w:val="auto"/>
        </w:rPr>
        <w:t>The fair value of each purchase right under the ESPP was calculated as a sum of its components, which includes the discount, a six</w:t>
      </w:r>
      <w:r>
        <w:rPr>
          <w:rFonts w:ascii="MS PGothic" w:cs="MS PGothic" w:eastAsia="MS PGothic" w:hAnsi="MS PGothic"/>
          <w:sz w:val="18"/>
          <w:szCs w:val="18"/>
          <w:color w:val="auto"/>
        </w:rPr>
        <w:t>‑</w:t>
      </w:r>
      <w:r>
        <w:rPr>
          <w:rFonts w:ascii="Arial" w:cs="Arial" w:eastAsia="Arial" w:hAnsi="Arial"/>
          <w:sz w:val="18"/>
          <w:szCs w:val="18"/>
          <w:color w:val="auto"/>
        </w:rPr>
        <w:t>month call option, and a six</w:t>
      </w:r>
      <w:r>
        <w:rPr>
          <w:rFonts w:ascii="MS PGothic" w:cs="MS PGothic" w:eastAsia="MS PGothic" w:hAnsi="MS PGothic"/>
          <w:sz w:val="18"/>
          <w:szCs w:val="18"/>
          <w:color w:val="auto"/>
        </w:rPr>
        <w:t>‑</w:t>
      </w:r>
      <w:r>
        <w:rPr>
          <w:rFonts w:ascii="Arial" w:cs="Arial" w:eastAsia="Arial" w:hAnsi="Arial"/>
          <w:sz w:val="18"/>
          <w:szCs w:val="18"/>
          <w:color w:val="auto"/>
        </w:rPr>
        <w:t>month put option. The call and put options were valued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is recognized ratably over the six</w:t>
      </w:r>
      <w:r>
        <w:rPr>
          <w:rFonts w:ascii="MS PGothic" w:cs="MS PGothic" w:eastAsia="MS PGothic" w:hAnsi="MS PGothic"/>
          <w:sz w:val="18"/>
          <w:szCs w:val="18"/>
          <w:color w:val="auto"/>
        </w:rPr>
        <w:t>‑</w:t>
      </w:r>
      <w:r>
        <w:rPr>
          <w:rFonts w:ascii="Arial" w:cs="Arial" w:eastAsia="Arial" w:hAnsi="Arial"/>
          <w:sz w:val="18"/>
          <w:szCs w:val="18"/>
          <w:color w:val="auto"/>
        </w:rPr>
        <w:t>month offering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Subsequent to September 30, 2021</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October 2021, the Company granted 199,569 time</w:t>
      </w:r>
      <w:r>
        <w:rPr>
          <w:rFonts w:ascii="MS PGothic" w:cs="MS PGothic" w:eastAsia="MS PGothic" w:hAnsi="MS PGothic"/>
          <w:sz w:val="18"/>
          <w:szCs w:val="18"/>
          <w:color w:val="auto"/>
        </w:rPr>
        <w:t>‑</w:t>
      </w:r>
      <w:r>
        <w:rPr>
          <w:rFonts w:ascii="Arial" w:cs="Arial" w:eastAsia="Arial" w:hAnsi="Arial"/>
          <w:sz w:val="18"/>
          <w:szCs w:val="18"/>
          <w:color w:val="auto"/>
        </w:rPr>
        <w:t>based RSUs with vesting terms of 25% in the fourth quarter of 2021 and the remaining 75% ratably on each of the first three anniversaries of the grant date. The unrecognized compensation expense related to these RSUs is approximately $11,553, which is expected to be recognized over a weighted average period of approximately two years.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Company calculates its interim income tax provision in accordance with ASC Topics 270, </w:t>
      </w:r>
      <w:r>
        <w:rPr>
          <w:rFonts w:ascii="Arial" w:cs="Arial" w:eastAsia="Arial" w:hAnsi="Arial"/>
          <w:sz w:val="16"/>
          <w:szCs w:val="16"/>
          <w:i w:val="1"/>
          <w:iCs w:val="1"/>
          <w:color w:val="auto"/>
        </w:rPr>
        <w:t>Interim Reporting,</w:t>
      </w:r>
      <w:r>
        <w:rPr>
          <w:rFonts w:ascii="Arial" w:cs="Arial" w:eastAsia="Arial" w:hAnsi="Arial"/>
          <w:sz w:val="16"/>
          <w:szCs w:val="16"/>
          <w:color w:val="auto"/>
        </w:rPr>
        <w:t xml:space="preserve"> and 740, </w:t>
      </w:r>
      <w:r>
        <w:rPr>
          <w:rFonts w:ascii="Arial" w:cs="Arial" w:eastAsia="Arial" w:hAnsi="Arial"/>
          <w:sz w:val="16"/>
          <w:szCs w:val="16"/>
          <w:i w:val="1"/>
          <w:iCs w:val="1"/>
          <w:color w:val="auto"/>
        </w:rPr>
        <w:t>Income Taxes</w:t>
      </w:r>
      <w:r>
        <w:rPr>
          <w:rFonts w:ascii="Arial" w:cs="Arial" w:eastAsia="Arial" w:hAnsi="Arial"/>
          <w:sz w:val="16"/>
          <w:szCs w:val="16"/>
          <w:color w:val="auto"/>
        </w:rPr>
        <w:t>. At the end of each interim period, the Company makes an estimate of the annual U.S. domestic and foreign jurisdictions’ expected effective tax rates and applies these rates to its respective year to date taxable income or loss. The computation of the estimated effective tax rates at each interim period requires certain estimates and assumptions including, but not limited to, the expected operating income for the fiscal year, projections of the proportion of income (or loss) earned and taxed in the U.S. and foreign tax jurisdictions, along with permanent differences, and the likelihood of deferred tax asset utilization. The Company’s estimates and assumptions may change as new events occur, additional information is obtained, or as the tax environment changes. Should facts and circumstances change during a period causing a material change to the estimated effective income tax rate, a cumulative adjustment will be recorded.</w:t>
      </w:r>
    </w:p>
    <w:p>
      <w:pPr>
        <w:spacing w:after="0" w:line="166"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color w:val="auto"/>
        </w:rPr>
        <w:t>The income tax provisions for the three months ended September 30, 2021 and 2020 were based on the estimated annual effective income tax rates adjusted for discrete items occurring during the periods presented. For the three months ended September 30, 2021 and 2020, the Company recognized an aggregate consolidated income tax expense of $4,223 and $10,705, respectively, for U.S. domestic and foreign income taxes. For the three months ended September 30, 2021 and 2020, the Company recorded a discrete tax benefit of $6,724 and $3,826, respectively, associated with stock</w:t>
      </w:r>
      <w:r>
        <w:rPr>
          <w:rFonts w:ascii="MS PGothic" w:cs="MS PGothic" w:eastAsia="MS PGothic" w:hAnsi="MS PGothic"/>
          <w:sz w:val="17"/>
          <w:szCs w:val="17"/>
          <w:color w:val="auto"/>
        </w:rPr>
        <w:t>‑</w:t>
      </w:r>
      <w:r>
        <w:rPr>
          <w:rFonts w:ascii="Arial" w:cs="Arial" w:eastAsia="Arial" w:hAnsi="Arial"/>
          <w:sz w:val="17"/>
          <w:szCs w:val="17"/>
          <w:color w:val="auto"/>
        </w:rPr>
        <w:t xml:space="preserve">based compensation. The effective income tax rate was (9.3)% on </w:t>
      </w:r>
      <w:r>
        <w:rPr>
          <w:rFonts w:ascii="Arial" w:cs="Arial" w:eastAsia="Arial" w:hAnsi="Arial"/>
          <w:sz w:val="17"/>
          <w:szCs w:val="17"/>
          <w:i w:val="1"/>
          <w:iCs w:val="1"/>
          <w:color w:val="auto"/>
        </w:rPr>
        <w:t>Loss before income taxes</w:t>
      </w:r>
      <w:r>
        <w:rPr>
          <w:rFonts w:ascii="Arial" w:cs="Arial" w:eastAsia="Arial" w:hAnsi="Arial"/>
          <w:sz w:val="17"/>
          <w:szCs w:val="17"/>
          <w:color w:val="auto"/>
        </w:rPr>
        <w:t xml:space="preserve"> of $45,241 for the three months ended September 30, 2021, as compared to the effective income tax rate of 62.5% on </w:t>
      </w:r>
      <w:r>
        <w:rPr>
          <w:rFonts w:ascii="Arial" w:cs="Arial" w:eastAsia="Arial" w:hAnsi="Arial"/>
          <w:sz w:val="17"/>
          <w:szCs w:val="17"/>
          <w:i w:val="1"/>
          <w:iCs w:val="1"/>
          <w:color w:val="auto"/>
        </w:rPr>
        <w:t>Income before income taxes</w:t>
      </w:r>
      <w:r>
        <w:rPr>
          <w:rFonts w:ascii="Arial" w:cs="Arial" w:eastAsia="Arial" w:hAnsi="Arial"/>
          <w:sz w:val="17"/>
          <w:szCs w:val="17"/>
          <w:color w:val="auto"/>
        </w:rPr>
        <w:t xml:space="preserve"> of $17,130 for the three months ended September 30, 2020. For the three months ended September 30, 2021, the Company recognized a compensation charge of $90,721 to </w:t>
      </w:r>
      <w:r>
        <w:rPr>
          <w:rFonts w:ascii="Arial" w:cs="Arial" w:eastAsia="Arial" w:hAnsi="Arial"/>
          <w:sz w:val="17"/>
          <w:szCs w:val="17"/>
          <w:i w:val="1"/>
          <w:iCs w:val="1"/>
          <w:color w:val="auto"/>
        </w:rPr>
        <w:t>Deferred compensation plan</w:t>
      </w:r>
      <w:r>
        <w:rPr>
          <w:rFonts w:ascii="Arial" w:cs="Arial" w:eastAsia="Arial" w:hAnsi="Arial"/>
          <w:sz w:val="17"/>
          <w:szCs w:val="17"/>
          <w:color w:val="auto"/>
        </w:rPr>
        <w:t xml:space="preserve"> expenses to record its reallocated deferred compensation plan liabilities at fair value (see Note 12). The effective income tax rate of (9.3)% for the three months ended September 30, 2021 was primarily due to the loss before income taxes resulting from this compensation charge, combined with a significant reduction in associated tax benefits due to officer compensation limitation provisions relating to this charge. The effective income tax rate of 62.5% for the three months ended September 30, 2020 was primarily due to officer compensation limitation provisions resulting from the Company’s IPO, which went effective during the three months ended September 30, 2020, and the non</w:t>
      </w:r>
      <w:r>
        <w:rPr>
          <w:rFonts w:ascii="MS PGothic" w:cs="MS PGothic" w:eastAsia="MS PGothic" w:hAnsi="MS PGothic"/>
          <w:sz w:val="17"/>
          <w:szCs w:val="17"/>
          <w:color w:val="auto"/>
        </w:rPr>
        <w:t>‑</w:t>
      </w:r>
      <w:r>
        <w:rPr>
          <w:rFonts w:ascii="Arial" w:cs="Arial" w:eastAsia="Arial" w:hAnsi="Arial"/>
          <w:sz w:val="17"/>
          <w:szCs w:val="17"/>
          <w:color w:val="auto"/>
        </w:rPr>
        <w:t>deductibility of expenses associated with the Company’s IPO, partially offset by discrete windfall tax benefits from stock</w:t>
      </w:r>
      <w:r>
        <w:rPr>
          <w:rFonts w:ascii="MS PGothic" w:cs="MS PGothic" w:eastAsia="MS PGothic" w:hAnsi="MS PGothic"/>
          <w:sz w:val="17"/>
          <w:szCs w:val="17"/>
          <w:color w:val="auto"/>
        </w:rPr>
        <w:t>‑</w:t>
      </w:r>
      <w:r>
        <w:rPr>
          <w:rFonts w:ascii="Arial" w:cs="Arial" w:eastAsia="Arial" w:hAnsi="Arial"/>
          <w:sz w:val="17"/>
          <w:szCs w:val="17"/>
          <w:color w:val="auto"/>
        </w:rPr>
        <w:t>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jc w:val="both"/>
        <w:ind w:firstLine="324"/>
        <w:spacing w:after="0" w:line="218" w:lineRule="exact"/>
        <w:rPr>
          <w:sz w:val="20"/>
          <w:szCs w:val="20"/>
          <w:color w:val="auto"/>
        </w:rPr>
      </w:pPr>
      <w:r>
        <w:rPr>
          <w:rFonts w:ascii="Arial" w:cs="Arial" w:eastAsia="Arial" w:hAnsi="Arial"/>
          <w:sz w:val="18"/>
          <w:szCs w:val="18"/>
          <w:color w:val="auto"/>
        </w:rPr>
        <w:t>The income tax provisions for the nine months ended September 30, 2021 and 2020 were based on the estimated annual effective income tax rates adjusted for discrete items occurring during the periods presented. For the nine months ended September 30, 2021 and 2020, the Company recognized an aggregate consolidated income tax (benefit) expense of $(6,165) and $22,145, respectively, for U.S. domestic and foreign income taxes. For the nine months ended September 30, 2021 and 2020, the Company recorded a discrete tax benefit of $55,102 and $10,511, respectively, associated with stock</w:t>
      </w:r>
      <w:r>
        <w:rPr>
          <w:rFonts w:ascii="MS PGothic" w:cs="MS PGothic" w:eastAsia="MS PGothic" w:hAnsi="MS PGothic"/>
          <w:sz w:val="18"/>
          <w:szCs w:val="18"/>
          <w:color w:val="auto"/>
        </w:rPr>
        <w:t>‑</w:t>
      </w:r>
      <w:r>
        <w:rPr>
          <w:rFonts w:ascii="Arial" w:cs="Arial" w:eastAsia="Arial" w:hAnsi="Arial"/>
          <w:sz w:val="18"/>
          <w:szCs w:val="18"/>
          <w:color w:val="auto"/>
        </w:rPr>
        <w:t xml:space="preserve">based compensation. The effective income tax rate of (12.7)% on </w:t>
      </w:r>
      <w:r>
        <w:rPr>
          <w:rFonts w:ascii="Arial" w:cs="Arial" w:eastAsia="Arial" w:hAnsi="Arial"/>
          <w:sz w:val="18"/>
          <w:szCs w:val="18"/>
          <w:i w:val="1"/>
          <w:iCs w:val="1"/>
          <w:color w:val="auto"/>
        </w:rPr>
        <w:t>Income before income taxes</w:t>
      </w:r>
      <w:r>
        <w:rPr>
          <w:rFonts w:ascii="Arial" w:cs="Arial" w:eastAsia="Arial" w:hAnsi="Arial"/>
          <w:sz w:val="18"/>
          <w:szCs w:val="18"/>
          <w:color w:val="auto"/>
        </w:rPr>
        <w:t xml:space="preserve"> of $48,562 for the nine months ended September 30, 2021 was lower than the effective income tax rate of 22.6% on </w:t>
      </w:r>
      <w:r>
        <w:rPr>
          <w:rFonts w:ascii="Arial" w:cs="Arial" w:eastAsia="Arial" w:hAnsi="Arial"/>
          <w:sz w:val="18"/>
          <w:szCs w:val="18"/>
          <w:i w:val="1"/>
          <w:iCs w:val="1"/>
          <w:color w:val="auto"/>
        </w:rPr>
        <w:t>Income before income taxes</w:t>
      </w:r>
      <w:r>
        <w:rPr>
          <w:rFonts w:ascii="Arial" w:cs="Arial" w:eastAsia="Arial" w:hAnsi="Arial"/>
          <w:sz w:val="18"/>
          <w:szCs w:val="18"/>
          <w:color w:val="auto"/>
        </w:rPr>
        <w:t xml:space="preserve"> of $98,181 for the nine months ended September 30, 2020 primarily due to discrete windfall tax benefits from stock</w:t>
      </w:r>
      <w:r>
        <w:rPr>
          <w:rFonts w:ascii="MS PGothic" w:cs="MS PGothic" w:eastAsia="MS PGothic" w:hAnsi="MS PGothic"/>
          <w:sz w:val="18"/>
          <w:szCs w:val="18"/>
          <w:color w:val="auto"/>
        </w:rPr>
        <w:t>‑</w:t>
      </w:r>
      <w:r>
        <w:rPr>
          <w:rFonts w:ascii="Arial" w:cs="Arial" w:eastAsia="Arial" w:hAnsi="Arial"/>
          <w:sz w:val="18"/>
          <w:szCs w:val="18"/>
          <w:color w:val="auto"/>
        </w:rPr>
        <w:t>based compensation, partially offset by the impact from officer compensation limitation provisions.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w:t>
      </w:r>
    </w:p>
    <w:p>
      <w:pPr>
        <w:spacing w:after="0" w:line="225"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color w:val="auto"/>
        </w:rPr>
        <w:t>On March 31, 2020, the Company entered into an interest rate swap with a notional amount of $200,000 and a ten</w:t>
      </w:r>
      <w:r>
        <w:rPr>
          <w:rFonts w:ascii="MS PGothic" w:cs="MS PGothic" w:eastAsia="MS PGothic" w:hAnsi="MS PGothic"/>
          <w:sz w:val="16"/>
          <w:szCs w:val="16"/>
          <w:color w:val="auto"/>
        </w:rPr>
        <w:t>‑</w:t>
      </w:r>
      <w:r>
        <w:rPr>
          <w:rFonts w:ascii="Arial" w:cs="Arial" w:eastAsia="Arial" w:hAnsi="Arial"/>
          <w:sz w:val="16"/>
          <w:szCs w:val="16"/>
          <w:color w:val="auto"/>
        </w:rPr>
        <w:t>year term to reduce the interest rate risk associated with the Company’s Credit Facility. The interest rate swap is not designated as a hedging instrument for accounting purposes. The Company accounts for the swap as either an asset or a liability in the consolidated balance sheets and carries the derivative at fair value.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interest rate swap activity and the location the activity is recognized in the consolidated statements of operations: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2"/>
              </w:rPr>
              <w:t>Nine Months Ended</w:t>
            </w:r>
          </w:p>
        </w:tc>
        <w:tc>
          <w:tcPr>
            <w:tcW w:w="284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230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89"/>
              </w:rPr>
              <w:t>September 30,</w:t>
            </w:r>
          </w:p>
        </w:tc>
        <w:tc>
          <w:tcPr>
            <w:tcW w:w="2840" w:type="dxa"/>
            <w:vAlign w:val="bottom"/>
          </w:tcPr>
          <w:p>
            <w:pPr>
              <w:jc w:val="center"/>
              <w:spacing w:after="0"/>
              <w:rPr>
                <w:sz w:val="20"/>
                <w:szCs w:val="20"/>
                <w:color w:val="auto"/>
              </w:rPr>
            </w:pPr>
            <w:r>
              <w:rPr>
                <w:rFonts w:ascii="Arial" w:cs="Arial" w:eastAsia="Arial" w:hAnsi="Arial"/>
                <w:sz w:val="16"/>
                <w:szCs w:val="16"/>
                <w:b w:val="1"/>
                <w:bCs w:val="1"/>
                <w:color w:val="auto"/>
                <w:w w:val="89"/>
              </w:rPr>
              <w:t>Recognized in Consolidated</w:t>
            </w:r>
          </w:p>
        </w:tc>
      </w:tr>
      <w:tr>
        <w:trPr>
          <w:trHeight w:val="213"/>
        </w:trPr>
        <w:tc>
          <w:tcPr>
            <w:tcW w:w="3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Statements of Operations</w:t>
            </w:r>
          </w:p>
        </w:tc>
      </w:tr>
      <w:tr>
        <w:trPr>
          <w:trHeight w:val="233"/>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spacing w:after="0"/>
              <w:rPr>
                <w:sz w:val="20"/>
                <w:szCs w:val="20"/>
                <w:color w:val="auto"/>
              </w:rPr>
            </w:pPr>
          </w:p>
        </w:tc>
      </w:tr>
      <w:tr>
        <w:trPr>
          <w:trHeight w:val="270"/>
        </w:trPr>
        <w:tc>
          <w:tcPr>
            <w:tcW w:w="3260" w:type="dxa"/>
            <w:vAlign w:val="bottom"/>
          </w:tcPr>
          <w:p>
            <w:pPr>
              <w:ind w:left="180"/>
              <w:spacing w:after="0"/>
              <w:rPr>
                <w:sz w:val="20"/>
                <w:szCs w:val="20"/>
                <w:color w:val="auto"/>
              </w:rPr>
            </w:pPr>
            <w:r>
              <w:rPr>
                <w:rFonts w:ascii="Arial" w:cs="Arial" w:eastAsia="Arial" w:hAnsi="Arial"/>
                <w:sz w:val="18"/>
                <w:szCs w:val="18"/>
                <w:color w:val="auto"/>
              </w:rPr>
              <w:t>Gain (loss) from change in fair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1,463</w:t>
            </w:r>
          </w:p>
        </w:tc>
        <w:tc>
          <w:tcPr>
            <w:tcW w:w="26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809</w:t>
            </w:r>
          </w:p>
        </w:tc>
        <w:tc>
          <w:tcPr>
            <w:tcW w:w="26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9,198</w:t>
            </w:r>
          </w:p>
        </w:tc>
        <w:tc>
          <w:tcPr>
            <w:tcW w:w="26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(3,365)</w:t>
            </w:r>
          </w:p>
        </w:tc>
        <w:tc>
          <w:tcPr>
            <w:tcW w:w="260" w:type="dxa"/>
            <w:vAlign w:val="bottom"/>
          </w:tcPr>
          <w:p>
            <w:pPr>
              <w:spacing w:after="0"/>
              <w:rPr>
                <w:sz w:val="23"/>
                <w:szCs w:val="23"/>
                <w:color w:val="auto"/>
              </w:rPr>
            </w:pPr>
          </w:p>
        </w:tc>
        <w:tc>
          <w:tcPr>
            <w:tcW w:w="2840" w:type="dxa"/>
            <w:vAlign w:val="bottom"/>
          </w:tcPr>
          <w:p>
            <w:pPr>
              <w:ind w:left="20"/>
              <w:spacing w:after="0"/>
              <w:rPr>
                <w:sz w:val="20"/>
                <w:szCs w:val="20"/>
                <w:color w:val="auto"/>
              </w:rPr>
            </w:pPr>
            <w:r>
              <w:rPr>
                <w:rFonts w:ascii="Arial" w:cs="Arial" w:eastAsia="Arial" w:hAnsi="Arial"/>
                <w:sz w:val="18"/>
                <w:szCs w:val="18"/>
                <w:i w:val="1"/>
                <w:iCs w:val="1"/>
                <w:color w:val="auto"/>
              </w:rPr>
              <w:t>Other (expense) income, net</w:t>
            </w:r>
          </w:p>
        </w:tc>
      </w:tr>
      <w:tr>
        <w:trPr>
          <w:trHeight w:val="27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23"/>
                <w:szCs w:val="23"/>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Interest expense, net</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7"/>
          <w:szCs w:val="17"/>
          <w:color w:val="auto"/>
        </w:rPr>
        <w:t xml:space="preserve">The Company applies the provisions of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for fair value measurements of financial assets and financial liabilities and for fair value measurements of non</w:t>
      </w:r>
      <w:r>
        <w:rPr>
          <w:rFonts w:ascii="MS PGothic" w:cs="MS PGothic" w:eastAsia="MS PGothic" w:hAnsi="MS PGothic"/>
          <w:sz w:val="17"/>
          <w:szCs w:val="17"/>
          <w:color w:val="auto"/>
        </w:rPr>
        <w:t>‑</w:t>
      </w:r>
      <w:r>
        <w:rPr>
          <w:rFonts w:ascii="Arial" w:cs="Arial" w:eastAsia="Arial" w:hAnsi="Arial"/>
          <w:sz w:val="17"/>
          <w:szCs w:val="17"/>
          <w:color w:val="auto"/>
        </w:rPr>
        <w:t>financial items that are recognized or disclosed at fair value in the consolidated financial statements.</w:t>
      </w:r>
    </w:p>
    <w:p>
      <w:pPr>
        <w:spacing w:after="0" w:line="202"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 Company’s financial instruments include cash equivalents, account receivables, certain other assets, accounts payable, accruals, certain other current and long</w:t>
      </w:r>
      <w:r>
        <w:rPr>
          <w:rFonts w:ascii="MS PGothic" w:cs="MS PGothic" w:eastAsia="MS PGothic" w:hAnsi="MS PGothic"/>
          <w:sz w:val="18"/>
          <w:szCs w:val="18"/>
          <w:color w:val="auto"/>
        </w:rPr>
        <w:t>‑</w:t>
      </w:r>
      <w:r>
        <w:rPr>
          <w:rFonts w:ascii="Arial" w:cs="Arial" w:eastAsia="Arial" w:hAnsi="Arial"/>
          <w:sz w:val="18"/>
          <w:szCs w:val="18"/>
          <w:color w:val="auto"/>
        </w:rPr>
        <w:t>term liabilities, and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20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The carrying values of the Company’s financial instruments excluding long</w:t>
      </w:r>
      <w:r>
        <w:rPr>
          <w:rFonts w:ascii="MS PGothic" w:cs="MS PGothic" w:eastAsia="MS PGothic" w:hAnsi="MS PGothic"/>
          <w:sz w:val="16"/>
          <w:szCs w:val="16"/>
          <w:color w:val="auto"/>
        </w:rPr>
        <w:t>‑</w:t>
      </w:r>
      <w:r>
        <w:rPr>
          <w:rFonts w:ascii="Arial" w:cs="Arial" w:eastAsia="Arial" w:hAnsi="Arial"/>
          <w:sz w:val="16"/>
          <w:szCs w:val="16"/>
          <w:color w:val="auto"/>
        </w:rPr>
        <w:t>term debt approximate their fair value due to the short</w:t>
      </w:r>
      <w:r>
        <w:rPr>
          <w:rFonts w:ascii="MS PGothic" w:cs="MS PGothic" w:eastAsia="MS PGothic" w:hAnsi="MS PGothic"/>
          <w:sz w:val="16"/>
          <w:szCs w:val="16"/>
          <w:color w:val="auto"/>
        </w:rPr>
        <w:t>‑</w:t>
      </w:r>
      <w:r>
        <w:rPr>
          <w:rFonts w:ascii="Arial" w:cs="Arial" w:eastAsia="Arial" w:hAnsi="Arial"/>
          <w:sz w:val="16"/>
          <w:szCs w:val="16"/>
          <w:color w:val="auto"/>
        </w:rPr>
        <w:t>term nature of those instruments. Additionally, as of December 31, 2020, the fair value of the Company’s borrowings under its Credit Facility approximated its carrying value based upon discounted cash flows at current market rates for instruments with similar remaining terms. The Company considers these valuation inputs to be Level 2 inputs in the fair value hierarchy. The estimated fair value of the 2026 Notes and 2027 Notes was $794,356 and $585,258, respectively, as of September 30, 2021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0" w:name="page41"/>
    <w:bookmarkEnd w:id="40"/>
    <w:p>
      <w:pPr>
        <w:spacing w:after="0" w:line="19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inputs are unobservable inputs based on management’s own assumptions used to measure assets and liabilities at fair value.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the financial assets and financial liabilities carried at fair value measured on a recurring basis: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 2021</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8"/>
                <w:szCs w:val="18"/>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13"/>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9,545</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9,566</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9,033</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9,033</w:t>
            </w:r>
          </w:p>
        </w:tc>
      </w:tr>
      <w:tr>
        <w:trPr>
          <w:trHeight w:val="27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96,480</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96,480</w:t>
            </w:r>
          </w:p>
        </w:tc>
      </w:tr>
      <w:tr>
        <w:trPr>
          <w:trHeight w:val="270"/>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(5)</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96,727</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105,760</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52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2020</w:t>
            </w: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24"/>
                <w:szCs w:val="24"/>
                <w:color w:val="auto"/>
              </w:rPr>
            </w:pPr>
          </w:p>
        </w:tc>
        <w:tc>
          <w:tcPr>
            <w:tcW w:w="1020" w:type="dxa"/>
            <w:vAlign w:val="bottom"/>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13"/>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70"/>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 xml:space="preserve">Money market funds </w:t>
            </w:r>
            <w:r>
              <w:rPr>
                <w:rFonts w:ascii="Arial" w:cs="Arial" w:eastAsia="Arial" w:hAnsi="Arial"/>
                <w:sz w:val="23"/>
                <w:szCs w:val="23"/>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34,696</w:t>
            </w:r>
          </w:p>
        </w:tc>
        <w:tc>
          <w:tcPr>
            <w:tcW w:w="2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34,696</w:t>
            </w:r>
          </w:p>
        </w:tc>
      </w:tr>
      <w:tr>
        <w:trPr>
          <w:trHeight w:val="27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34,696</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35,043</w:t>
            </w: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70"/>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 xml:space="preserve">Acquisition contingent consideration </w:t>
            </w:r>
            <w:r>
              <w:rPr>
                <w:rFonts w:ascii="Arial" w:cs="Arial" w:eastAsia="Arial" w:hAnsi="Arial"/>
                <w:sz w:val="23"/>
                <w:szCs w:val="23"/>
                <w:color w:val="auto"/>
                <w:vertAlign w:val="superscript"/>
              </w:rPr>
              <w:t>(3)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4,299</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4,299</w:t>
            </w:r>
          </w:p>
        </w:tc>
      </w:tr>
      <w:tr>
        <w:trPr>
          <w:trHeight w:val="27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r>
      <w:tr>
        <w:trPr>
          <w:trHeight w:val="270"/>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 xml:space="preserve">Cash-settled equity awards </w:t>
            </w:r>
            <w:r>
              <w:rPr>
                <w:rFonts w:ascii="Arial" w:cs="Arial" w:eastAsia="Arial" w:hAnsi="Arial"/>
                <w:sz w:val="23"/>
                <w:szCs w:val="23"/>
                <w:color w:val="auto"/>
                <w:vertAlign w:val="superscript"/>
              </w:rPr>
              <w:t>(5)</w:t>
            </w: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2920" w:type="dxa"/>
            <w:vAlign w:val="bottom"/>
            <w:tcBorders>
              <w:bottom w:val="single" w:sz="8" w:color="auto"/>
            </w:tcBorders>
          </w:tcPr>
          <w:p>
            <w:pPr>
              <w:spacing w:after="0"/>
              <w:rPr>
                <w:sz w:val="15"/>
                <w:szCs w:val="15"/>
                <w:color w:val="auto"/>
              </w:rPr>
            </w:pPr>
          </w:p>
        </w:tc>
        <w:tc>
          <w:tcPr>
            <w:tcW w:w="2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134"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in the consolidated balance sheets.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consolidated balance sheets.</w:t>
      </w:r>
    </w:p>
    <w:p>
      <w:pPr>
        <w:spacing w:after="0" w:line="171" w:lineRule="exact"/>
        <w:rPr>
          <w:rFonts w:ascii="Arial" w:cs="Arial" w:eastAsia="Arial" w:hAnsi="Arial"/>
          <w:sz w:val="18"/>
          <w:szCs w:val="18"/>
          <w:color w:val="auto"/>
        </w:rPr>
      </w:pPr>
    </w:p>
    <w:p>
      <w:pPr>
        <w:jc w:val="both"/>
        <w:ind w:left="340" w:hanging="332"/>
        <w:spacing w:after="0" w:line="279" w:lineRule="auto"/>
        <w:tabs>
          <w:tab w:leader="none" w:pos="334"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Included in </w:t>
      </w:r>
      <w:r>
        <w:rPr>
          <w:rFonts w:ascii="Arial" w:cs="Arial" w:eastAsia="Arial" w:hAnsi="Arial"/>
          <w:sz w:val="17"/>
          <w:szCs w:val="17"/>
          <w:i w:val="1"/>
          <w:iCs w:val="1"/>
          <w:color w:val="auto"/>
        </w:rPr>
        <w:t>Other liabilities</w:t>
      </w:r>
      <w:r>
        <w:rPr>
          <w:rFonts w:ascii="Arial" w:cs="Arial" w:eastAsia="Arial" w:hAnsi="Arial"/>
          <w:sz w:val="17"/>
          <w:szCs w:val="17"/>
          <w:color w:val="auto"/>
        </w:rPr>
        <w:t xml:space="preserve">, except for current liabilities of $6,900 and $2,884 as of September 30, 2021 and December 31, 2020, respectively, which are included in </w:t>
      </w:r>
      <w:r>
        <w:rPr>
          <w:rFonts w:ascii="Arial" w:cs="Arial" w:eastAsia="Arial" w:hAnsi="Arial"/>
          <w:sz w:val="17"/>
          <w:szCs w:val="17"/>
          <w:i w:val="1"/>
          <w:iCs w:val="1"/>
          <w:color w:val="auto"/>
        </w:rPr>
        <w:t>Accruals and other current liabilities</w:t>
      </w:r>
      <w:r>
        <w:rPr>
          <w:rFonts w:ascii="Arial" w:cs="Arial" w:eastAsia="Arial" w:hAnsi="Arial"/>
          <w:sz w:val="17"/>
          <w:szCs w:val="17"/>
          <w:color w:val="auto"/>
        </w:rPr>
        <w:t xml:space="preserve"> in the consolidated balance sheets. Acquisition contingent consideration liability is measured at fair value and is 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8" w:lineRule="exact"/>
        <w:rPr>
          <w:sz w:val="20"/>
          <w:szCs w:val="20"/>
          <w:color w:val="auto"/>
        </w:rPr>
      </w:pPr>
    </w:p>
    <w:p>
      <w:pPr>
        <w:ind w:left="340" w:hanging="332"/>
        <w:spacing w:after="0" w:line="277"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Deferred compensation plan liabilities</w:t>
      </w:r>
      <w:r>
        <w:rPr>
          <w:rFonts w:ascii="Arial" w:cs="Arial" w:eastAsia="Arial" w:hAnsi="Arial"/>
          <w:sz w:val="18"/>
          <w:szCs w:val="18"/>
          <w:color w:val="auto"/>
        </w:rPr>
        <w:t xml:space="preserve">, except for current liabilities of $7,306 and $169 as of September 30, 2021 and December 31, 2020, respectively, which are included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is a reconciliation of the changes in fair value of the Company’s financial liabilities which have been classified as Level 3 in the fair value hierarchy.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2"/>
          </w:tcPr>
          <w:p>
            <w:pPr>
              <w:ind w:left="14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8"/>
                <w:szCs w:val="18"/>
                <w:color w:val="auto"/>
              </w:rPr>
            </w:pPr>
          </w:p>
        </w:tc>
        <w:tc>
          <w:tcPr>
            <w:tcW w:w="1860" w:type="dxa"/>
            <w:vAlign w:val="bottom"/>
          </w:tcPr>
          <w:p>
            <w:pPr>
              <w:jc w:val="right"/>
              <w:ind w:right="552"/>
              <w:spacing w:after="0"/>
              <w:rPr>
                <w:sz w:val="20"/>
                <w:szCs w:val="20"/>
                <w:color w:val="auto"/>
              </w:rPr>
            </w:pPr>
            <w:r>
              <w:rPr>
                <w:rFonts w:ascii="Arial" w:cs="Arial" w:eastAsia="Arial" w:hAnsi="Arial"/>
                <w:sz w:val="16"/>
                <w:szCs w:val="16"/>
                <w:b w:val="1"/>
                <w:bCs w:val="1"/>
                <w:color w:val="auto"/>
              </w:rPr>
              <w:t>Year Ended</w:t>
            </w:r>
          </w:p>
        </w:tc>
      </w:tr>
      <w:tr>
        <w:trPr>
          <w:trHeight w:val="219"/>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2021</w:t>
            </w:r>
          </w:p>
        </w:tc>
        <w:tc>
          <w:tcPr>
            <w:tcW w:w="240" w:type="dxa"/>
            <w:vAlign w:val="bottom"/>
          </w:tcPr>
          <w:p>
            <w:pPr>
              <w:spacing w:after="0"/>
              <w:rPr>
                <w:sz w:val="19"/>
                <w:szCs w:val="19"/>
                <w:color w:val="auto"/>
              </w:rPr>
            </w:pPr>
          </w:p>
        </w:tc>
        <w:tc>
          <w:tcPr>
            <w:tcW w:w="1860" w:type="dxa"/>
            <w:vAlign w:val="bottom"/>
          </w:tcPr>
          <w:p>
            <w:pPr>
              <w:jc w:val="right"/>
              <w:ind w:right="312"/>
              <w:spacing w:after="0"/>
              <w:rPr>
                <w:sz w:val="20"/>
                <w:szCs w:val="20"/>
                <w:color w:val="auto"/>
              </w:rPr>
            </w:pPr>
            <w:r>
              <w:rPr>
                <w:rFonts w:ascii="Arial" w:cs="Arial" w:eastAsia="Arial" w:hAnsi="Arial"/>
                <w:sz w:val="16"/>
                <w:szCs w:val="16"/>
                <w:b w:val="1"/>
                <w:bCs w:val="1"/>
                <w:color w:val="auto"/>
                <w:w w:val="99"/>
              </w:rPr>
              <w:t>December 31, 2020</w:t>
            </w:r>
          </w:p>
        </w:tc>
      </w:tr>
      <w:tr>
        <w:trPr>
          <w:trHeight w:val="226"/>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6,599</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Payments</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(741)</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(3,425)</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w:t>
            </w:r>
          </w:p>
        </w:tc>
        <w:tc>
          <w:tcPr>
            <w:tcW w:w="22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70"/>
        </w:trPr>
        <w:tc>
          <w:tcPr>
            <w:tcW w:w="6780" w:type="dxa"/>
            <w:vAlign w:val="bottom"/>
          </w:tcPr>
          <w:p>
            <w:pPr>
              <w:ind w:left="180"/>
              <w:spacing w:after="0"/>
              <w:rPr>
                <w:sz w:val="20"/>
                <w:szCs w:val="20"/>
                <w:color w:val="auto"/>
              </w:rPr>
            </w:pPr>
            <w:r>
              <w:rPr>
                <w:rFonts w:ascii="Arial" w:cs="Arial" w:eastAsia="Arial" w:hAnsi="Arial"/>
                <w:sz w:val="18"/>
                <w:szCs w:val="18"/>
                <w:color w:val="auto"/>
              </w:rPr>
              <w:t>Change in fair value</w:t>
            </w:r>
          </w:p>
        </w:tc>
        <w:tc>
          <w:tcPr>
            <w:tcW w:w="220" w:type="dxa"/>
            <w:vAlign w:val="bottom"/>
          </w:tcPr>
          <w:p>
            <w:pPr>
              <w:spacing w:after="0"/>
              <w:rPr>
                <w:sz w:val="23"/>
                <w:szCs w:val="23"/>
                <w:color w:val="auto"/>
              </w:rPr>
            </w:pPr>
          </w:p>
        </w:tc>
        <w:tc>
          <w:tcPr>
            <w:tcW w:w="2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(1,340)</w:t>
            </w:r>
          </w:p>
        </w:tc>
      </w:tr>
      <w:tr>
        <w:trPr>
          <w:trHeight w:val="270"/>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9,033</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w:t>
            </w:r>
          </w:p>
        </w:tc>
      </w:tr>
      <w:tr>
        <w:trPr>
          <w:trHeight w:val="21"/>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did not have any transfers between levels within the fair value hierarchy.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b w:val="1"/>
          <w:bCs w:val="1"/>
          <w:i w:val="1"/>
          <w:iCs w:val="1"/>
          <w:color w:val="auto"/>
        </w:rPr>
        <w:t xml:space="preserve">Purchase Commitment </w:t>
      </w:r>
      <w:r>
        <w:rPr>
          <w:rFonts w:ascii="Arial" w:cs="Arial" w:eastAsia="Arial" w:hAnsi="Arial"/>
          <w:sz w:val="16"/>
          <w:szCs w:val="16"/>
          <w:color w:val="auto"/>
        </w:rPr>
        <w:t>— In the normal course of business, the Company enters into various purchase commitments for goods and services.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2021, the non</w:t>
      </w:r>
      <w:r>
        <w:rPr>
          <w:rFonts w:ascii="MS PGothic" w:cs="MS PGothic" w:eastAsia="MS PGothic" w:hAnsi="MS PGothic"/>
          <w:sz w:val="16"/>
          <w:szCs w:val="16"/>
          <w:color w:val="auto"/>
        </w:rPr>
        <w:t>‑</w:t>
      </w:r>
      <w:r>
        <w:rPr>
          <w:rFonts w:ascii="Arial" w:cs="Arial" w:eastAsia="Arial" w:hAnsi="Arial"/>
          <w:sz w:val="16"/>
          <w:szCs w:val="16"/>
          <w:color w:val="auto"/>
        </w:rPr>
        <w:t>cancelable future cash purchase commitment for services related to the cloud provisioning of the Company’s software solutions was $59,700 through May 2023. The Company expects to fully consume its contractual commitment in the ordinary course of operations.</w:t>
      </w:r>
    </w:p>
    <w:p>
      <w:pPr>
        <w:spacing w:after="0" w:line="204"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b w:val="1"/>
          <w:bCs w:val="1"/>
          <w:i w:val="1"/>
          <w:iCs w:val="1"/>
          <w:color w:val="auto"/>
        </w:rPr>
        <w:t xml:space="preserve">Operating Leases </w:t>
      </w:r>
      <w:r>
        <w:rPr>
          <w:rFonts w:ascii="Arial" w:cs="Arial" w:eastAsia="Arial" w:hAnsi="Arial"/>
          <w:sz w:val="18"/>
          <w:szCs w:val="18"/>
          <w:color w:val="auto"/>
        </w:rPr>
        <w:t>— The Company leases certain facilities, automobiles, and equipment under operating leases having initial or remaining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cancelable terms in excess of one year (see Note 8).</w:t>
      </w: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From time to time, the Company is involved in certain legal actions arising in the ordinary course of business. In management’s opinion,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upon the advice of counsel, the outcome of such actions is not expected to have a material adverse effect on the Company’s future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Geographic Data</w:t>
      </w:r>
    </w:p>
    <w:p>
      <w:pPr>
        <w:spacing w:after="0" w:line="229" w:lineRule="exact"/>
        <w:rPr>
          <w:sz w:val="20"/>
          <w:szCs w:val="20"/>
          <w:color w:val="auto"/>
        </w:rPr>
      </w:pPr>
    </w:p>
    <w:p>
      <w:pPr>
        <w:jc w:val="both"/>
        <w:ind w:right="20" w:firstLine="324"/>
        <w:spacing w:after="0" w:line="223" w:lineRule="exact"/>
        <w:rPr>
          <w:sz w:val="20"/>
          <w:szCs w:val="20"/>
          <w:color w:val="auto"/>
        </w:rPr>
      </w:pPr>
      <w:r>
        <w:rPr>
          <w:rFonts w:ascii="Arial" w:cs="Arial" w:eastAsia="Arial" w:hAnsi="Arial"/>
          <w:sz w:val="18"/>
          <w:szCs w:val="18"/>
          <w:color w:val="auto"/>
        </w:rPr>
        <w:t>Revenues by geographic area are presented as part of the discussion in Note 3. The following table presents the Company’s long</w:t>
      </w:r>
      <w:r>
        <w:rPr>
          <w:rFonts w:ascii="MS PGothic" w:cs="MS PGothic" w:eastAsia="MS PGothic" w:hAnsi="MS PGothic"/>
          <w:sz w:val="18"/>
          <w:szCs w:val="18"/>
          <w:color w:val="auto"/>
        </w:rPr>
        <w:t>‑</w:t>
      </w:r>
      <w:r>
        <w:rPr>
          <w:rFonts w:ascii="Arial" w:cs="Arial" w:eastAsia="Arial" w:hAnsi="Arial"/>
          <w:sz w:val="18"/>
          <w:szCs w:val="18"/>
          <w:color w:val="auto"/>
        </w:rPr>
        <w:t>lived assets (other than goodwill), net of depreciation and amortization by geographic region (see Notes 5, 6, and 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174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 2020</w:t>
            </w:r>
          </w:p>
        </w:tc>
      </w:tr>
      <w:tr>
        <w:trPr>
          <w:trHeight w:val="212"/>
        </w:trPr>
        <w:tc>
          <w:tcPr>
            <w:tcW w:w="7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70"/>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23"/>
                <w:szCs w:val="23"/>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100,114</w:t>
            </w:r>
          </w:p>
        </w:tc>
        <w:tc>
          <w:tcPr>
            <w:tcW w:w="26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50,306</w:t>
            </w:r>
          </w:p>
        </w:tc>
      </w:tr>
      <w:tr>
        <w:trPr>
          <w:trHeight w:val="270"/>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48,285</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56,322</w:t>
            </w:r>
          </w:p>
        </w:tc>
      </w:tr>
      <w:tr>
        <w:trPr>
          <w:trHeight w:val="270"/>
        </w:trPr>
        <w:tc>
          <w:tcPr>
            <w:tcW w:w="71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APAC</w:t>
            </w: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182,813</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13,541</w:t>
            </w: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long-lived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331,212</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120,169</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r>
    </w:tbl>
    <w:p>
      <w:pPr>
        <w:spacing w:after="0" w:line="121"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Americas includes the U.S., Canada, and Latin America (including the Caribbean).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700"/>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20: Interest Expense,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net is comprised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580" w:type="dxa"/>
            <w:vAlign w:val="bottom"/>
            <w:gridSpan w:val="4"/>
          </w:tcPr>
          <w:p>
            <w:pPr>
              <w:jc w:val="right"/>
              <w:ind w:right="193"/>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ind w:left="560"/>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47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6"/>
                <w:szCs w:val="16"/>
                <w:b w:val="1"/>
                <w:bCs w:val="1"/>
                <w:color w:val="auto"/>
              </w:rPr>
              <w:t>September 30,</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w w:val="96"/>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(3,861)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(1,975)</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4"/>
              </w:rPr>
              <w:t>(8,844)</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236</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(3,836)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(1,934)</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4"/>
              </w:rPr>
              <w:t>(8,608)</w:t>
            </w: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Other (Expense) Income,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 income, net is comprised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0" w:type="dxa"/>
            <w:vAlign w:val="bottom"/>
            <w:gridSpan w:val="6"/>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82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3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470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Foreign exchange (loss) gain </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(2,446)</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8"/>
              </w:rPr>
              <w:t>8,567</w:t>
            </w:r>
          </w:p>
        </w:tc>
      </w:tr>
      <w:tr>
        <w:trPr>
          <w:trHeight w:val="229"/>
        </w:trPr>
        <w:tc>
          <w:tcPr>
            <w:tcW w:w="47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(2)</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9,996</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color w:val="auto"/>
                <w:w w:val="91"/>
              </w:rPr>
              <w:t>(1,811)</w:t>
            </w:r>
          </w:p>
        </w:tc>
      </w:tr>
      <w:tr>
        <w:trPr>
          <w:trHeight w:val="24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88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13,741</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center"/>
              <w:ind w:left="332"/>
              <w:spacing w:after="0"/>
              <w:rPr>
                <w:sz w:val="20"/>
                <w:szCs w:val="20"/>
                <w:color w:val="auto"/>
              </w:rPr>
            </w:pPr>
            <w:r>
              <w:rPr>
                <w:rFonts w:ascii="Arial" w:cs="Arial" w:eastAsia="Arial" w:hAnsi="Arial"/>
                <w:sz w:val="18"/>
                <w:szCs w:val="18"/>
                <w:color w:val="auto"/>
                <w:w w:val="88"/>
              </w:rPr>
              <w:t>6,756</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77"/>
        </w:trPr>
        <w:tc>
          <w:tcPr>
            <w:tcW w:w="3000" w:type="dxa"/>
            <w:vAlign w:val="bottom"/>
            <w:tcBorders>
              <w:bottom w:val="single" w:sz="8" w:color="auto"/>
            </w:tcBorders>
          </w:tcPr>
          <w:p>
            <w:pPr>
              <w:spacing w:after="0"/>
              <w:rPr>
                <w:sz w:val="15"/>
                <w:szCs w:val="15"/>
                <w:color w:val="auto"/>
              </w:rPr>
            </w:pPr>
          </w:p>
        </w:tc>
        <w:tc>
          <w:tcPr>
            <w:tcW w:w="1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134" w:lineRule="exact"/>
        <w:rPr>
          <w:sz w:val="20"/>
          <w:szCs w:val="20"/>
          <w:color w:val="auto"/>
        </w:rPr>
      </w:pPr>
    </w:p>
    <w:p>
      <w:pPr>
        <w:jc w:val="both"/>
        <w:ind w:left="340" w:hanging="332"/>
        <w:spacing w:after="0" w:line="279" w:lineRule="auto"/>
        <w:tabs>
          <w:tab w:leader="none" w:pos="334"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Foreign exchange (loss) gain is primarily attributable to foreign currency translation derived primarily from U.S. Dollar denominated cash and cash equivalents, account receivables, and intercompany balances held by foreign subsidiaries. Intercompany finance transactions denominated in U.S. Dollars resulted in unrealized foreign exchange (losses) gains of $(2,741) and $12,284 for the three months ended September 30, 2021 and 2020, respectively, $(1,298) and $10,519 for the nine months ended September 30, 2021 and 2020, respectively.</w:t>
      </w:r>
    </w:p>
    <w:p>
      <w:pPr>
        <w:spacing w:after="0" w:line="117" w:lineRule="exact"/>
        <w:rPr>
          <w:rFonts w:ascii="Arial" w:cs="Arial" w:eastAsia="Arial" w:hAnsi="Arial"/>
          <w:sz w:val="17"/>
          <w:szCs w:val="17"/>
          <w:color w:val="auto"/>
        </w:rPr>
      </w:pPr>
    </w:p>
    <w:p>
      <w:pPr>
        <w:jc w:val="both"/>
        <w:ind w:left="340" w:hanging="332"/>
        <w:spacing w:after="0" w:line="275" w:lineRule="auto"/>
        <w:tabs>
          <w:tab w:leader="none" w:pos="334" w:val="left"/>
        </w:tabs>
        <w:numPr>
          <w:ilvl w:val="0"/>
          <w:numId w:val="21"/>
        </w:numPr>
        <w:rPr>
          <w:rFonts w:ascii="Arial" w:cs="Arial" w:eastAsia="Arial" w:hAnsi="Arial"/>
          <w:sz w:val="17"/>
          <w:szCs w:val="17"/>
          <w:color w:val="212529"/>
        </w:rPr>
      </w:pPr>
      <w:r>
        <w:rPr>
          <w:rFonts w:ascii="Arial" w:cs="Arial" w:eastAsia="Arial" w:hAnsi="Arial"/>
          <w:sz w:val="17"/>
          <w:szCs w:val="17"/>
          <w:color w:val="auto"/>
        </w:rPr>
        <w:t>For the three months ended September 30, 2021 and 2020, other income (expense), net includes a gain from the change in fair value of the Company’s interest rate swap of $1,463 and $809, respectively (see Note 17). For the nine months ended September 30, 2021, other income (expense), net includes a gain from the change in fair value of the Company’s interest rate swap of $9,198 (see Note 17). For the nine months ended September 30, 2020, other income (expense), net includes a loss from the change in fair value of the Company’s interest rate swap of $3,365 (see Note 17), partially offset by a gain from the change in fair value of acquisition contingent consideration of $1,340.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Note 22: Realignment Costs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6"/>
          <w:szCs w:val="16"/>
          <w:color w:val="auto"/>
        </w:rPr>
        <w:t>During the third quarter of 2020, the Company initiated a strategic realignment program in order to better serve the Company’s users and to better align resources with the evolving needs of the business (the “2020 Program”). The Company incurred realignment costs of $10,046 for the year ended December 31, 2020 related to the aforementioned program, which represents termination benefits for colleagues whose positions were eliminated. The 2020 Program activities have been broadly implemented across the Company’s various businesses with substantially all actions completed in mid</w:t>
      </w:r>
      <w:r>
        <w:rPr>
          <w:rFonts w:ascii="MS PGothic" w:cs="MS PGothic" w:eastAsia="MS PGothic" w:hAnsi="MS PGothic"/>
          <w:sz w:val="16"/>
          <w:szCs w:val="16"/>
          <w:color w:val="auto"/>
        </w:rPr>
        <w:t>‑</w:t>
      </w:r>
      <w:r>
        <w:rPr>
          <w:rFonts w:ascii="Arial" w:cs="Arial" w:eastAsia="Arial" w:hAnsi="Arial"/>
          <w:sz w:val="16"/>
          <w:szCs w:val="16"/>
          <w:color w:val="auto"/>
        </w:rPr>
        <w:t>2021.</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Accruals and other current liabilities </w:t>
      </w:r>
      <w:r>
        <w:rPr>
          <w:rFonts w:ascii="Arial" w:cs="Arial" w:eastAsia="Arial" w:hAnsi="Arial"/>
          <w:sz w:val="18"/>
          <w:szCs w:val="18"/>
          <w:color w:val="auto"/>
        </w:rPr>
        <w:t>in the consolidated balance sheets included amounts related to the realignment activities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r>
      <w:tr>
        <w:trPr>
          <w:trHeight w:val="270"/>
        </w:trPr>
        <w:tc>
          <w:tcPr>
            <w:tcW w:w="9680" w:type="dxa"/>
            <w:vAlign w:val="bottom"/>
            <w:gridSpan w:val="2"/>
          </w:tcPr>
          <w:p>
            <w:pPr>
              <w:ind w:left="180"/>
              <w:spacing w:after="0"/>
              <w:rPr>
                <w:sz w:val="20"/>
                <w:szCs w:val="20"/>
                <w:color w:val="auto"/>
              </w:rPr>
            </w:pPr>
            <w:r>
              <w:rPr>
                <w:rFonts w:ascii="Arial" w:cs="Arial" w:eastAsia="Arial" w:hAnsi="Arial"/>
                <w:sz w:val="18"/>
                <w:szCs w:val="18"/>
                <w:color w:val="auto"/>
              </w:rPr>
              <w:t>Payments</w:t>
            </w: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(5,813)</w:t>
            </w:r>
          </w:p>
        </w:tc>
      </w:tr>
      <w:tr>
        <w:trPr>
          <w:trHeight w:val="270"/>
        </w:trPr>
        <w:tc>
          <w:tcPr>
            <w:tcW w:w="9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5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Balance, September 30, 2021</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1"/>
        </w:trPr>
        <w:tc>
          <w:tcPr>
            <w:tcW w:w="300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6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 Adjustments includes foreign currency translation.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Net (Loss) Income Per Share</w:t>
      </w:r>
    </w:p>
    <w:p>
      <w:pPr>
        <w:spacing w:after="0" w:line="229" w:lineRule="exact"/>
        <w:rPr>
          <w:sz w:val="20"/>
          <w:szCs w:val="20"/>
          <w:color w:val="auto"/>
        </w:rPr>
      </w:pPr>
    </w:p>
    <w:p>
      <w:pPr>
        <w:jc w:val="both"/>
        <w:ind w:right="20" w:firstLine="324"/>
        <w:spacing w:after="0" w:line="223" w:lineRule="exact"/>
        <w:rPr>
          <w:sz w:val="20"/>
          <w:szCs w:val="20"/>
          <w:color w:val="auto"/>
        </w:rPr>
      </w:pPr>
      <w:r>
        <w:rPr>
          <w:rFonts w:ascii="Arial" w:cs="Arial" w:eastAsia="Arial" w:hAnsi="Arial"/>
          <w:sz w:val="18"/>
          <w:szCs w:val="18"/>
          <w:color w:val="auto"/>
        </w:rPr>
        <w:t xml:space="preserve">Net (loss) income per share </w:t>
      </w:r>
      <w:r>
        <w:rPr>
          <w:rFonts w:ascii="Arial" w:cs="Arial" w:eastAsia="Arial" w:hAnsi="Arial"/>
          <w:sz w:val="18"/>
          <w:szCs w:val="18"/>
          <w:color w:val="212529"/>
        </w:rPr>
        <w:t>of Class A and Class B Common Stock</w:t>
      </w:r>
      <w:r>
        <w:rPr>
          <w:rFonts w:ascii="Arial" w:cs="Arial" w:eastAsia="Arial" w:hAnsi="Arial"/>
          <w:sz w:val="18"/>
          <w:szCs w:val="18"/>
          <w:color w:val="auto"/>
        </w:rPr>
        <w:t xml:space="preserve"> amounts are computed </w:t>
      </w:r>
      <w:r>
        <w:rPr>
          <w:rFonts w:ascii="Arial" w:cs="Arial" w:eastAsia="Arial" w:hAnsi="Arial"/>
          <w:sz w:val="18"/>
          <w:szCs w:val="18"/>
          <w:color w:val="212529"/>
        </w:rPr>
        <w:t>using the two</w:t>
      </w:r>
      <w:r>
        <w:rPr>
          <w:rFonts w:ascii="MS PGothic" w:cs="MS PGothic" w:eastAsia="MS PGothic" w:hAnsi="MS PGothic"/>
          <w:sz w:val="18"/>
          <w:szCs w:val="18"/>
          <w:color w:val="212529"/>
        </w:rPr>
        <w:t>‑</w:t>
      </w:r>
      <w:r>
        <w:rPr>
          <w:rFonts w:ascii="Arial" w:cs="Arial" w:eastAsia="Arial" w:hAnsi="Arial"/>
          <w:sz w:val="18"/>
          <w:szCs w:val="18"/>
          <w:color w:val="212529"/>
        </w:rPr>
        <w:t>class method required for participating</w:t>
      </w:r>
      <w:r>
        <w:rPr>
          <w:rFonts w:ascii="Arial" w:cs="Arial" w:eastAsia="Arial" w:hAnsi="Arial"/>
          <w:sz w:val="18"/>
          <w:szCs w:val="18"/>
          <w:color w:val="auto"/>
        </w:rPr>
        <w:t xml:space="preserve"> </w:t>
      </w:r>
      <w:r>
        <w:rPr>
          <w:rFonts w:ascii="Arial" w:cs="Arial" w:eastAsia="Arial" w:hAnsi="Arial"/>
          <w:sz w:val="18"/>
          <w:szCs w:val="18"/>
          <w:color w:val="212529"/>
        </w:rPr>
        <w:t xml:space="preserve">securities and using the </w:t>
      </w:r>
      <w:r>
        <w:rPr>
          <w:rFonts w:ascii="Arial" w:cs="Arial" w:eastAsia="Arial" w:hAnsi="Arial"/>
          <w:sz w:val="18"/>
          <w:szCs w:val="18"/>
          <w:color w:val="000000"/>
        </w:rPr>
        <w:t>if</w:t>
      </w:r>
      <w:r>
        <w:rPr>
          <w:rFonts w:ascii="MS PGothic" w:cs="MS PGothic" w:eastAsia="MS PGothic" w:hAnsi="MS PGothic"/>
          <w:sz w:val="18"/>
          <w:szCs w:val="18"/>
          <w:color w:val="000000"/>
        </w:rPr>
        <w:t>‑</w:t>
      </w:r>
      <w:r>
        <w:rPr>
          <w:rFonts w:ascii="Arial" w:cs="Arial" w:eastAsia="Arial" w:hAnsi="Arial"/>
          <w:sz w:val="18"/>
          <w:szCs w:val="18"/>
          <w:color w:val="000000"/>
        </w:rPr>
        <w:t>converted method for the convertible senior notes</w:t>
      </w:r>
      <w:r>
        <w:rPr>
          <w:rFonts w:ascii="Arial" w:cs="Arial" w:eastAsia="Arial" w:hAnsi="Arial"/>
          <w:sz w:val="18"/>
          <w:szCs w:val="18"/>
          <w:color w:val="212529"/>
        </w:rPr>
        <w:t xml:space="preserve"> i</w:t>
      </w:r>
      <w:r>
        <w:rPr>
          <w:rFonts w:ascii="Arial" w:cs="Arial" w:eastAsia="Arial" w:hAnsi="Arial"/>
          <w:sz w:val="18"/>
          <w:szCs w:val="18"/>
          <w:color w:val="000000"/>
        </w:rPr>
        <w:t>n accordance with ASU 2020</w:t>
      </w:r>
      <w:r>
        <w:rPr>
          <w:rFonts w:ascii="MS PGothic" w:cs="MS PGothic" w:eastAsia="MS PGothic" w:hAnsi="MS PGothic"/>
          <w:sz w:val="18"/>
          <w:szCs w:val="18"/>
          <w:color w:val="000000"/>
        </w:rPr>
        <w:t>‑</w:t>
      </w:r>
      <w:r>
        <w:rPr>
          <w:rFonts w:ascii="Arial" w:cs="Arial" w:eastAsia="Arial" w:hAnsi="Arial"/>
          <w:sz w:val="18"/>
          <w:szCs w:val="18"/>
          <w:color w:val="000000"/>
        </w:rPr>
        <w:t>06</w:t>
      </w:r>
      <w:r>
        <w:rPr>
          <w:rFonts w:ascii="Arial" w:cs="Arial" w:eastAsia="Arial" w:hAnsi="Arial"/>
          <w:sz w:val="18"/>
          <w:szCs w:val="18"/>
          <w:color w:val="212529"/>
        </w:rPr>
        <w:t>.</w:t>
      </w: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12529"/>
        </w:rPr>
        <w:t xml:space="preserve">The Company issues certain restricted stock awards determined to be participating securities because holders of such shares have non-forfeitable dividend rights in the event of the Company’s declaration of a dividend for common shares. As of </w:t>
      </w:r>
      <w:r>
        <w:rPr>
          <w:rFonts w:ascii="Arial" w:cs="Arial" w:eastAsia="Arial" w:hAnsi="Arial"/>
          <w:sz w:val="18"/>
          <w:szCs w:val="18"/>
          <w:color w:val="000000"/>
        </w:rPr>
        <w:t>September 30, 2021 and 2020</w:t>
      </w:r>
      <w:r>
        <w:rPr>
          <w:rFonts w:ascii="Arial" w:cs="Arial" w:eastAsia="Arial" w:hAnsi="Arial"/>
          <w:sz w:val="18"/>
          <w:szCs w:val="18"/>
          <w:color w:val="212529"/>
        </w:rPr>
        <w:t>, there were 99,683 and 148,087 participating securities outstanding, respectively.</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12529"/>
        </w:rPr>
        <w:t xml:space="preserve">Undistributed net </w:t>
      </w:r>
      <w:r>
        <w:rPr>
          <w:rFonts w:ascii="Arial" w:cs="Arial" w:eastAsia="Arial" w:hAnsi="Arial"/>
          <w:sz w:val="18"/>
          <w:szCs w:val="18"/>
          <w:color w:val="000000"/>
        </w:rPr>
        <w:t>(loss) income</w:t>
      </w:r>
      <w:r>
        <w:rPr>
          <w:rFonts w:ascii="Arial" w:cs="Arial" w:eastAsia="Arial" w:hAnsi="Arial"/>
          <w:sz w:val="18"/>
          <w:szCs w:val="18"/>
          <w:color w:val="212529"/>
        </w:rPr>
        <w:t xml:space="preserve"> allocated to participating securities are subtracted from net </w:t>
      </w:r>
      <w:r>
        <w:rPr>
          <w:rFonts w:ascii="Arial" w:cs="Arial" w:eastAsia="Arial" w:hAnsi="Arial"/>
          <w:sz w:val="18"/>
          <w:szCs w:val="18"/>
          <w:color w:val="000000"/>
        </w:rPr>
        <w:t>(loss) income</w:t>
      </w:r>
      <w:r>
        <w:rPr>
          <w:rFonts w:ascii="Arial" w:cs="Arial" w:eastAsia="Arial" w:hAnsi="Arial"/>
          <w:sz w:val="18"/>
          <w:szCs w:val="18"/>
          <w:color w:val="212529"/>
        </w:rPr>
        <w:t xml:space="preserve"> in determining basic net </w:t>
      </w:r>
      <w:r>
        <w:rPr>
          <w:rFonts w:ascii="Arial" w:cs="Arial" w:eastAsia="Arial" w:hAnsi="Arial"/>
          <w:sz w:val="18"/>
          <w:szCs w:val="18"/>
          <w:color w:val="000000"/>
        </w:rPr>
        <w:t>(loss) income</w:t>
      </w:r>
      <w:r>
        <w:rPr>
          <w:rFonts w:ascii="Arial" w:cs="Arial" w:eastAsia="Arial" w:hAnsi="Arial"/>
          <w:sz w:val="18"/>
          <w:szCs w:val="18"/>
          <w:color w:val="212529"/>
        </w:rPr>
        <w:t xml:space="preserve"> attributable to common stockholders. Basic </w:t>
      </w:r>
      <w:r>
        <w:rPr>
          <w:rFonts w:ascii="Arial" w:cs="Arial" w:eastAsia="Arial" w:hAnsi="Arial"/>
          <w:sz w:val="18"/>
          <w:szCs w:val="18"/>
          <w:color w:val="000000"/>
        </w:rPr>
        <w:t>net (loss) income per share</w:t>
      </w:r>
      <w:r>
        <w:rPr>
          <w:rFonts w:ascii="Arial" w:cs="Arial" w:eastAsia="Arial" w:hAnsi="Arial"/>
          <w:sz w:val="18"/>
          <w:szCs w:val="18"/>
          <w:color w:val="212529"/>
        </w:rPr>
        <w:t xml:space="preserve"> is computed by dividing basic net </w:t>
      </w:r>
      <w:r>
        <w:rPr>
          <w:rFonts w:ascii="Arial" w:cs="Arial" w:eastAsia="Arial" w:hAnsi="Arial"/>
          <w:sz w:val="18"/>
          <w:szCs w:val="18"/>
          <w:color w:val="000000"/>
        </w:rPr>
        <w:t>(loss) income</w:t>
      </w:r>
      <w:r>
        <w:rPr>
          <w:rFonts w:ascii="Arial" w:cs="Arial" w:eastAsia="Arial" w:hAnsi="Arial"/>
          <w:sz w:val="18"/>
          <w:szCs w:val="18"/>
          <w:color w:val="212529"/>
        </w:rPr>
        <w:t xml:space="preserve"> attributable to common stockholders by the weighted average number of shares</w:t>
      </w:r>
      <w:r>
        <w:rPr>
          <w:rFonts w:ascii="Arial" w:cs="Arial" w:eastAsia="Arial" w:hAnsi="Arial"/>
          <w:sz w:val="18"/>
          <w:szCs w:val="18"/>
          <w:color w:val="000000"/>
        </w:rPr>
        <w:t>, inclusive of undistributed shares held in the DCP as phantom shares of the Company’s Class B</w:t>
      </w:r>
      <w:r>
        <w:rPr>
          <w:rFonts w:ascii="Arial" w:cs="Arial" w:eastAsia="Arial" w:hAnsi="Arial"/>
          <w:sz w:val="18"/>
          <w:szCs w:val="18"/>
          <w:color w:val="212529"/>
        </w:rPr>
        <w:t xml:space="preserve"> </w:t>
      </w:r>
      <w:r>
        <w:rPr>
          <w:rFonts w:ascii="Arial" w:cs="Arial" w:eastAsia="Arial" w:hAnsi="Arial"/>
          <w:sz w:val="18"/>
          <w:szCs w:val="18"/>
          <w:color w:val="000000"/>
        </w:rPr>
        <w:t>Common Stock</w:t>
      </w:r>
      <w:r>
        <w:rPr>
          <w:rFonts w:ascii="Arial" w:cs="Arial" w:eastAsia="Arial" w:hAnsi="Arial"/>
          <w:sz w:val="18"/>
          <w:szCs w:val="18"/>
          <w:color w:val="212529"/>
        </w:rPr>
        <w:t>.</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12529"/>
        </w:rPr>
        <w:t xml:space="preserve">For the Company’s diluted </w:t>
      </w:r>
      <w:r>
        <w:rPr>
          <w:rFonts w:ascii="Arial" w:cs="Arial" w:eastAsia="Arial" w:hAnsi="Arial"/>
          <w:sz w:val="18"/>
          <w:szCs w:val="18"/>
          <w:color w:val="000000"/>
        </w:rPr>
        <w:t>net (loss) income per share</w:t>
      </w:r>
      <w:r>
        <w:rPr>
          <w:rFonts w:ascii="Arial" w:cs="Arial" w:eastAsia="Arial" w:hAnsi="Arial"/>
          <w:sz w:val="18"/>
          <w:szCs w:val="18"/>
          <w:color w:val="212529"/>
        </w:rPr>
        <w:t xml:space="preserve"> numerator, interest expense, net of tax, attributable to the conversion of the </w:t>
      </w:r>
      <w:r>
        <w:rPr>
          <w:rFonts w:ascii="Arial" w:cs="Arial" w:eastAsia="Arial" w:hAnsi="Arial"/>
          <w:sz w:val="18"/>
          <w:szCs w:val="18"/>
          <w:color w:val="000000"/>
        </w:rPr>
        <w:t>convertible senior</w:t>
      </w:r>
      <w:r>
        <w:rPr>
          <w:rFonts w:ascii="Arial" w:cs="Arial" w:eastAsia="Arial" w:hAnsi="Arial"/>
          <w:sz w:val="18"/>
          <w:szCs w:val="18"/>
          <w:color w:val="212529"/>
        </w:rPr>
        <w:t xml:space="preserve"> </w:t>
      </w:r>
      <w:r>
        <w:rPr>
          <w:rFonts w:ascii="Arial" w:cs="Arial" w:eastAsia="Arial" w:hAnsi="Arial"/>
          <w:sz w:val="18"/>
          <w:szCs w:val="18"/>
          <w:color w:val="000000"/>
        </w:rPr>
        <w:t xml:space="preserve">notes </w:t>
      </w:r>
      <w:r>
        <w:rPr>
          <w:rFonts w:ascii="Arial" w:cs="Arial" w:eastAsia="Arial" w:hAnsi="Arial"/>
          <w:sz w:val="18"/>
          <w:szCs w:val="18"/>
          <w:color w:val="212529"/>
        </w:rPr>
        <w:t>is added back to basic net</w:t>
      </w:r>
      <w:r>
        <w:rPr>
          <w:rFonts w:ascii="Arial" w:cs="Arial" w:eastAsia="Arial" w:hAnsi="Arial"/>
          <w:sz w:val="18"/>
          <w:szCs w:val="18"/>
          <w:color w:val="000000"/>
        </w:rPr>
        <w:t xml:space="preserve"> (loss) income </w:t>
      </w:r>
      <w:r>
        <w:rPr>
          <w:rFonts w:ascii="Arial" w:cs="Arial" w:eastAsia="Arial" w:hAnsi="Arial"/>
          <w:sz w:val="18"/>
          <w:szCs w:val="18"/>
          <w:color w:val="212529"/>
        </w:rPr>
        <w:t>attributable to common stockholders. For the Company’s diluted</w:t>
      </w:r>
      <w:r>
        <w:rPr>
          <w:rFonts w:ascii="Arial" w:cs="Arial" w:eastAsia="Arial" w:hAnsi="Arial"/>
          <w:sz w:val="18"/>
          <w:szCs w:val="18"/>
          <w:color w:val="000000"/>
        </w:rPr>
        <w:t xml:space="preserve"> net (loss) income per share </w:t>
      </w:r>
      <w:r>
        <w:rPr>
          <w:rFonts w:ascii="Arial" w:cs="Arial" w:eastAsia="Arial" w:hAnsi="Arial"/>
          <w:sz w:val="18"/>
          <w:szCs w:val="18"/>
          <w:color w:val="212529"/>
        </w:rPr>
        <w:t>denominator, the</w:t>
      </w:r>
      <w:r>
        <w:rPr>
          <w:rFonts w:ascii="Arial" w:cs="Arial" w:eastAsia="Arial" w:hAnsi="Arial"/>
          <w:sz w:val="18"/>
          <w:szCs w:val="18"/>
          <w:color w:val="000000"/>
        </w:rPr>
        <w:t xml:space="preserve"> </w:t>
      </w:r>
      <w:r>
        <w:rPr>
          <w:rFonts w:ascii="Arial" w:cs="Arial" w:eastAsia="Arial" w:hAnsi="Arial"/>
          <w:sz w:val="18"/>
          <w:szCs w:val="18"/>
          <w:color w:val="212529"/>
        </w:rPr>
        <w:t xml:space="preserve">basic weighted average number of shares is adjusted by the effect of dilutive securities, including awards under the Company’s equity compensation plans and ESPP, and by the dilutive </w:t>
      </w:r>
      <w:r>
        <w:rPr>
          <w:rFonts w:ascii="Arial" w:cs="Arial" w:eastAsia="Arial" w:hAnsi="Arial"/>
          <w:sz w:val="18"/>
          <w:szCs w:val="18"/>
          <w:color w:val="000000"/>
        </w:rPr>
        <w:t>effect of the assumed conversion of the convertible senior notes.</w:t>
      </w:r>
      <w:r>
        <w:rPr>
          <w:rFonts w:ascii="Arial" w:cs="Arial" w:eastAsia="Arial" w:hAnsi="Arial"/>
          <w:sz w:val="18"/>
          <w:szCs w:val="18"/>
          <w:color w:val="212529"/>
        </w:rPr>
        <w:t xml:space="preserve"> Diluted </w:t>
      </w:r>
      <w:r>
        <w:rPr>
          <w:rFonts w:ascii="Arial" w:cs="Arial" w:eastAsia="Arial" w:hAnsi="Arial"/>
          <w:sz w:val="18"/>
          <w:szCs w:val="18"/>
          <w:color w:val="000000"/>
        </w:rPr>
        <w:t>net (loss) income per share</w:t>
      </w:r>
      <w:r>
        <w:rPr>
          <w:rFonts w:ascii="Arial" w:cs="Arial" w:eastAsia="Arial" w:hAnsi="Arial"/>
          <w:sz w:val="18"/>
          <w:szCs w:val="18"/>
          <w:color w:val="212529"/>
        </w:rPr>
        <w:t xml:space="preserve"> attributable to common stockholders is computed by dividing diluted net </w:t>
      </w:r>
      <w:r>
        <w:rPr>
          <w:rFonts w:ascii="Arial" w:cs="Arial" w:eastAsia="Arial" w:hAnsi="Arial"/>
          <w:sz w:val="18"/>
          <w:szCs w:val="18"/>
          <w:color w:val="000000"/>
        </w:rPr>
        <w:t>(loss) income</w:t>
      </w:r>
      <w:r>
        <w:rPr>
          <w:rFonts w:ascii="Arial" w:cs="Arial" w:eastAsia="Arial" w:hAnsi="Arial"/>
          <w:sz w:val="18"/>
          <w:szCs w:val="18"/>
          <w:color w:val="212529"/>
        </w:rPr>
        <w:t xml:space="preserve"> attributable to common stockholders by the weighted average number of fully diluted common shares.</w:t>
      </w:r>
    </w:p>
    <w:p>
      <w:pPr>
        <w:spacing w:after="0" w:line="192"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net (loss) income per share would not differ under the two</w:t>
      </w:r>
      <w:r>
        <w:rPr>
          <w:rFonts w:ascii="MS PGothic" w:cs="MS PGothic" w:eastAsia="MS PGothic" w:hAnsi="MS PGothic"/>
          <w:sz w:val="18"/>
          <w:szCs w:val="18"/>
          <w:color w:val="auto"/>
        </w:rPr>
        <w:t>‑</w:t>
      </w:r>
      <w:r>
        <w:rPr>
          <w:rFonts w:ascii="Arial" w:cs="Arial" w:eastAsia="Arial" w:hAnsi="Arial"/>
          <w:sz w:val="18"/>
          <w:szCs w:val="18"/>
          <w:color w:val="auto"/>
        </w:rPr>
        <w:t>class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color w:val="auto"/>
        </w:rPr>
        <w:t>The details of basic and diluted net (loss) income per share are as follows</w:t>
      </w:r>
      <w:r>
        <w:rPr>
          <w:rFonts w:ascii="Arial" w:cs="Arial" w:eastAsia="Arial" w:hAnsi="Arial"/>
          <w:sz w:val="18"/>
          <w:szCs w:val="18"/>
          <w:color w:val="212529"/>
        </w:rPr>
        <w: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98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ind w:left="980"/>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95"/>
              </w:rPr>
              <w:t>2020</w:t>
            </w:r>
          </w:p>
        </w:tc>
      </w:tr>
      <w:tr>
        <w:trPr>
          <w:trHeight w:val="212"/>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70"/>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Net (loss)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(50,128)</w:t>
            </w:r>
          </w:p>
        </w:tc>
        <w:tc>
          <w:tcPr>
            <w:tcW w:w="480" w:type="dxa"/>
            <w:vAlign w:val="bottom"/>
          </w:tcPr>
          <w:p>
            <w:pPr>
              <w:spacing w:after="0"/>
              <w:rPr>
                <w:sz w:val="23"/>
                <w:szCs w:val="23"/>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5,844</w:t>
            </w:r>
          </w:p>
        </w:tc>
        <w:tc>
          <w:tcPr>
            <w:tcW w:w="2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51,788</w:t>
            </w:r>
          </w:p>
        </w:tc>
        <w:tc>
          <w:tcPr>
            <w:tcW w:w="220" w:type="dxa"/>
            <w:vAlign w:val="bottom"/>
          </w:tcPr>
          <w:p>
            <w:pPr>
              <w:spacing w:after="0"/>
              <w:rPr>
                <w:sz w:val="23"/>
                <w:szCs w:val="23"/>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74,589</w:t>
            </w:r>
          </w:p>
        </w:tc>
      </w:tr>
      <w:tr>
        <w:trPr>
          <w:trHeight w:val="229"/>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Net (loss) income attributable to</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4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participating securities</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4060" w:type="dxa"/>
            <w:vAlign w:val="bottom"/>
            <w:gridSpan w:val="2"/>
          </w:tcPr>
          <w:p>
            <w:pPr>
              <w:ind w:left="360"/>
              <w:spacing w:after="0"/>
              <w:rPr>
                <w:sz w:val="20"/>
                <w:szCs w:val="20"/>
                <w:color w:val="auto"/>
              </w:rPr>
            </w:pPr>
            <w:r>
              <w:rPr>
                <w:rFonts w:ascii="Arial" w:cs="Arial" w:eastAsia="Arial" w:hAnsi="Arial"/>
                <w:sz w:val="18"/>
                <w:szCs w:val="18"/>
                <w:color w:val="auto"/>
              </w:rPr>
              <w:t>Net (loss) income attributable to Class A and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7"/>
        </w:trPr>
        <w:tc>
          <w:tcPr>
            <w:tcW w:w="4060" w:type="dxa"/>
            <w:vAlign w:val="bottom"/>
            <w:gridSpan w:val="2"/>
          </w:tcPr>
          <w:p>
            <w:pPr>
              <w:ind w:left="520"/>
              <w:spacing w:after="0"/>
              <w:rPr>
                <w:sz w:val="20"/>
                <w:szCs w:val="20"/>
                <w:color w:val="auto"/>
              </w:rPr>
            </w:pPr>
            <w:r>
              <w:rPr>
                <w:rFonts w:ascii="Arial" w:cs="Arial" w:eastAsia="Arial" w:hAnsi="Arial"/>
                <w:sz w:val="18"/>
                <w:szCs w:val="18"/>
                <w:color w:val="auto"/>
              </w:rPr>
              <w:t>Class B common stockholders, basic</w:t>
            </w: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(50,131)</w:t>
            </w: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5,840</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51,782</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74,585</w:t>
            </w:r>
          </w:p>
        </w:tc>
      </w:tr>
      <w:tr>
        <w:trPr>
          <w:trHeight w:val="229"/>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 Interest expense, net of tax, attributable to</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57"/>
        </w:trPr>
        <w:tc>
          <w:tcPr>
            <w:tcW w:w="4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6"/>
              </w:rPr>
              <w:t>assumed conversion of convertible senior notes</w:t>
            </w:r>
          </w:p>
        </w:tc>
        <w:tc>
          <w:tcPr>
            <w:tcW w:w="34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ind w:left="980"/>
              <w:spacing w:after="0" w:line="258"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1"/>
                <w:szCs w:val="11"/>
                <w:color w:val="auto"/>
              </w:rPr>
              <w:t xml:space="preserve"> (1)</w:t>
            </w:r>
          </w:p>
        </w:tc>
        <w:tc>
          <w:tcPr>
            <w:tcW w:w="5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060" w:type="dxa"/>
            <w:vAlign w:val="bottom"/>
            <w:gridSpan w:val="2"/>
          </w:tcPr>
          <w:p>
            <w:pPr>
              <w:ind w:left="360"/>
              <w:spacing w:after="0"/>
              <w:rPr>
                <w:sz w:val="20"/>
                <w:szCs w:val="20"/>
                <w:color w:val="auto"/>
              </w:rPr>
            </w:pPr>
            <w:r>
              <w:rPr>
                <w:rFonts w:ascii="Arial" w:cs="Arial" w:eastAsia="Arial" w:hAnsi="Arial"/>
                <w:sz w:val="18"/>
                <w:szCs w:val="18"/>
                <w:color w:val="auto"/>
              </w:rPr>
              <w:t>Net (loss) income attributable to Class A and</w:t>
            </w: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30"/>
        </w:trPr>
        <w:tc>
          <w:tcPr>
            <w:tcW w:w="4060" w:type="dxa"/>
            <w:vAlign w:val="bottom"/>
            <w:gridSpan w:val="2"/>
          </w:tcPr>
          <w:p>
            <w:pPr>
              <w:ind w:left="520"/>
              <w:spacing w:after="0"/>
              <w:rPr>
                <w:sz w:val="20"/>
                <w:szCs w:val="20"/>
                <w:color w:val="auto"/>
              </w:rPr>
            </w:pPr>
            <w:r>
              <w:rPr>
                <w:rFonts w:ascii="Arial" w:cs="Arial" w:eastAsia="Arial" w:hAnsi="Arial"/>
                <w:sz w:val="18"/>
                <w:szCs w:val="18"/>
                <w:color w:val="auto"/>
              </w:rPr>
              <w:t>Class B common stockholders, diluted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(50,131)</w:t>
            </w:r>
          </w:p>
        </w:tc>
        <w:tc>
          <w:tcPr>
            <w:tcW w:w="480" w:type="dxa"/>
            <w:vAlign w:val="bottom"/>
          </w:tcPr>
          <w:p>
            <w:pPr>
              <w:spacing w:after="0"/>
              <w:rPr>
                <w:sz w:val="20"/>
                <w:szCs w:val="20"/>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2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51,782</w:t>
            </w:r>
          </w:p>
        </w:tc>
        <w:tc>
          <w:tcPr>
            <w:tcW w:w="22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74,585</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3"/>
        </w:trPr>
        <w:tc>
          <w:tcPr>
            <w:tcW w:w="30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0"/>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Weighted average shares, basic</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308,195,379</w:t>
            </w:r>
          </w:p>
        </w:tc>
        <w:tc>
          <w:tcPr>
            <w:tcW w:w="4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289,318,391</w:t>
            </w: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305,119,985</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287,063,892</w:t>
            </w:r>
          </w:p>
        </w:tc>
      </w:tr>
      <w:tr>
        <w:trPr>
          <w:trHeight w:val="229"/>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Dilutive effect of stock options, restricted stock,</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7"/>
        </w:trPr>
        <w:tc>
          <w:tcPr>
            <w:tcW w:w="4060" w:type="dxa"/>
            <w:vAlign w:val="bottom"/>
            <w:gridSpan w:val="2"/>
          </w:tcPr>
          <w:p>
            <w:pPr>
              <w:ind w:left="360"/>
              <w:spacing w:after="0"/>
              <w:rPr>
                <w:sz w:val="20"/>
                <w:szCs w:val="20"/>
                <w:color w:val="auto"/>
              </w:rPr>
            </w:pPr>
            <w:r>
              <w:rPr>
                <w:rFonts w:ascii="Arial" w:cs="Arial" w:eastAsia="Arial" w:hAnsi="Arial"/>
                <w:sz w:val="18"/>
                <w:szCs w:val="18"/>
                <w:color w:val="auto"/>
              </w:rPr>
              <w:t>and RSUs</w:t>
            </w:r>
          </w:p>
        </w:tc>
        <w:tc>
          <w:tcPr>
            <w:tcW w:w="340" w:type="dxa"/>
            <w:vAlign w:val="bottom"/>
          </w:tcPr>
          <w:p>
            <w:pPr>
              <w:spacing w:after="0"/>
              <w:rPr>
                <w:sz w:val="22"/>
                <w:szCs w:val="22"/>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10,316,570</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9,430,643</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10,187,457</w:t>
            </w:r>
          </w:p>
        </w:tc>
      </w:tr>
      <w:tr>
        <w:trPr>
          <w:trHeight w:val="270"/>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Dilutive effect of ESPP</w:t>
            </w:r>
          </w:p>
        </w:tc>
        <w:tc>
          <w:tcPr>
            <w:tcW w:w="3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107,508</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gridSpan w:val="2"/>
          </w:tcPr>
          <w:p>
            <w:pPr>
              <w:ind w:left="180"/>
              <w:spacing w:after="0"/>
              <w:rPr>
                <w:sz w:val="20"/>
                <w:szCs w:val="20"/>
                <w:color w:val="auto"/>
              </w:rPr>
            </w:pPr>
            <w:r>
              <w:rPr>
                <w:rFonts w:ascii="Arial" w:cs="Arial" w:eastAsia="Arial" w:hAnsi="Arial"/>
                <w:sz w:val="18"/>
                <w:szCs w:val="18"/>
                <w:color w:val="auto"/>
              </w:rPr>
              <w:t>Dilutive effect of assumed conversion of</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7"/>
        </w:trPr>
        <w:tc>
          <w:tcPr>
            <w:tcW w:w="4060" w:type="dxa"/>
            <w:vAlign w:val="bottom"/>
            <w:gridSpan w:val="2"/>
          </w:tcPr>
          <w:p>
            <w:pPr>
              <w:ind w:left="360"/>
              <w:spacing w:after="0"/>
              <w:rPr>
                <w:sz w:val="20"/>
                <w:szCs w:val="20"/>
                <w:color w:val="auto"/>
              </w:rPr>
            </w:pPr>
            <w:r>
              <w:rPr>
                <w:rFonts w:ascii="Arial" w:cs="Arial" w:eastAsia="Arial" w:hAnsi="Arial"/>
                <w:sz w:val="18"/>
                <w:szCs w:val="18"/>
                <w:color w:val="auto"/>
              </w:rPr>
              <w:t>convertible senior notes</w:t>
            </w:r>
          </w:p>
        </w:tc>
        <w:tc>
          <w:tcPr>
            <w:tcW w:w="340" w:type="dxa"/>
            <w:vAlign w:val="bottom"/>
          </w:tcPr>
          <w:p>
            <w:pPr>
              <w:spacing w:after="0"/>
              <w:rPr>
                <w:sz w:val="22"/>
                <w:szCs w:val="22"/>
                <w:color w:val="auto"/>
              </w:rPr>
            </w:pPr>
          </w:p>
        </w:tc>
        <w:tc>
          <w:tcPr>
            <w:tcW w:w="17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0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308,195,379</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299,634,961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314,658,136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297,251,349</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5"/>
        </w:trPr>
        <w:tc>
          <w:tcPr>
            <w:tcW w:w="4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per share, 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0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Net (loss) income per share, diluted</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48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2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220" w:type="dxa"/>
            <w:vAlign w:val="bottom"/>
          </w:tcPr>
          <w:p>
            <w:pPr>
              <w:spacing w:after="0"/>
              <w:rPr>
                <w:sz w:val="17"/>
                <w:szCs w:val="17"/>
                <w:color w:val="auto"/>
              </w:rPr>
            </w:pPr>
          </w:p>
        </w:tc>
        <w:tc>
          <w:tcPr>
            <w:tcW w:w="58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0.25</w:t>
            </w:r>
          </w:p>
        </w:tc>
      </w:tr>
      <w:tr>
        <w:trPr>
          <w:trHeight w:val="20"/>
        </w:trPr>
        <w:tc>
          <w:tcPr>
            <w:tcW w:w="3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121" w:lineRule="exact"/>
        <w:rPr>
          <w:sz w:val="20"/>
          <w:szCs w:val="20"/>
          <w:color w:val="auto"/>
        </w:rPr>
      </w:pPr>
    </w:p>
    <w:p>
      <w:pPr>
        <w:ind w:left="340" w:hanging="332"/>
        <w:spacing w:after="0" w:line="277"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interest expense, net of tax, attributable to assumed conversion of convertible senior notes for the three months ended September 30, 2021 has been excluded from the calculation of diluted net loss per share due to the net loss for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5" w:name="page46"/>
    <w:bookmarkEnd w:id="45"/>
    <w:p>
      <w:pPr>
        <w:ind w:firstLine="324"/>
        <w:spacing w:after="0" w:line="223" w:lineRule="exact"/>
        <w:rPr>
          <w:sz w:val="20"/>
          <w:szCs w:val="20"/>
          <w:color w:val="auto"/>
        </w:rPr>
      </w:pPr>
      <w:r>
        <w:rPr>
          <w:rFonts w:ascii="Arial" w:cs="Arial" w:eastAsia="Arial" w:hAnsi="Arial"/>
          <w:sz w:val="18"/>
          <w:szCs w:val="18"/>
          <w:color w:val="auto"/>
        </w:rPr>
        <w:t>The following potential common shares were excluded from the calculation of diluted net (loss) income per share attributable to common stockholders because their effect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40" w:type="dxa"/>
            <w:vAlign w:val="bottom"/>
            <w:gridSpan w:val="3"/>
          </w:tcPr>
          <w:p>
            <w:pPr>
              <w:jc w:val="center"/>
              <w:ind w:left="874"/>
              <w:spacing w:after="0"/>
              <w:rPr>
                <w:sz w:val="20"/>
                <w:szCs w:val="20"/>
                <w:color w:val="auto"/>
              </w:rPr>
            </w:pPr>
            <w:r>
              <w:rPr>
                <w:rFonts w:ascii="Arial" w:cs="Arial" w:eastAsia="Arial" w:hAnsi="Arial"/>
                <w:sz w:val="16"/>
                <w:szCs w:val="16"/>
                <w:b w:val="1"/>
                <w:bCs w:val="1"/>
                <w:color w:val="auto"/>
                <w:w w:val="92"/>
              </w:rPr>
              <w:t>Three Months Ended</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3"/>
          </w:tcPr>
          <w:p>
            <w:pPr>
              <w:jc w:val="center"/>
              <w:ind w:left="834"/>
              <w:spacing w:after="0"/>
              <w:rPr>
                <w:sz w:val="20"/>
                <w:szCs w:val="20"/>
                <w:color w:val="auto"/>
              </w:rPr>
            </w:pPr>
            <w:r>
              <w:rPr>
                <w:rFonts w:ascii="Arial" w:cs="Arial" w:eastAsia="Arial" w:hAnsi="Arial"/>
                <w:sz w:val="16"/>
                <w:szCs w:val="16"/>
                <w:b w:val="1"/>
                <w:bCs w:val="1"/>
                <w:color w:val="auto"/>
                <w:w w:val="92"/>
              </w:rPr>
              <w:t>Nine Months Ended</w:t>
            </w:r>
          </w:p>
        </w:tc>
        <w:tc>
          <w:tcPr>
            <w:tcW w:w="92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540" w:type="dxa"/>
            <w:vAlign w:val="bottom"/>
            <w:tcBorders>
              <w:bottom w:val="single" w:sz="8" w:color="auto"/>
            </w:tcBorders>
            <w:gridSpan w:val="3"/>
          </w:tcPr>
          <w:p>
            <w:pPr>
              <w:jc w:val="center"/>
              <w:ind w:left="874"/>
              <w:spacing w:after="0"/>
              <w:rPr>
                <w:sz w:val="20"/>
                <w:szCs w:val="20"/>
                <w:color w:val="auto"/>
              </w:rPr>
            </w:pPr>
            <w:r>
              <w:rPr>
                <w:rFonts w:ascii="Arial" w:cs="Arial" w:eastAsia="Arial" w:hAnsi="Arial"/>
                <w:sz w:val="16"/>
                <w:szCs w:val="16"/>
                <w:b w:val="1"/>
                <w:bCs w:val="1"/>
                <w:color w:val="auto"/>
                <w:w w:val="89"/>
              </w:rPr>
              <w:t>September 30,</w:t>
            </w:r>
          </w:p>
        </w:tc>
        <w:tc>
          <w:tcPr>
            <w:tcW w:w="9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tcBorders>
              <w:bottom w:val="single" w:sz="8" w:color="auto"/>
            </w:tcBorders>
            <w:gridSpan w:val="3"/>
          </w:tcPr>
          <w:p>
            <w:pPr>
              <w:jc w:val="center"/>
              <w:ind w:left="834"/>
              <w:spacing w:after="0"/>
              <w:rPr>
                <w:sz w:val="20"/>
                <w:szCs w:val="20"/>
                <w:color w:val="auto"/>
              </w:rPr>
            </w:pPr>
            <w:r>
              <w:rPr>
                <w:rFonts w:ascii="Arial" w:cs="Arial" w:eastAsia="Arial" w:hAnsi="Arial"/>
                <w:sz w:val="16"/>
                <w:szCs w:val="16"/>
                <w:b w:val="1"/>
                <w:bCs w:val="1"/>
                <w:color w:val="auto"/>
                <w:w w:val="89"/>
              </w:rPr>
              <w:t>September 30,</w:t>
            </w:r>
          </w:p>
        </w:tc>
        <w:tc>
          <w:tcPr>
            <w:tcW w:w="920" w:type="dxa"/>
            <w:vAlign w:val="bottom"/>
            <w:tcBorders>
              <w:bottom w:val="single" w:sz="8" w:color="auto"/>
            </w:tcBorders>
          </w:tcPr>
          <w:p>
            <w:pPr>
              <w:spacing w:after="0"/>
              <w:rPr>
                <w:sz w:val="19"/>
                <w:szCs w:val="19"/>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w w:val="89"/>
              </w:rPr>
              <w:t>2020</w:t>
            </w:r>
          </w:p>
        </w:tc>
      </w:tr>
      <w:tr>
        <w:trPr>
          <w:trHeight w:val="226"/>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 restricted stock, and RSUs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8,174,124</w:t>
            </w: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90,400</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1,150,860</w:t>
            </w:r>
          </w:p>
        </w:tc>
      </w:tr>
      <w:tr>
        <w:trPr>
          <w:trHeight w:val="229"/>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ESPP</w:t>
            </w:r>
          </w:p>
        </w:tc>
        <w:tc>
          <w:tcPr>
            <w:tcW w:w="1500" w:type="dxa"/>
            <w:vAlign w:val="bottom"/>
          </w:tcPr>
          <w:p>
            <w:pPr>
              <w:jc w:val="right"/>
              <w:spacing w:after="0"/>
              <w:rPr>
                <w:sz w:val="20"/>
                <w:szCs w:val="20"/>
                <w:color w:val="auto"/>
              </w:rPr>
            </w:pPr>
            <w:r>
              <w:rPr>
                <w:rFonts w:ascii="Arial" w:cs="Arial" w:eastAsia="Arial" w:hAnsi="Arial"/>
                <w:sz w:val="18"/>
                <w:szCs w:val="18"/>
                <w:color w:val="auto"/>
              </w:rPr>
              <w:t>97,804</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30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17,667,623</w:t>
            </w:r>
          </w:p>
        </w:tc>
        <w:tc>
          <w:tcPr>
            <w:tcW w:w="5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12,076,899</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Total anti-dilutive securities</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25,939,551</w:t>
            </w:r>
          </w:p>
        </w:tc>
        <w:tc>
          <w:tcPr>
            <w:tcW w:w="500" w:type="dxa"/>
            <w:vAlign w:val="bottom"/>
          </w:tcPr>
          <w:p>
            <w:pPr>
              <w:jc w:val="right"/>
              <w:ind w:right="282"/>
              <w:spacing w:after="0"/>
              <w:rPr>
                <w:sz w:val="20"/>
                <w:szCs w:val="20"/>
                <w:color w:val="auto"/>
              </w:rPr>
            </w:pPr>
            <w:r>
              <w:rPr>
                <w:rFonts w:ascii="Arial" w:cs="Arial" w:eastAsia="Arial" w:hAnsi="Arial"/>
                <w:sz w:val="12"/>
                <w:szCs w:val="12"/>
                <w:color w:val="auto"/>
                <w:w w:val="95"/>
              </w:rPr>
              <w:t>(1)</w:t>
            </w:r>
          </w:p>
        </w:tc>
        <w:tc>
          <w:tcPr>
            <w:tcW w:w="5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12,167,299</w:t>
            </w: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1,150,860</w:t>
            </w:r>
          </w:p>
        </w:tc>
      </w:tr>
      <w:tr>
        <w:trPr>
          <w:trHeight w:val="21"/>
        </w:trPr>
        <w:tc>
          <w:tcPr>
            <w:tcW w:w="30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9"/>
        </w:trPr>
        <w:tc>
          <w:tcPr>
            <w:tcW w:w="3000" w:type="dxa"/>
            <w:vAlign w:val="bottom"/>
            <w:tcBorders>
              <w:bottom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121" w:lineRule="exact"/>
        <w:rPr>
          <w:sz w:val="20"/>
          <w:szCs w:val="20"/>
          <w:color w:val="auto"/>
        </w:rPr>
      </w:pPr>
    </w:p>
    <w:p>
      <w:pPr>
        <w:jc w:val="both"/>
        <w:ind w:left="340" w:hanging="332"/>
        <w:spacing w:after="0" w:line="220" w:lineRule="exact"/>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dilutive securities for the three months ended September 30, 2021 have been excluded from the calculation of diluted net loss per share as those potential common shares would have been anti</w:t>
      </w:r>
      <w:r>
        <w:rPr>
          <w:rFonts w:ascii="MS PGothic" w:cs="MS PGothic" w:eastAsia="MS PGothic" w:hAnsi="MS PGothic"/>
          <w:sz w:val="18"/>
          <w:szCs w:val="18"/>
          <w:color w:val="auto"/>
        </w:rPr>
        <w:t>‑</w:t>
      </w:r>
      <w:r>
        <w:rPr>
          <w:rFonts w:ascii="Arial" w:cs="Arial" w:eastAsia="Arial" w:hAnsi="Arial"/>
          <w:sz w:val="18"/>
          <w:szCs w:val="18"/>
          <w:color w:val="auto"/>
        </w:rPr>
        <w:t>dilutive due to the net loss for the period, except for 90,400 RSUs that were anti</w:t>
      </w:r>
      <w:r>
        <w:rPr>
          <w:rFonts w:ascii="MS PGothic" w:cs="MS PGothic" w:eastAsia="MS PGothic" w:hAnsi="MS PGothic"/>
          <w:sz w:val="18"/>
          <w:szCs w:val="18"/>
          <w:color w:val="auto"/>
        </w:rPr>
        <w:t>‑</w:t>
      </w:r>
      <w:r>
        <w:rPr>
          <w:rFonts w:ascii="Arial" w:cs="Arial" w:eastAsia="Arial" w:hAnsi="Arial"/>
          <w:sz w:val="18"/>
          <w:szCs w:val="18"/>
          <w:color w:val="auto"/>
        </w:rPr>
        <w:t>dilutive under the two</w:t>
      </w:r>
      <w:r>
        <w:rPr>
          <w:rFonts w:ascii="MS PGothic" w:cs="MS PGothic" w:eastAsia="MS PGothic" w:hAnsi="MS PGothic"/>
          <w:sz w:val="18"/>
          <w:szCs w:val="18"/>
          <w:color w:val="auto"/>
        </w:rPr>
        <w:t>‑</w:t>
      </w:r>
      <w:r>
        <w:rPr>
          <w:rFonts w:ascii="Arial" w:cs="Arial" w:eastAsia="Arial" w:hAnsi="Arial"/>
          <w:sz w:val="18"/>
          <w:szCs w:val="18"/>
          <w:color w:val="auto"/>
        </w:rPr>
        <w:t>class method calculation of diluted net (loss) income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The following discussion should be read in conjunction with our unaudited consolidated financial statements and notes thereto appearing in Part I, Item 1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and with our audited consolidated financial statements and notes thereto included in Part II, Item 8 of our 2020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on file with the United States Securities and Exchange Commission (“SEC”). In addition to historical information, this discussion contains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that involve risks, uncertainties, and assumptions that could cause actual results to differ materially from management’s expectations. Factors that could cause such differences are set forth in Part II, Item 1A. Risk Factors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w:t>
      </w:r>
    </w:p>
    <w:p>
      <w:pPr>
        <w:spacing w:after="0" w:line="20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We are a leading global provider of software for infrastructure engineering, enabling the work of civil, structural, geotechnical, and plant engineering practitioners, their project delivery enterprises, and owner</w:t>
      </w:r>
      <w:r>
        <w:rPr>
          <w:rFonts w:ascii="MS PGothic" w:cs="MS PGothic" w:eastAsia="MS PGothic" w:hAnsi="MS PGothic"/>
          <w:sz w:val="18"/>
          <w:szCs w:val="18"/>
          <w:color w:val="auto"/>
        </w:rPr>
        <w:t>‑</w:t>
      </w:r>
      <w:r>
        <w:rPr>
          <w:rFonts w:ascii="Arial" w:cs="Arial" w:eastAsia="Arial" w:hAnsi="Arial"/>
          <w:sz w:val="18"/>
          <w:szCs w:val="18"/>
          <w:color w:val="auto"/>
        </w:rPr>
        <w:t>operators of infrastructure assets. We were founded in 1984 by the Bentley brothers and on September 25, 2020, we completed our initial public offering (“IPO”).</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w:t>
      </w:r>
      <w:r>
        <w:rPr>
          <w:rFonts w:ascii="MS PGothic" w:cs="MS PGothic" w:eastAsia="MS PGothic" w:hAnsi="MS PGothic"/>
          <w:sz w:val="18"/>
          <w:szCs w:val="18"/>
          <w:color w:val="auto"/>
        </w:rPr>
        <w:t>‑</w:t>
      </w:r>
      <w:r>
        <w:rPr>
          <w:rFonts w:ascii="Arial" w:cs="Arial" w:eastAsia="Arial" w:hAnsi="Arial"/>
          <w:sz w:val="18"/>
          <w:szCs w:val="18"/>
          <w:color w:val="auto"/>
        </w:rPr>
        <w:t>premises servers, cloud</w:t>
      </w:r>
      <w:r>
        <w:rPr>
          <w:rFonts w:ascii="MS PGothic" w:cs="MS PGothic" w:eastAsia="MS PGothic" w:hAnsi="MS PGothic"/>
          <w:sz w:val="18"/>
          <w:szCs w:val="18"/>
          <w:color w:val="auto"/>
        </w:rPr>
        <w:t>‑</w:t>
      </w:r>
      <w:r>
        <w:rPr>
          <w:rFonts w:ascii="Arial" w:cs="Arial" w:eastAsia="Arial" w:hAnsi="Arial"/>
          <w:sz w:val="18"/>
          <w:szCs w:val="18"/>
          <w:color w:val="auto"/>
        </w:rPr>
        <w:t>native services, mobile devices, and web browsers. We deliver our solutions via on</w:t>
      </w:r>
      <w:r>
        <w:rPr>
          <w:rFonts w:ascii="MS PGothic" w:cs="MS PGothic" w:eastAsia="MS PGothic" w:hAnsi="MS PGothic"/>
          <w:sz w:val="18"/>
          <w:szCs w:val="18"/>
          <w:color w:val="auto"/>
        </w:rPr>
        <w:t>‑</w:t>
      </w:r>
      <w:r>
        <w:rPr>
          <w:rFonts w:ascii="Arial" w:cs="Arial" w:eastAsia="Arial" w:hAnsi="Arial"/>
          <w:sz w:val="18"/>
          <w:szCs w:val="18"/>
          <w:color w:val="auto"/>
        </w:rPr>
        <w:t>premise, cloud, and hybrid environments. Our users engineer, construct, and operate projects and assets across the following infrastructure sectors:</w:t>
      </w:r>
    </w:p>
    <w:p>
      <w:pPr>
        <w:spacing w:after="0" w:line="205" w:lineRule="exact"/>
        <w:rPr>
          <w:sz w:val="20"/>
          <w:szCs w:val="20"/>
          <w:color w:val="auto"/>
        </w:rPr>
      </w:pPr>
    </w:p>
    <w:p>
      <w:pPr>
        <w:jc w:val="both"/>
        <w:ind w:left="820" w:hanging="245"/>
        <w:spacing w:after="0" w:line="259"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public works </w:t>
      </w:r>
      <w:r>
        <w:rPr>
          <w:rFonts w:ascii="Arial" w:cs="Arial" w:eastAsia="Arial" w:hAnsi="Arial"/>
          <w:sz w:val="18"/>
          <w:szCs w:val="18"/>
          <w:color w:val="auto"/>
        </w:rPr>
        <w:t>(including roads, rail, airports, ports, and water and wastewater networks)/</w:t>
      </w:r>
      <w:r>
        <w:rPr>
          <w:rFonts w:ascii="Arial" w:cs="Arial" w:eastAsia="Arial" w:hAnsi="Arial"/>
          <w:sz w:val="18"/>
          <w:szCs w:val="18"/>
          <w:i w:val="1"/>
          <w:iCs w:val="1"/>
          <w:color w:val="auto"/>
        </w:rPr>
        <w:t xml:space="preserve">utilities </w:t>
      </w:r>
      <w:r>
        <w:rPr>
          <w:rFonts w:ascii="Arial" w:cs="Arial" w:eastAsia="Arial" w:hAnsi="Arial"/>
          <w:sz w:val="18"/>
          <w:szCs w:val="18"/>
          <w:color w:val="auto"/>
        </w:rPr>
        <w:t>(including electric, gas, water,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communications). We estimate that this sector represents 51% of the net infrastructure asset value of the global top 500 infrastructure owners based on the 2020 edition of the </w:t>
      </w:r>
      <w:r>
        <w:rPr>
          <w:rFonts w:ascii="Arial" w:cs="Arial" w:eastAsia="Arial" w:hAnsi="Arial"/>
          <w:sz w:val="18"/>
          <w:szCs w:val="18"/>
          <w:i w:val="1"/>
          <w:iCs w:val="1"/>
          <w:color w:val="auto"/>
        </w:rPr>
        <w:t>Bentley Infrastructure 500 Top Owners</w:t>
      </w:r>
      <w:r>
        <w:rPr>
          <w:rFonts w:ascii="Arial" w:cs="Arial" w:eastAsia="Arial" w:hAnsi="Arial"/>
          <w:sz w:val="18"/>
          <w:szCs w:val="18"/>
          <w:color w:val="auto"/>
        </w:rPr>
        <w:t>, our annual compilation of the world’s largest infrastructure owners ranked by net depreciated value of their tangible fixed assets;</w:t>
      </w:r>
    </w:p>
    <w:p>
      <w:pPr>
        <w:spacing w:after="0" w:line="186" w:lineRule="exact"/>
        <w:rPr>
          <w:rFonts w:ascii="Arial" w:cs="Arial" w:eastAsia="Arial" w:hAnsi="Arial"/>
          <w:sz w:val="18"/>
          <w:szCs w:val="18"/>
          <w:color w:val="auto"/>
        </w:rPr>
      </w:pPr>
    </w:p>
    <w:p>
      <w:pPr>
        <w:jc w:val="both"/>
        <w:ind w:left="820" w:hanging="245"/>
        <w:spacing w:after="0" w:line="342" w:lineRule="auto"/>
        <w:tabs>
          <w:tab w:leader="none" w:pos="815"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industrial </w:t>
      </w:r>
      <w:r>
        <w:rPr>
          <w:rFonts w:ascii="Arial" w:cs="Arial" w:eastAsia="Arial" w:hAnsi="Arial"/>
          <w:sz w:val="16"/>
          <w:szCs w:val="16"/>
          <w:color w:val="auto"/>
        </w:rPr>
        <w:t>(including discrete and process manufacturing, power generation, and water treatment plants)/</w:t>
      </w:r>
      <w:r>
        <w:rPr>
          <w:rFonts w:ascii="Arial" w:cs="Arial" w:eastAsia="Arial" w:hAnsi="Arial"/>
          <w:sz w:val="16"/>
          <w:szCs w:val="16"/>
          <w:i w:val="1"/>
          <w:iCs w:val="1"/>
          <w:color w:val="auto"/>
        </w:rPr>
        <w:t xml:space="preserve">resources </w:t>
      </w:r>
      <w:r>
        <w:rPr>
          <w:rFonts w:ascii="Arial" w:cs="Arial" w:eastAsia="Arial" w:hAnsi="Arial"/>
          <w:sz w:val="16"/>
          <w:szCs w:val="16"/>
          <w:color w:val="auto"/>
        </w:rPr>
        <w:t>(including oil and gas,</w:t>
      </w:r>
      <w:r>
        <w:rPr>
          <w:rFonts w:ascii="Arial" w:cs="Arial" w:eastAsia="Arial" w:hAnsi="Arial"/>
          <w:sz w:val="16"/>
          <w:szCs w:val="16"/>
          <w:i w:val="1"/>
          <w:iCs w:val="1"/>
          <w:color w:val="auto"/>
        </w:rPr>
        <w:t xml:space="preserve"> </w:t>
      </w:r>
      <w:r>
        <w:rPr>
          <w:rFonts w:ascii="Arial" w:cs="Arial" w:eastAsia="Arial" w:hAnsi="Arial"/>
          <w:sz w:val="16"/>
          <w:szCs w:val="16"/>
          <w:color w:val="auto"/>
        </w:rPr>
        <w:t>mining, and offshore). We estimate that this sector represents 37% of the global top 500 infrastructure owners’ net infrastructure asset value; and</w:t>
      </w:r>
    </w:p>
    <w:p>
      <w:pPr>
        <w:spacing w:after="0" w:line="123" w:lineRule="exact"/>
        <w:rPr>
          <w:rFonts w:ascii="Arial" w:cs="Arial" w:eastAsia="Arial" w:hAnsi="Arial"/>
          <w:sz w:val="16"/>
          <w:szCs w:val="16"/>
          <w:color w:val="auto"/>
        </w:rPr>
      </w:pPr>
    </w:p>
    <w:p>
      <w:pPr>
        <w:ind w:left="820" w:hanging="245"/>
        <w:spacing w:after="0" w:line="277" w:lineRule="auto"/>
        <w:tabs>
          <w:tab w:leader="none" w:pos="815"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commercial/facilities </w:t>
      </w:r>
      <w:r>
        <w:rPr>
          <w:rFonts w:ascii="Arial" w:cs="Arial" w:eastAsia="Arial" w:hAnsi="Arial"/>
          <w:sz w:val="18"/>
          <w:szCs w:val="18"/>
          <w:color w:val="auto"/>
        </w:rPr>
        <w:t>(including office buildings, hospitals, and campuses). We estimate that this sector represents 12% of the global top 500</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owners’ net infrastructure asset value.</w:t>
      </w:r>
    </w:p>
    <w:p>
      <w:pPr>
        <w:spacing w:after="0" w:line="17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We offer solutions for enterprises and professionals across the infrastructure lifecycle. Our Project Delivery and Asset and Network Performance solutions are systems provided via cloud and hybrid environments, developed respectively to extend enterprise collaboration during project delivery, and to manage and leverage engineering information during operations and maintenance. Our Design Integration and Digital Cities solutions are primarily desktop applications and cloud</w:t>
      </w:r>
      <w:r>
        <w:rPr>
          <w:rFonts w:ascii="MS PGothic" w:cs="MS PGothic" w:eastAsia="MS PGothic" w:hAnsi="MS PGothic"/>
          <w:sz w:val="18"/>
          <w:szCs w:val="18"/>
          <w:color w:val="auto"/>
        </w:rPr>
        <w:t>‑</w:t>
      </w:r>
      <w:r>
        <w:rPr>
          <w:rFonts w:ascii="Arial" w:cs="Arial" w:eastAsia="Arial" w:hAnsi="Arial"/>
          <w:sz w:val="18"/>
          <w:szCs w:val="18"/>
          <w:color w:val="auto"/>
        </w:rPr>
        <w:t>provisioned solutions for professional practitioners and workgroups.</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w:t>
      </w:r>
      <w:r>
        <w:rPr>
          <w:rFonts w:ascii="MS PGothic" w:cs="MS PGothic" w:eastAsia="MS PGothic" w:hAnsi="MS PGothic"/>
          <w:sz w:val="17"/>
          <w:szCs w:val="17"/>
          <w:color w:val="auto"/>
        </w:rPr>
        <w:t>‑</w:t>
      </w:r>
      <w:r>
        <w:rPr>
          <w:rFonts w:ascii="Arial" w:cs="Arial" w:eastAsia="Arial" w:hAnsi="Arial"/>
          <w:sz w:val="17"/>
          <w:szCs w:val="17"/>
          <w:color w:val="auto"/>
        </w:rPr>
        <w:t>established priorities, input from product managers, and user and sales force feedback.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color w:val="auto"/>
        </w:rPr>
        <w:t>We bring our offerings to market primarily through direct sales channels that generated approximately 92% of our 2020 revenues.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Our sources of revenue growth, in order of magnitude, come from the recurrence of existing subscriptions revenues, additional revenue and growth from existing accounts using the same products, additional revenue and growth from existing accounts using new products, and growth from new accounts. For the year ended December 31, 2020, subscriptions represented 85% of our revenues, and together with certain professional services revenues that are recurring in nature and represented 2% of our revenues, bring the proportion of our recurring revenues to 87% of total revenues. The remaining 13% of our revenues were generated from the sale of perpetual licenses and the delivery of non</w:t>
      </w:r>
      <w:r>
        <w:rPr>
          <w:rFonts w:ascii="MS PGothic" w:cs="MS PGothic" w:eastAsia="MS PGothic" w:hAnsi="MS PGothic"/>
          <w:sz w:val="16"/>
          <w:szCs w:val="16"/>
          <w:color w:val="auto"/>
        </w:rPr>
        <w:t>‑</w:t>
      </w:r>
      <w:r>
        <w:rPr>
          <w:rFonts w:ascii="Arial" w:cs="Arial" w:eastAsia="Arial" w:hAnsi="Arial"/>
          <w:sz w:val="16"/>
          <w:szCs w:val="16"/>
          <w:color w:val="auto"/>
        </w:rPr>
        <w:t>recurring professional services. We have a highly</w:t>
      </w:r>
      <w:r>
        <w:rPr>
          <w:rFonts w:ascii="MS PGothic" w:cs="MS PGothic" w:eastAsia="MS PGothic" w:hAnsi="MS PGothic"/>
          <w:sz w:val="16"/>
          <w:szCs w:val="16"/>
          <w:color w:val="auto"/>
        </w:rPr>
        <w:t>‑</w:t>
      </w:r>
      <w:r>
        <w:rPr>
          <w:rFonts w:ascii="Arial" w:cs="Arial" w:eastAsia="Arial" w:hAnsi="Arial"/>
          <w:sz w:val="16"/>
          <w:szCs w:val="16"/>
          <w:color w:val="auto"/>
        </w:rPr>
        <w:t>diversified account base, with our largest account representing no more than 2.5% of total revenues in 2020. Our 2020 revenues were also diversified by account type, size, and geography. Additionally, we believe that we have a loyal account base, with 80% of our 2020 revenues from organizations that have been our accounts for over ten years. Between 2000 and 2020, our revenues had an approximately 8% compound annual growth 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Commercial Offerings:</w:t>
      </w:r>
    </w:p>
    <w:p>
      <w:pPr>
        <w:spacing w:after="0" w:line="229"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Our solutions are made available to our accounts in a broad range of commercial offerings designed to accommodate the diverse preferences of our accounts, which range from owned versus subscribed, short</w:t>
      </w:r>
      <w:r>
        <w:rPr>
          <w:rFonts w:ascii="MS PGothic" w:cs="MS PGothic" w:eastAsia="MS PGothic" w:hAnsi="MS PGothic"/>
          <w:sz w:val="18"/>
          <w:szCs w:val="18"/>
          <w:color w:val="auto"/>
        </w:rPr>
        <w:t>‑</w:t>
      </w:r>
      <w:r>
        <w:rPr>
          <w:rFonts w:ascii="Arial" w:cs="Arial" w:eastAsia="Arial" w:hAnsi="Arial"/>
          <w:sz w:val="18"/>
          <w:szCs w:val="18"/>
          <w:color w:val="auto"/>
        </w:rPr>
        <w:t>term subscriptions versus longer term annual subscriptions, and fee</w:t>
      </w:r>
      <w:r>
        <w:rPr>
          <w:rFonts w:ascii="MS PGothic" w:cs="MS PGothic" w:eastAsia="MS PGothic" w:hAnsi="MS PGothic"/>
          <w:sz w:val="18"/>
          <w:szCs w:val="18"/>
          <w:color w:val="auto"/>
        </w:rPr>
        <w:t>‑</w:t>
      </w:r>
      <w:r>
        <w:rPr>
          <w:rFonts w:ascii="Arial" w:cs="Arial" w:eastAsia="Arial" w:hAnsi="Arial"/>
          <w:sz w:val="18"/>
          <w:szCs w:val="18"/>
          <w:color w:val="auto"/>
        </w:rPr>
        <w:t>certain arrangements versus variable or consumption</w:t>
      </w:r>
      <w:r>
        <w:rPr>
          <w:rFonts w:ascii="MS PGothic" w:cs="MS PGothic" w:eastAsia="MS PGothic" w:hAnsi="MS PGothic"/>
          <w:sz w:val="18"/>
          <w:szCs w:val="18"/>
          <w:color w:val="auto"/>
        </w:rPr>
        <w:t>‑</w:t>
      </w:r>
      <w:r>
        <w:rPr>
          <w:rFonts w:ascii="Arial" w:cs="Arial" w:eastAsia="Arial" w:hAnsi="Arial"/>
          <w:sz w:val="18"/>
          <w:szCs w:val="18"/>
          <w:color w:val="auto"/>
        </w:rPr>
        <w:t>based arrangements with consumption measurement durations of less than one year. We contract our commercial offerings under a single form of standard contract, which includes liability and other risk protections in our favor, and appropriate standard addendums to the primary contract, which specifically address the commercial offerings provided. Our standard commercial offerings are summarized in the below table, with further descriptions following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137795</wp:posOffset>
            </wp:positionV>
            <wp:extent cx="5349240" cy="22885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4924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SELECT Subscriptions. </w:t>
      </w:r>
      <w:r>
        <w:rPr>
          <w:rFonts w:ascii="Arial" w:cs="Arial" w:eastAsia="Arial" w:hAnsi="Arial"/>
          <w:sz w:val="17"/>
          <w:szCs w:val="17"/>
          <w:color w:val="auto"/>
        </w:rPr>
        <w:t>Our SELECT subscription is a prepaid annual recurring subscription that accompanies a new or previously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perpetual license. We believe that the SELECT benefits summarized below support our favorable rates of account retention and growth:</w:t>
      </w:r>
    </w:p>
    <w:p>
      <w:pPr>
        <w:spacing w:after="0" w:line="146" w:lineRule="exact"/>
        <w:rPr>
          <w:sz w:val="20"/>
          <w:szCs w:val="20"/>
          <w:color w:val="auto"/>
        </w:rPr>
      </w:pPr>
    </w:p>
    <w:p>
      <w:pPr>
        <w:ind w:left="820" w:hanging="245"/>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Software upgrades;</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Comprehensive technical support;</w:t>
      </w:r>
    </w:p>
    <w:p>
      <w:pPr>
        <w:spacing w:after="0" w:line="225" w:lineRule="exact"/>
        <w:rPr>
          <w:rFonts w:ascii="Arial" w:cs="Arial" w:eastAsia="Arial" w:hAnsi="Arial"/>
          <w:sz w:val="18"/>
          <w:szCs w:val="18"/>
          <w:color w:val="auto"/>
        </w:rPr>
      </w:pPr>
    </w:p>
    <w:p>
      <w:pPr>
        <w:ind w:left="820" w:hanging="245"/>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License pooling providing accounts with efficiency advantages;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8" w:name="page49"/>
    <w:bookmarkEnd w:id="48"/>
    <w:p>
      <w:pPr>
        <w:ind w:left="820" w:hanging="245"/>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Portfolio balancing providing accounts the opportunity to exchange unused or under used licenses with other of our license offerings;</w:t>
      </w:r>
    </w:p>
    <w:p>
      <w:pPr>
        <w:spacing w:after="0" w:line="236" w:lineRule="exact"/>
        <w:rPr>
          <w:rFonts w:ascii="Arial" w:cs="Arial" w:eastAsia="Arial" w:hAnsi="Arial"/>
          <w:sz w:val="17"/>
          <w:szCs w:val="17"/>
          <w:color w:val="auto"/>
        </w:rPr>
      </w:pPr>
    </w:p>
    <w:p>
      <w:pPr>
        <w:ind w:left="820" w:hanging="245"/>
        <w:spacing w:after="0" w:line="207" w:lineRule="exact"/>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Learning benefits, Azure</w:t>
      </w:r>
      <w:r>
        <w:rPr>
          <w:rFonts w:ascii="MS PGothic" w:cs="MS PGothic" w:eastAsia="MS PGothic" w:hAnsi="MS PGothic"/>
          <w:sz w:val="18"/>
          <w:szCs w:val="18"/>
          <w:color w:val="auto"/>
        </w:rPr>
        <w:t>‑</w:t>
      </w:r>
      <w:r>
        <w:rPr>
          <w:rFonts w:ascii="Arial" w:cs="Arial" w:eastAsia="Arial" w:hAnsi="Arial"/>
          <w:sz w:val="18"/>
          <w:szCs w:val="18"/>
          <w:color w:val="auto"/>
        </w:rPr>
        <w:t>based cloud collaboration services, and mobility advantages; and</w:t>
      </w:r>
    </w:p>
    <w:p>
      <w:pPr>
        <w:spacing w:after="0" w:line="225" w:lineRule="exact"/>
        <w:rPr>
          <w:rFonts w:ascii="Arial" w:cs="Arial" w:eastAsia="Arial" w:hAnsi="Arial"/>
          <w:sz w:val="18"/>
          <w:szCs w:val="18"/>
          <w:color w:val="auto"/>
        </w:rPr>
      </w:pPr>
    </w:p>
    <w:p>
      <w:pPr>
        <w:ind w:left="820" w:hanging="245"/>
        <w:spacing w:after="0" w:line="277"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Access to our entire application portfolio with usage of licenses not previously purchased monetized quarterly in arrears based on consumption. See the section titled “</w:t>
      </w:r>
      <w:r>
        <w:rPr>
          <w:rFonts w:ascii="Arial" w:cs="Arial" w:eastAsia="Arial" w:hAnsi="Arial"/>
          <w:sz w:val="18"/>
          <w:szCs w:val="18"/>
          <w:b w:val="1"/>
          <w:bCs w:val="1"/>
          <w:i w:val="1"/>
          <w:iCs w:val="1"/>
          <w:color w:val="auto"/>
        </w:rPr>
        <w:t>—</w:t>
      </w:r>
      <w:r>
        <w:rPr>
          <w:rFonts w:ascii="Arial" w:cs="Arial" w:eastAsia="Arial" w:hAnsi="Arial"/>
          <w:sz w:val="18"/>
          <w:szCs w:val="18"/>
          <w:color w:val="auto"/>
        </w:rPr>
        <w:t>Term License Subscriptions” below.</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Enterprise Subscriptions. </w:t>
      </w:r>
      <w:r>
        <w:rPr>
          <w:rFonts w:ascii="Arial" w:cs="Arial" w:eastAsia="Arial" w:hAnsi="Arial"/>
          <w:sz w:val="18"/>
          <w:szCs w:val="18"/>
          <w:color w:val="auto"/>
        </w:rPr>
        <w:t>Our Enterprise subscription offerings provide our largest accounts with complete and unlimited global access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portfolio of solutions.</w:t>
      </w:r>
    </w:p>
    <w:p>
      <w:pPr>
        <w:spacing w:after="0" w:line="170" w:lineRule="exact"/>
        <w:rPr>
          <w:sz w:val="20"/>
          <w:szCs w:val="20"/>
          <w:color w:val="auto"/>
        </w:rPr>
      </w:pPr>
    </w:p>
    <w:p>
      <w:pPr>
        <w:jc w:val="both"/>
        <w:ind w:left="820" w:hanging="245"/>
        <w:spacing w:after="0" w:line="220" w:lineRule="exact"/>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Enterprise License Subscriptions (“ELS”). </w:t>
      </w:r>
      <w:r>
        <w:rPr>
          <w:rFonts w:ascii="Arial" w:cs="Arial" w:eastAsia="Arial" w:hAnsi="Arial"/>
          <w:sz w:val="18"/>
          <w:szCs w:val="18"/>
          <w:color w:val="auto"/>
        </w:rPr>
        <w:t>Our ELS offering provides access to our comprehensive portfolio of solutions for a fixed annual fee.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annual renewals are based on the account’s usage of software in the preceding year, effectively resulting in an annual consumption</w:t>
      </w:r>
      <w:r>
        <w:rPr>
          <w:rFonts w:ascii="MS PGothic" w:cs="MS PGothic" w:eastAsia="MS PGothic" w:hAnsi="MS PGothic"/>
          <w:sz w:val="18"/>
          <w:szCs w:val="18"/>
          <w:color w:val="auto"/>
        </w:rPr>
        <w:t>‑</w:t>
      </w:r>
      <w:r>
        <w:rPr>
          <w:rFonts w:ascii="Arial" w:cs="Arial" w:eastAsia="Arial" w:hAnsi="Arial"/>
          <w:sz w:val="18"/>
          <w:szCs w:val="18"/>
          <w:color w:val="auto"/>
        </w:rPr>
        <w:t>based arrangement. The majority of our ELS subscribers were historically SELECT subscribers that have grown into a position to take full advantage of our ELS offering.</w:t>
      </w:r>
    </w:p>
    <w:p>
      <w:pPr>
        <w:spacing w:after="0" w:line="203" w:lineRule="exact"/>
        <w:rPr>
          <w:rFonts w:ascii="Arial" w:cs="Arial" w:eastAsia="Arial" w:hAnsi="Arial"/>
          <w:sz w:val="18"/>
          <w:szCs w:val="18"/>
          <w:color w:val="auto"/>
        </w:rPr>
      </w:pPr>
    </w:p>
    <w:p>
      <w:pPr>
        <w:jc w:val="both"/>
        <w:ind w:left="820" w:hanging="245"/>
        <w:spacing w:after="0" w:line="271" w:lineRule="auto"/>
        <w:tabs>
          <w:tab w:leader="none" w:pos="815"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Enterprise 365 (“E365”) Subscriptions. </w:t>
      </w:r>
      <w:r>
        <w:rPr>
          <w:rFonts w:ascii="Arial" w:cs="Arial" w:eastAsia="Arial" w:hAnsi="Arial"/>
          <w:sz w:val="17"/>
          <w:szCs w:val="17"/>
          <w:color w:val="auto"/>
        </w:rPr>
        <w:t>Under our E365 subscription, participating accounts have unrestricted access to our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portfolio, similar to ELS, however they are charged based upon daily usage. The daily usage fee also includes a term license component, SELECT maintenance and support, hosting, and Success Plan services, which are designed to achieve business outcomes through more efficient and effective use of our software. The E365 subscription offering was introduced in 2018. We are prioritizing efforts to transition ELS subscribers to E365 subscriptions, primarily to simplify pricing, more closely align consumption to monetization, and to establish Success Plan services as recurring to ensure better business outcomes for our users. To the extent we succeed in transitioning subscribers to E365, we recognize a greater proportion of our revenues on a quarterly basis rather than substantially upfront. See the section titled “</w:t>
      </w:r>
      <w:r>
        <w:rPr>
          <w:rFonts w:ascii="Arial" w:cs="Arial" w:eastAsia="Arial" w:hAnsi="Arial"/>
          <w:sz w:val="17"/>
          <w:szCs w:val="17"/>
          <w:b w:val="1"/>
          <w:bCs w:val="1"/>
          <w:i w:val="1"/>
          <w:iCs w:val="1"/>
          <w:color w:val="auto"/>
        </w:rPr>
        <w:t>—</w:t>
      </w:r>
      <w:r>
        <w:rPr>
          <w:rFonts w:ascii="Arial" w:cs="Arial" w:eastAsia="Arial" w:hAnsi="Arial"/>
          <w:sz w:val="17"/>
          <w:szCs w:val="17"/>
          <w:color w:val="auto"/>
        </w:rPr>
        <w:t>Key Factors Impacting Comparability and Performance.”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License Subscriptions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Annual Term Licenses (“ATL”) Subscription. </w:t>
      </w:r>
      <w:r>
        <w:rPr>
          <w:rFonts w:ascii="Arial" w:cs="Arial" w:eastAsia="Arial" w:hAnsi="Arial"/>
          <w:sz w:val="18"/>
          <w:szCs w:val="18"/>
          <w:color w:val="auto"/>
        </w:rPr>
        <w:t>Annual term licenses are generally prepaid annually for named user access to specific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include our newly introduced Practitioner Licenses. ATL are also used to monetize site or enterprise wide access for certain of our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solutions within given usage bands.</w:t>
      </w:r>
    </w:p>
    <w:p>
      <w:pPr>
        <w:spacing w:after="0" w:line="18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 xml:space="preserve">Quarterly Term License (“QTL”) Subscription. </w:t>
      </w:r>
      <w:r>
        <w:rPr>
          <w:rFonts w:ascii="Arial" w:cs="Arial" w:eastAsia="Arial" w:hAnsi="Arial"/>
          <w:sz w:val="18"/>
          <w:szCs w:val="18"/>
          <w:color w:val="auto"/>
        </w:rPr>
        <w:t>Through quarterly term licenses, accounts pay quarterly in arrears for licenses they have used</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usage beyond their contracted quantities. Much like our Enterprise subscription programs, a QTL allows smaller and medium</w:t>
      </w:r>
      <w:r>
        <w:rPr>
          <w:rFonts w:ascii="MS PGothic" w:cs="MS PGothic" w:eastAsia="MS PGothic" w:hAnsi="MS PGothic"/>
          <w:sz w:val="18"/>
          <w:szCs w:val="18"/>
          <w:color w:val="auto"/>
        </w:rPr>
        <w:t>‑</w:t>
      </w:r>
      <w:r>
        <w:rPr>
          <w:rFonts w:ascii="Arial" w:cs="Arial" w:eastAsia="Arial" w:hAnsi="Arial"/>
          <w:sz w:val="18"/>
          <w:szCs w:val="18"/>
          <w:color w:val="auto"/>
        </w:rPr>
        <w:t>sized accounts to match usage to ongoing project requirements.</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Monthly Term License (“MTL”) Subscription. </w:t>
      </w:r>
      <w:r>
        <w:rPr>
          <w:rFonts w:ascii="Arial" w:cs="Arial" w:eastAsia="Arial" w:hAnsi="Arial"/>
          <w:sz w:val="18"/>
          <w:szCs w:val="18"/>
          <w:color w:val="auto"/>
        </w:rPr>
        <w:t>Monthly term licenses are identical to QTL subscriptions, except for the term of the license,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manner in which they are monetized. MTL subscriptions require a Cloud Services Subscription, which is discussed below.</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Visas and Passports. </w:t>
      </w:r>
      <w:r>
        <w:rPr>
          <w:rFonts w:ascii="Arial" w:cs="Arial" w:eastAsia="Arial" w:hAnsi="Arial"/>
          <w:sz w:val="18"/>
          <w:szCs w:val="18"/>
          <w:color w:val="auto"/>
        </w:rPr>
        <w:t>Visas and Passports are quarterly or annual term licenses enabling users to access specific project or enterprise information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entitles our users to certain functionality of our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systems. Generally, a Passport provides desktop, web, and mobile application access to project information and certain functions, and a Visa provides similar access, plus added functionality depending upon the product to which the Visa is aligned.</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While certain legacy arrangements are supported, our standard offering requires Visas and Passports to be fulfilled and contracted via a CSS, which is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9" w:name="page50"/>
    <w:bookmarkEnd w:id="49"/>
    <w:p>
      <w:pPr>
        <w:jc w:val="both"/>
        <w:ind w:firstLine="324"/>
        <w:spacing w:after="0" w:line="279" w:lineRule="auto"/>
        <w:rPr>
          <w:sz w:val="20"/>
          <w:szCs w:val="20"/>
          <w:color w:val="auto"/>
        </w:rPr>
      </w:pPr>
      <w:r>
        <w:rPr>
          <w:rFonts w:ascii="Arial" w:cs="Arial" w:eastAsia="Arial" w:hAnsi="Arial"/>
          <w:sz w:val="17"/>
          <w:szCs w:val="17"/>
          <w:i w:val="1"/>
          <w:iCs w:val="1"/>
          <w:color w:val="auto"/>
        </w:rPr>
        <w:t>Cloud Services Subscription (“CSS”)</w:t>
      </w:r>
      <w:r>
        <w:rPr>
          <w:rFonts w:ascii="Arial" w:cs="Arial" w:eastAsia="Arial" w:hAnsi="Arial"/>
          <w:sz w:val="17"/>
          <w:szCs w:val="17"/>
          <w:color w:val="auto"/>
        </w:rPr>
        <w:t>. CSS is designed to streamline the procurement, administration, and payment process for us and our accounts. A</w:t>
      </w:r>
      <w:r>
        <w:rPr>
          <w:rFonts w:ascii="Arial" w:cs="Arial" w:eastAsia="Arial" w:hAnsi="Arial"/>
          <w:sz w:val="17"/>
          <w:szCs w:val="17"/>
          <w:i w:val="1"/>
          <w:iCs w:val="1"/>
          <w:color w:val="auto"/>
        </w:rPr>
        <w:t xml:space="preserve"> </w:t>
      </w:r>
      <w:r>
        <w:rPr>
          <w:rFonts w:ascii="Arial" w:cs="Arial" w:eastAsia="Arial" w:hAnsi="Arial"/>
          <w:sz w:val="17"/>
          <w:szCs w:val="17"/>
          <w:color w:val="auto"/>
        </w:rPr>
        <w:t>CSS requires an upfront annual estimation of MTL, Visa and Passport consumption, and any Success Plan services expected for the upcoming year. A deposit for the annual estimated consumption is submitted in advance. Actual consumption is monitored and invoiced against the deposit on a calendar quarter basis. Accounts are charged only for what gets used and deposited amounts never expire.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historically have sold perpetual licenses and continue to offer them to our accounts as an available option for most of our applications. Perpetual licenses are available for accounts that prefer to own their software licenses and may be sold with or without attaching a SELECT subscription. Historically, attachment and retention of the SELECT subscription has been high given the benefits of the SELECT subscription.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We offer professional services, including training, implementation, configuration, customization, and strategic consulting services for all types of projects as requested by our accounts. We perform projects on both a time and materials and a fixed fee basis. We also offer our services using contractual structures based on (i) delivery of the services in the form of subscription</w:t>
      </w:r>
      <w:r>
        <w:rPr>
          <w:rFonts w:ascii="MS PGothic" w:cs="MS PGothic" w:eastAsia="MS PGothic" w:hAnsi="MS PGothic"/>
          <w:sz w:val="17"/>
          <w:szCs w:val="17"/>
          <w:color w:val="auto"/>
        </w:rPr>
        <w:t>‑</w:t>
      </w:r>
      <w:r>
        <w:rPr>
          <w:rFonts w:ascii="Arial" w:cs="Arial" w:eastAsia="Arial" w:hAnsi="Arial"/>
          <w:sz w:val="17"/>
          <w:szCs w:val="17"/>
          <w:color w:val="auto"/>
        </w:rPr>
        <w:t>like, packaged offerings that are annually recurring in nature; and (ii) delivery of our growing portfolio of Success Plans in standard offerings that offer a level of subscription service over and above the standard technical support offered to all accounts as part of their SELECT or Enterprise agreement. Over time, we expect professional services revenues using subscription and subscription</w:t>
      </w:r>
      <w:r>
        <w:rPr>
          <w:rFonts w:ascii="MS PGothic" w:cs="MS PGothic" w:eastAsia="MS PGothic" w:hAnsi="MS PGothic"/>
          <w:sz w:val="17"/>
          <w:szCs w:val="17"/>
          <w:color w:val="auto"/>
        </w:rPr>
        <w:t>‑</w:t>
      </w:r>
      <w:r>
        <w:rPr>
          <w:rFonts w:ascii="Arial" w:cs="Arial" w:eastAsia="Arial" w:hAnsi="Arial"/>
          <w:sz w:val="17"/>
          <w:szCs w:val="17"/>
          <w:color w:val="auto"/>
        </w:rPr>
        <w:t>like contractual structures to make up a greater proportion of our professional services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regularly review the following key metrics to evaluate our business, measure our performance, identify trends in our business, prepare financial projections, and make strategic decisions.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gridSpan w:val="3"/>
          </w:tcPr>
          <w:p>
            <w:pPr>
              <w:jc w:val="center"/>
              <w:ind w:left="674"/>
              <w:spacing w:after="0"/>
              <w:rPr>
                <w:sz w:val="20"/>
                <w:szCs w:val="20"/>
                <w:color w:val="auto"/>
              </w:rPr>
            </w:pPr>
            <w:r>
              <w:rPr>
                <w:rFonts w:ascii="Arial" w:cs="Arial" w:eastAsia="Arial" w:hAnsi="Arial"/>
                <w:sz w:val="16"/>
                <w:szCs w:val="16"/>
                <w:b w:val="1"/>
                <w:bCs w:val="1"/>
                <w:color w:val="auto"/>
                <w:w w:val="91"/>
              </w:rPr>
              <w:t>Twelve Months Ended</w:t>
            </w:r>
          </w:p>
        </w:tc>
        <w:tc>
          <w:tcPr>
            <w:tcW w:w="1160" w:type="dxa"/>
            <w:vAlign w:val="bottom"/>
          </w:tcPr>
          <w:p>
            <w:pPr>
              <w:spacing w:after="0"/>
              <w:rPr>
                <w:sz w:val="18"/>
                <w:szCs w:val="18"/>
                <w:color w:val="auto"/>
              </w:rPr>
            </w:pPr>
          </w:p>
        </w:tc>
      </w:tr>
      <w:tr>
        <w:trPr>
          <w:trHeight w:val="219"/>
        </w:trPr>
        <w:tc>
          <w:tcPr>
            <w:tcW w:w="73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6"/>
                <w:szCs w:val="16"/>
                <w:b w:val="1"/>
                <w:bCs w:val="1"/>
                <w:color w:val="auto"/>
                <w:w w:val="89"/>
              </w:rPr>
              <w:t>September 30,</w:t>
            </w:r>
          </w:p>
        </w:tc>
        <w:tc>
          <w:tcPr>
            <w:tcW w:w="1160" w:type="dxa"/>
            <w:vAlign w:val="bottom"/>
            <w:tcBorders>
              <w:bottom w:val="single" w:sz="8" w:color="auto"/>
            </w:tcBorders>
          </w:tcPr>
          <w:p>
            <w:pPr>
              <w:spacing w:after="0"/>
              <w:rPr>
                <w:sz w:val="19"/>
                <w:szCs w:val="19"/>
                <w:color w:val="auto"/>
              </w:rPr>
            </w:pPr>
          </w:p>
        </w:tc>
      </w:tr>
      <w:tr>
        <w:trPr>
          <w:trHeight w:val="210"/>
        </w:trPr>
        <w:tc>
          <w:tcPr>
            <w:tcW w:w="73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w w:val="95"/>
              </w:rPr>
              <w:t>2020</w:t>
            </w:r>
          </w:p>
        </w:tc>
      </w:tr>
      <w:tr>
        <w:trPr>
          <w:trHeight w:val="25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Last twelve-months recurring revenues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786,074</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86"/>
              </w:rPr>
              <w:t>682,712</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Constant Currency:</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Annualized recurring revenues (“ARR”) growth rate</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9 %</w:t>
            </w:r>
          </w:p>
        </w:tc>
      </w:tr>
      <w:tr>
        <w:trPr>
          <w:trHeight w:val="270"/>
        </w:trPr>
        <w:tc>
          <w:tcPr>
            <w:tcW w:w="7380" w:type="dxa"/>
            <w:vAlign w:val="bottom"/>
          </w:tcPr>
          <w:p>
            <w:pPr>
              <w:ind w:left="180"/>
              <w:spacing w:after="0"/>
              <w:rPr>
                <w:sz w:val="20"/>
                <w:szCs w:val="20"/>
                <w:color w:val="auto"/>
              </w:rPr>
            </w:pPr>
            <w:r>
              <w:rPr>
                <w:rFonts w:ascii="Arial" w:cs="Arial" w:eastAsia="Arial" w:hAnsi="Arial"/>
                <w:sz w:val="18"/>
                <w:szCs w:val="18"/>
                <w:color w:val="auto"/>
              </w:rPr>
              <w:t>Account retention rate</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98 %</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jc w:val="right"/>
              <w:ind w:right="119"/>
              <w:spacing w:after="0" w:line="269" w:lineRule="exact"/>
              <w:rPr>
                <w:sz w:val="20"/>
                <w:szCs w:val="20"/>
                <w:color w:val="auto"/>
              </w:rPr>
            </w:pPr>
            <w:r>
              <w:rPr>
                <w:rFonts w:ascii="Arial" w:cs="Arial" w:eastAsia="Arial" w:hAnsi="Arial"/>
                <w:sz w:val="31"/>
                <w:szCs w:val="31"/>
                <w:color w:val="auto"/>
                <w:vertAlign w:val="subscript"/>
              </w:rPr>
              <w:t>98 %</w:t>
            </w:r>
            <w:r>
              <w:rPr>
                <w:rFonts w:ascii="Arial" w:cs="Arial" w:eastAsia="Arial" w:hAnsi="Arial"/>
                <w:sz w:val="11"/>
                <w:szCs w:val="11"/>
                <w:color w:val="auto"/>
              </w:rPr>
              <w:t xml:space="preserve"> (1)</w:t>
            </w:r>
          </w:p>
        </w:tc>
      </w:tr>
      <w:tr>
        <w:trPr>
          <w:trHeight w:val="27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Recurring revenues dollar-based net retention rate</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 xml:space="preserve">110 % </w:t>
            </w:r>
            <w:r>
              <w:rPr>
                <w:rFonts w:ascii="Arial" w:cs="Arial" w:eastAsia="Arial" w:hAnsi="Arial"/>
                <w:sz w:val="23"/>
                <w:szCs w:val="23"/>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30" w:lineRule="exact"/>
        <w:rPr>
          <w:sz w:val="20"/>
          <w:szCs w:val="20"/>
          <w:color w:val="auto"/>
        </w:rPr>
      </w:pPr>
    </w:p>
    <w:p>
      <w:pPr>
        <w:jc w:val="both"/>
        <w:ind w:left="340" w:hanging="332"/>
        <w:spacing w:after="0" w:line="218" w:lineRule="exact"/>
        <w:tabs>
          <w:tab w:leader="none" w:pos="3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January 1, 2019, we adopted ASU No. 2014</w:t>
      </w:r>
      <w:r>
        <w:rPr>
          <w:rFonts w:ascii="MS PGothic" w:cs="MS PGothic" w:eastAsia="MS PGothic" w:hAnsi="MS PGothic"/>
          <w:sz w:val="18"/>
          <w:szCs w:val="18"/>
          <w:color w:val="auto"/>
        </w:rPr>
        <w:t>‑</w:t>
      </w:r>
      <w:r>
        <w:rPr>
          <w:rFonts w:ascii="Arial" w:cs="Arial" w:eastAsia="Arial" w:hAnsi="Arial"/>
          <w:sz w:val="18"/>
          <w:szCs w:val="18"/>
          <w:color w:val="auto"/>
        </w:rPr>
        <w:t xml:space="preserve">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related amendments (“Topic 606”), which superseded the guidance provided by Accounting Standards Codification (“ASC”) 985</w:t>
      </w:r>
      <w:r>
        <w:rPr>
          <w:rFonts w:ascii="MS PGothic" w:cs="MS PGothic" w:eastAsia="MS PGothic" w:hAnsi="MS PGothic"/>
          <w:sz w:val="18"/>
          <w:szCs w:val="18"/>
          <w:color w:val="auto"/>
        </w:rPr>
        <w:t>‑</w:t>
      </w:r>
      <w:r>
        <w:rPr>
          <w:rFonts w:ascii="Arial" w:cs="Arial" w:eastAsia="Arial" w:hAnsi="Arial"/>
          <w:sz w:val="18"/>
          <w:szCs w:val="18"/>
          <w:color w:val="auto"/>
        </w:rPr>
        <w:t xml:space="preserve">605, </w:t>
      </w:r>
      <w:r>
        <w:rPr>
          <w:rFonts w:ascii="Arial" w:cs="Arial" w:eastAsia="Arial" w:hAnsi="Arial"/>
          <w:sz w:val="18"/>
          <w:szCs w:val="18"/>
          <w:i w:val="1"/>
          <w:iCs w:val="1"/>
          <w:color w:val="auto"/>
        </w:rPr>
        <w:t>Software-Revenue Recognition</w:t>
      </w:r>
      <w:r>
        <w:rPr>
          <w:rFonts w:ascii="Arial" w:cs="Arial" w:eastAsia="Arial" w:hAnsi="Arial"/>
          <w:sz w:val="18"/>
          <w:szCs w:val="18"/>
          <w:color w:val="auto"/>
        </w:rPr>
        <w:t>, and Topic 605</w:t>
      </w:r>
      <w:r>
        <w:rPr>
          <w:rFonts w:ascii="MS PGothic" w:cs="MS PGothic" w:eastAsia="MS PGothic" w:hAnsi="MS PGothic"/>
          <w:sz w:val="18"/>
          <w:szCs w:val="18"/>
          <w:color w:val="auto"/>
        </w:rPr>
        <w:t>‑</w:t>
      </w:r>
      <w:r>
        <w:rPr>
          <w:rFonts w:ascii="Arial" w:cs="Arial" w:eastAsia="Arial" w:hAnsi="Arial"/>
          <w:sz w:val="18"/>
          <w:szCs w:val="18"/>
          <w:color w:val="auto"/>
        </w:rPr>
        <w:t xml:space="preserve">25, </w:t>
      </w:r>
      <w:r>
        <w:rPr>
          <w:rFonts w:ascii="Arial" w:cs="Arial" w:eastAsia="Arial" w:hAnsi="Arial"/>
          <w:sz w:val="18"/>
          <w:szCs w:val="18"/>
          <w:i w:val="1"/>
          <w:iCs w:val="1"/>
          <w:color w:val="auto"/>
        </w:rPr>
        <w:t>Revenue Recognition, Multiple-Element Arrangements</w:t>
      </w:r>
      <w:r>
        <w:rPr>
          <w:rFonts w:ascii="Arial" w:cs="Arial" w:eastAsia="Arial" w:hAnsi="Arial"/>
          <w:sz w:val="18"/>
          <w:szCs w:val="18"/>
          <w:color w:val="auto"/>
        </w:rPr>
        <w:t>. We refer to ASC 985</w:t>
      </w:r>
      <w:r>
        <w:rPr>
          <w:rFonts w:ascii="MS PGothic" w:cs="MS PGothic" w:eastAsia="MS PGothic" w:hAnsi="MS PGothic"/>
          <w:sz w:val="18"/>
          <w:szCs w:val="18"/>
          <w:color w:val="auto"/>
        </w:rPr>
        <w:t>‑</w:t>
      </w:r>
      <w:r>
        <w:rPr>
          <w:rFonts w:ascii="Arial" w:cs="Arial" w:eastAsia="Arial" w:hAnsi="Arial"/>
          <w:sz w:val="18"/>
          <w:szCs w:val="18"/>
          <w:color w:val="auto"/>
        </w:rPr>
        <w:t>605 and Topic 605</w:t>
      </w:r>
      <w:r>
        <w:rPr>
          <w:rFonts w:ascii="MS PGothic" w:cs="MS PGothic" w:eastAsia="MS PGothic" w:hAnsi="MS PGothic"/>
          <w:sz w:val="18"/>
          <w:szCs w:val="18"/>
          <w:color w:val="auto"/>
        </w:rPr>
        <w:t>‑</w:t>
      </w:r>
      <w:r>
        <w:rPr>
          <w:rFonts w:ascii="Arial" w:cs="Arial" w:eastAsia="Arial" w:hAnsi="Arial"/>
          <w:sz w:val="18"/>
          <w:szCs w:val="18"/>
          <w:color w:val="auto"/>
        </w:rPr>
        <w:t>25 collectively as “Topic 605.” Prior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2020, the account retention rate and recurring revenues dollar</w:t>
      </w:r>
      <w:r>
        <w:rPr>
          <w:rFonts w:ascii="MS PGothic" w:cs="MS PGothic" w:eastAsia="MS PGothic" w:hAnsi="MS PGothic"/>
          <w:sz w:val="18"/>
          <w:szCs w:val="18"/>
          <w:color w:val="auto"/>
        </w:rPr>
        <w:t>‑</w:t>
      </w:r>
      <w:r>
        <w:rPr>
          <w:rFonts w:ascii="Arial" w:cs="Arial" w:eastAsia="Arial" w:hAnsi="Arial"/>
          <w:sz w:val="18"/>
          <w:szCs w:val="18"/>
          <w:color w:val="auto"/>
        </w:rPr>
        <w:t>based net retention rate were calculated using revenues recognized pursuant to Topic 605 for all periods in order to enhance comparability during our transition to Topic 606 as we did not have all information that was necessary to calculate account retention rate pursuant to Topic 606 for earlier periods. For further information on the impact upon adoption of Topic 606 as of January 1, 2019, see Note 3 to our audited consolidated financial statements included in Part II, Item 8 of our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 For further information on the comparability of recurring revenues recognized under Topic 606 versus Topic 605, see the section titled “—Key Factors Impacting Comparability and Performance” included in Part II, Item 7 of our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0" w:name="page51"/>
    <w:bookmarkEnd w:id="50"/>
    <w:p>
      <w:pPr>
        <w:jc w:val="both"/>
        <w:ind w:firstLine="324"/>
        <w:spacing w:after="0" w:line="221" w:lineRule="exact"/>
        <w:rPr>
          <w:sz w:val="20"/>
          <w:szCs w:val="20"/>
          <w:color w:val="auto"/>
        </w:rPr>
      </w:pPr>
      <w:r>
        <w:rPr>
          <w:rFonts w:ascii="Arial" w:cs="Arial" w:eastAsia="Arial" w:hAnsi="Arial"/>
          <w:sz w:val="16"/>
          <w:szCs w:val="16"/>
          <w:b w:val="1"/>
          <w:bCs w:val="1"/>
          <w:i w:val="1"/>
          <w:iCs w:val="1"/>
          <w:color w:val="auto"/>
        </w:rPr>
        <w:t>Last twelve</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months recurring revenues. </w:t>
      </w:r>
      <w:r>
        <w:rPr>
          <w:rFonts w:ascii="Arial" w:cs="Arial" w:eastAsia="Arial" w:hAnsi="Arial"/>
          <w:sz w:val="16"/>
          <w:szCs w:val="16"/>
          <w:color w:val="auto"/>
        </w:rPr>
        <w:t>Last twelve</w:t>
      </w:r>
      <w:r>
        <w:rPr>
          <w:rFonts w:ascii="MS PGothic" w:cs="MS PGothic" w:eastAsia="MS PGothic" w:hAnsi="MS PGothic"/>
          <w:sz w:val="16"/>
          <w:szCs w:val="16"/>
          <w:color w:val="auto"/>
        </w:rPr>
        <w:t>‑</w:t>
      </w:r>
      <w:r>
        <w:rPr>
          <w:rFonts w:ascii="Arial" w:cs="Arial" w:eastAsia="Arial" w:hAnsi="Arial"/>
          <w:sz w:val="16"/>
          <w:szCs w:val="16"/>
          <w:color w:val="auto"/>
        </w:rPr>
        <w:t>months recurring revenues is calculated as recurring revenues recognized over the preceding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twelve</w:t>
      </w:r>
      <w:r>
        <w:rPr>
          <w:rFonts w:ascii="MS PGothic" w:cs="MS PGothic" w:eastAsia="MS PGothic" w:hAnsi="MS PGothic"/>
          <w:sz w:val="16"/>
          <w:szCs w:val="16"/>
          <w:color w:val="auto"/>
        </w:rPr>
        <w:t>‑</w:t>
      </w:r>
      <w:r>
        <w:rPr>
          <w:rFonts w:ascii="Arial" w:cs="Arial" w:eastAsia="Arial" w:hAnsi="Arial"/>
          <w:sz w:val="16"/>
          <w:szCs w:val="16"/>
          <w:color w:val="auto"/>
        </w:rPr>
        <w:t>month period. We define recurring revenues as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We believe that last twelve</w:t>
      </w:r>
      <w:r>
        <w:rPr>
          <w:rFonts w:ascii="MS PGothic" w:cs="MS PGothic" w:eastAsia="MS PGothic" w:hAnsi="MS PGothic"/>
          <w:sz w:val="18"/>
          <w:szCs w:val="18"/>
          <w:color w:val="auto"/>
        </w:rPr>
        <w:t>‑</w:t>
      </w:r>
      <w:r>
        <w:rPr>
          <w:rFonts w:ascii="Arial" w:cs="Arial" w:eastAsia="Arial" w:hAnsi="Arial"/>
          <w:sz w:val="18"/>
          <w:szCs w:val="18"/>
          <w:color w:val="auto"/>
        </w:rPr>
        <w:t>months recurring revenues is an important indicator of our performance during the immediately preceding twelve</w:t>
      </w:r>
      <w:r>
        <w:rPr>
          <w:rFonts w:ascii="MS PGothic" w:cs="MS PGothic" w:eastAsia="MS PGothic" w:hAnsi="MS PGothic"/>
          <w:sz w:val="18"/>
          <w:szCs w:val="18"/>
          <w:color w:val="auto"/>
        </w:rPr>
        <w:t>‑</w:t>
      </w:r>
      <w:r>
        <w:rPr>
          <w:rFonts w:ascii="Arial" w:cs="Arial" w:eastAsia="Arial" w:hAnsi="Arial"/>
          <w:sz w:val="18"/>
          <w:szCs w:val="18"/>
          <w:color w:val="auto"/>
        </w:rPr>
        <w:t>month time period. We believe that we will continue to experience favorable growth in recurring revenues due to our strong account retention and recurring revenues dollar</w:t>
      </w:r>
      <w:r>
        <w:rPr>
          <w:rFonts w:ascii="MS PGothic" w:cs="MS PGothic" w:eastAsia="MS PGothic" w:hAnsi="MS PGothic"/>
          <w:sz w:val="18"/>
          <w:szCs w:val="18"/>
          <w:color w:val="auto"/>
        </w:rPr>
        <w:t>‑</w:t>
      </w:r>
      <w:r>
        <w:rPr>
          <w:rFonts w:ascii="Arial" w:cs="Arial" w:eastAsia="Arial" w:hAnsi="Arial"/>
          <w:sz w:val="18"/>
          <w:szCs w:val="18"/>
          <w:color w:val="auto"/>
        </w:rPr>
        <w:t>based net retention rates, as well as the addition of new accounts with recurring revenues. The last twelve</w:t>
      </w:r>
      <w:r>
        <w:rPr>
          <w:rFonts w:ascii="MS PGothic" w:cs="MS PGothic" w:eastAsia="MS PGothic" w:hAnsi="MS PGothic"/>
          <w:sz w:val="18"/>
          <w:szCs w:val="18"/>
          <w:color w:val="auto"/>
        </w:rPr>
        <w:t>‑</w:t>
      </w:r>
      <w:r>
        <w:rPr>
          <w:rFonts w:ascii="Arial" w:cs="Arial" w:eastAsia="Arial" w:hAnsi="Arial"/>
          <w:sz w:val="18"/>
          <w:szCs w:val="18"/>
          <w:color w:val="auto"/>
        </w:rPr>
        <w:t>months recurring revenues for the periods ended September 30, 2021 compared to the last twelve</w:t>
      </w:r>
      <w:r>
        <w:rPr>
          <w:rFonts w:ascii="MS PGothic" w:cs="MS PGothic" w:eastAsia="MS PGothic" w:hAnsi="MS PGothic"/>
          <w:sz w:val="18"/>
          <w:szCs w:val="18"/>
          <w:color w:val="auto"/>
        </w:rPr>
        <w:t>‑</w:t>
      </w:r>
      <w:r>
        <w:rPr>
          <w:rFonts w:ascii="Arial" w:cs="Arial" w:eastAsia="Arial" w:hAnsi="Arial"/>
          <w:sz w:val="18"/>
          <w:szCs w:val="18"/>
          <w:color w:val="auto"/>
        </w:rPr>
        <w:t>months of the preceding twelve</w:t>
      </w:r>
      <w:r>
        <w:rPr>
          <w:rFonts w:ascii="MS PGothic" w:cs="MS PGothic" w:eastAsia="MS PGothic" w:hAnsi="MS PGothic"/>
          <w:sz w:val="18"/>
          <w:szCs w:val="18"/>
          <w:color w:val="auto"/>
        </w:rPr>
        <w:t>‑</w:t>
      </w:r>
      <w:r>
        <w:rPr>
          <w:rFonts w:ascii="Arial" w:cs="Arial" w:eastAsia="Arial" w:hAnsi="Arial"/>
          <w:sz w:val="18"/>
          <w:szCs w:val="18"/>
          <w:color w:val="auto"/>
        </w:rPr>
        <w:t>month period increased by $103,362. This increase was primarily due to growth in ARR, which is primarily the result of growth in our recurring revenues dollar</w:t>
      </w:r>
      <w:r>
        <w:rPr>
          <w:rFonts w:ascii="MS PGothic" w:cs="MS PGothic" w:eastAsia="MS PGothic" w:hAnsi="MS PGothic"/>
          <w:sz w:val="18"/>
          <w:szCs w:val="18"/>
          <w:color w:val="auto"/>
        </w:rPr>
        <w:t>‑</w:t>
      </w:r>
      <w:r>
        <w:rPr>
          <w:rFonts w:ascii="Arial" w:cs="Arial" w:eastAsia="Arial" w:hAnsi="Arial"/>
          <w:sz w:val="18"/>
          <w:szCs w:val="18"/>
          <w:color w:val="auto"/>
        </w:rPr>
        <w:t>based net retention rate, as well as additional recurring revenues resulting from new accounts and acquisitions. For the twelve months ended September 30, 2021, 86% of our revenues were recurring revenues.</w:t>
      </w:r>
    </w:p>
    <w:p>
      <w:pPr>
        <w:spacing w:after="0" w:line="203"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b w:val="1"/>
          <w:bCs w:val="1"/>
          <w:i w:val="1"/>
          <w:iCs w:val="1"/>
          <w:color w:val="auto"/>
        </w:rPr>
        <w:t>Constant currency metrics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we calculate the effects of foreign currency fluctuations and constant currency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accounting principles generally accepted in the United States of America (“U.S. GAAP”).</w:t>
      </w:r>
    </w:p>
    <w:p>
      <w:pPr>
        <w:spacing w:after="0" w:line="205"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7"/>
          <w:szCs w:val="17"/>
          <w:i w:val="1"/>
          <w:iCs w:val="1"/>
          <w:color w:val="auto"/>
        </w:rPr>
        <w:t xml:space="preserve">ARR growth rate. </w:t>
      </w:r>
      <w:r>
        <w:rPr>
          <w:rFonts w:ascii="Arial" w:cs="Arial" w:eastAsia="Arial" w:hAnsi="Arial"/>
          <w:sz w:val="17"/>
          <w:szCs w:val="17"/>
          <w:color w:val="auto"/>
        </w:rPr>
        <w:t>Our ARR growth rate is the growth rate of our ARR, measured on a constant currency basis. Our ARR is defined as the sum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annualized value of our portfolio of contracts that produce recurring revenue as of the last day of the reporting period, and the annualized value of the last three months of recognized revenues for our contractually recurring consumption</w:t>
      </w:r>
      <w:r>
        <w:rPr>
          <w:rFonts w:ascii="MS PGothic" w:cs="MS PGothic" w:eastAsia="MS PGothic" w:hAnsi="MS PGothic"/>
          <w:sz w:val="17"/>
          <w:szCs w:val="17"/>
          <w:color w:val="auto"/>
        </w:rPr>
        <w:t>‑</w:t>
      </w:r>
      <w:r>
        <w:rPr>
          <w:rFonts w:ascii="Arial" w:cs="Arial" w:eastAsia="Arial" w:hAnsi="Arial"/>
          <w:sz w:val="17"/>
          <w:szCs w:val="17"/>
          <w:color w:val="auto"/>
        </w:rPr>
        <w:t>based software subscriptions with consumption measurement durations of less than one year.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37% and 31% as of September 30, 2021 and 2020, respectively. Within our consumption</w:t>
      </w:r>
      <w:r>
        <w:rPr>
          <w:rFonts w:ascii="MS PGothic" w:cs="MS PGothic" w:eastAsia="MS PGothic" w:hAnsi="MS PGothic"/>
          <w:sz w:val="17"/>
          <w:szCs w:val="17"/>
          <w:color w:val="auto"/>
        </w:rPr>
        <w:t>‑</w:t>
      </w:r>
      <w:r>
        <w:rPr>
          <w:rFonts w:ascii="Arial" w:cs="Arial" w:eastAsia="Arial" w:hAnsi="Arial"/>
          <w:sz w:val="17"/>
          <w:szCs w:val="17"/>
          <w:color w:val="auto"/>
        </w:rPr>
        <w:t>measured ARR, the continuous uptake of our E365 subscription offering has introduced daily consumption</w:t>
      </w:r>
      <w:r>
        <w:rPr>
          <w:rFonts w:ascii="MS PGothic" w:cs="MS PGothic" w:eastAsia="MS PGothic" w:hAnsi="MS PGothic"/>
          <w:sz w:val="17"/>
          <w:szCs w:val="17"/>
          <w:color w:val="auto"/>
        </w:rPr>
        <w:t>‑</w:t>
      </w:r>
      <w:r>
        <w:rPr>
          <w:rFonts w:ascii="Arial" w:cs="Arial" w:eastAsia="Arial" w:hAnsi="Arial"/>
          <w:sz w:val="17"/>
          <w:szCs w:val="17"/>
          <w:color w:val="auto"/>
        </w:rPr>
        <w:t>measured ARR, representing 28% of total ARR as of September 30, 2021. ARR is inclusive of the ARR of acquired companies as of the date they are acquired. We believe that ARR and ARR growth are important metrics indicating the scale and growth of our business. Furthermore, we believe ARR, considered in connection with our recurring revenues dollar</w:t>
      </w:r>
      <w:r>
        <w:rPr>
          <w:rFonts w:ascii="MS PGothic" w:cs="MS PGothic" w:eastAsia="MS PGothic" w:hAnsi="MS PGothic"/>
          <w:sz w:val="17"/>
          <w:szCs w:val="17"/>
          <w:color w:val="auto"/>
        </w:rPr>
        <w:t>‑</w:t>
      </w:r>
      <w:r>
        <w:rPr>
          <w:rFonts w:ascii="Arial" w:cs="Arial" w:eastAsia="Arial" w:hAnsi="Arial"/>
          <w:sz w:val="17"/>
          <w:szCs w:val="17"/>
          <w:color w:val="auto"/>
        </w:rPr>
        <w:t>based net retention rate, is a leading indicator of revenue growth. Our ARR as of September 30, 2021 was $903,845, calculated using the spot foreign exchange rates as of September 30, 2021.</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ARR growth rate was favorably impacted from the Seequent acquisition by 13% for the twelve months ended September 30, 2021.</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 xml:space="preserve">Account retention rate. </w:t>
      </w:r>
      <w:r>
        <w:rPr>
          <w:rFonts w:ascii="Arial" w:cs="Arial" w:eastAsia="Arial" w:hAnsi="Arial"/>
          <w:sz w:val="18"/>
          <w:szCs w:val="18"/>
          <w:color w:val="auto"/>
        </w:rPr>
        <w:t>Our account retention rate for any given twelve-month period is calculated using the average currency exchange rates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period, as follows: the prior period recurring revenues from all accounts with recurring revenues in the current and prior period, divided by total recurring revenues from all accounts during the prior period. Our account retention rate is an important indicator that provides insight into the long</w:t>
      </w:r>
      <w:r>
        <w:rPr>
          <w:rFonts w:ascii="MS PGothic" w:cs="MS PGothic" w:eastAsia="MS PGothic" w:hAnsi="MS PGothic"/>
          <w:sz w:val="18"/>
          <w:szCs w:val="18"/>
          <w:color w:val="auto"/>
        </w:rPr>
        <w:t>‑</w:t>
      </w:r>
      <w:r>
        <w:rPr>
          <w:rFonts w:ascii="Arial" w:cs="Arial" w:eastAsia="Arial" w:hAnsi="Arial"/>
          <w:sz w:val="18"/>
          <w:szCs w:val="18"/>
          <w:color w:val="auto"/>
        </w:rPr>
        <w:t>term value of our account relationships and our ability to retain our account base. We believe that our consistent and high account retention rates illustrate our ability to retain and cultivate long</w:t>
      </w:r>
      <w:r>
        <w:rPr>
          <w:rFonts w:ascii="MS PGothic" w:cs="MS PGothic" w:eastAsia="MS PGothic" w:hAnsi="MS PGothic"/>
          <w:sz w:val="18"/>
          <w:szCs w:val="18"/>
          <w:color w:val="auto"/>
        </w:rPr>
        <w:t>‑</w:t>
      </w:r>
      <w:r>
        <w:rPr>
          <w:rFonts w:ascii="Arial" w:cs="Arial" w:eastAsia="Arial" w:hAnsi="Arial"/>
          <w:sz w:val="18"/>
          <w:szCs w:val="18"/>
          <w:color w:val="auto"/>
        </w:rPr>
        <w:t>term relationships with our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1" w:name="page52"/>
    <w:bookmarkEnd w:id="51"/>
    <w:p>
      <w:pPr>
        <w:jc w:val="both"/>
        <w:ind w:firstLine="324"/>
        <w:spacing w:after="0" w:line="218" w:lineRule="exact"/>
        <w:rPr>
          <w:sz w:val="20"/>
          <w:szCs w:val="20"/>
          <w:color w:val="auto"/>
        </w:rPr>
      </w:pPr>
      <w:r>
        <w:rPr>
          <w:rFonts w:ascii="Arial" w:cs="Arial" w:eastAsia="Arial" w:hAnsi="Arial"/>
          <w:sz w:val="16"/>
          <w:szCs w:val="16"/>
          <w:i w:val="1"/>
          <w:iCs w:val="1"/>
          <w:color w:val="auto"/>
        </w:rPr>
        <w:t>Recurring revenues dollar</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based net retention rate. </w:t>
      </w:r>
      <w:r>
        <w:rPr>
          <w:rFonts w:ascii="Arial" w:cs="Arial" w:eastAsia="Arial" w:hAnsi="Arial"/>
          <w:sz w:val="16"/>
          <w:szCs w:val="16"/>
          <w:color w:val="auto"/>
        </w:rPr>
        <w:t>Our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is calculated using the average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We believe our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is a key indicator of our success in growing our revenues within our existing accounts. Given that recurring revenues represented 86% of our total revenues for the twelve months ended September 30, 2021, this metric helps explain our revenue performance as primarily growth into existing accounts. We believe that our consistent and high recurring revenues dollar</w:t>
      </w:r>
      <w:r>
        <w:rPr>
          <w:rFonts w:ascii="MS PGothic" w:cs="MS PGothic" w:eastAsia="MS PGothic" w:hAnsi="MS PGothic"/>
          <w:sz w:val="16"/>
          <w:szCs w:val="16"/>
          <w:color w:val="auto"/>
        </w:rPr>
        <w:t>‑</w:t>
      </w:r>
      <w:r>
        <w:rPr>
          <w:rFonts w:ascii="Arial" w:cs="Arial" w:eastAsia="Arial" w:hAnsi="Arial"/>
          <w:sz w:val="16"/>
          <w:szCs w:val="16"/>
          <w:color w:val="auto"/>
        </w:rPr>
        <w:t>based net retention rate illustrates our ability to consistently retain accounts and grow them.</w:t>
      </w:r>
    </w:p>
    <w:p>
      <w:pPr>
        <w:spacing w:after="0" w:line="204"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Our calculation of these metrics may not be comparable to other companies with similarly</w:t>
      </w:r>
      <w:r>
        <w:rPr>
          <w:rFonts w:ascii="MS PGothic" w:cs="MS PGothic" w:eastAsia="MS PGothic" w:hAnsi="MS PGothic"/>
          <w:sz w:val="18"/>
          <w:szCs w:val="18"/>
          <w:color w:val="auto"/>
        </w:rPr>
        <w:t>‑</w:t>
      </w:r>
      <w:r>
        <w:rPr>
          <w:rFonts w:ascii="Arial" w:cs="Arial" w:eastAsia="Arial" w:hAnsi="Arial"/>
          <w:sz w:val="18"/>
          <w:szCs w:val="18"/>
          <w:color w:val="auto"/>
        </w:rPr>
        <w:t>titled metrics.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In addition to our results determined in accordance with U.S. GAAP, we also use the below non</w:t>
      </w:r>
      <w:r>
        <w:rPr>
          <w:rFonts w:ascii="MS PGothic" w:cs="MS PGothic" w:eastAsia="MS PGothic" w:hAnsi="MS PGothic"/>
          <w:sz w:val="18"/>
          <w:szCs w:val="18"/>
          <w:color w:val="auto"/>
        </w:rPr>
        <w:t>‑</w:t>
      </w:r>
      <w:r>
        <w:rPr>
          <w:rFonts w:ascii="Arial" w:cs="Arial" w:eastAsia="Arial" w:hAnsi="Arial"/>
          <w:sz w:val="18"/>
          <w:szCs w:val="18"/>
          <w:color w:val="auto"/>
        </w:rPr>
        <w:t>GAAP financial information to evaluate our ongoing operations and for internal planning and forecasting purposes.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18"/>
                <w:szCs w:val="18"/>
                <w:color w:val="auto"/>
              </w:rPr>
            </w:pPr>
          </w:p>
        </w:tc>
        <w:tc>
          <w:tcPr>
            <w:tcW w:w="2600" w:type="dxa"/>
            <w:vAlign w:val="bottom"/>
            <w:gridSpan w:val="4"/>
          </w:tcPr>
          <w:p>
            <w:pPr>
              <w:jc w:val="center"/>
              <w:ind w:right="213"/>
              <w:spacing w:after="0"/>
              <w:rPr>
                <w:sz w:val="20"/>
                <w:szCs w:val="20"/>
                <w:color w:val="auto"/>
              </w:rPr>
            </w:pPr>
            <w:r>
              <w:rPr>
                <w:rFonts w:ascii="Arial" w:cs="Arial" w:eastAsia="Arial" w:hAnsi="Arial"/>
                <w:sz w:val="16"/>
                <w:szCs w:val="16"/>
                <w:b w:val="1"/>
                <w:bCs w:val="1"/>
                <w:color w:val="auto"/>
                <w:w w:val="92"/>
              </w:rPr>
              <w:t>Nine Months Ended</w:t>
            </w:r>
          </w:p>
        </w:tc>
      </w:tr>
      <w:tr>
        <w:trPr>
          <w:trHeight w:val="219"/>
        </w:trPr>
        <w:tc>
          <w:tcPr>
            <w:tcW w:w="5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center"/>
              <w:ind w:left="495"/>
              <w:spacing w:after="0"/>
              <w:rPr>
                <w:sz w:val="20"/>
                <w:szCs w:val="20"/>
                <w:color w:val="auto"/>
              </w:rPr>
            </w:pPr>
            <w:r>
              <w:rPr>
                <w:rFonts w:ascii="Arial" w:cs="Arial" w:eastAsia="Arial" w:hAnsi="Arial"/>
                <w:sz w:val="16"/>
                <w:szCs w:val="16"/>
                <w:b w:val="1"/>
                <w:bCs w:val="1"/>
                <w:color w:val="auto"/>
                <w:w w:val="89"/>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9"/>
                <w:szCs w:val="19"/>
                <w:color w:val="auto"/>
              </w:rPr>
            </w:pPr>
          </w:p>
        </w:tc>
      </w:tr>
      <w:tr>
        <w:trPr>
          <w:trHeight w:val="210"/>
        </w:trPr>
        <w:tc>
          <w:tcPr>
            <w:tcW w:w="5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84,468</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236,778</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188,996</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56,289</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51,424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194,971</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140,502</w:t>
            </w:r>
          </w:p>
        </w:tc>
      </w:tr>
    </w:tbl>
    <w:p>
      <w:pPr>
        <w:spacing w:after="0" w:line="29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We define Adjusted EBITDA as net (loss) income adjusted for interest expense, net, provision (benefit)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amortization,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(income) relating to deferred compensation plan liabilities, acquisition expenses, realignment expenses, expenses associated with IPO,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expense, net, and (income) loss from investment accounted for using the equity method, net of tax.</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Adjusted Net Income</w:t>
      </w:r>
      <w:r>
        <w:rPr>
          <w:rFonts w:ascii="Arial" w:cs="Arial" w:eastAsia="Arial" w:hAnsi="Arial"/>
          <w:sz w:val="18"/>
          <w:szCs w:val="18"/>
          <w:color w:val="auto"/>
        </w:rPr>
        <w:t>. We define Adjusted Net Income as net (loss) income adjusted for the following: amortization of purchased intangibles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technologies,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(income) relating to deferred compensation plan liabilities, acquisition expenses, realignment expenses, expenses associated with IPO,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expense, net, the tax effect of the above adjustments to net (loss) income, and (income) loss from investment accounted for using the equity method, net of tax. The tax effect of adjustments to net (loss) income is based on the estimated marginal effective tax rates in the jurisdictions impacted by such adjustments.</w:t>
      </w:r>
    </w:p>
    <w:p>
      <w:pPr>
        <w:spacing w:after="0" w:line="20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Adjusted EBITDA and Adjusted Net Income are not presentations made in accordance with U.S. GAAP, and our use of the terms Adjusted EBITDA and Adjusted Net Income may vary from the use of similarly titled measures by others in our industry due to the potential inconsistencies in the method of calculation and differences due to items subject to interpretation. We believe the presentation of Adjusted EBITDA and Adjusted Net Income provides useful information to management and investors regarding financial and business trends related to our results of operations and that when non</w:t>
      </w:r>
      <w:r>
        <w:rPr>
          <w:rFonts w:ascii="MS PGothic" w:cs="MS PGothic" w:eastAsia="MS PGothic" w:hAnsi="MS PGothic"/>
          <w:sz w:val="18"/>
          <w:szCs w:val="18"/>
          <w:color w:val="auto"/>
        </w:rPr>
        <w:t>‑</w:t>
      </w:r>
      <w:r>
        <w:rPr>
          <w:rFonts w:ascii="Arial" w:cs="Arial" w:eastAsia="Arial" w:hAnsi="Arial"/>
          <w:sz w:val="18"/>
          <w:szCs w:val="18"/>
          <w:color w:val="auto"/>
        </w:rPr>
        <w:t>GAAP financial information is viewed with U.S. GAAP financial information, investors are provided with a more meaningful understanding of our ongoing operating performance. We also use Adjusted EBITDA and Adjusted Net Income to compare our results to those of our competitors and to consistently measure our performance from period to period. During the third quarter of 2021, we modified our definitions of Adjusted EBITDA and Adjusted Net Income to adjust for expense (income) relating to deferred compensation plan liabilities and amounts for all periods herein reflect application of the modified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2" w:name="page53"/>
    <w:bookmarkEnd w:id="52"/>
    <w:p>
      <w:pPr>
        <w:jc w:val="both"/>
        <w:ind w:firstLine="324"/>
        <w:spacing w:after="0" w:line="311" w:lineRule="auto"/>
        <w:rPr>
          <w:sz w:val="20"/>
          <w:szCs w:val="20"/>
          <w:color w:val="auto"/>
        </w:rPr>
      </w:pPr>
      <w:r>
        <w:rPr>
          <w:rFonts w:ascii="Arial" w:cs="Arial" w:eastAsia="Arial" w:hAnsi="Arial"/>
          <w:sz w:val="16"/>
          <w:szCs w:val="16"/>
          <w:color w:val="auto"/>
        </w:rPr>
        <w:t>Adjusted EBITDA and Adjusted Net Income should not be considered as alternatives to net (loss) income, operating income, or any other performance measures derived in accordance with U.S. GAAP as measures of operating performance. Adjusted EBITDA and Adjusted Net Income have important limitations as analytical tools and should not be considered in isolation or as a substitute for analysis of our results as reported under U.S. GAAP.</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net (loss) income to Adjusted EBITDA: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2"/>
              </w:rPr>
              <w:t>Three Months Ended</w:t>
            </w:r>
          </w:p>
        </w:tc>
        <w:tc>
          <w:tcPr>
            <w:tcW w:w="280" w:type="dxa"/>
            <w:vAlign w:val="bottom"/>
          </w:tcPr>
          <w:p>
            <w:pPr>
              <w:spacing w:after="0"/>
              <w:rPr>
                <w:sz w:val="18"/>
                <w:szCs w:val="18"/>
                <w:color w:val="auto"/>
              </w:rPr>
            </w:pPr>
          </w:p>
        </w:tc>
        <w:tc>
          <w:tcPr>
            <w:tcW w:w="244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9"/>
        </w:trPr>
        <w:tc>
          <w:tcPr>
            <w:tcW w:w="5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6"/>
                <w:szCs w:val="16"/>
                <w:b w:val="1"/>
                <w:bCs w:val="1"/>
                <w:color w:val="auto"/>
                <w:w w:val="89"/>
              </w:rPr>
              <w:t>September 30,</w:t>
            </w:r>
          </w:p>
        </w:tc>
        <w:tc>
          <w:tcPr>
            <w:tcW w:w="8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6"/>
                <w:szCs w:val="16"/>
                <w:b w:val="1"/>
                <w:bCs w:val="1"/>
                <w:color w:val="auto"/>
                <w:w w:val="91"/>
              </w:rPr>
              <w:t>September 30,</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w w:val="95"/>
              </w:rPr>
              <w:t>2020</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(50,128)</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51,788</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74,589</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8,608</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10,705</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16,666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35,946</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25,836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19,548</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32,186</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22,760</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88,965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89,327</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(5)</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31,897</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Realignment expenses </w:t>
            </w:r>
            <w:r>
              <w:rPr>
                <w:rFonts w:ascii="Arial" w:cs="Arial" w:eastAsia="Arial" w:hAnsi="Arial"/>
                <w:sz w:val="23"/>
                <w:szCs w:val="23"/>
                <w:color w:val="auto"/>
                <w:vertAlign w:val="superscript"/>
              </w:rPr>
              <w:t>(6)</w:t>
            </w:r>
          </w:p>
        </w:tc>
        <w:tc>
          <w:tcPr>
            <w:tcW w:w="28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9,943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Expenses associated with IPO </w:t>
            </w:r>
            <w:r>
              <w:rPr>
                <w:rFonts w:ascii="Arial" w:cs="Arial" w:eastAsia="Arial" w:hAnsi="Arial"/>
                <w:sz w:val="23"/>
                <w:szCs w:val="23"/>
                <w:color w:val="auto"/>
                <w:vertAlign w:val="superscript"/>
              </w:rPr>
              <w:t>(7)</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26,130</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26,130</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Other expense (income), net </w:t>
            </w:r>
            <w:r>
              <w:rPr>
                <w:rFonts w:ascii="Arial" w:cs="Arial" w:eastAsia="Arial" w:hAnsi="Arial"/>
                <w:sz w:val="23"/>
                <w:szCs w:val="23"/>
                <w:color w:val="auto"/>
                <w:vertAlign w:val="superscript"/>
              </w:rPr>
              <w:t>(8)</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(13,741)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(9,748)</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(6,756)</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Loss from investment accounted for using the equity method, net of tax</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6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2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84,468</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73,655</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236,778</w:t>
            </w: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188,996</w:t>
            </w:r>
          </w:p>
        </w:tc>
        <w:tc>
          <w:tcPr>
            <w:tcW w:w="0" w:type="dxa"/>
            <w:vAlign w:val="bottom"/>
          </w:tcPr>
          <w:p>
            <w:pPr>
              <w:spacing w:after="0"/>
              <w:rPr>
                <w:sz w:val="1"/>
                <w:szCs w:val="1"/>
                <w:color w:val="auto"/>
              </w:rPr>
            </w:pPr>
          </w:p>
        </w:tc>
      </w:tr>
      <w:tr>
        <w:trPr>
          <w:trHeight w:val="21"/>
        </w:trPr>
        <w:tc>
          <w:tcPr>
            <w:tcW w:w="5560" w:type="dxa"/>
            <w:vAlign w:val="bottom"/>
            <w:vMerge w:val="restart"/>
          </w:tcPr>
          <w:p>
            <w:pPr>
              <w:spacing w:after="0"/>
              <w:rPr>
                <w:sz w:val="20"/>
                <w:szCs w:val="20"/>
                <w:color w:val="auto"/>
              </w:rPr>
            </w:pPr>
            <w:r>
              <w:rPr>
                <w:rFonts w:ascii="Arial" w:cs="Arial" w:eastAsia="Arial" w:hAnsi="Arial"/>
                <w:sz w:val="18"/>
                <w:szCs w:val="18"/>
                <w:color w:val="auto"/>
              </w:rPr>
              <w:t>Reconciliation of net (loss) income to Adjusted Net Income:</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w w:val="92"/>
              </w:rPr>
              <w:t>Three Months Ended</w:t>
            </w:r>
          </w:p>
        </w:tc>
        <w:tc>
          <w:tcPr>
            <w:tcW w:w="280" w:type="dxa"/>
            <w:vAlign w:val="bottom"/>
          </w:tcPr>
          <w:p>
            <w:pPr>
              <w:spacing w:after="0"/>
              <w:rPr>
                <w:sz w:val="24"/>
                <w:szCs w:val="24"/>
                <w:color w:val="auto"/>
              </w:rPr>
            </w:pPr>
          </w:p>
        </w:tc>
        <w:tc>
          <w:tcPr>
            <w:tcW w:w="2440" w:type="dxa"/>
            <w:vAlign w:val="bottom"/>
            <w:gridSpan w:val="4"/>
          </w:tcPr>
          <w:p>
            <w:pPr>
              <w:jc w:val="center"/>
              <w:ind w:right="171"/>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9"/>
        </w:trPr>
        <w:tc>
          <w:tcPr>
            <w:tcW w:w="55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6"/>
                <w:szCs w:val="16"/>
                <w:b w:val="1"/>
                <w:bCs w:val="1"/>
                <w:color w:val="auto"/>
                <w:w w:val="89"/>
              </w:rPr>
              <w:t>September 30,</w:t>
            </w:r>
          </w:p>
        </w:tc>
        <w:tc>
          <w:tcPr>
            <w:tcW w:w="8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6"/>
                <w:szCs w:val="16"/>
                <w:b w:val="1"/>
                <w:bCs w:val="1"/>
                <w:color w:val="auto"/>
                <w:w w:val="91"/>
              </w:rPr>
              <w:t>September 30,</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w w:val="95"/>
              </w:rPr>
              <w:t>2020</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(50,128)</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51,788</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74,589</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Non-GAAP adjustments, prior to income taxes: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 xml:space="preserve">Amortization of purchased intangibles and developed technologies </w:t>
            </w:r>
            <w:r>
              <w:rPr>
                <w:rFonts w:ascii="Arial" w:cs="Arial" w:eastAsia="Arial" w:hAnsi="Arial"/>
                <w:sz w:val="23"/>
                <w:szCs w:val="23"/>
                <w:color w:val="auto"/>
                <w:w w:val="96"/>
                <w:vertAlign w:val="superscript"/>
              </w:rPr>
              <w:t>(2)</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11,539</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22,003</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14,694</w:t>
            </w:r>
          </w:p>
        </w:tc>
        <w:tc>
          <w:tcPr>
            <w:tcW w:w="0" w:type="dxa"/>
            <w:vAlign w:val="bottom"/>
          </w:tcPr>
          <w:p>
            <w:pPr>
              <w:spacing w:after="0"/>
              <w:rPr>
                <w:sz w:val="1"/>
                <w:szCs w:val="1"/>
                <w:color w:val="auto"/>
              </w:rPr>
            </w:pPr>
          </w:p>
        </w:tc>
      </w:tr>
      <w:tr>
        <w:trPr>
          <w:trHeight w:val="270"/>
        </w:trPr>
        <w:tc>
          <w:tcPr>
            <w:tcW w:w="5560" w:type="dxa"/>
            <w:vAlign w:val="bottom"/>
          </w:tcPr>
          <w:p>
            <w:pPr>
              <w:ind w:left="18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23"/>
                <w:szCs w:val="23"/>
                <w:color w:val="auto"/>
                <w:vertAlign w:val="superscript"/>
              </w:rPr>
              <w:t>(3)</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11,588</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19,548</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32,186</w:t>
            </w: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22,760</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Deferred compensation plan </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88,965</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89,327</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0"/>
        </w:trPr>
        <w:tc>
          <w:tcPr>
            <w:tcW w:w="5560" w:type="dxa"/>
            <w:vAlign w:val="bottom"/>
          </w:tcPr>
          <w:p>
            <w:pPr>
              <w:ind w:left="180"/>
              <w:spacing w:after="0"/>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(5)</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7,697</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3,489</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31,897</w:t>
            </w: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8,498</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Realignment expenses </w:t>
            </w:r>
            <w:r>
              <w:rPr>
                <w:rFonts w:ascii="Arial" w:cs="Arial" w:eastAsia="Arial" w:hAnsi="Arial"/>
                <w:sz w:val="23"/>
                <w:szCs w:val="23"/>
                <w:color w:val="auto"/>
                <w:vertAlign w:val="superscript"/>
              </w:rPr>
              <w:t>(6)</w:t>
            </w: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70"/>
        </w:trPr>
        <w:tc>
          <w:tcPr>
            <w:tcW w:w="5560" w:type="dxa"/>
            <w:vAlign w:val="bottom"/>
          </w:tcPr>
          <w:p>
            <w:pPr>
              <w:ind w:left="180"/>
              <w:spacing w:after="0"/>
              <w:rPr>
                <w:sz w:val="20"/>
                <w:szCs w:val="20"/>
                <w:color w:val="auto"/>
              </w:rPr>
            </w:pPr>
            <w:r>
              <w:rPr>
                <w:rFonts w:ascii="Arial" w:cs="Arial" w:eastAsia="Arial" w:hAnsi="Arial"/>
                <w:sz w:val="18"/>
                <w:szCs w:val="18"/>
                <w:color w:val="auto"/>
              </w:rPr>
              <w:t xml:space="preserve">Expenses associated with IPO </w:t>
            </w:r>
            <w:r>
              <w:rPr>
                <w:rFonts w:ascii="Arial" w:cs="Arial" w:eastAsia="Arial" w:hAnsi="Arial"/>
                <w:sz w:val="23"/>
                <w:szCs w:val="23"/>
                <w:color w:val="auto"/>
                <w:vertAlign w:val="superscript"/>
              </w:rPr>
              <w:t>(7)</w:t>
            </w:r>
          </w:p>
        </w:tc>
        <w:tc>
          <w:tcPr>
            <w:tcW w:w="28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26,130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26,130</w:t>
            </w:r>
          </w:p>
        </w:tc>
        <w:tc>
          <w:tcPr>
            <w:tcW w:w="0" w:type="dxa"/>
            <w:vAlign w:val="bottom"/>
          </w:tcPr>
          <w:p>
            <w:pPr>
              <w:spacing w:after="0"/>
              <w:rPr>
                <w:sz w:val="1"/>
                <w:szCs w:val="1"/>
                <w:color w:val="auto"/>
              </w:rPr>
            </w:pPr>
          </w:p>
        </w:tc>
      </w:tr>
      <w:tr>
        <w:trPr>
          <w:trHeight w:val="27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Other expense (income), net </w:t>
            </w:r>
            <w:r>
              <w:rPr>
                <w:rFonts w:ascii="Arial" w:cs="Arial" w:eastAsia="Arial" w:hAnsi="Arial"/>
                <w:sz w:val="23"/>
                <w:szCs w:val="23"/>
                <w:color w:val="auto"/>
                <w:vertAlign w:val="superscript"/>
              </w:rPr>
              <w:t>(8)</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6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(13,741)</w:t>
            </w:r>
          </w:p>
        </w:tc>
        <w:tc>
          <w:tcPr>
            <w:tcW w:w="2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2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Total non-GAAP adjustments, prior to income taxes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120,746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50,655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165,665</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75,223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effect of non-GAAP adjustments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(14,993)</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(25,421)</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(10,757)</w:t>
            </w:r>
          </w:p>
        </w:tc>
        <w:tc>
          <w:tcPr>
            <w:tcW w:w="0" w:type="dxa"/>
            <w:vAlign w:val="bottom"/>
          </w:tcPr>
          <w:p>
            <w:pPr>
              <w:spacing w:after="0"/>
              <w:rPr>
                <w:sz w:val="1"/>
                <w:szCs w:val="1"/>
                <w:color w:val="auto"/>
              </w:rPr>
            </w:pPr>
          </w:p>
        </w:tc>
      </w:tr>
      <w:tr>
        <w:trPr>
          <w:trHeight w:val="27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Loss from investment accounted for using the equity method, net of tax</w:t>
            </w: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26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56,289</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51,424</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194,971</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140,502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19030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Further explanation of certain of our adjustments in arriving at Adjusted EBITDA and Adjusted Net Income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3" w:name="page54"/>
    <w:bookmarkEnd w:id="53"/>
    <w:p>
      <w:pPr>
        <w:jc w:val="both"/>
        <w:ind w:left="332" w:hanging="332"/>
        <w:spacing w:after="0" w:line="263" w:lineRule="auto"/>
        <w:tabs>
          <w:tab w:leader="none" w:pos="326"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includes amortization of $1,958 and $1,167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and 2020, respectively, $5,430 and $3,189 for the nine months ended September 30, 2021 and 2020, respectively, related to certain projects under our Accelerated Commercial Development Program (“ACDP”).</w:t>
      </w:r>
    </w:p>
    <w:p>
      <w:pPr>
        <w:spacing w:after="0" w:line="183" w:lineRule="exact"/>
        <w:rPr>
          <w:rFonts w:ascii="Arial" w:cs="Arial" w:eastAsia="Arial" w:hAnsi="Arial"/>
          <w:sz w:val="18"/>
          <w:szCs w:val="18"/>
          <w:color w:val="auto"/>
        </w:rPr>
      </w:pPr>
    </w:p>
    <w:p>
      <w:pPr>
        <w:jc w:val="both"/>
        <w:ind w:left="332" w:hanging="332"/>
        <w:spacing w:after="0" w:line="218" w:lineRule="exact"/>
        <w:tabs>
          <w:tab w:leader="none" w:pos="326"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Amortization of purchased intangibles and developed technologies</w:t>
      </w:r>
      <w:r>
        <w:rPr>
          <w:rFonts w:ascii="Arial" w:cs="Arial" w:eastAsia="Arial" w:hAnsi="Arial"/>
          <w:sz w:val="18"/>
          <w:szCs w:val="18"/>
          <w:color w:val="auto"/>
        </w:rPr>
        <w:t>. Amortization of purchased intangibles varies in amount and frequency and is</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significantly impacted by the timing and size of our acquisitions. Amortization of acquisition related developed technologies under our ACDP was $92 and $102 for the three months ended September 30, 2021 and 2020, respectively, $283 and $284 for the nine months ended September 30, 2021 and 2020, respectively. Management finds it useful to exclude these non</w:t>
      </w:r>
      <w:r>
        <w:rPr>
          <w:rFonts w:ascii="MS PGothic" w:cs="MS PGothic" w:eastAsia="MS PGothic" w:hAnsi="MS PGothic"/>
          <w:sz w:val="18"/>
          <w:szCs w:val="18"/>
          <w:color w:val="auto"/>
        </w:rPr>
        <w:t>‑</w:t>
      </w:r>
      <w:r>
        <w:rPr>
          <w:rFonts w:ascii="Arial" w:cs="Arial" w:eastAsia="Arial" w:hAnsi="Arial"/>
          <w:sz w:val="18"/>
          <w:szCs w:val="18"/>
          <w:color w:val="auto"/>
        </w:rPr>
        <w:t>cash charges from our operating expenses to assist in budgeting, planning, and forecasting future periods. The use of intangible assets and developed technologies contributed to our revenues earned during the periods presented and will also contribute to our revenues in future periods. Amortization of purchased intangible assets and developed technologies will recur in future periods.</w:t>
      </w:r>
    </w:p>
    <w:p>
      <w:pPr>
        <w:spacing w:after="0" w:line="206" w:lineRule="exact"/>
        <w:rPr>
          <w:rFonts w:ascii="Arial" w:cs="Arial" w:eastAsia="Arial" w:hAnsi="Arial"/>
          <w:sz w:val="18"/>
          <w:szCs w:val="18"/>
          <w:color w:val="auto"/>
        </w:rPr>
      </w:pPr>
    </w:p>
    <w:p>
      <w:pPr>
        <w:jc w:val="both"/>
        <w:ind w:left="332" w:hanging="332"/>
        <w:spacing w:after="0" w:line="219" w:lineRule="exact"/>
        <w:tabs>
          <w:tab w:leader="none" w:pos="326"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Stock</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based compensation</w:t>
      </w:r>
      <w:r>
        <w:rPr>
          <w:rFonts w:ascii="Arial" w:cs="Arial" w:eastAsia="Arial" w:hAnsi="Arial"/>
          <w:sz w:val="18"/>
          <w:szCs w:val="18"/>
          <w:color w:val="auto"/>
        </w:rPr>
        <w:t>. We exclude certain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expenses from our non</w:t>
      </w:r>
      <w:r>
        <w:rPr>
          <w:rFonts w:ascii="MS PGothic" w:cs="MS PGothic" w:eastAsia="MS PGothic" w:hAnsi="MS PGothic"/>
          <w:sz w:val="18"/>
          <w:szCs w:val="18"/>
          <w:color w:val="auto"/>
        </w:rPr>
        <w:t>‑</w:t>
      </w:r>
      <w:r>
        <w:rPr>
          <w:rFonts w:ascii="Arial" w:cs="Arial" w:eastAsia="Arial" w:hAnsi="Arial"/>
          <w:sz w:val="18"/>
          <w:szCs w:val="18"/>
          <w:color w:val="auto"/>
        </w:rPr>
        <w:t>GAAP measures primarily because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cash expenses and management finds it useful to exclude certain non</w:t>
      </w:r>
      <w:r>
        <w:rPr>
          <w:rFonts w:ascii="MS PGothic" w:cs="MS PGothic" w:eastAsia="MS PGothic" w:hAnsi="MS PGothic"/>
          <w:sz w:val="18"/>
          <w:szCs w:val="18"/>
          <w:color w:val="auto"/>
        </w:rPr>
        <w:t>‑</w:t>
      </w:r>
      <w:r>
        <w:rPr>
          <w:rFonts w:ascii="Arial" w:cs="Arial" w:eastAsia="Arial" w:hAnsi="Arial"/>
          <w:sz w:val="18"/>
          <w:szCs w:val="18"/>
          <w:color w:val="auto"/>
        </w:rPr>
        <w:t xml:space="preserve">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we believe excluding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expenses allows investors to make meaningful comparisons between our recurring core business results of operations and those of other companies.</w:t>
      </w:r>
    </w:p>
    <w:p>
      <w:pPr>
        <w:spacing w:after="0" w:line="202" w:lineRule="exact"/>
        <w:rPr>
          <w:rFonts w:ascii="Arial" w:cs="Arial" w:eastAsia="Arial" w:hAnsi="Arial"/>
          <w:sz w:val="18"/>
          <w:szCs w:val="18"/>
          <w:color w:val="auto"/>
        </w:rPr>
      </w:pPr>
    </w:p>
    <w:p>
      <w:pPr>
        <w:jc w:val="both"/>
        <w:ind w:left="332" w:hanging="332"/>
        <w:spacing w:after="0" w:line="217" w:lineRule="exact"/>
        <w:tabs>
          <w:tab w:leader="none" w:pos="326"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Deferred compensation plan</w:t>
      </w:r>
      <w:r>
        <w:rPr>
          <w:rFonts w:ascii="Arial" w:cs="Arial" w:eastAsia="Arial" w:hAnsi="Arial"/>
          <w:sz w:val="16"/>
          <w:szCs w:val="16"/>
          <w:color w:val="auto"/>
        </w:rPr>
        <w:t>. In August 2021, our Board of Directors approved an amendment to the Company’s unfunded Nonqualified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Plan, as amended and restated, effective as of September 22, 2020 (the “DCP”), which offered to certain active executives in the DCP a one</w:t>
      </w:r>
      <w:r>
        <w:rPr>
          <w:rFonts w:ascii="MS PGothic" w:cs="MS PGothic" w:eastAsia="MS PGothic" w:hAnsi="MS PGothic"/>
          <w:sz w:val="16"/>
          <w:szCs w:val="16"/>
          <w:color w:val="auto"/>
        </w:rPr>
        <w:t>‑</w:t>
      </w:r>
      <w:r>
        <w:rPr>
          <w:rFonts w:ascii="Arial" w:cs="Arial" w:eastAsia="Arial" w:hAnsi="Arial"/>
          <w:sz w:val="16"/>
          <w:szCs w:val="16"/>
          <w:color w:val="auto"/>
        </w:rPr>
        <w:t>time, short</w:t>
      </w:r>
      <w:r>
        <w:rPr>
          <w:rFonts w:ascii="MS PGothic" w:cs="MS PGothic" w:eastAsia="MS PGothic" w:hAnsi="MS PGothic"/>
          <w:sz w:val="16"/>
          <w:szCs w:val="16"/>
          <w:color w:val="auto"/>
        </w:rPr>
        <w:t>‑</w:t>
      </w:r>
      <w:r>
        <w:rPr>
          <w:rFonts w:ascii="Arial" w:cs="Arial" w:eastAsia="Arial" w:hAnsi="Arial"/>
          <w:sz w:val="16"/>
          <w:szCs w:val="16"/>
          <w:color w:val="auto"/>
        </w:rPr>
        <w:t>term election to reallocate a limited portion of their DCP holdings from phantom shares of the Company’s Class B Common Stock into other DCP phantom investment funds. The offer to reallocate was subject to a proration mechanism which adjusted the aggregate elections to a maximum of 1,500,000 phantom shares of the Company’s Class B Common Stock. This one</w:t>
      </w:r>
      <w:r>
        <w:rPr>
          <w:rFonts w:ascii="MS PGothic" w:cs="MS PGothic" w:eastAsia="MS PGothic" w:hAnsi="MS PGothic"/>
          <w:sz w:val="16"/>
          <w:szCs w:val="16"/>
          <w:color w:val="auto"/>
        </w:rPr>
        <w:t>‑</w:t>
      </w:r>
      <w:r>
        <w:rPr>
          <w:rFonts w:ascii="Arial" w:cs="Arial" w:eastAsia="Arial" w:hAnsi="Arial"/>
          <w:sz w:val="16"/>
          <w:szCs w:val="16"/>
          <w:color w:val="auto"/>
        </w:rPr>
        <w:t>time reallocation opportunity was offered only to certain active executives (but not to Directors or Bentley family members) in order to encourage retention, as otherwise these executives could only have materially diversified their investments in Company equity (primarily held in the DCP) by voluntarily terminating employment to trigger DCP distributions. These executives in aggregate accordingly diversified 24% of their phantom shares of the Company’s Class B Common Stock. 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three and nine months ended September 30, 2021, the Company recognized a one</w:t>
      </w:r>
      <w:r>
        <w:rPr>
          <w:rFonts w:ascii="MS PGothic" w:cs="MS PGothic" w:eastAsia="MS PGothic" w:hAnsi="MS PGothic"/>
          <w:sz w:val="16"/>
          <w:szCs w:val="16"/>
          <w:color w:val="auto"/>
        </w:rPr>
        <w:t>‑</w:t>
      </w:r>
      <w:r>
        <w:rPr>
          <w:rFonts w:ascii="Arial" w:cs="Arial" w:eastAsia="Arial" w:hAnsi="Arial"/>
          <w:sz w:val="16"/>
          <w:szCs w:val="16"/>
          <w:color w:val="auto"/>
        </w:rPr>
        <w:t xml:space="preserve">time compensation charge of $90,721 to </w:t>
      </w:r>
      <w:r>
        <w:rPr>
          <w:rFonts w:ascii="Arial" w:cs="Arial" w:eastAsia="Arial" w:hAnsi="Arial"/>
          <w:sz w:val="16"/>
          <w:szCs w:val="16"/>
          <w:i w:val="1"/>
          <w:iCs w:val="1"/>
          <w:color w:val="auto"/>
        </w:rPr>
        <w:t>Deferred compensation plan</w:t>
      </w:r>
      <w:r>
        <w:rPr>
          <w:rFonts w:ascii="Arial" w:cs="Arial" w:eastAsia="Arial" w:hAnsi="Arial"/>
          <w:sz w:val="16"/>
          <w:szCs w:val="16"/>
          <w:color w:val="auto"/>
        </w:rPr>
        <w:t xml:space="preserve"> expenses in the consolidated statements of operations to record the reallocated deferred compensation plan liabilities at their fair value. Deferred compensation plan liabilities are marked to market at the end of each reporting period, with changes in the liabilities recorded as an expense (income) to </w:t>
      </w:r>
      <w:r>
        <w:rPr>
          <w:rFonts w:ascii="Arial" w:cs="Arial" w:eastAsia="Arial" w:hAnsi="Arial"/>
          <w:sz w:val="16"/>
          <w:szCs w:val="16"/>
          <w:i w:val="1"/>
          <w:iCs w:val="1"/>
          <w:color w:val="auto"/>
        </w:rPr>
        <w:t>Deferred compensation plan</w:t>
      </w:r>
      <w:r>
        <w:rPr>
          <w:rFonts w:ascii="Arial" w:cs="Arial" w:eastAsia="Arial" w:hAnsi="Arial"/>
          <w:sz w:val="16"/>
          <w:szCs w:val="16"/>
          <w:color w:val="auto"/>
        </w:rPr>
        <w:t xml:space="preserve"> in the consolidated statements of operations. We exclude these charges because they are not reflective of our ongoing business and results of operation. We believe it is useful for investors to understand the effects of these items on our total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207645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21" w:right="339" w:bottom="1440" w:gutter="0" w:footer="0" w:header="0"/>
        </w:sectPr>
      </w:pPr>
    </w:p>
    <w:bookmarkStart w:id="54" w:name="page55"/>
    <w:bookmarkEnd w:id="54"/>
    <w:p>
      <w:pPr>
        <w:jc w:val="both"/>
        <w:ind w:left="332" w:hanging="332"/>
        <w:spacing w:after="0" w:line="271" w:lineRule="auto"/>
        <w:tabs>
          <w:tab w:leader="none" w:pos="32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Acquisition expenses</w:t>
      </w:r>
      <w:r>
        <w:rPr>
          <w:rFonts w:ascii="Arial" w:cs="Arial" w:eastAsia="Arial" w:hAnsi="Arial"/>
          <w:sz w:val="17"/>
          <w:szCs w:val="17"/>
          <w:color w:val="auto"/>
        </w:rPr>
        <w:t>. We incur expenses for professional services rendered in connection with business combinations, which are included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U.S. GAAP presentation of general and administrative expense. Also included in our acquisition expenses are retention incentives paid to executives of the acquired companies, as well as adjustments related to deferred revenue from acquired companies. We exclude these acquisition expenses when we evaluate our continuing operational performance as we would not have otherwise incurred these expenses in the periods presented as part of our continuing operations. Acquired deferred revenue is recorded on the opening balance sheet at an amount that typically is lower than historical carrying value. The adjustment to acquired deferred revenue has no impact on our business or cash flow, but it does reduce reported U.S. GAAP revenue in the periods following an acquisition. For the three and nine months ended September 30, 2021, $389 and $16,285, respectively, of our acquisition expenses related to the acquisition of Seequent Holdings Limited (“Seequent”).</w:t>
      </w:r>
    </w:p>
    <w:p>
      <w:pPr>
        <w:spacing w:after="0" w:line="178" w:lineRule="exact"/>
        <w:rPr>
          <w:rFonts w:ascii="Arial" w:cs="Arial" w:eastAsia="Arial" w:hAnsi="Arial"/>
          <w:sz w:val="17"/>
          <w:szCs w:val="17"/>
          <w:color w:val="auto"/>
        </w:rPr>
      </w:pPr>
    </w:p>
    <w:p>
      <w:pPr>
        <w:jc w:val="both"/>
        <w:ind w:left="332" w:hanging="332"/>
        <w:spacing w:after="0" w:line="275" w:lineRule="auto"/>
        <w:tabs>
          <w:tab w:leader="none" w:pos="326"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Realignment expenses</w:t>
      </w:r>
      <w:r>
        <w:rPr>
          <w:rFonts w:ascii="Arial" w:cs="Arial" w:eastAsia="Arial" w:hAnsi="Arial"/>
          <w:sz w:val="17"/>
          <w:szCs w:val="17"/>
          <w:color w:val="auto"/>
        </w:rPr>
        <w:t>. These expenses are associated with realigning our business strategies to better serve our accounts and to better align resources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evolving needs of the business. In connection with these actions, we recognize costs related to termination benefits for colleagues whose positions were eliminated. We exclude these charges because they are not reflective of our ongoing business and results of operations. We believe it is useful for investors to understand the effects of these items on our total operating expenses. In the ordinary course of operating our business, we incur severance expenses that are not included in this adjustment.</w:t>
      </w:r>
    </w:p>
    <w:p>
      <w:pPr>
        <w:spacing w:after="0" w:line="176" w:lineRule="exact"/>
        <w:rPr>
          <w:rFonts w:ascii="Arial" w:cs="Arial" w:eastAsia="Arial" w:hAnsi="Arial"/>
          <w:sz w:val="17"/>
          <w:szCs w:val="17"/>
          <w:color w:val="auto"/>
        </w:rPr>
      </w:pPr>
    </w:p>
    <w:p>
      <w:pPr>
        <w:jc w:val="both"/>
        <w:ind w:left="332" w:hanging="332"/>
        <w:spacing w:after="0" w:line="259" w:lineRule="auto"/>
        <w:tabs>
          <w:tab w:leader="none" w:pos="326"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Expenses associated with IPO</w:t>
      </w:r>
      <w:r>
        <w:rPr>
          <w:rFonts w:ascii="Arial" w:cs="Arial" w:eastAsia="Arial" w:hAnsi="Arial"/>
          <w:sz w:val="18"/>
          <w:szCs w:val="18"/>
          <w:color w:val="auto"/>
        </w:rPr>
        <w:t>. These expenses include certain non-recurring costs relating to our IPO, consisting of the payment of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and commissions applicable to the sale of shares by the selling stockholders, professional fees, and other expenses. We exclude these charges because they are not reflective of our ongoing business and results of operation. We believe it is useful for investors to understand the effects of these items on our total operating expenses.</w:t>
      </w:r>
    </w:p>
    <w:p>
      <w:pPr>
        <w:spacing w:after="0" w:line="186" w:lineRule="exact"/>
        <w:rPr>
          <w:rFonts w:ascii="Arial" w:cs="Arial" w:eastAsia="Arial" w:hAnsi="Arial"/>
          <w:sz w:val="18"/>
          <w:szCs w:val="18"/>
          <w:color w:val="auto"/>
        </w:rPr>
      </w:pPr>
    </w:p>
    <w:p>
      <w:pPr>
        <w:jc w:val="both"/>
        <w:ind w:left="332" w:hanging="332"/>
        <w:spacing w:after="0" w:line="286" w:lineRule="auto"/>
        <w:tabs>
          <w:tab w:leader="none" w:pos="32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Other expense (income), net</w:t>
      </w:r>
      <w:r>
        <w:rPr>
          <w:rFonts w:ascii="Arial" w:cs="Arial" w:eastAsia="Arial" w:hAnsi="Arial"/>
          <w:sz w:val="16"/>
          <w:szCs w:val="16"/>
          <w:color w:val="auto"/>
        </w:rPr>
        <w:t>. Primarily consists of foreign exchange losses (gains) of $2,446 and $(12,830)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2021 and 2020, respectively, and $248 and $(8,567) for the nine months ended September 30, 2021 and 2020, respectively. The foreign exchange losses (gains) derive primarily from U.S. Dollar denominated cash and cash equivalents, accounts receivable, and intercompany balances held by foreign subsidiaries. The gains and losses from such translations are included in </w:t>
      </w:r>
      <w:r>
        <w:rPr>
          <w:rFonts w:ascii="Arial" w:cs="Arial" w:eastAsia="Arial" w:hAnsi="Arial"/>
          <w:sz w:val="16"/>
          <w:szCs w:val="16"/>
          <w:i w:val="1"/>
          <w:iCs w:val="1"/>
          <w:color w:val="auto"/>
        </w:rPr>
        <w:t>Other expense (income), net</w:t>
      </w:r>
      <w:r>
        <w:rPr>
          <w:rFonts w:ascii="Arial" w:cs="Arial" w:eastAsia="Arial" w:hAnsi="Arial"/>
          <w:sz w:val="16"/>
          <w:szCs w:val="16"/>
          <w:color w:val="auto"/>
        </w:rPr>
        <w:t xml:space="preserve"> in the consolidated statements of operations. Intercompany finance transactions denominated in U.S. Dollars resulted in unrealized foreign exchange losses (gains) of $2,741 and $(12,284) for the three months ended September 30, 2021 and 2020, respectively, and $1,298 and $(10,519) for the nine months ended September 30, 2021 and 2020, respectively. These U.S. Dollar denominated balances are being translated into their functional currencies at the rates in effect at the balance sheet date and are fully eliminated in consolidation. For the three months ended September 30, 2021 and 2020, other expense (income), net also includes a gain from the change in fair value of our interest rate swap of $1,463 and $809, respectively. For the nine months ended September 30, 2021, other expense (income), net includes a gain from the change in fair value of our interest rate swap of $(9,198). For the nine months ended September 30, 2020, other expense (income), net includes a loss from the change in fair value of our interest rate swap of $3,365, partially offset by a gain from the change in fair value of acquisition contingent consideration of $1,340. We exclude these charges because they are not reflective of ongoing business and results of operations. We believe it is useful for investors to understand the effects of these items on our total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207645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2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Key Factors Impacting Comparability and Performance:</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Highlights for the nine months ended September 30, 2021</w:t>
      </w:r>
      <w:r>
        <w:rPr>
          <w:rFonts w:ascii="Arial" w:cs="Arial" w:eastAsia="Arial" w:hAnsi="Arial"/>
          <w:sz w:val="18"/>
          <w:szCs w:val="18"/>
          <w:color w:val="auto"/>
        </w:rPr>
        <w:t>. In addition to our performance previously discussed in “—Key Business Metrics” and “—</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Measures,” and as discussed further below in “—Results of Operations” and “—Liquidity and Capital Resources,” our consolidated financial statements for the nine months ended September 30, 2021 were impacted by the following:</w:t>
      </w:r>
    </w:p>
    <w:p>
      <w:pPr>
        <w:spacing w:after="0" w:line="184" w:lineRule="exact"/>
        <w:rPr>
          <w:sz w:val="20"/>
          <w:szCs w:val="20"/>
          <w:color w:val="auto"/>
        </w:rPr>
      </w:pPr>
    </w:p>
    <w:p>
      <w:pPr>
        <w:jc w:val="both"/>
        <w:ind w:left="660" w:hanging="247"/>
        <w:spacing w:after="0" w:line="259" w:lineRule="auto"/>
        <w:tabs>
          <w:tab w:leader="none" w:pos="655"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color w:val="auto"/>
        </w:rPr>
        <w:t>On June 17, 2021, we completed the acquisition of Seequent, a leader in software for geological and geophysical modeling, geotechnical stability, and cloud services for geodata management and collaboration, for approximately $910,997 in cash, net of cash acquired, plus 3,141,342 shares of our Class B Common Stock. For the nine months ended September 30, 2021, we incurred $16,285 of expenses related to the acquisition of Seequent;</w:t>
      </w:r>
    </w:p>
    <w:p>
      <w:pPr>
        <w:spacing w:after="0" w:line="186" w:lineRule="exact"/>
        <w:rPr>
          <w:rFonts w:ascii="Arial" w:cs="Arial" w:eastAsia="Arial" w:hAnsi="Arial"/>
          <w:sz w:val="18"/>
          <w:szCs w:val="18"/>
          <w:b w:val="1"/>
          <w:bCs w:val="1"/>
          <w:i w:val="1"/>
          <w:iCs w:val="1"/>
          <w:color w:val="auto"/>
        </w:rPr>
      </w:pPr>
    </w:p>
    <w:p>
      <w:pPr>
        <w:jc w:val="both"/>
        <w:ind w:left="660" w:hanging="247"/>
        <w:spacing w:after="0" w:line="259" w:lineRule="auto"/>
        <w:tabs>
          <w:tab w:leader="none" w:pos="655"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color w:val="auto"/>
        </w:rPr>
        <w:t>On June 28, 2021, we completed a private offering of $575,000 of 0.375% convertible senior notes due 2027 (the “2027 Notes”). We incurred $15,065 of expenses in connection with the 2027 Notes offering consisting of transaction costs. Transaction costs were recorded as a direct deduction from the related debt liability in the consolidated balance sheet and are amortized to interest expense using the effective interest method over the term of the 2027 Notes;</w:t>
      </w:r>
    </w:p>
    <w:p>
      <w:pPr>
        <w:spacing w:after="0" w:line="186" w:lineRule="exact"/>
        <w:rPr>
          <w:rFonts w:ascii="Arial" w:cs="Arial" w:eastAsia="Arial" w:hAnsi="Arial"/>
          <w:sz w:val="18"/>
          <w:szCs w:val="18"/>
          <w:b w:val="1"/>
          <w:bCs w:val="1"/>
          <w:i w:val="1"/>
          <w:iCs w:val="1"/>
          <w:color w:val="auto"/>
        </w:rPr>
      </w:pPr>
    </w:p>
    <w:p>
      <w:pPr>
        <w:jc w:val="both"/>
        <w:ind w:left="660" w:hanging="247"/>
        <w:spacing w:after="0" w:line="293" w:lineRule="auto"/>
        <w:tabs>
          <w:tab w:leader="none" w:pos="655" w:val="left"/>
        </w:tabs>
        <w:numPr>
          <w:ilvl w:val="0"/>
          <w:numId w:val="31"/>
        </w:numPr>
        <w:rPr>
          <w:rFonts w:ascii="Arial" w:cs="Arial" w:eastAsia="Arial" w:hAnsi="Arial"/>
          <w:sz w:val="16"/>
          <w:szCs w:val="16"/>
          <w:b w:val="1"/>
          <w:bCs w:val="1"/>
          <w:i w:val="1"/>
          <w:iCs w:val="1"/>
          <w:color w:val="auto"/>
        </w:rPr>
      </w:pPr>
      <w:r>
        <w:rPr>
          <w:rFonts w:ascii="Arial" w:cs="Arial" w:eastAsia="Arial" w:hAnsi="Arial"/>
          <w:sz w:val="16"/>
          <w:szCs w:val="16"/>
          <w:color w:val="auto"/>
        </w:rPr>
        <w:t xml:space="preserve">In connection with the pricing of the 2027 Notes, we entered into capped call options with certain of the initial purchasers or their respective affiliates and certain other financial institutions. The capped call options are expected to reduce potential dilution to our Class B Common Stock upon any conversion of 2027 Notes and/or offset any cash payments we are required to make in excess of the principal amount of converted notes, as the case may be, with such reduction and/or offset subject to a cap. We paid premiums of $25,875 in connection with the capped call options. The capped call options are indexed to our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64" w:lineRule="exact"/>
        <w:rPr>
          <w:rFonts w:ascii="Arial" w:cs="Arial" w:eastAsia="Arial" w:hAnsi="Arial"/>
          <w:sz w:val="16"/>
          <w:szCs w:val="16"/>
          <w:b w:val="1"/>
          <w:bCs w:val="1"/>
          <w:i w:val="1"/>
          <w:iCs w:val="1"/>
          <w:color w:val="auto"/>
        </w:rPr>
      </w:pPr>
    </w:p>
    <w:p>
      <w:pPr>
        <w:jc w:val="both"/>
        <w:ind w:left="660" w:hanging="247"/>
        <w:spacing w:after="0" w:line="301" w:lineRule="auto"/>
        <w:tabs>
          <w:tab w:leader="none" w:pos="655" w:val="left"/>
        </w:tabs>
        <w:numPr>
          <w:ilvl w:val="0"/>
          <w:numId w:val="31"/>
        </w:numPr>
        <w:rPr>
          <w:rFonts w:ascii="Arial" w:cs="Arial" w:eastAsia="Arial" w:hAnsi="Arial"/>
          <w:sz w:val="16"/>
          <w:szCs w:val="16"/>
          <w:b w:val="1"/>
          <w:bCs w:val="1"/>
          <w:i w:val="1"/>
          <w:iCs w:val="1"/>
          <w:color w:val="auto"/>
        </w:rPr>
      </w:pPr>
      <w:r>
        <w:rPr>
          <w:rFonts w:ascii="Arial" w:cs="Arial" w:eastAsia="Arial" w:hAnsi="Arial"/>
          <w:sz w:val="16"/>
          <w:szCs w:val="16"/>
          <w:color w:val="auto"/>
        </w:rPr>
        <w:t>On January 26, 2021, we completed a private offering of $690,000 of 0.125% convertible senior notes due 2026 (the “2026 Notes”). We incurred $18,055 of expenses in connection with the 2026 Notes offering consisting of the payment of initial purchasers’ discounts and commissions, professional fees, and other expenses (“transaction costs”). Transaction costs were recorded as a direct deduction from the related debt liability in the consolidated balance sheet and are amortized to interest expense using the effective interest method over the term of the 2026 Notes;</w:t>
      </w:r>
    </w:p>
    <w:p>
      <w:pPr>
        <w:spacing w:after="0" w:line="157" w:lineRule="exact"/>
        <w:rPr>
          <w:rFonts w:ascii="Arial" w:cs="Arial" w:eastAsia="Arial" w:hAnsi="Arial"/>
          <w:sz w:val="16"/>
          <w:szCs w:val="16"/>
          <w:b w:val="1"/>
          <w:bCs w:val="1"/>
          <w:i w:val="1"/>
          <w:iCs w:val="1"/>
          <w:color w:val="auto"/>
        </w:rPr>
      </w:pPr>
    </w:p>
    <w:p>
      <w:pPr>
        <w:jc w:val="both"/>
        <w:ind w:left="660" w:hanging="247"/>
        <w:spacing w:after="0" w:line="293" w:lineRule="auto"/>
        <w:tabs>
          <w:tab w:leader="none" w:pos="655" w:val="left"/>
        </w:tabs>
        <w:numPr>
          <w:ilvl w:val="0"/>
          <w:numId w:val="31"/>
        </w:numPr>
        <w:rPr>
          <w:rFonts w:ascii="Arial" w:cs="Arial" w:eastAsia="Arial" w:hAnsi="Arial"/>
          <w:sz w:val="16"/>
          <w:szCs w:val="16"/>
          <w:b w:val="1"/>
          <w:bCs w:val="1"/>
          <w:i w:val="1"/>
          <w:iCs w:val="1"/>
          <w:color w:val="auto"/>
        </w:rPr>
      </w:pPr>
      <w:r>
        <w:rPr>
          <w:rFonts w:ascii="Arial" w:cs="Arial" w:eastAsia="Arial" w:hAnsi="Arial"/>
          <w:sz w:val="16"/>
          <w:szCs w:val="16"/>
          <w:color w:val="auto"/>
        </w:rPr>
        <w:t xml:space="preserve">In connection with the pricing of the 2026 Notes, we entered into capped call options with certain of the initial purchasers or their respective affiliates and certain other financial institutions. The capped call options are expected to reduce potential dilution to our Class B Common Stock upon any conversion of 2026 Notes and/or offset any cash payments we are required to make in excess of the principal amount of converted notes, as the case may be, with such reduction and/or offset subject to a cap. We paid premiums of $25,530 in connection with the capped call options. The capped call options are indexed to our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64" w:lineRule="exact"/>
        <w:rPr>
          <w:rFonts w:ascii="Arial" w:cs="Arial" w:eastAsia="Arial" w:hAnsi="Arial"/>
          <w:sz w:val="16"/>
          <w:szCs w:val="16"/>
          <w:b w:val="1"/>
          <w:bCs w:val="1"/>
          <w:i w:val="1"/>
          <w:iCs w:val="1"/>
          <w:color w:val="auto"/>
        </w:rPr>
      </w:pPr>
    </w:p>
    <w:p>
      <w:pPr>
        <w:jc w:val="both"/>
        <w:ind w:left="660" w:hanging="247"/>
        <w:spacing w:after="0" w:line="219" w:lineRule="exact"/>
        <w:tabs>
          <w:tab w:leader="none" w:pos="655"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color w:val="auto"/>
        </w:rPr>
        <w:t>On January 25, 2021, we entered into the Second Amendment to the Amended and Restated Credit Agreement dated December 19, 2017, which increased the senior secured revolving loan facility from $500,000 to $850,000 and extended the maturity date from December 18, 2022 to November 15, 2025 (the “Credit Facility”). We performed an extinguishment versus modification assessment on a lender</w:t>
      </w:r>
      <w:r>
        <w:rPr>
          <w:rFonts w:ascii="MS PGothic" w:cs="MS PGothic" w:eastAsia="MS PGothic" w:hAnsi="MS PGothic"/>
          <w:sz w:val="17"/>
          <w:szCs w:val="17"/>
          <w:color w:val="auto"/>
        </w:rPr>
        <w:t>‑</w:t>
      </w:r>
      <w:r>
        <w:rPr>
          <w:rFonts w:ascii="Arial" w:cs="Arial" w:eastAsia="Arial" w:hAnsi="Arial"/>
          <w:sz w:val="17"/>
          <w:szCs w:val="17"/>
          <w:color w:val="auto"/>
        </w:rPr>
        <w:t>by</w:t>
      </w:r>
      <w:r>
        <w:rPr>
          <w:rFonts w:ascii="MS PGothic" w:cs="MS PGothic" w:eastAsia="MS PGothic" w:hAnsi="MS PGothic"/>
          <w:sz w:val="17"/>
          <w:szCs w:val="17"/>
          <w:color w:val="auto"/>
        </w:rPr>
        <w:t>‑</w:t>
      </w:r>
      <w:r>
        <w:rPr>
          <w:rFonts w:ascii="Arial" w:cs="Arial" w:eastAsia="Arial" w:hAnsi="Arial"/>
          <w:sz w:val="17"/>
          <w:szCs w:val="17"/>
          <w:color w:val="auto"/>
        </w:rPr>
        <w:t>lender basis resulting in the write</w:t>
      </w:r>
      <w:r>
        <w:rPr>
          <w:rFonts w:ascii="MS PGothic" w:cs="MS PGothic" w:eastAsia="MS PGothic" w:hAnsi="MS PGothic"/>
          <w:sz w:val="17"/>
          <w:szCs w:val="17"/>
          <w:color w:val="auto"/>
        </w:rPr>
        <w:t>‑</w:t>
      </w:r>
      <w:r>
        <w:rPr>
          <w:rFonts w:ascii="Arial" w:cs="Arial" w:eastAsia="Arial" w:hAnsi="Arial"/>
          <w:sz w:val="17"/>
          <w:szCs w:val="17"/>
          <w:color w:val="auto"/>
        </w:rPr>
        <w:t>off of unamortized debt issuance costs of $353 and the capitalization of fees paid to lenders and third parties of $3,577. Debt issuance costs are amortized to interest expense through the maturity date of November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6" w:name="page57"/>
    <w:bookmarkEnd w:id="56"/>
    <w:p>
      <w:pPr>
        <w:jc w:val="both"/>
        <w:ind w:left="660" w:hanging="247"/>
        <w:spacing w:after="0" w:line="217" w:lineRule="exact"/>
        <w:tabs>
          <w:tab w:leader="none" w:pos="655" w:val="left"/>
        </w:tabs>
        <w:numPr>
          <w:ilvl w:val="0"/>
          <w:numId w:val="32"/>
        </w:numPr>
        <w:rPr>
          <w:rFonts w:ascii="Arial" w:cs="Arial" w:eastAsia="Arial" w:hAnsi="Arial"/>
          <w:sz w:val="16"/>
          <w:szCs w:val="16"/>
          <w:b w:val="1"/>
          <w:bCs w:val="1"/>
          <w:i w:val="1"/>
          <w:iCs w:val="1"/>
          <w:color w:val="auto"/>
        </w:rPr>
      </w:pPr>
      <w:r>
        <w:rPr>
          <w:rFonts w:ascii="Arial" w:cs="Arial" w:eastAsia="Arial" w:hAnsi="Arial"/>
          <w:sz w:val="16"/>
          <w:szCs w:val="16"/>
          <w:color w:val="auto"/>
        </w:rPr>
        <w:t>In August 2021, our Board of Directors approved an amendment to the DCP, which offered to certain active executives in the DCP a one</w:t>
      </w:r>
      <w:r>
        <w:rPr>
          <w:rFonts w:ascii="MS PGothic" w:cs="MS PGothic" w:eastAsia="MS PGothic" w:hAnsi="MS PGothic"/>
          <w:sz w:val="16"/>
          <w:szCs w:val="16"/>
          <w:color w:val="auto"/>
        </w:rPr>
        <w:t>‑</w:t>
      </w:r>
      <w:r>
        <w:rPr>
          <w:rFonts w:ascii="Arial" w:cs="Arial" w:eastAsia="Arial" w:hAnsi="Arial"/>
          <w:sz w:val="16"/>
          <w:szCs w:val="16"/>
          <w:color w:val="auto"/>
        </w:rPr>
        <w:t>time, short</w:t>
      </w:r>
      <w:r>
        <w:rPr>
          <w:rFonts w:ascii="MS PGothic" w:cs="MS PGothic" w:eastAsia="MS PGothic" w:hAnsi="MS PGothic"/>
          <w:sz w:val="16"/>
          <w:szCs w:val="16"/>
          <w:color w:val="auto"/>
        </w:rPr>
        <w:t>‑</w:t>
      </w:r>
      <w:r>
        <w:rPr>
          <w:rFonts w:ascii="Arial" w:cs="Arial" w:eastAsia="Arial" w:hAnsi="Arial"/>
          <w:sz w:val="16"/>
          <w:szCs w:val="16"/>
          <w:color w:val="auto"/>
        </w:rPr>
        <w:t>term election to reallocate a limited portion of their DCP holdings from phantom shares of the Company’s Class B Common Stock into other DCP phantom investment funds. The offer to reallocate was subject to a proration mechanism which adjusted the aggregate elections to a maximum of 1,500,000 phantom shares of the Company’s Class B Common Stock. This one</w:t>
      </w:r>
      <w:r>
        <w:rPr>
          <w:rFonts w:ascii="MS PGothic" w:cs="MS PGothic" w:eastAsia="MS PGothic" w:hAnsi="MS PGothic"/>
          <w:sz w:val="16"/>
          <w:szCs w:val="16"/>
          <w:color w:val="auto"/>
        </w:rPr>
        <w:t>‑</w:t>
      </w:r>
      <w:r>
        <w:rPr>
          <w:rFonts w:ascii="Arial" w:cs="Arial" w:eastAsia="Arial" w:hAnsi="Arial"/>
          <w:sz w:val="16"/>
          <w:szCs w:val="16"/>
          <w:color w:val="auto"/>
        </w:rPr>
        <w:t>time reallocation opportunity was offered only to certain active executives (but not to Directors or Bentley family members) in order to encourage retention, as otherwise these executives could only have materially diversified their investments in Company equity (primarily held in the DCP) by voluntarily terminating employment to trigger DCP distributions. These executives in aggregate accordingly diversified 24% of their phantom shares of the Company’s Class B Common Stock. 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three and nine months ended September 30, 2021, the Company recognized a one</w:t>
      </w:r>
      <w:r>
        <w:rPr>
          <w:rFonts w:ascii="MS PGothic" w:cs="MS PGothic" w:eastAsia="MS PGothic" w:hAnsi="MS PGothic"/>
          <w:sz w:val="16"/>
          <w:szCs w:val="16"/>
          <w:color w:val="auto"/>
        </w:rPr>
        <w:t>‑</w:t>
      </w:r>
      <w:r>
        <w:rPr>
          <w:rFonts w:ascii="Arial" w:cs="Arial" w:eastAsia="Arial" w:hAnsi="Arial"/>
          <w:sz w:val="16"/>
          <w:szCs w:val="16"/>
          <w:color w:val="auto"/>
        </w:rPr>
        <w:t xml:space="preserve">time compensation charge of $90,721 to </w:t>
      </w:r>
      <w:r>
        <w:rPr>
          <w:rFonts w:ascii="Arial" w:cs="Arial" w:eastAsia="Arial" w:hAnsi="Arial"/>
          <w:sz w:val="16"/>
          <w:szCs w:val="16"/>
          <w:i w:val="1"/>
          <w:iCs w:val="1"/>
          <w:color w:val="auto"/>
        </w:rPr>
        <w:t>Deferred compensation plan</w:t>
      </w:r>
      <w:r>
        <w:rPr>
          <w:rFonts w:ascii="Arial" w:cs="Arial" w:eastAsia="Arial" w:hAnsi="Arial"/>
          <w:sz w:val="16"/>
          <w:szCs w:val="16"/>
          <w:color w:val="auto"/>
        </w:rPr>
        <w:t xml:space="preserve"> expenses in the consolidated statements of operations to record the reallocated deferred compensation plan liabilities at their fair value. Subsequent to the one</w:t>
      </w:r>
      <w:r>
        <w:rPr>
          <w:rFonts w:ascii="MS PGothic" w:cs="MS PGothic" w:eastAsia="MS PGothic" w:hAnsi="MS PGothic"/>
          <w:sz w:val="16"/>
          <w:szCs w:val="16"/>
          <w:color w:val="auto"/>
        </w:rPr>
        <w:t>‑</w:t>
      </w:r>
      <w:r>
        <w:rPr>
          <w:rFonts w:ascii="Arial" w:cs="Arial" w:eastAsia="Arial" w:hAnsi="Arial"/>
          <w:sz w:val="16"/>
          <w:szCs w:val="16"/>
          <w:color w:val="auto"/>
        </w:rPr>
        <w:t xml:space="preserve">time reallocation, these diversified deferred compensation plan liabilities are marked to market at the end of each reporting period, with changes in the liabilities recorded as an expense (income) to </w:t>
      </w:r>
      <w:r>
        <w:rPr>
          <w:rFonts w:ascii="Arial" w:cs="Arial" w:eastAsia="Arial" w:hAnsi="Arial"/>
          <w:sz w:val="16"/>
          <w:szCs w:val="16"/>
          <w:i w:val="1"/>
          <w:iCs w:val="1"/>
          <w:color w:val="auto"/>
        </w:rPr>
        <w:t>Deferred compensation plan</w:t>
      </w:r>
      <w:r>
        <w:rPr>
          <w:rFonts w:ascii="Arial" w:cs="Arial" w:eastAsia="Arial" w:hAnsi="Arial"/>
          <w:sz w:val="16"/>
          <w:szCs w:val="16"/>
          <w:color w:val="auto"/>
        </w:rPr>
        <w:t xml:space="preserve"> in the consolidated statements of operations;</w:t>
      </w:r>
    </w:p>
    <w:p>
      <w:pPr>
        <w:spacing w:after="0" w:line="202" w:lineRule="exact"/>
        <w:rPr>
          <w:rFonts w:ascii="Arial" w:cs="Arial" w:eastAsia="Arial" w:hAnsi="Arial"/>
          <w:sz w:val="16"/>
          <w:szCs w:val="16"/>
          <w:b w:val="1"/>
          <w:bCs w:val="1"/>
          <w:i w:val="1"/>
          <w:iCs w:val="1"/>
          <w:color w:val="auto"/>
        </w:rPr>
      </w:pPr>
    </w:p>
    <w:p>
      <w:pPr>
        <w:jc w:val="both"/>
        <w:ind w:left="660" w:hanging="247"/>
        <w:spacing w:after="0" w:line="220" w:lineRule="exact"/>
        <w:tabs>
          <w:tab w:leader="none" w:pos="655" w:val="left"/>
        </w:tabs>
        <w:numPr>
          <w:ilvl w:val="0"/>
          <w:numId w:val="32"/>
        </w:numPr>
        <w:rPr>
          <w:rFonts w:ascii="Arial" w:cs="Arial" w:eastAsia="Arial" w:hAnsi="Arial"/>
          <w:sz w:val="16"/>
          <w:szCs w:val="16"/>
          <w:b w:val="1"/>
          <w:bCs w:val="1"/>
          <w:i w:val="1"/>
          <w:iCs w:val="1"/>
          <w:color w:val="auto"/>
        </w:rPr>
      </w:pPr>
      <w:r>
        <w:rPr>
          <w:rFonts w:ascii="Arial" w:cs="Arial" w:eastAsia="Arial" w:hAnsi="Arial"/>
          <w:sz w:val="16"/>
          <w:szCs w:val="16"/>
          <w:color w:val="auto"/>
        </w:rPr>
        <w:t>Effective as of the beginning of the fourth quarter of 2020, participants in the Bentley Systems, Incorporated Bonus Pool Plan, as amended and restated, effective as of September 22, 2020 (the “Bonus Plan”) may elect to receive any portion, or all, of such participants’ non</w:t>
      </w:r>
      <w:r>
        <w:rPr>
          <w:rFonts w:ascii="MS PGothic" w:cs="MS PGothic" w:eastAsia="MS PGothic" w:hAnsi="MS PGothic"/>
          <w:sz w:val="16"/>
          <w:szCs w:val="16"/>
          <w:color w:val="auto"/>
        </w:rPr>
        <w:t>‑</w:t>
      </w:r>
      <w:r>
        <w:rPr>
          <w:rFonts w:ascii="Arial" w:cs="Arial" w:eastAsia="Arial" w:hAnsi="Arial"/>
          <w:sz w:val="16"/>
          <w:szCs w:val="16"/>
          <w:color w:val="auto"/>
        </w:rPr>
        <w:t>deferred incentive bonus in the form of shares of fully vested Class B Common Stock instead of cash payments and subject to a combined quarterly limit of $7,500. For the nine months ended September 30, 2021, we recorded $17,181 of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related to this plan;</w:t>
      </w:r>
    </w:p>
    <w:p>
      <w:pPr>
        <w:spacing w:after="0" w:line="203" w:lineRule="exact"/>
        <w:rPr>
          <w:rFonts w:ascii="Arial" w:cs="Arial" w:eastAsia="Arial" w:hAnsi="Arial"/>
          <w:sz w:val="16"/>
          <w:szCs w:val="16"/>
          <w:b w:val="1"/>
          <w:bCs w:val="1"/>
          <w:i w:val="1"/>
          <w:iCs w:val="1"/>
          <w:color w:val="auto"/>
        </w:rPr>
      </w:pPr>
    </w:p>
    <w:p>
      <w:pPr>
        <w:jc w:val="both"/>
        <w:ind w:left="660" w:hanging="247"/>
        <w:spacing w:after="0" w:line="220" w:lineRule="exact"/>
        <w:tabs>
          <w:tab w:leader="none" w:pos="655" w:val="left"/>
        </w:tabs>
        <w:numPr>
          <w:ilvl w:val="0"/>
          <w:numId w:val="32"/>
        </w:numPr>
        <w:rPr>
          <w:rFonts w:ascii="Arial" w:cs="Arial" w:eastAsia="Arial" w:hAnsi="Arial"/>
          <w:sz w:val="17"/>
          <w:szCs w:val="17"/>
          <w:b w:val="1"/>
          <w:bCs w:val="1"/>
          <w:i w:val="1"/>
          <w:iCs w:val="1"/>
          <w:color w:val="auto"/>
        </w:rPr>
      </w:pPr>
      <w:r>
        <w:rPr>
          <w:rFonts w:ascii="Arial" w:cs="Arial" w:eastAsia="Arial" w:hAnsi="Arial"/>
          <w:sz w:val="17"/>
          <w:szCs w:val="17"/>
          <w:color w:val="auto"/>
        </w:rPr>
        <w:t>Effective September 22, 2020, our Board and stockholders adopted and approved the Bentley Systems, Incorporated Global Employee Stock Purchase Plan (the “ESPP”). The ESPP has been implemented by means of consecutive offering periods, with the first offering period commencing on the first trading day on or after January 1, 2021 and ending on the last trading day on or before June 30, 2021. For the nine months ended September 30, 2021, we recorded $1,416 of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related to this plan.</w:t>
      </w:r>
    </w:p>
    <w:p>
      <w:pPr>
        <w:spacing w:after="0" w:line="2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Impact of foreign currency</w:t>
      </w:r>
      <w:r>
        <w:rPr>
          <w:rFonts w:ascii="Arial" w:cs="Arial" w:eastAsia="Arial" w:hAnsi="Arial"/>
          <w:sz w:val="17"/>
          <w:szCs w:val="17"/>
          <w:color w:val="auto"/>
        </w:rPr>
        <w:t>. A portion of our revenues and operating expenses were derived from outside the United States and as such, were</w:t>
      </w:r>
      <w:r>
        <w:rPr>
          <w:rFonts w:ascii="Arial" w:cs="Arial" w:eastAsia="Arial" w:hAnsi="Arial"/>
          <w:sz w:val="17"/>
          <w:szCs w:val="17"/>
          <w:i w:val="1"/>
          <w:iCs w:val="1"/>
          <w:color w:val="auto"/>
        </w:rPr>
        <w:t xml:space="preserve"> </w:t>
      </w:r>
      <w:r>
        <w:rPr>
          <w:rFonts w:ascii="Arial" w:cs="Arial" w:eastAsia="Arial" w:hAnsi="Arial"/>
          <w:sz w:val="17"/>
          <w:szCs w:val="17"/>
          <w:color w:val="auto"/>
        </w:rPr>
        <w:t>denominated in various foreign currencies, including most significantly: Euros, British Pounds, Australian Dollars, Canadian Dollars, and Chinese Yuan Renminbi. Our financial results are therefore affected by changes in foreign currency rates. In 2020, 43% of our revenues were denominated in various foreign currencies. Correspondingly, in 2020, 47% of our operating expenses were denominated in various foreign currencies. Other than the natural hedge attributable to matching revenues and expenses in the same currencies, we do not currently hedge foreign currency exposure. Accordingly, our results of operations have been, and in the future will be, affected by changes in foreign exchange rates.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identify the effects of foreign currency on our operations and present constant currency growth rates and fluctuations because we believe exchange rates are an important factor in understanding period to period comparisons and enhance the understanding of our results and evaluation of our performance. In reporting period to 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7" w:name="page58"/>
    <w:bookmarkEnd w:id="57"/>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Historically, we have enhanced our business with acquisitions of businesses, software solutions, and technologies. Going forward, we</w:t>
      </w:r>
      <w:r>
        <w:rPr>
          <w:rFonts w:ascii="Arial" w:cs="Arial" w:eastAsia="Arial" w:hAnsi="Arial"/>
          <w:sz w:val="18"/>
          <w:szCs w:val="18"/>
          <w:i w:val="1"/>
          <w:iCs w:val="1"/>
          <w:color w:val="auto"/>
        </w:rPr>
        <w:t xml:space="preserve"> </w:t>
      </w:r>
      <w:r>
        <w:rPr>
          <w:rFonts w:ascii="Arial" w:cs="Arial" w:eastAsia="Arial" w:hAnsi="Arial"/>
          <w:sz w:val="18"/>
          <w:szCs w:val="18"/>
          <w:color w:val="auto"/>
        </w:rPr>
        <w:t>plan to selectively acquire adjacent software solutions that can be sold broadly across our account base, as well as to acquire new technologies that we can leverage across our existing software solution portfolio. We completed 12 and four acquisitions for the nine months ended September 30, 2021 and 2020, respectively.</w:t>
      </w:r>
    </w:p>
    <w:p>
      <w:pPr>
        <w:spacing w:after="0" w:line="18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Impact of COVID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19</w:t>
      </w:r>
      <w:r>
        <w:rPr>
          <w:rFonts w:ascii="Arial" w:cs="Arial" w:eastAsia="Arial" w:hAnsi="Arial"/>
          <w:sz w:val="18"/>
          <w:szCs w:val="18"/>
          <w:color w:val="auto"/>
        </w:rPr>
        <w:t>. As described in our 2020 Form 10-K, in response to the COVID-19 pandemic, we implemented a number of initiatives to ensure</w:t>
      </w:r>
      <w:r>
        <w:rPr>
          <w:rFonts w:ascii="Arial" w:cs="Arial" w:eastAsia="Arial" w:hAnsi="Arial"/>
          <w:sz w:val="18"/>
          <w:szCs w:val="18"/>
          <w:i w:val="1"/>
          <w:iCs w:val="1"/>
          <w:color w:val="auto"/>
        </w:rPr>
        <w:t xml:space="preserve"> </w:t>
      </w:r>
      <w:r>
        <w:rPr>
          <w:rFonts w:ascii="Arial" w:cs="Arial" w:eastAsia="Arial" w:hAnsi="Arial"/>
          <w:sz w:val="18"/>
          <w:szCs w:val="18"/>
          <w:color w:val="auto"/>
        </w:rPr>
        <w:t>the safety of our colleagues and enable them to move to a work from home environment seamlessly and continue working effectively. We continue to monitor the global situation, with the health and safety of our colleagues and users as a top priority. Currently, the majority of our workforce remains remote due to COVID-19.</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Our business model is such that we have experienced minimal disruption to our ability to deliver our solutions to accounts. The COVID</w:t>
      </w:r>
      <w:r>
        <w:rPr>
          <w:rFonts w:ascii="MS PGothic" w:cs="MS PGothic" w:eastAsia="MS PGothic" w:hAnsi="MS PGothic"/>
          <w:sz w:val="16"/>
          <w:szCs w:val="16"/>
          <w:color w:val="auto"/>
        </w:rPr>
        <w:t>‑</w:t>
      </w:r>
      <w:r>
        <w:rPr>
          <w:rFonts w:ascii="Arial" w:cs="Arial" w:eastAsia="Arial" w:hAnsi="Arial"/>
          <w:sz w:val="16"/>
          <w:szCs w:val="16"/>
          <w:color w:val="auto"/>
        </w:rPr>
        <w:t>19 pandemic has had a modest impact on the usage of our solutions by our users. Throughout 2020 and the nine months ended September 30, 2021, usage rates fluctuated modestly when compared to the corresponding periods in the prior year. Usage declines have had a minimal impact on our recurring revenues, which are comprised primarily of longer term contracts where short</w:t>
      </w:r>
      <w:r>
        <w:rPr>
          <w:rFonts w:ascii="MS PGothic" w:cs="MS PGothic" w:eastAsia="MS PGothic" w:hAnsi="MS PGothic"/>
          <w:sz w:val="16"/>
          <w:szCs w:val="16"/>
          <w:color w:val="auto"/>
        </w:rPr>
        <w:t>‑</w:t>
      </w:r>
      <w:r>
        <w:rPr>
          <w:rFonts w:ascii="Arial" w:cs="Arial" w:eastAsia="Arial" w:hAnsi="Arial"/>
          <w:sz w:val="16"/>
          <w:szCs w:val="16"/>
          <w:color w:val="auto"/>
        </w:rPr>
        <w:t>term usage rate declines do not adversely impact revenues. However, to the extent declines in usage have also occurred within our recurring revenue contracts with shorter term resets, as is the case with our E365 contracts, the usage declines have modestly impacted revenues. Our revenues from professional services have also been impacted as certain accounts have delayed new projects. Overall, while our rate of growth has been impacted, our revenues have continued to grow given the mission critical nature of our solutions.</w:t>
      </w:r>
    </w:p>
    <w:p>
      <w:pPr>
        <w:spacing w:after="0" w:line="2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precaution in the COVID-19 environment, we have and continue to actively manage our spending. Actions taken during 2020 included efforts to minimize colleague travel, and to reduce and recharacterize promotional spending with a shift to virtual events. Although compensation levels and incentive plan payouts have returned to normal for 2021, during 2020, our actions also included curtailment in variable compensation plans to align to COVID-19 pandemic related uncertainties. These actions have resulted in substantial cost savings during the pandemic, which are unlikely to be fully sustainable prospectively.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further discussion of the potential impact of COVID-19 on our business, see Part II, Item IA. Risk Factors of this Quarterly Report on Form 10-Q.</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manage our business globally within one operating segment, the development and marketing of computer software and related services, which is consistent with how our chief operating decision maker reviews and manages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 revenues from subscriptions, perpetual licenses, and professional services.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Subscriptions</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SELECT subscriptions</w:t>
      </w:r>
      <w:r>
        <w:rPr>
          <w:rFonts w:ascii="Arial" w:cs="Arial" w:eastAsia="Arial" w:hAnsi="Arial"/>
          <w:sz w:val="18"/>
          <w:szCs w:val="18"/>
          <w:color w:val="auto"/>
        </w:rPr>
        <w:t>: We provide annual recurring subscriptions that accounts can elect to add to a new or previously purchased perpetual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8"/>
          <w:szCs w:val="18"/>
          <w:color w:val="auto"/>
        </w:rPr>
        <w:t>‑</w:t>
      </w:r>
      <w:r>
        <w:rPr>
          <w:rFonts w:ascii="Arial" w:cs="Arial" w:eastAsia="Arial" w:hAnsi="Arial"/>
          <w:sz w:val="18"/>
          <w:szCs w:val="18"/>
          <w:color w:val="auto"/>
        </w:rPr>
        <w:t>based cloud collaboration services, mobility advantages, and access to other available benefits. SELECT subscriptions revenues are recognized as distinct performance obligations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8" w:name="page59"/>
    <w:bookmarkEnd w:id="58"/>
    <w:p>
      <w:pPr>
        <w:jc w:val="both"/>
        <w:ind w:firstLine="324"/>
        <w:spacing w:after="0" w:line="291" w:lineRule="auto"/>
        <w:rPr>
          <w:sz w:val="20"/>
          <w:szCs w:val="20"/>
          <w:color w:val="auto"/>
        </w:rPr>
      </w:pPr>
      <w:r>
        <w:rPr>
          <w:rFonts w:ascii="Arial" w:cs="Arial" w:eastAsia="Arial" w:hAnsi="Arial"/>
          <w:sz w:val="16"/>
          <w:szCs w:val="16"/>
          <w:i w:val="1"/>
          <w:iCs w:val="1"/>
          <w:color w:val="auto"/>
        </w:rPr>
        <w:t>Enterprise subscriptions</w:t>
      </w:r>
      <w:r>
        <w:rPr>
          <w:rFonts w:ascii="Arial" w:cs="Arial" w:eastAsia="Arial" w:hAnsi="Arial"/>
          <w:sz w:val="16"/>
          <w:szCs w:val="16"/>
          <w:color w:val="auto"/>
        </w:rPr>
        <w:t>: We provide Enterprise subscription offerings that provides our largest accounts with complete and unlimited global access to</w:t>
      </w:r>
      <w:r>
        <w:rPr>
          <w:rFonts w:ascii="Arial" w:cs="Arial" w:eastAsia="Arial" w:hAnsi="Arial"/>
          <w:sz w:val="16"/>
          <w:szCs w:val="16"/>
          <w:i w:val="1"/>
          <w:iCs w:val="1"/>
          <w:color w:val="auto"/>
        </w:rPr>
        <w:t xml:space="preserve"> </w:t>
      </w:r>
      <w:r>
        <w:rPr>
          <w:rFonts w:ascii="Arial" w:cs="Arial" w:eastAsia="Arial" w:hAnsi="Arial"/>
          <w:sz w:val="16"/>
          <w:szCs w:val="16"/>
          <w:color w:val="auto"/>
        </w:rPr>
        <w:t>our comprehensive portfolio of solutions. ELS provides access for a prepaid annual fee. Our E365 subscription, which was introduced during the fourth quarter of 2018, provides unrestricted access to our comprehensive software portfolio, similar to ELS, however is charged based upon daily usage. E365 subscriptions can contain quarterly usage floors or collars as accounts transition to the usage model or for accounts within the public sector. The daily usage fee also includes a term license component, SELECT maintenance and support, hosting, and Success Plan services, which are designed to achieve business outcomes through more efficient and effective use of our software. The ELS and E365 offerings both contain a distinct term license component. ELS revenue is recognized as the distinct performance obligations are satisfied. E365 revenue is recognized based upon usage incurred by the account.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Term license subscriptions: </w:t>
      </w:r>
      <w:r>
        <w:rPr>
          <w:rFonts w:ascii="Arial" w:cs="Arial" w:eastAsia="Arial" w:hAnsi="Arial"/>
          <w:sz w:val="18"/>
          <w:szCs w:val="18"/>
          <w:color w:val="auto"/>
        </w:rPr>
        <w:t>We provide annual, quarterly, and monthly term licenses for our software products. ATL subscriptions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prepaid annually for named user access to specific products. QTL subscriptions allow accounts to pay quarterly in arrears for licenses usage that is beyond their SELECT contracted quantities. MTL subscriptions are identical to QTL subscriptions, except for the term of the license, and the manner in which they are monetized. MTL subscriptions require a CSS, which is described below.</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Visas and Passports are quarterly or annual term licenses enabling accounts to access specific project or enterprise information and entitles our users to certain functionality of our </w:t>
      </w:r>
      <w:r>
        <w:rPr>
          <w:rFonts w:ascii="Arial" w:cs="Arial" w:eastAsia="Arial" w:hAnsi="Arial"/>
          <w:sz w:val="18"/>
          <w:szCs w:val="18"/>
          <w:i w:val="1"/>
          <w:iCs w:val="1"/>
          <w:color w:val="auto"/>
        </w:rPr>
        <w:t>ProjectWise</w:t>
      </w:r>
      <w:r>
        <w:rPr>
          <w:rFonts w:ascii="Arial" w:cs="Arial" w:eastAsia="Arial" w:hAnsi="Arial"/>
          <w:sz w:val="18"/>
          <w:szCs w:val="18"/>
          <w:color w:val="auto"/>
        </w:rPr>
        <w:t xml:space="preserve"> and </w:t>
      </w:r>
      <w:r>
        <w:rPr>
          <w:rFonts w:ascii="Arial" w:cs="Arial" w:eastAsia="Arial" w:hAnsi="Arial"/>
          <w:sz w:val="18"/>
          <w:szCs w:val="18"/>
          <w:i w:val="1"/>
          <w:iCs w:val="1"/>
          <w:color w:val="auto"/>
        </w:rPr>
        <w:t>AssetWise</w:t>
      </w:r>
      <w:r>
        <w:rPr>
          <w:rFonts w:ascii="Arial" w:cs="Arial" w:eastAsia="Arial" w:hAnsi="Arial"/>
          <w:sz w:val="18"/>
          <w:szCs w:val="18"/>
          <w:color w:val="auto"/>
        </w:rPr>
        <w:t xml:space="preserve"> systems. Our standard offerings are usage based with monetization through our CSS program. Annual, quarterly, and monthly term licenses revenues are recognized as the distinct performance obligations for each are satisfied. Billings in advance are recorded as </w:t>
      </w:r>
      <w:r>
        <w:rPr>
          <w:rFonts w:ascii="Arial" w:cs="Arial" w:eastAsia="Arial" w:hAnsi="Arial"/>
          <w:sz w:val="18"/>
          <w:szCs w:val="18"/>
          <w:i w:val="1"/>
          <w:iCs w:val="1"/>
          <w:color w:val="auto"/>
        </w:rPr>
        <w:t>Deferred revenues</w:t>
      </w:r>
      <w:r>
        <w:rPr>
          <w:rFonts w:ascii="Arial" w:cs="Arial" w:eastAsia="Arial" w:hAnsi="Arial"/>
          <w:sz w:val="18"/>
          <w:szCs w:val="18"/>
          <w:color w:val="auto"/>
        </w:rPr>
        <w:t xml:space="preserve"> in the consolidated balance sheets. QTL, MTL, Visas and Passports subscriptions are recognized based upon usage incurred by the account.</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Arial" w:cs="Arial" w:eastAsia="Arial" w:hAnsi="Arial"/>
          <w:sz w:val="18"/>
          <w:szCs w:val="18"/>
          <w:i w:val="1"/>
          <w:iCs w:val="1"/>
          <w:color w:val="auto"/>
        </w:rPr>
        <w:t>Accruals and other current liabilities</w:t>
      </w:r>
      <w:r>
        <w:rPr>
          <w:rFonts w:ascii="Arial" w:cs="Arial" w:eastAsia="Arial" w:hAnsi="Arial"/>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provide professional services including training, implementation, configuration, customization, and strategic consulting services. We perform projects on both a time and materials and a fixed fee basis. Our recent and preferred contractual structures for delivering professional services include</w:t>
      </w:r>
    </w:p>
    <w:p>
      <w:pPr>
        <w:jc w:val="both"/>
        <w:ind w:firstLine="8"/>
        <w:spacing w:after="0" w:line="216" w:lineRule="exact"/>
        <w:tabs>
          <w:tab w:leader="none" w:pos="222"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delivery of services in the form of subscription</w:t>
      </w:r>
      <w:r>
        <w:rPr>
          <w:rFonts w:ascii="MS PGothic" w:cs="MS PGothic" w:eastAsia="MS PGothic" w:hAnsi="MS PGothic"/>
          <w:sz w:val="18"/>
          <w:szCs w:val="18"/>
          <w:color w:val="auto"/>
        </w:rPr>
        <w:t>‑</w:t>
      </w:r>
      <w:r>
        <w:rPr>
          <w:rFonts w:ascii="Arial" w:cs="Arial" w:eastAsia="Arial" w:hAnsi="Arial"/>
          <w:sz w:val="18"/>
          <w:szCs w:val="18"/>
          <w:color w:val="auto"/>
        </w:rPr>
        <w:t>like, packaged offerings that are annually recurring in nature, and (ii) delivery of our growing portfolio of Success Plans. Success Plans are standard offerings that offer a level of subscription service above the standard technical support offered to all accounts as part of their SELECT or Enterprise agreement. Revenues are recognized as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Headcount-related costs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For the year ended December 31, 2020, 80% of our aggregate cost of revenues, research and development, selling and marketing, and general and administrative costs were represented by what we refer to herein as “headcount-related” costs. These costs include the salary costs of our colleagues (our employees) and the corresponding incentives, benefits, employment taxes, travel</w:t>
      </w:r>
      <w:r>
        <w:rPr>
          <w:rFonts w:ascii="MS PGothic" w:cs="MS PGothic" w:eastAsia="MS PGothic" w:hAnsi="MS PGothic"/>
          <w:sz w:val="18"/>
          <w:szCs w:val="18"/>
          <w:color w:val="auto"/>
        </w:rPr>
        <w:t>‑</w:t>
      </w:r>
      <w:r>
        <w:rPr>
          <w:rFonts w:ascii="Arial" w:cs="Arial" w:eastAsia="Arial" w:hAnsi="Arial"/>
          <w:sz w:val="18"/>
          <w:szCs w:val="18"/>
          <w:color w:val="auto"/>
        </w:rPr>
        <w:t>related costs, and realignment costs. Our headcount</w:t>
      </w:r>
      <w:r>
        <w:rPr>
          <w:rFonts w:ascii="MS PGothic" w:cs="MS PGothic" w:eastAsia="MS PGothic" w:hAnsi="MS PGothic"/>
          <w:sz w:val="18"/>
          <w:szCs w:val="18"/>
          <w:color w:val="auto"/>
        </w:rPr>
        <w:t>‑</w:t>
      </w:r>
      <w:r>
        <w:rPr>
          <w:rFonts w:ascii="Arial" w:cs="Arial" w:eastAsia="Arial" w:hAnsi="Arial"/>
          <w:sz w:val="18"/>
          <w:szCs w:val="18"/>
          <w:color w:val="auto"/>
        </w:rPr>
        <w:t>related costs are variable in nature. We actively manage these costs to align to our trending run rate of revenue performance, with the objective of enhancing visibility and predictability of resulting operating profit margins.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subscriptions, licenses, and services</w:t>
      </w:r>
    </w:p>
    <w:p>
      <w:pPr>
        <w:spacing w:after="0" w:line="22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i w:val="1"/>
          <w:iCs w:val="1"/>
          <w:color w:val="auto"/>
        </w:rPr>
        <w:t xml:space="preserve">Cost of subscriptions and licenses. </w:t>
      </w:r>
      <w:r>
        <w:rPr>
          <w:rFonts w:ascii="Arial" w:cs="Arial" w:eastAsia="Arial" w:hAnsi="Arial"/>
          <w:sz w:val="17"/>
          <w:szCs w:val="17"/>
          <w:color w:val="auto"/>
        </w:rPr>
        <w:t>Cost of subscriptions and licenses includes salaries and other related costs, including the depreciation of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and equipment and the amortization of capitalized software costs associated with servicing software subscriptions, the amortization of intangible assets associated with acquired software and technology, channel partner compensation for providing sales coverage to subscribers, as well as cloud</w:t>
      </w:r>
      <w:r>
        <w:rPr>
          <w:rFonts w:ascii="MS PGothic" w:cs="MS PGothic" w:eastAsia="MS PGothic" w:hAnsi="MS PGothic"/>
          <w:sz w:val="17"/>
          <w:szCs w:val="17"/>
          <w:color w:val="auto"/>
        </w:rPr>
        <w:t>‑</w:t>
      </w:r>
      <w:r>
        <w:rPr>
          <w:rFonts w:ascii="Arial" w:cs="Arial" w:eastAsia="Arial" w:hAnsi="Arial"/>
          <w:sz w:val="17"/>
          <w:szCs w:val="17"/>
          <w:color w:val="auto"/>
        </w:rPr>
        <w:t>related costs incurred for servicing our accounts using cloud provisioned solutions and our license administration platform.</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Cost of services</w:t>
      </w:r>
      <w:r>
        <w:rPr>
          <w:rFonts w:ascii="Arial" w:cs="Arial" w:eastAsia="Arial" w:hAnsi="Arial"/>
          <w:sz w:val="18"/>
          <w:szCs w:val="18"/>
          <w:color w:val="auto"/>
        </w:rPr>
        <w:t>. Cost of services includes salaries for internal and third</w:t>
      </w:r>
      <w:r>
        <w:rPr>
          <w:rFonts w:ascii="MS PGothic" w:cs="MS PGothic" w:eastAsia="MS PGothic" w:hAnsi="MS PGothic"/>
          <w:sz w:val="18"/>
          <w:szCs w:val="18"/>
          <w:color w:val="auto"/>
        </w:rPr>
        <w:t>‑</w:t>
      </w:r>
      <w:r>
        <w:rPr>
          <w:rFonts w:ascii="Arial" w:cs="Arial" w:eastAsia="Arial" w:hAnsi="Arial"/>
          <w:sz w:val="18"/>
          <w:szCs w:val="18"/>
          <w:color w:val="auto"/>
        </w:rPr>
        <w:t>party personnel and related overhead costs, including depreciation of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 for providing training, implementation, configuration, and customization services to accounts, amortization of capitalized software costs, and related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incurred.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 (income)</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which are generally expensed as incurred, primarily consist of personnel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of our research and development staff, including salaries, benefits, bonuses,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and costs of certain third</w:t>
      </w:r>
      <w:r>
        <w:rPr>
          <w:rFonts w:ascii="MS PGothic" w:cs="MS PGothic" w:eastAsia="MS PGothic" w:hAnsi="MS PGothic"/>
          <w:sz w:val="18"/>
          <w:szCs w:val="18"/>
          <w:color w:val="auto"/>
        </w:rPr>
        <w:t>‑</w:t>
      </w:r>
      <w:r>
        <w:rPr>
          <w:rFonts w:ascii="Arial" w:cs="Arial" w:eastAsia="Arial" w:hAnsi="Arial"/>
          <w:sz w:val="18"/>
          <w:szCs w:val="18"/>
          <w:color w:val="auto"/>
        </w:rPr>
        <w:t>party contractors, as well as allocated overhead costs. We expense software development costs, including costs to develop software products or the software component of products to be sold, leased, or marketed to external accounts, before technological feasibility is reached. Technological feasibility is typically reached shortly before the release of such products and as a result, development costs that meet the criteria for capitalization were not material for the periods presented.</w:t>
      </w:r>
    </w:p>
    <w:p>
      <w:pPr>
        <w:spacing w:after="0" w:line="20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We capitalize certain development costs related to certain projects under our ACDP (our structured approach to an in</w:t>
      </w:r>
      <w:r>
        <w:rPr>
          <w:rFonts w:ascii="MS PGothic" w:cs="MS PGothic" w:eastAsia="MS PGothic" w:hAnsi="MS PGothic"/>
          <w:sz w:val="17"/>
          <w:szCs w:val="17"/>
          <w:color w:val="auto"/>
        </w:rPr>
        <w:t>‑</w:t>
      </w:r>
      <w:r>
        <w:rPr>
          <w:rFonts w:ascii="Arial" w:cs="Arial" w:eastAsia="Arial" w:hAnsi="Arial"/>
          <w:sz w:val="17"/>
          <w:szCs w:val="17"/>
          <w:color w:val="auto"/>
        </w:rPr>
        <w:t>house business incubator function) once technological feasibility is established. Technological feasibility is established when a detailed program design has been completed and documented; we have established that the necessary skills, hardware, and software technology are available to produce the product; and there are no unresolved high</w:t>
      </w:r>
      <w:r>
        <w:rPr>
          <w:rFonts w:ascii="MS PGothic" w:cs="MS PGothic" w:eastAsia="MS PGothic" w:hAnsi="MS PGothic"/>
          <w:sz w:val="17"/>
          <w:szCs w:val="17"/>
          <w:color w:val="auto"/>
        </w:rPr>
        <w:t>‑</w:t>
      </w:r>
      <w:r>
        <w:rPr>
          <w:rFonts w:ascii="Arial" w:cs="Arial" w:eastAsia="Arial" w:hAnsi="Arial"/>
          <w:sz w:val="17"/>
          <w:szCs w:val="17"/>
          <w:color w:val="auto"/>
        </w:rPr>
        <w:t xml:space="preserve">risk development issues. Once the software is ready for its intended use, amortization is recorded over the software’s estimated useful life (generally three years). Total costs capitalized under the ACDP were $1,617 and $1,922 for the three months ended September 30, 2021 and 2020, respectively, and $4,266 and $6,182 for the nine months ended September 30, 2021 and 2020, respectively. Additionally, total ACDP related amortization recorded in </w:t>
      </w:r>
      <w:r>
        <w:rPr>
          <w:rFonts w:ascii="Arial" w:cs="Arial" w:eastAsia="Arial" w:hAnsi="Arial"/>
          <w:sz w:val="17"/>
          <w:szCs w:val="17"/>
          <w:i w:val="1"/>
          <w:iCs w:val="1"/>
          <w:color w:val="auto"/>
        </w:rPr>
        <w:t>Costs of subscriptions and licenses</w:t>
      </w:r>
      <w:r>
        <w:rPr>
          <w:rFonts w:ascii="Arial" w:cs="Arial" w:eastAsia="Arial" w:hAnsi="Arial"/>
          <w:sz w:val="17"/>
          <w:szCs w:val="17"/>
          <w:color w:val="auto"/>
        </w:rPr>
        <w:t xml:space="preserve"> was $1,958 and $1,167 for the three months ended September 30, 2021 and 2020, respectively, and $5,430 and $3,189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0" w:name="page61"/>
    <w:bookmarkEnd w:id="60"/>
    <w:p>
      <w:pPr>
        <w:jc w:val="both"/>
        <w:ind w:firstLine="324"/>
        <w:spacing w:after="0" w:line="217" w:lineRule="exact"/>
        <w:rPr>
          <w:sz w:val="20"/>
          <w:szCs w:val="20"/>
          <w:color w:val="auto"/>
        </w:rPr>
      </w:pPr>
      <w:r>
        <w:rPr>
          <w:rFonts w:ascii="Arial" w:cs="Arial" w:eastAsia="Arial" w:hAnsi="Arial"/>
          <w:sz w:val="17"/>
          <w:szCs w:val="17"/>
          <w:i w:val="1"/>
          <w:iCs w:val="1"/>
          <w:color w:val="auto"/>
        </w:rPr>
        <w:t xml:space="preserve">Selling and marketing. </w:t>
      </w:r>
      <w:r>
        <w:rPr>
          <w:rFonts w:ascii="Arial" w:cs="Arial" w:eastAsia="Arial" w:hAnsi="Arial"/>
          <w:sz w:val="17"/>
          <w:szCs w:val="17"/>
          <w:color w:val="auto"/>
        </w:rPr>
        <w:t>Selling and marketing expenses include salaries, benefits, bonuses, and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for our selling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colleagues, the expense of travel, entertainment, and training for such personnel, online marketing, product marketing and other brand</w:t>
      </w:r>
      <w:r>
        <w:rPr>
          <w:rFonts w:ascii="MS PGothic" w:cs="MS PGothic" w:eastAsia="MS PGothic" w:hAnsi="MS PGothic"/>
          <w:sz w:val="17"/>
          <w:szCs w:val="17"/>
          <w:color w:val="auto"/>
        </w:rPr>
        <w:t>‑</w:t>
      </w:r>
      <w:r>
        <w:rPr>
          <w:rFonts w:ascii="Arial" w:cs="Arial" w:eastAsia="Arial" w:hAnsi="Arial"/>
          <w:sz w:val="17"/>
          <w:szCs w:val="17"/>
          <w:color w:val="auto"/>
        </w:rPr>
        <w:t>building activities, such as advertising, trade shows, and expositions, various sales and promotional programs, and costs of computer equipment and facilities used in selling and marketing activities. We anticipate that we will continue to make strategic investments in our global business systems and methods to enhance major account sales activities and to support our worldwide sales and marketing strategies, and the business in general. We capitalize certain incremental costs of obtaining a contract and recognize these expenses over the period of benefit associated with these costs, resulting in a deferral of certain contract costs each period. The contract costs are amortized based on the economic life of the goods and services to which the contract costs relate. We apply a practical expedient to expense costs as incurred for costs to obtain a contract with a customer when the amortization period would have been one year or less. These costs include our internal sales force compensation program and certain channel partner sales incentive programs for which the annual compensation is commensurate with annual sales activities.</w:t>
      </w:r>
    </w:p>
    <w:p>
      <w:pPr>
        <w:spacing w:after="0" w:line="210"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include salaries, bonuses, benefits, and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human resources, and legal colleagues, the expense of travel, entertainment, and training for such personnel, professional fees for legal and accounting services, and costs of computer equipment and facilities used in general and administrative activities. Following the completion of the IPO, we expect to continue 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expect to incur increased expenses in the areas of insurance, investor relations, and professional services. As a result, we expect the dollar amount of our general and administrative expenses to increase for the foreseeable future. We expect, however, that our general and administrative expenses will decrease as a percentage of our revenues over time, although the percentage may fluctuate from period to period depending on fluctuations in our revenue and the timing and extent of our general and administrative expenses.</w:t>
      </w:r>
    </w:p>
    <w:p>
      <w:pPr>
        <w:spacing w:after="0" w:line="207"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i w:val="1"/>
          <w:iCs w:val="1"/>
          <w:color w:val="auto"/>
        </w:rPr>
        <w:t>Deferred compensation plan</w:t>
      </w:r>
      <w:r>
        <w:rPr>
          <w:rFonts w:ascii="Arial" w:cs="Arial" w:eastAsia="Arial" w:hAnsi="Arial"/>
          <w:sz w:val="16"/>
          <w:szCs w:val="16"/>
          <w:color w:val="auto"/>
        </w:rPr>
        <w:t>. In August 2021, our Board of Directors approved an amendment to the DCP, which offered to certain active executives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DCP a one</w:t>
      </w:r>
      <w:r>
        <w:rPr>
          <w:rFonts w:ascii="MS PGothic" w:cs="MS PGothic" w:eastAsia="MS PGothic" w:hAnsi="MS PGothic"/>
          <w:sz w:val="16"/>
          <w:szCs w:val="16"/>
          <w:color w:val="auto"/>
        </w:rPr>
        <w:t>‑</w:t>
      </w:r>
      <w:r>
        <w:rPr>
          <w:rFonts w:ascii="Arial" w:cs="Arial" w:eastAsia="Arial" w:hAnsi="Arial"/>
          <w:sz w:val="16"/>
          <w:szCs w:val="16"/>
          <w:color w:val="auto"/>
        </w:rPr>
        <w:t>time, short</w:t>
      </w:r>
      <w:r>
        <w:rPr>
          <w:rFonts w:ascii="MS PGothic" w:cs="MS PGothic" w:eastAsia="MS PGothic" w:hAnsi="MS PGothic"/>
          <w:sz w:val="16"/>
          <w:szCs w:val="16"/>
          <w:color w:val="auto"/>
        </w:rPr>
        <w:t>‑</w:t>
      </w:r>
      <w:r>
        <w:rPr>
          <w:rFonts w:ascii="Arial" w:cs="Arial" w:eastAsia="Arial" w:hAnsi="Arial"/>
          <w:sz w:val="16"/>
          <w:szCs w:val="16"/>
          <w:color w:val="auto"/>
        </w:rPr>
        <w:t>term election to reallocate a limited portion of their DCP holdings from phantom shares of the Company’s Class B Common Stock into other DCP phantom investment funds. The offer to reallocate was subject to a proration mechanism which adjusted the aggregate elections to a maximum of 1,500,000 phantom shares of the Company’s Class B Common Stock. This one</w:t>
      </w:r>
      <w:r>
        <w:rPr>
          <w:rFonts w:ascii="MS PGothic" w:cs="MS PGothic" w:eastAsia="MS PGothic" w:hAnsi="MS PGothic"/>
          <w:sz w:val="16"/>
          <w:szCs w:val="16"/>
          <w:color w:val="auto"/>
        </w:rPr>
        <w:t>‑</w:t>
      </w:r>
      <w:r>
        <w:rPr>
          <w:rFonts w:ascii="Arial" w:cs="Arial" w:eastAsia="Arial" w:hAnsi="Arial"/>
          <w:sz w:val="16"/>
          <w:szCs w:val="16"/>
          <w:color w:val="auto"/>
        </w:rPr>
        <w:t>time reallocation opportunity was offered only to certain active executives (but not to Directors or Bentley family members) in order to encourage retention, as otherwise these executives could only have materially diversified their investments in Company equity (primarily held in the DCP) by voluntarily terminating employment to trigger DCP distributions. These executives in aggregate accordingly diversified 24% of their phantom shares of the Company’s Class B Common Stock. 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three and nine months ended September 30, 2021, the Company recognized a one</w:t>
      </w:r>
      <w:r>
        <w:rPr>
          <w:rFonts w:ascii="MS PGothic" w:cs="MS PGothic" w:eastAsia="MS PGothic" w:hAnsi="MS PGothic"/>
          <w:sz w:val="16"/>
          <w:szCs w:val="16"/>
          <w:color w:val="auto"/>
        </w:rPr>
        <w:t>‑</w:t>
      </w:r>
      <w:r>
        <w:rPr>
          <w:rFonts w:ascii="Arial" w:cs="Arial" w:eastAsia="Arial" w:hAnsi="Arial"/>
          <w:sz w:val="16"/>
          <w:szCs w:val="16"/>
          <w:color w:val="auto"/>
        </w:rPr>
        <w:t xml:space="preserve">time compensation charge of $90,721 to </w:t>
      </w:r>
      <w:r>
        <w:rPr>
          <w:rFonts w:ascii="Arial" w:cs="Arial" w:eastAsia="Arial" w:hAnsi="Arial"/>
          <w:sz w:val="16"/>
          <w:szCs w:val="16"/>
          <w:i w:val="1"/>
          <w:iCs w:val="1"/>
          <w:color w:val="auto"/>
        </w:rPr>
        <w:t>Deferred compensation plan</w:t>
      </w:r>
      <w:r>
        <w:rPr>
          <w:rFonts w:ascii="Arial" w:cs="Arial" w:eastAsia="Arial" w:hAnsi="Arial"/>
          <w:sz w:val="16"/>
          <w:szCs w:val="16"/>
          <w:color w:val="auto"/>
        </w:rPr>
        <w:t xml:space="preserve"> expenses in the consolidated statements of operations to record the reallocated deferred compensation plan liabilities at their fair value. Deferred compensation plan liabilities are marked to market at the end of each reporting period, with changes in the liabilities recorded as an expense (income) to </w:t>
      </w:r>
      <w:r>
        <w:rPr>
          <w:rFonts w:ascii="Arial" w:cs="Arial" w:eastAsia="Arial" w:hAnsi="Arial"/>
          <w:sz w:val="16"/>
          <w:szCs w:val="16"/>
          <w:i w:val="1"/>
          <w:iCs w:val="1"/>
          <w:color w:val="auto"/>
        </w:rPr>
        <w:t>Deferred compensation plan</w:t>
      </w:r>
      <w:r>
        <w:rPr>
          <w:rFonts w:ascii="Arial" w:cs="Arial" w:eastAsia="Arial" w:hAnsi="Arial"/>
          <w:sz w:val="16"/>
          <w:szCs w:val="16"/>
          <w:color w:val="auto"/>
        </w:rPr>
        <w:t xml:space="preserve"> in the consolidated statements of operations.</w:t>
      </w:r>
    </w:p>
    <w:p>
      <w:pPr>
        <w:spacing w:after="0" w:line="204"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7"/>
          <w:szCs w:val="17"/>
          <w:i w:val="1"/>
          <w:iCs w:val="1"/>
          <w:color w:val="auto"/>
        </w:rPr>
        <w:t xml:space="preserve">Amortization of purchased intangibles. </w:t>
      </w:r>
      <w:r>
        <w:rPr>
          <w:rFonts w:ascii="Arial" w:cs="Arial" w:eastAsia="Arial" w:hAnsi="Arial"/>
          <w:sz w:val="17"/>
          <w:szCs w:val="17"/>
          <w:color w:val="auto"/>
        </w:rPr>
        <w:t>Amortization of purchased intangibles includes the amortization of acquired non</w:t>
      </w:r>
      <w:r>
        <w:rPr>
          <w:rFonts w:ascii="MS PGothic" w:cs="MS PGothic" w:eastAsia="MS PGothic" w:hAnsi="MS PGothic"/>
          <w:sz w:val="17"/>
          <w:szCs w:val="17"/>
          <w:color w:val="auto"/>
        </w:rPr>
        <w:t>‑</w:t>
      </w:r>
      <w:r>
        <w:rPr>
          <w:rFonts w:ascii="Arial" w:cs="Arial" w:eastAsia="Arial" w:hAnsi="Arial"/>
          <w:sz w:val="17"/>
          <w:szCs w:val="17"/>
          <w:color w:val="auto"/>
        </w:rPr>
        <w:t>product related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primarily customer relationships, trademarks, and non</w:t>
      </w:r>
      <w:r>
        <w:rPr>
          <w:rFonts w:ascii="MS PGothic" w:cs="MS PGothic" w:eastAsia="MS PGothic" w:hAnsi="MS PGothic"/>
          <w:sz w:val="17"/>
          <w:szCs w:val="17"/>
          <w:color w:val="auto"/>
        </w:rPr>
        <w:t>‑</w:t>
      </w:r>
      <w:r>
        <w:rPr>
          <w:rFonts w:ascii="Arial" w:cs="Arial" w:eastAsia="Arial" w:hAnsi="Arial"/>
          <w:sz w:val="17"/>
          <w:szCs w:val="17"/>
          <w:color w:val="auto"/>
        </w:rPr>
        <w:t>compete agreements recorded in connection with completed acquisitions.</w:t>
      </w:r>
    </w:p>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Expenses associated with IPO. </w:t>
      </w:r>
      <w:r>
        <w:rPr>
          <w:rFonts w:ascii="Arial" w:cs="Arial" w:eastAsia="Arial" w:hAnsi="Arial"/>
          <w:sz w:val="18"/>
          <w:szCs w:val="18"/>
          <w:color w:val="auto"/>
        </w:rPr>
        <w:t>Expenses associated with IPO include certain non-recurring costs relating to our IPO, consisting of the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underwriting discounts and commissions applicable to the sale of shares by the selling stockholders, professional fees, and other expenses. We completed our IPO on September 25, 2020. These fees were expensed in the period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1" w:name="page62"/>
    <w:bookmarkEnd w:id="61"/>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primarily represents interest associated with the Credit Facility, amortization of deferred debt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interest income from our investments in money market funds.</w:t>
      </w:r>
    </w:p>
    <w:p>
      <w:pPr>
        <w:spacing w:after="0" w:line="17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primarily consists of foreign currency translation results derived primarily from U.S. Dollar</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cash and cash equivalents, accounts receivable, and intercompany balances held by foreign subsidiaries with non</w:t>
      </w:r>
      <w:r>
        <w:rPr>
          <w:rFonts w:ascii="MS PGothic" w:cs="MS PGothic" w:eastAsia="MS PGothic" w:hAnsi="MS PGothic"/>
          <w:sz w:val="18"/>
          <w:szCs w:val="18"/>
          <w:color w:val="auto"/>
        </w:rPr>
        <w:t>‑</w:t>
      </w:r>
      <w:r>
        <w:rPr>
          <w:rFonts w:ascii="Arial" w:cs="Arial" w:eastAsia="Arial" w:hAnsi="Arial"/>
          <w:sz w:val="18"/>
          <w:szCs w:val="18"/>
          <w:color w:val="auto"/>
        </w:rPr>
        <w:t>U.S. Dollar functional currencies. Other income (expense), net also includes the fair value valuation result of our interest rate swap and changes in fair value of acquisition contingent consideration.</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(Provision) benefit for income taxes includes the aggregate consolidated income tax expense for U.S.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and foreign income taxes.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Loss from investment accounted for using the equity method, net of tax. </w:t>
      </w:r>
      <w:r>
        <w:rPr>
          <w:rFonts w:ascii="Arial" w:cs="Arial" w:eastAsia="Arial" w:hAnsi="Arial"/>
          <w:sz w:val="18"/>
          <w:szCs w:val="18"/>
          <w:color w:val="auto"/>
        </w:rPr>
        <w:t>Loss from investment accounted for using the equity method includes our</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proportional share of loss in a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selected consolidated statements of operations data for each of the periods indicated: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860" w:type="dxa"/>
            <w:vAlign w:val="bottom"/>
            <w:gridSpan w:val="4"/>
          </w:tcPr>
          <w:p>
            <w:pPr>
              <w:jc w:val="right"/>
              <w:ind w:right="79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4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212,227</w:t>
            </w:r>
          </w:p>
        </w:tc>
        <w:tc>
          <w:tcPr>
            <w:tcW w:w="24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173,174</w:t>
            </w:r>
          </w:p>
        </w:tc>
        <w:tc>
          <w:tcPr>
            <w:tcW w:w="2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585,804</w:t>
            </w:r>
          </w:p>
        </w:tc>
        <w:tc>
          <w:tcPr>
            <w:tcW w:w="24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501,011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11,866</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33,373</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36,020</w:t>
            </w:r>
          </w:p>
        </w:tc>
        <w:tc>
          <w:tcPr>
            <w:tcW w:w="0" w:type="dxa"/>
            <w:vAlign w:val="bottom"/>
          </w:tcPr>
          <w:p>
            <w:pPr>
              <w:spacing w:after="0"/>
              <w:rPr>
                <w:sz w:val="1"/>
                <w:szCs w:val="1"/>
                <w:color w:val="auto"/>
              </w:rPr>
            </w:pPr>
          </w:p>
        </w:tc>
      </w:tr>
      <w:tr>
        <w:trPr>
          <w:trHeight w:val="250"/>
        </w:trPr>
        <w:tc>
          <w:tcPr>
            <w:tcW w:w="4700" w:type="dxa"/>
            <w:vAlign w:val="bottom"/>
          </w:tcPr>
          <w:p>
            <w:pPr>
              <w:ind w:left="360"/>
              <w:spacing w:after="0"/>
              <w:rPr>
                <w:sz w:val="20"/>
                <w:szCs w:val="20"/>
                <w:color w:val="auto"/>
              </w:rPr>
            </w:pPr>
            <w:r>
              <w:rPr>
                <w:rFonts w:ascii="Arial" w:cs="Arial" w:eastAsia="Arial" w:hAnsi="Arial"/>
                <w:sz w:val="18"/>
                <w:szCs w:val="18"/>
                <w:color w:val="auto"/>
              </w:rPr>
              <w:t>Subscriptions and licenses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224,093</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186,001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619,177</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537,031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24,387</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16,996</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74,239</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248,480</w:t>
            </w:r>
          </w:p>
        </w:tc>
        <w:tc>
          <w:tcPr>
            <w:tcW w:w="2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202,997</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693,416</w:t>
            </w:r>
          </w:p>
        </w:tc>
        <w:tc>
          <w:tcPr>
            <w:tcW w:w="2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581,977</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Cost of subscriptions and licenses</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31,056</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23,338</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89,882</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66,466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services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23,176</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19,290</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67,090</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 of revenues</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54,232</w:t>
            </w:r>
          </w:p>
        </w:tc>
        <w:tc>
          <w:tcPr>
            <w:tcW w:w="2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42,628</w:t>
            </w:r>
          </w:p>
        </w:tc>
        <w:tc>
          <w:tcPr>
            <w:tcW w:w="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156,972</w:t>
            </w:r>
          </w:p>
        </w:tc>
        <w:tc>
          <w:tcPr>
            <w:tcW w:w="2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116,592</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194,248</w:t>
            </w:r>
          </w:p>
        </w:tc>
        <w:tc>
          <w:tcPr>
            <w:tcW w:w="2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160,369</w:t>
            </w:r>
          </w:p>
        </w:tc>
        <w:tc>
          <w:tcPr>
            <w:tcW w:w="2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536,444</w:t>
            </w:r>
          </w:p>
        </w:tc>
        <w:tc>
          <w:tcPr>
            <w:tcW w:w="2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465,385</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 (income):</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57,334</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50,217</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157,913</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139,570</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44,392</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41,824</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114,846</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107,551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35,329</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32,956</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110,233</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85,390</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Deferred compensation plan</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88,965</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89,327</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16,703</w:t>
            </w:r>
          </w:p>
        </w:tc>
        <w:tc>
          <w:tcPr>
            <w:tcW w:w="2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w:t>
            </w:r>
          </w:p>
        </w:tc>
        <w:tc>
          <w:tcPr>
            <w:tcW w:w="0" w:type="dxa"/>
            <w:vAlign w:val="bottom"/>
          </w:tcPr>
          <w:p>
            <w:pPr>
              <w:spacing w:after="0"/>
              <w:rPr>
                <w:sz w:val="1"/>
                <w:szCs w:val="1"/>
                <w:color w:val="auto"/>
              </w:rPr>
            </w:pPr>
          </w:p>
        </w:tc>
      </w:tr>
      <w:tr>
        <w:trPr>
          <w:trHeight w:val="270"/>
        </w:trPr>
        <w:tc>
          <w:tcPr>
            <w:tcW w:w="4700" w:type="dxa"/>
            <w:vAlign w:val="bottom"/>
          </w:tcPr>
          <w:p>
            <w:pPr>
              <w:ind w:left="180"/>
              <w:spacing w:after="0"/>
              <w:rPr>
                <w:sz w:val="20"/>
                <w:szCs w:val="20"/>
                <w:color w:val="auto"/>
              </w:rPr>
            </w:pPr>
            <w:r>
              <w:rPr>
                <w:rFonts w:ascii="Arial" w:cs="Arial" w:eastAsia="Arial" w:hAnsi="Arial"/>
                <w:sz w:val="18"/>
                <w:szCs w:val="18"/>
                <w:color w:val="auto"/>
              </w:rPr>
              <w:t>Expenses associated with initial public offering</w:t>
            </w:r>
          </w:p>
        </w:tc>
        <w:tc>
          <w:tcPr>
            <w:tcW w:w="280" w:type="dxa"/>
            <w:vAlign w:val="bottom"/>
          </w:tcPr>
          <w:p>
            <w:pPr>
              <w:spacing w:after="0"/>
              <w:rPr>
                <w:sz w:val="23"/>
                <w:szCs w:val="23"/>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26,130</w:t>
            </w: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26,130</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234,696</w:t>
            </w:r>
          </w:p>
        </w:tc>
        <w:tc>
          <w:tcPr>
            <w:tcW w:w="24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155,046</w:t>
            </w:r>
          </w:p>
        </w:tc>
        <w:tc>
          <w:tcPr>
            <w:tcW w:w="24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489,022</w:t>
            </w:r>
          </w:p>
        </w:tc>
        <w:tc>
          <w:tcPr>
            <w:tcW w:w="24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369,510</w:t>
            </w:r>
          </w:p>
        </w:tc>
        <w:tc>
          <w:tcPr>
            <w:tcW w:w="0" w:type="dxa"/>
            <w:vAlign w:val="bottom"/>
          </w:tcPr>
          <w:p>
            <w:pPr>
              <w:spacing w:after="0"/>
              <w:rPr>
                <w:sz w:val="1"/>
                <w:szCs w:val="1"/>
                <w:color w:val="auto"/>
              </w:rPr>
            </w:pPr>
          </w:p>
        </w:tc>
      </w:tr>
      <w:tr>
        <w:trPr>
          <w:trHeight w:val="250"/>
        </w:trPr>
        <w:tc>
          <w:tcPr>
            <w:tcW w:w="4700" w:type="dxa"/>
            <w:vAlign w:val="bottom"/>
          </w:tcPr>
          <w:p>
            <w:pPr>
              <w:ind w:left="360"/>
              <w:spacing w:after="0"/>
              <w:rPr>
                <w:sz w:val="20"/>
                <w:szCs w:val="20"/>
                <w:color w:val="auto"/>
              </w:rPr>
            </w:pPr>
            <w:r>
              <w:rPr>
                <w:rFonts w:ascii="Arial" w:cs="Arial" w:eastAsia="Arial" w:hAnsi="Arial"/>
                <w:sz w:val="18"/>
                <w:szCs w:val="18"/>
                <w:color w:val="auto"/>
              </w:rPr>
              <w:t>(Loss) income from operations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(40,448)</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5,323</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47,422</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95,875</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9,748</w:t>
            </w: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income before income taxes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(45,241)</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17,130</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48,562</w:t>
            </w: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(4,223)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(10,705)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Loss from investment accounted for using the equity method,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w:t>
            </w: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4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24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50"/>
        </w:trPr>
        <w:tc>
          <w:tcPr>
            <w:tcW w:w="4700" w:type="dxa"/>
            <w:vAlign w:val="bottom"/>
          </w:tcPr>
          <w:p>
            <w:pPr>
              <w:ind w:left="360"/>
              <w:spacing w:after="0"/>
              <w:rPr>
                <w:sz w:val="20"/>
                <w:szCs w:val="20"/>
                <w:color w:val="auto"/>
              </w:rPr>
            </w:pPr>
            <w:r>
              <w:rPr>
                <w:rFonts w:ascii="Arial" w:cs="Arial" w:eastAsia="Arial" w:hAnsi="Arial"/>
                <w:sz w:val="18"/>
                <w:szCs w:val="18"/>
                <w:color w:val="auto"/>
              </w:rPr>
              <w:t>Net (loss) income</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(50,128)</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5,844</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51,788</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74,589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Less: Net (loss) income attributable to participating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4700" w:type="dxa"/>
            <w:vAlign w:val="bottom"/>
          </w:tcPr>
          <w:p>
            <w:pPr>
              <w:ind w:left="360"/>
              <w:spacing w:after="0"/>
              <w:rPr>
                <w:sz w:val="20"/>
                <w:szCs w:val="20"/>
                <w:color w:val="auto"/>
              </w:rPr>
            </w:pPr>
            <w:r>
              <w:rPr>
                <w:rFonts w:ascii="Arial" w:cs="Arial" w:eastAsia="Arial" w:hAnsi="Arial"/>
                <w:sz w:val="18"/>
                <w:szCs w:val="18"/>
                <w:color w:val="auto"/>
              </w:rPr>
              <w:t>Net (loss) income attributable to Class A and</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520"/>
              <w:spacing w:after="0"/>
              <w:rPr>
                <w:sz w:val="20"/>
                <w:szCs w:val="20"/>
                <w:color w:val="auto"/>
              </w:rPr>
            </w:pPr>
            <w:r>
              <w:rPr>
                <w:rFonts w:ascii="Arial" w:cs="Arial" w:eastAsia="Arial" w:hAnsi="Arial"/>
                <w:sz w:val="18"/>
                <w:szCs w:val="18"/>
                <w:color w:val="auto"/>
              </w:rPr>
              <w:t>Class B common stockholders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(50,131)</w:t>
            </w:r>
          </w:p>
        </w:tc>
        <w:tc>
          <w:tcPr>
            <w:tcW w:w="240" w:type="dxa"/>
            <w:vAlign w:val="bottom"/>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51,782</w:t>
            </w:r>
          </w:p>
        </w:tc>
        <w:tc>
          <w:tcPr>
            <w:tcW w:w="240" w:type="dxa"/>
            <w:vAlign w:val="bottom"/>
          </w:tcPr>
          <w:p>
            <w:pPr>
              <w:spacing w:after="0"/>
              <w:rPr>
                <w:sz w:val="20"/>
                <w:szCs w:val="20"/>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Per share information:</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Net (loss) income per share, basic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per share,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Weighted average shares,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308,195,379</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289,318,391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305,119,985</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287,063,892</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shares, diluted</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308,195,379</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299,634,961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314,658,136</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297,251,349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3" w:name="page64"/>
    <w:bookmarkEnd w:id="63"/>
    <w:p>
      <w:pPr>
        <w:jc w:val="both"/>
        <w:ind w:firstLine="324"/>
        <w:spacing w:after="0" w:line="220" w:lineRule="exact"/>
        <w:rPr>
          <w:sz w:val="20"/>
          <w:szCs w:val="20"/>
          <w:color w:val="auto"/>
        </w:rPr>
      </w:pPr>
      <w:r>
        <w:rPr>
          <w:rFonts w:ascii="Arial" w:cs="Arial" w:eastAsia="Arial" w:hAnsi="Arial"/>
          <w:sz w:val="18"/>
          <w:szCs w:val="18"/>
          <w:color w:val="auto"/>
        </w:rPr>
        <w:t>In reporting period</w:t>
      </w:r>
      <w:r>
        <w:rPr>
          <w:rFonts w:ascii="MS PGothic" w:cs="MS PGothic" w:eastAsia="MS PGothic" w:hAnsi="MS PGothic"/>
          <w:sz w:val="18"/>
          <w:szCs w:val="18"/>
          <w:color w:val="auto"/>
        </w:rPr>
        <w:t>‑</w:t>
      </w:r>
      <w:r>
        <w:rPr>
          <w:rFonts w:ascii="Arial" w:cs="Arial" w:eastAsia="Arial" w:hAnsi="Arial"/>
          <w:sz w:val="18"/>
          <w:szCs w:val="18"/>
          <w:color w:val="auto"/>
        </w:rPr>
        <w:t>over</w:t>
      </w:r>
      <w:r>
        <w:rPr>
          <w:rFonts w:ascii="MS PGothic" w:cs="MS PGothic" w:eastAsia="MS PGothic" w:hAnsi="MS PGothic"/>
          <w:sz w:val="18"/>
          <w:szCs w:val="18"/>
          <w:color w:val="auto"/>
        </w:rPr>
        <w:t>‑</w:t>
      </w:r>
      <w:r>
        <w:rPr>
          <w:rFonts w:ascii="Arial" w:cs="Arial" w:eastAsia="Arial" w:hAnsi="Arial"/>
          <w:sz w:val="18"/>
          <w:szCs w:val="18"/>
          <w:color w:val="auto"/>
        </w:rPr>
        <w:t>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204" w:lineRule="exact"/>
        <w:rPr>
          <w:sz w:val="20"/>
          <w:szCs w:val="20"/>
          <w:color w:val="auto"/>
        </w:rPr>
      </w:pPr>
    </w:p>
    <w:p>
      <w:pPr>
        <w:ind w:right="5260"/>
        <w:spacing w:after="0" w:line="462" w:lineRule="auto"/>
        <w:rPr>
          <w:sz w:val="20"/>
          <w:szCs w:val="20"/>
          <w:color w:val="auto"/>
        </w:rPr>
      </w:pPr>
      <w:r>
        <w:rPr>
          <w:rFonts w:ascii="Arial" w:cs="Arial" w:eastAsia="Arial" w:hAnsi="Arial"/>
          <w:sz w:val="18"/>
          <w:szCs w:val="18"/>
          <w:b w:val="1"/>
          <w:bCs w:val="1"/>
          <w:i w:val="1"/>
          <w:iCs w:val="1"/>
          <w:color w:val="auto"/>
        </w:rPr>
        <w:t xml:space="preserve">Comparison of the Three and Nine Months Ended September 30, 2021 and 2020 </w:t>
      </w:r>
      <w:r>
        <w:rPr>
          <w:rFonts w:ascii="Arial" w:cs="Arial" w:eastAsia="Arial" w:hAnsi="Arial"/>
          <w:sz w:val="18"/>
          <w:szCs w:val="18"/>
          <w:i w:val="1"/>
          <w:iCs w:val="1"/>
          <w:color w:val="auto"/>
        </w:rPr>
        <w:t>Revenues</w:t>
      </w: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212,227</w:t>
            </w:r>
          </w:p>
        </w:tc>
        <w:tc>
          <w:tcPr>
            <w:tcW w:w="1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173,174</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39,053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22.6 %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11,866</w:t>
            </w:r>
          </w:p>
        </w:tc>
        <w:tc>
          <w:tcPr>
            <w:tcW w:w="1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0"/>
        </w:trPr>
        <w:tc>
          <w:tcPr>
            <w:tcW w:w="4340" w:type="dxa"/>
            <w:vAlign w:val="bottom"/>
          </w:tcPr>
          <w:p>
            <w:pPr>
              <w:ind w:left="360"/>
              <w:spacing w:after="0"/>
              <w:rPr>
                <w:sz w:val="20"/>
                <w:szCs w:val="20"/>
                <w:color w:val="auto"/>
              </w:rPr>
            </w:pPr>
            <w:r>
              <w:rPr>
                <w:rFonts w:ascii="Arial" w:cs="Arial" w:eastAsia="Arial" w:hAnsi="Arial"/>
                <w:sz w:val="18"/>
                <w:szCs w:val="18"/>
                <w:color w:val="auto"/>
              </w:rPr>
              <w:t>Subscriptions and licenses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224,093</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186,001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38,092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20.5 %</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24,387</w:t>
            </w:r>
          </w:p>
        </w:tc>
        <w:tc>
          <w:tcPr>
            <w:tcW w:w="1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16,996</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43.5 %</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40.5 %</w:t>
            </w:r>
          </w:p>
        </w:tc>
        <w:tc>
          <w:tcPr>
            <w:tcW w:w="0" w:type="dxa"/>
            <w:vAlign w:val="bottom"/>
          </w:tcPr>
          <w:p>
            <w:pPr>
              <w:spacing w:after="0"/>
              <w:rPr>
                <w:sz w:val="1"/>
                <w:szCs w:val="1"/>
                <w:color w:val="auto"/>
              </w:rPr>
            </w:pPr>
          </w:p>
        </w:tc>
      </w:tr>
      <w:tr>
        <w:trPr>
          <w:trHeight w:val="223"/>
        </w:trPr>
        <w:tc>
          <w:tcPr>
            <w:tcW w:w="43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248,480</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202,997</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22.4 %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Nine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13"/>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Subscriptions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585,804</w:t>
            </w:r>
          </w:p>
        </w:tc>
        <w:tc>
          <w:tcPr>
            <w:tcW w:w="1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501,011</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84,793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16.9 %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Perpetual licenses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33,373</w:t>
            </w:r>
          </w:p>
        </w:tc>
        <w:tc>
          <w:tcPr>
            <w:tcW w:w="1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36,020</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50"/>
        </w:trPr>
        <w:tc>
          <w:tcPr>
            <w:tcW w:w="4340" w:type="dxa"/>
            <w:vAlign w:val="bottom"/>
          </w:tcPr>
          <w:p>
            <w:pPr>
              <w:ind w:left="360"/>
              <w:spacing w:after="0"/>
              <w:rPr>
                <w:sz w:val="20"/>
                <w:szCs w:val="20"/>
                <w:color w:val="auto"/>
              </w:rPr>
            </w:pPr>
            <w:r>
              <w:rPr>
                <w:rFonts w:ascii="Arial" w:cs="Arial" w:eastAsia="Arial" w:hAnsi="Arial"/>
                <w:sz w:val="18"/>
                <w:szCs w:val="18"/>
                <w:color w:val="auto"/>
              </w:rPr>
              <w:t>Subscriptions and licenses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619,177</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537,031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82,146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74,239</w:t>
            </w:r>
          </w:p>
        </w:tc>
        <w:tc>
          <w:tcPr>
            <w:tcW w:w="1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44,946</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65.2 %</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59.3 %</w:t>
            </w:r>
          </w:p>
        </w:tc>
        <w:tc>
          <w:tcPr>
            <w:tcW w:w="0" w:type="dxa"/>
            <w:vAlign w:val="bottom"/>
          </w:tcPr>
          <w:p>
            <w:pPr>
              <w:spacing w:after="0"/>
              <w:rPr>
                <w:sz w:val="1"/>
                <w:szCs w:val="1"/>
                <w:color w:val="auto"/>
              </w:rPr>
            </w:pPr>
          </w:p>
        </w:tc>
      </w:tr>
      <w:tr>
        <w:trPr>
          <w:trHeight w:val="223"/>
        </w:trPr>
        <w:tc>
          <w:tcPr>
            <w:tcW w:w="43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693,416</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581,977</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111,439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19.1 %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Total revenues increased by $45,483, or 22.4%, to $248,480 for the three months ended September 30, 2021 and by $111,439, or 19.1%, to $693,416 for the nine months ended September 30, 2021. This increase was primarily driven by improvements in our business performance and the impact from acquisitions in subscriptions revenues, the impact from acquisitions in services revenues, and the overall positive foreign currency effects due to a weaker U.S. Dollar relative to our other functional currencies. We define business performance as our organic growth results inclusive of the impact from certain programmatic acquisitions, which generally are immaterial, individually and in the aggregate. On a constant currency basis, our revenues increased by 20.6% and 15.6% for the three and nine months ended September 30, 2021, respectively, as compared to the prior periods.</w:t>
      </w:r>
    </w:p>
    <w:p>
      <w:pPr>
        <w:spacing w:after="0" w:line="178" w:lineRule="exact"/>
        <w:rPr>
          <w:sz w:val="20"/>
          <w:szCs w:val="20"/>
          <w:color w:val="auto"/>
        </w:rPr>
      </w:pPr>
    </w:p>
    <w:p>
      <w:pPr>
        <w:jc w:val="both"/>
        <w:ind w:left="820" w:hanging="245"/>
        <w:spacing w:after="0" w:line="257" w:lineRule="auto"/>
        <w:tabs>
          <w:tab w:leader="none" w:pos="815"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Subscriptions</w:t>
      </w:r>
      <w:r>
        <w:rPr>
          <w:rFonts w:ascii="Arial" w:cs="Arial" w:eastAsia="Arial" w:hAnsi="Arial"/>
          <w:sz w:val="18"/>
          <w:szCs w:val="18"/>
          <w:color w:val="auto"/>
        </w:rPr>
        <w:t>. For the three months ended September 30, 2021, subscriptions revenues increased by $39,053, or 22.6%,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2020. This increase was driven primarily by $19,149 related to our acquisition of Seequent, improvements in our business performance, and the positive foreign currency effects due to a weaker U.S. Dollar relative to our other functional currencies. On a constant currency basis, our subscriptions revenues increased by 20.8% for the three months ended September 30, 2021 as compared to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4" w:name="page65"/>
    <w:bookmarkEnd w:id="64"/>
    <w:p>
      <w:pPr>
        <w:jc w:val="both"/>
        <w:ind w:left="245"/>
        <w:spacing w:after="0" w:line="257" w:lineRule="auto"/>
        <w:rPr>
          <w:sz w:val="20"/>
          <w:szCs w:val="20"/>
          <w:color w:val="auto"/>
        </w:rPr>
      </w:pPr>
      <w:r>
        <w:rPr>
          <w:rFonts w:ascii="Arial" w:cs="Arial" w:eastAsia="Arial" w:hAnsi="Arial"/>
          <w:sz w:val="18"/>
          <w:szCs w:val="18"/>
          <w:color w:val="auto"/>
        </w:rPr>
        <w:t>For the nine months ended September 30, 2021, subscriptions revenues increased by $84,793, or 16.9%, as compared to the nine months ended September 30, 2020. This increase was driven primarily by improvements in our business performance, $23,001 related to our acquisition of Seequent, and the positive foreign currency effects due to a weaker U.S. Dollar relative to our other functional currencies. On a constant currency basis, our subscriptions revenues increased by 13.5% for the nine months ended September 30, 2021 as compared to the nine months ended September 30, 2020.</w:t>
      </w:r>
    </w:p>
    <w:p>
      <w:pPr>
        <w:spacing w:after="0" w:line="188" w:lineRule="exact"/>
        <w:rPr>
          <w:sz w:val="20"/>
          <w:szCs w:val="20"/>
          <w:color w:val="auto"/>
        </w:rPr>
      </w:pPr>
    </w:p>
    <w:p>
      <w:pPr>
        <w:jc w:val="both"/>
        <w:ind w:left="245"/>
        <w:spacing w:after="0" w:line="257" w:lineRule="auto"/>
        <w:rPr>
          <w:sz w:val="20"/>
          <w:szCs w:val="20"/>
          <w:color w:val="auto"/>
        </w:rPr>
      </w:pPr>
      <w:r>
        <w:rPr>
          <w:rFonts w:ascii="Arial" w:cs="Arial" w:eastAsia="Arial" w:hAnsi="Arial"/>
          <w:sz w:val="18"/>
          <w:szCs w:val="18"/>
          <w:color w:val="auto"/>
        </w:rPr>
        <w:t xml:space="preserve">Our growth in subscriptions was primarily due to expansion within our existing accounts, growth of 3% attributable to new accounts, most notability small and medium sized accounts, and the acquisition of Seequent. The improvements in business performance for the three and nine months ended September 30, 2021 was led by our </w:t>
      </w:r>
      <w:r>
        <w:rPr>
          <w:rFonts w:ascii="Arial" w:cs="Arial" w:eastAsia="Arial" w:hAnsi="Arial"/>
          <w:sz w:val="18"/>
          <w:szCs w:val="18"/>
          <w:i w:val="1"/>
          <w:iCs w:val="1"/>
          <w:color w:val="auto"/>
        </w:rPr>
        <w:t>ProjectWise</w:t>
      </w:r>
      <w:r>
        <w:rPr>
          <w:rFonts w:ascii="Arial" w:cs="Arial" w:eastAsia="Arial" w:hAnsi="Arial"/>
          <w:sz w:val="18"/>
          <w:szCs w:val="18"/>
          <w:color w:val="auto"/>
        </w:rPr>
        <w:t>, Asset and Network Performance, civil design, and geotechnical products. For the three and nine months ended September 30, 2021, the impact of the Seequent acquisition includes organic growth within their existing accounts compared to the prior periods.</w:t>
      </w:r>
    </w:p>
    <w:p>
      <w:pPr>
        <w:spacing w:after="0" w:line="188" w:lineRule="exact"/>
        <w:rPr>
          <w:sz w:val="20"/>
          <w:szCs w:val="20"/>
          <w:color w:val="auto"/>
        </w:rPr>
      </w:pPr>
    </w:p>
    <w:p>
      <w:pPr>
        <w:jc w:val="both"/>
        <w:ind w:left="245" w:hanging="245"/>
        <w:spacing w:after="0" w:line="257" w:lineRule="auto"/>
        <w:tabs>
          <w:tab w:leader="none" w:pos="24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Perpetual licenses</w:t>
      </w:r>
      <w:r>
        <w:rPr>
          <w:rFonts w:ascii="Arial" w:cs="Arial" w:eastAsia="Arial" w:hAnsi="Arial"/>
          <w:sz w:val="18"/>
          <w:szCs w:val="18"/>
          <w:color w:val="auto"/>
        </w:rPr>
        <w:t>. For the three months ended September 30, 2021, perpetual licenses revenues decreased by $961, or 7.5%,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2020. This decrease was driven by a reduction in our business performance, partially offset by the impact of acquisitions and the positive foreign currency effects due to a weaker U.S. Dollar relative to our other functional currencies. On a constant currency basis, our perpetual licenses revenues decreased by 9.1% for the three months ended September 30, 2021 as compared to the three months ended September 30, 2020.</w:t>
      </w:r>
    </w:p>
    <w:p>
      <w:pPr>
        <w:spacing w:after="0" w:line="187" w:lineRule="exact"/>
        <w:rPr>
          <w:rFonts w:ascii="Arial" w:cs="Arial" w:eastAsia="Arial" w:hAnsi="Arial"/>
          <w:sz w:val="18"/>
          <w:szCs w:val="18"/>
          <w:color w:val="auto"/>
        </w:rPr>
      </w:pPr>
    </w:p>
    <w:p>
      <w:pPr>
        <w:jc w:val="both"/>
        <w:ind w:left="245"/>
        <w:spacing w:after="0" w:line="257" w:lineRule="auto"/>
        <w:rPr>
          <w:rFonts w:ascii="Arial" w:cs="Arial" w:eastAsia="Arial" w:hAnsi="Arial"/>
          <w:sz w:val="18"/>
          <w:szCs w:val="18"/>
          <w:color w:val="auto"/>
        </w:rPr>
      </w:pPr>
      <w:r>
        <w:rPr>
          <w:rFonts w:ascii="Arial" w:cs="Arial" w:eastAsia="Arial" w:hAnsi="Arial"/>
          <w:sz w:val="18"/>
          <w:szCs w:val="18"/>
          <w:color w:val="auto"/>
        </w:rPr>
        <w:t>For the nine months ended September 30, 2021, perpetual licenses revenues decreased by $2,647, or 7.3%, as compared to the nine months ended September 30, 2020. This decrease was driven by a reduction in our business performance, partially offset by the impact of acquisitions and the positive foreign currency effects due to a weaker U.S. Dollar relative to our other functional currencies. On a constant currency basis, our perpetual licenses revenues decreased by 11.0% for the nine months ended September 30, 2021 as compared to the nine months ended September 30, 2020.</w:t>
      </w:r>
    </w:p>
    <w:p>
      <w:pPr>
        <w:spacing w:after="0" w:line="187" w:lineRule="exact"/>
        <w:rPr>
          <w:rFonts w:ascii="Arial" w:cs="Arial" w:eastAsia="Arial" w:hAnsi="Arial"/>
          <w:sz w:val="18"/>
          <w:szCs w:val="18"/>
          <w:color w:val="auto"/>
        </w:rPr>
      </w:pPr>
    </w:p>
    <w:p>
      <w:pPr>
        <w:ind w:left="245"/>
        <w:spacing w:after="0" w:line="223" w:lineRule="exact"/>
        <w:rPr>
          <w:rFonts w:ascii="Arial" w:cs="Arial" w:eastAsia="Arial" w:hAnsi="Arial"/>
          <w:sz w:val="18"/>
          <w:szCs w:val="18"/>
          <w:color w:val="auto"/>
        </w:rPr>
      </w:pPr>
      <w:r>
        <w:rPr>
          <w:rFonts w:ascii="Arial" w:cs="Arial" w:eastAsia="Arial" w:hAnsi="Arial"/>
          <w:sz w:val="18"/>
          <w:szCs w:val="18"/>
          <w:color w:val="auto"/>
        </w:rPr>
        <w:t>We believe some of the decrease in perpetual licenses business performance for the three and nine months ended September 30, 2021 is because accounts delayed purchase decisions due to COVID</w:t>
      </w:r>
      <w:r>
        <w:rPr>
          <w:rFonts w:ascii="MS PGothic" w:cs="MS PGothic" w:eastAsia="MS PGothic" w:hAnsi="MS PGothic"/>
          <w:sz w:val="18"/>
          <w:szCs w:val="18"/>
          <w:color w:val="auto"/>
        </w:rPr>
        <w:t>‑</w:t>
      </w:r>
      <w:r>
        <w:rPr>
          <w:rFonts w:ascii="Arial" w:cs="Arial" w:eastAsia="Arial" w:hAnsi="Arial"/>
          <w:sz w:val="18"/>
          <w:szCs w:val="18"/>
          <w:color w:val="auto"/>
        </w:rPr>
        <w:t>19 or shifted spend to subscription solutions.</w:t>
      </w:r>
    </w:p>
    <w:p>
      <w:pPr>
        <w:spacing w:after="0" w:line="202" w:lineRule="exact"/>
        <w:rPr>
          <w:rFonts w:ascii="Arial" w:cs="Arial" w:eastAsia="Arial" w:hAnsi="Arial"/>
          <w:sz w:val="18"/>
          <w:szCs w:val="18"/>
          <w:color w:val="auto"/>
        </w:rPr>
      </w:pPr>
    </w:p>
    <w:p>
      <w:pPr>
        <w:jc w:val="both"/>
        <w:ind w:left="245" w:hanging="245"/>
        <w:spacing w:after="0" w:line="301" w:lineRule="auto"/>
        <w:tabs>
          <w:tab w:leader="none" w:pos="24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For the three months ended September 30, 2021, services revenues increased by $7,391, or 43.5%, as compared to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2020. This increase was driven primarily by the impact of acquisitions of $6,496, as well as the positive foreign currency effects due to a weaker U.S. Dollar relative to our other functional currencies. On a constant currency basis, our services revenues increased by 40.5% for the three months ended September 30, 2021 as compared to the three months ended September 30, 2020.</w:t>
      </w:r>
    </w:p>
    <w:p>
      <w:pPr>
        <w:spacing w:after="0" w:line="157" w:lineRule="exact"/>
        <w:rPr>
          <w:rFonts w:ascii="Arial" w:cs="Arial" w:eastAsia="Arial" w:hAnsi="Arial"/>
          <w:sz w:val="16"/>
          <w:szCs w:val="16"/>
          <w:color w:val="auto"/>
        </w:rPr>
      </w:pPr>
    </w:p>
    <w:p>
      <w:pPr>
        <w:jc w:val="both"/>
        <w:ind w:left="245"/>
        <w:spacing w:after="0" w:line="301" w:lineRule="auto"/>
        <w:rPr>
          <w:rFonts w:ascii="Arial" w:cs="Arial" w:eastAsia="Arial" w:hAnsi="Arial"/>
          <w:sz w:val="16"/>
          <w:szCs w:val="16"/>
          <w:color w:val="auto"/>
        </w:rPr>
      </w:pPr>
      <w:r>
        <w:rPr>
          <w:rFonts w:ascii="Arial" w:cs="Arial" w:eastAsia="Arial" w:hAnsi="Arial"/>
          <w:sz w:val="16"/>
          <w:szCs w:val="16"/>
          <w:color w:val="auto"/>
        </w:rPr>
        <w:t>For the nine months ended September 30, 2021, services revenues increased by $29,293, or 65.2%, as compared to the nine months ended September 30, 2020. This increase was driven primarily by the impact of acquisitions of $25,626, as well as the positive foreign currency effects due to a weaker U.S. Dollar relative to our other functional currencies. On a constant currency basis, our services revenues increased by 59.3% for the nine months ended September 30, 2021 as compared to the nine months ended September 30, 2020.</w:t>
      </w:r>
    </w:p>
    <w:p>
      <w:pPr>
        <w:spacing w:after="0" w:line="157" w:lineRule="exact"/>
        <w:rPr>
          <w:rFonts w:ascii="Arial" w:cs="Arial" w:eastAsia="Arial" w:hAnsi="Arial"/>
          <w:sz w:val="16"/>
          <w:szCs w:val="16"/>
          <w:color w:val="auto"/>
        </w:rPr>
      </w:pPr>
    </w:p>
    <w:p>
      <w:pPr>
        <w:jc w:val="both"/>
        <w:ind w:left="245"/>
        <w:spacing w:after="0" w:line="221" w:lineRule="exact"/>
        <w:rPr>
          <w:rFonts w:ascii="Arial" w:cs="Arial" w:eastAsia="Arial" w:hAnsi="Arial"/>
          <w:sz w:val="16"/>
          <w:szCs w:val="16"/>
          <w:color w:val="auto"/>
        </w:rPr>
      </w:pPr>
      <w:r>
        <w:rPr>
          <w:rFonts w:ascii="Arial" w:cs="Arial" w:eastAsia="Arial" w:hAnsi="Arial"/>
          <w:sz w:val="17"/>
          <w:szCs w:val="17"/>
          <w:color w:val="auto"/>
        </w:rPr>
        <w:t>For the three and nine months ended September 30, 2021, the acquisition impact is attributable to several digital integrator businesses acquired throughout 2020 and 2021. Business performance continued to be impacted by COVID</w:t>
      </w:r>
      <w:r>
        <w:rPr>
          <w:rFonts w:ascii="MS PGothic" w:cs="MS PGothic" w:eastAsia="MS PGothic" w:hAnsi="MS PGothic"/>
          <w:sz w:val="17"/>
          <w:szCs w:val="17"/>
          <w:color w:val="auto"/>
        </w:rPr>
        <w:t>‑</w:t>
      </w:r>
      <w:r>
        <w:rPr>
          <w:rFonts w:ascii="Arial" w:cs="Arial" w:eastAsia="Arial" w:hAnsi="Arial"/>
          <w:sz w:val="17"/>
          <w:szCs w:val="17"/>
          <w:color w:val="auto"/>
        </w:rPr>
        <w:t>19 related delays in new projects and the redeployment of some services colleagues to support Success Plan services of our E365 subscription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35"/>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207645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5"/>
          </w:cols>
          <w:pgMar w:left="895" w:top="142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Revenues by Geographic Area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are allocated to individual countries based upon the location of users. Revenues by geographic area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by geographic area:</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126,583</w:t>
            </w:r>
          </w:p>
        </w:tc>
        <w:tc>
          <w:tcPr>
            <w:tcW w:w="1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102,104</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24,479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24.0 %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 the Middle East, and Africa (“EMEA”)</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75,982</w:t>
            </w: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63,335</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Asia-Pacific (“APAC”)</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45,915</w:t>
            </w:r>
          </w:p>
        </w:tc>
        <w:tc>
          <w:tcPr>
            <w:tcW w:w="1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37,558</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8,357</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22.3 %</w:t>
            </w:r>
          </w:p>
        </w:tc>
        <w:tc>
          <w:tcPr>
            <w:tcW w:w="14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by geographic area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248,480</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202,997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Nine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4"/>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2"/>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by geographic area:</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347,753</w:t>
            </w:r>
          </w:p>
        </w:tc>
        <w:tc>
          <w:tcPr>
            <w:tcW w:w="1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287,942</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59,811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20.8 %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218,845</w:t>
            </w: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184,913</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APAC</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126,818</w:t>
            </w:r>
          </w:p>
        </w:tc>
        <w:tc>
          <w:tcPr>
            <w:tcW w:w="1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109,122</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17,696</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16.2 %</w:t>
            </w:r>
          </w:p>
        </w:tc>
        <w:tc>
          <w:tcPr>
            <w:tcW w:w="14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 by geographic area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693,416</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581,977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111,439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820" w:hanging="245"/>
        <w:spacing w:after="0" w:line="301" w:lineRule="auto"/>
        <w:tabs>
          <w:tab w:leader="none" w:pos="815"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Americas. </w:t>
      </w:r>
      <w:r>
        <w:rPr>
          <w:rFonts w:ascii="Arial" w:cs="Arial" w:eastAsia="Arial" w:hAnsi="Arial"/>
          <w:sz w:val="16"/>
          <w:szCs w:val="16"/>
          <w:color w:val="auto"/>
        </w:rPr>
        <w:t>For the three months ended September 30, 2021, revenues from the Americas increased by $24,479, or 24.0%,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September 30, 2020. This increase was driven primarily by improvements in our business performance in subscriptions revenues and the impact from acquisitions in subscriptions and services revenues. On a constant currency basis, our revenues from the Americas increased by 22.8% for the three months ended September 30, 2021 as compared to the three months ended September 30, 2020.</w:t>
      </w:r>
    </w:p>
    <w:p>
      <w:pPr>
        <w:spacing w:after="0" w:line="157" w:lineRule="exact"/>
        <w:rPr>
          <w:rFonts w:ascii="Arial" w:cs="Arial" w:eastAsia="Arial" w:hAnsi="Arial"/>
          <w:sz w:val="16"/>
          <w:szCs w:val="16"/>
          <w:color w:val="auto"/>
        </w:rPr>
      </w:pPr>
    </w:p>
    <w:p>
      <w:pPr>
        <w:jc w:val="both"/>
        <w:ind w:left="820"/>
        <w:spacing w:after="0" w:line="301" w:lineRule="auto"/>
        <w:rPr>
          <w:rFonts w:ascii="Arial" w:cs="Arial" w:eastAsia="Arial" w:hAnsi="Arial"/>
          <w:sz w:val="16"/>
          <w:szCs w:val="16"/>
          <w:color w:val="auto"/>
        </w:rPr>
      </w:pPr>
      <w:r>
        <w:rPr>
          <w:rFonts w:ascii="Arial" w:cs="Arial" w:eastAsia="Arial" w:hAnsi="Arial"/>
          <w:sz w:val="16"/>
          <w:szCs w:val="16"/>
          <w:color w:val="auto"/>
        </w:rPr>
        <w:t>For the nine months ended September 30, 2021, revenues from the Americas increased by $59,811, or 20.8%, as compared to the nine months ended September 30, 2020. This increase was driven primarily by improvements in our business performance in subscriptions revenues and the impact from acquisitions in subscriptions and services revenues. On a constant currency basis, our revenues from the Americas increased by 19.8% for the nine months ended September 30, 2021 as compared to the nine months ended September 30, 2020.</w:t>
      </w:r>
    </w:p>
    <w:p>
      <w:pPr>
        <w:spacing w:after="0" w:line="157" w:lineRule="exact"/>
        <w:rPr>
          <w:rFonts w:ascii="Arial" w:cs="Arial" w:eastAsia="Arial" w:hAnsi="Arial"/>
          <w:sz w:val="16"/>
          <w:szCs w:val="16"/>
          <w:color w:val="auto"/>
        </w:rPr>
      </w:pPr>
    </w:p>
    <w:p>
      <w:pPr>
        <w:jc w:val="both"/>
        <w:ind w:left="820"/>
        <w:spacing w:after="0" w:line="263" w:lineRule="auto"/>
        <w:rPr>
          <w:rFonts w:ascii="Arial" w:cs="Arial" w:eastAsia="Arial" w:hAnsi="Arial"/>
          <w:sz w:val="16"/>
          <w:szCs w:val="16"/>
          <w:color w:val="auto"/>
        </w:rPr>
      </w:pPr>
      <w:r>
        <w:rPr>
          <w:rFonts w:ascii="Arial" w:cs="Arial" w:eastAsia="Arial" w:hAnsi="Arial"/>
          <w:sz w:val="18"/>
          <w:szCs w:val="18"/>
          <w:color w:val="auto"/>
        </w:rPr>
        <w:t>The constant currency growth in the Americas primarily reflects growth in recurring subscriptions revenues from our existing accounts in the United States, the impact of the Seequent acquisition, and growth in services revenues in the United States and Canada from the acquisition of digital integrator businesses.</w:t>
      </w:r>
    </w:p>
    <w:p>
      <w:pPr>
        <w:spacing w:after="0" w:line="183" w:lineRule="exact"/>
        <w:rPr>
          <w:rFonts w:ascii="Arial" w:cs="Arial" w:eastAsia="Arial" w:hAnsi="Arial"/>
          <w:sz w:val="16"/>
          <w:szCs w:val="16"/>
          <w:color w:val="auto"/>
        </w:rPr>
      </w:pPr>
    </w:p>
    <w:p>
      <w:pPr>
        <w:jc w:val="both"/>
        <w:ind w:left="820" w:hanging="245"/>
        <w:spacing w:after="0" w:line="259" w:lineRule="auto"/>
        <w:tabs>
          <w:tab w:leader="none" w:pos="81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EMEA. </w:t>
      </w:r>
      <w:r>
        <w:rPr>
          <w:rFonts w:ascii="Arial" w:cs="Arial" w:eastAsia="Arial" w:hAnsi="Arial"/>
          <w:sz w:val="18"/>
          <w:szCs w:val="18"/>
          <w:color w:val="auto"/>
        </w:rPr>
        <w:t>For the three months ended September 30, 2021, revenues from EMEA increased by $12,647, or 20.0%, as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2020. On a constant currency basis, our revenues from EMEA increased by 17.1% for the three months ended September 30, 2021 as compared to the three months ended September 30, 2020. The positive foreign currency effects were due to a weaker U.S. Dollar relative to our other functional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6" w:name="page67"/>
    <w:bookmarkEnd w:id="66"/>
    <w:p>
      <w:pPr>
        <w:jc w:val="both"/>
        <w:ind w:left="820"/>
        <w:spacing w:after="0" w:line="259" w:lineRule="auto"/>
        <w:rPr>
          <w:sz w:val="20"/>
          <w:szCs w:val="20"/>
          <w:color w:val="auto"/>
        </w:rPr>
      </w:pPr>
      <w:r>
        <w:rPr>
          <w:rFonts w:ascii="Arial" w:cs="Arial" w:eastAsia="Arial" w:hAnsi="Arial"/>
          <w:sz w:val="18"/>
          <w:szCs w:val="18"/>
          <w:color w:val="auto"/>
        </w:rPr>
        <w:t>For the nine months ended September 30, 2021, revenues from EMEA increased by $33,932, or 18.4%, as compared to the nine months ended September 30, 2020. On a constant currency basis, our revenues from EMEA increased by 11.6% for the nine months ended September 30, 2021 as compared to the nine months ended September 30, 2020. The positive foreign currency effects were due to a weaker U.S. Dollar relative to our other functional currencies.</w:t>
      </w:r>
    </w:p>
    <w:p>
      <w:pPr>
        <w:spacing w:after="0" w:line="187" w:lineRule="exact"/>
        <w:rPr>
          <w:sz w:val="20"/>
          <w:szCs w:val="20"/>
          <w:color w:val="auto"/>
        </w:rPr>
      </w:pPr>
    </w:p>
    <w:p>
      <w:pPr>
        <w:jc w:val="both"/>
        <w:ind w:left="820" w:right="20"/>
        <w:spacing w:after="0" w:line="277" w:lineRule="auto"/>
        <w:rPr>
          <w:sz w:val="20"/>
          <w:szCs w:val="20"/>
          <w:color w:val="auto"/>
        </w:rPr>
      </w:pPr>
      <w:r>
        <w:rPr>
          <w:rFonts w:ascii="Arial" w:cs="Arial" w:eastAsia="Arial" w:hAnsi="Arial"/>
          <w:sz w:val="18"/>
          <w:szCs w:val="18"/>
          <w:color w:val="auto"/>
        </w:rPr>
        <w:t>The constant currency growth primarily reflects growth in services revenues from the 2020 acquisitions of two digital integrator businesses in Europe. Constant currency growth also includes modest business growth in subscriptions revenues in Europe.</w:t>
      </w:r>
    </w:p>
    <w:p>
      <w:pPr>
        <w:spacing w:after="0" w:line="170" w:lineRule="exact"/>
        <w:rPr>
          <w:sz w:val="20"/>
          <w:szCs w:val="20"/>
          <w:color w:val="auto"/>
        </w:rPr>
      </w:pPr>
    </w:p>
    <w:p>
      <w:pPr>
        <w:jc w:val="both"/>
        <w:ind w:left="820" w:hanging="245"/>
        <w:spacing w:after="0" w:line="257" w:lineRule="auto"/>
        <w:tabs>
          <w:tab w:leader="none" w:pos="815"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APAC. </w:t>
      </w:r>
      <w:r>
        <w:rPr>
          <w:rFonts w:ascii="Arial" w:cs="Arial" w:eastAsia="Arial" w:hAnsi="Arial"/>
          <w:sz w:val="18"/>
          <w:szCs w:val="18"/>
          <w:color w:val="auto"/>
        </w:rPr>
        <w:t>For the three months ended September 30, 2021, revenues from APAC increased by $8,357, or 22.3%,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This increase was driven by improvements in our business performance in subscriptions revenues, the impact of the Seequent acquisition, and the positive foreign currency effects due to a weaker U.S. Dollar relative to our other functional currencies. On a constant currency basis, our revenues from APAC increased by 20.4% for the three months ended September 30, 2021 as compared to the three months ended September 30, 2020.</w:t>
      </w:r>
    </w:p>
    <w:p>
      <w:pPr>
        <w:spacing w:after="0" w:line="187" w:lineRule="exact"/>
        <w:rPr>
          <w:rFonts w:ascii="Arial" w:cs="Arial" w:eastAsia="Arial" w:hAnsi="Arial"/>
          <w:sz w:val="18"/>
          <w:szCs w:val="18"/>
          <w:i w:val="1"/>
          <w:iCs w:val="1"/>
          <w:color w:val="auto"/>
        </w:rPr>
      </w:pPr>
    </w:p>
    <w:p>
      <w:pPr>
        <w:jc w:val="both"/>
        <w:ind w:left="82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For the nine months ended September 30, 2021, revenues from APAC increased by $17,696, or 16.2%, as compared to the nine months ended September 30, 2020. This increase was driven by improvements in our business performance in subscriptions revenues, the impact of the Seequent acquisition, and the positive foreign currency effects due to a weaker U.S. Dollar relative to our other functional currencies. On a constant currency basis, our revenues from APAC increased by 10.9% for the nine months ended September 30, 2021 as compared to the nine months ended September 30, 2020.</w:t>
      </w:r>
    </w:p>
    <w:p>
      <w:pPr>
        <w:spacing w:after="0" w:line="187" w:lineRule="exact"/>
        <w:rPr>
          <w:rFonts w:ascii="Arial" w:cs="Arial" w:eastAsia="Arial" w:hAnsi="Arial"/>
          <w:sz w:val="18"/>
          <w:szCs w:val="18"/>
          <w:i w:val="1"/>
          <w:iCs w:val="1"/>
          <w:color w:val="auto"/>
        </w:rPr>
      </w:pPr>
    </w:p>
    <w:p>
      <w:pPr>
        <w:ind w:left="82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The constant currency growth was primarily due to expansion of our recurring subscriptions revenues in India for the three months ended September 30, 2021 and in China for the nine months ended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3"/>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31,056</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7,718</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23,176</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20.1 %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54,232</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42,628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2"/>
              </w:rPr>
              <w:t>Comparison</w:t>
            </w: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3"/>
              </w:rPr>
              <w:t>Nine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Currency</w:t>
            </w: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3"/>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subscriptions and licenses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89,882</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66,466</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23,416</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31.4 %</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67,090</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50,126</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16,964</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33.8 %</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156,972</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34.6 %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three months ended September 30, 2021, cost of revenues increased by $11,604, or 27.2%, to $54,232. This increase was driven by an increase in both cost of subscriptions and licenses and cost of services relative to the prior period. On a constant currency basis, total cost of revenues increased by 24.5% for the three months ended September 30, 2021 as compared to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7" w:name="page68"/>
    <w:bookmarkEnd w:id="67"/>
    <w:p>
      <w:pPr>
        <w:jc w:val="both"/>
        <w:ind w:firstLine="324"/>
        <w:spacing w:after="0" w:line="286" w:lineRule="auto"/>
        <w:rPr>
          <w:sz w:val="20"/>
          <w:szCs w:val="20"/>
          <w:color w:val="auto"/>
        </w:rPr>
      </w:pPr>
      <w:r>
        <w:rPr>
          <w:rFonts w:ascii="Arial" w:cs="Arial" w:eastAsia="Arial" w:hAnsi="Arial"/>
          <w:sz w:val="17"/>
          <w:szCs w:val="17"/>
          <w:color w:val="auto"/>
        </w:rPr>
        <w:t>For the nine months ended September 30, 2021, cost of revenues increased by $40,380, or 34.6%, to $156,972. This increase was driven by an increase in both cost of subscriptions and licenses and cost of services relative to the prior period. On a constant currency basis, total cost of revenues increased by 29.6% for the nine months ended September 30, 2021 as compared to the nine months ended September 30, 2020.</w:t>
      </w:r>
    </w:p>
    <w:p>
      <w:pPr>
        <w:spacing w:after="0" w:line="16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For the three months ended September 30, 2021, cost of subscriptions and licenses increased 33.1%, or 31.2% in constant currency, as compared to the three months ended September 30, 2020. On a constant currency basis, this increase was substantially due to an increase in headcount</w:t>
      </w:r>
      <w:r>
        <w:rPr>
          <w:rFonts w:ascii="MS PGothic" w:cs="MS PGothic" w:eastAsia="MS PGothic" w:hAnsi="MS PGothic"/>
          <w:sz w:val="18"/>
          <w:szCs w:val="18"/>
          <w:color w:val="auto"/>
        </w:rPr>
        <w:t>‑</w:t>
      </w:r>
      <w:r>
        <w:rPr>
          <w:rFonts w:ascii="Arial" w:cs="Arial" w:eastAsia="Arial" w:hAnsi="Arial"/>
          <w:sz w:val="18"/>
          <w:szCs w:val="18"/>
          <w:color w:val="auto"/>
        </w:rPr>
        <w:t>related costs of approximately $4,400, primarily driven by the redeployment of certain colleagues to our User Success team in support of success services available to accounts under programs such as our E365 subscription offering, and an increase in amortization expense for software and technology of approximately $2,200.</w:t>
      </w:r>
    </w:p>
    <w:p>
      <w:pPr>
        <w:spacing w:after="0" w:line="20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For the nine months ended September 30, 2021, cost of subscriptions and licenses increased 35.2%, or 31.4% in constant currency, as compared to the nine months ended September 30, 2020. On a constant currency basis, this increase was substantially due to an increase in headcount</w:t>
      </w:r>
      <w:r>
        <w:rPr>
          <w:rFonts w:ascii="MS PGothic" w:cs="MS PGothic" w:eastAsia="MS PGothic" w:hAnsi="MS PGothic"/>
          <w:sz w:val="18"/>
          <w:szCs w:val="18"/>
          <w:color w:val="auto"/>
        </w:rPr>
        <w:t>‑</w:t>
      </w:r>
      <w:r>
        <w:rPr>
          <w:rFonts w:ascii="Arial" w:cs="Arial" w:eastAsia="Arial" w:hAnsi="Arial"/>
          <w:sz w:val="18"/>
          <w:szCs w:val="18"/>
          <w:color w:val="auto"/>
        </w:rPr>
        <w:t>related costs of approximately $13,500, primarily driven by the redeployment of certain colleagues to our User Success team in support of success services available to accounts under programs such as our E365 subscription offering, and an increase in amortization expense for software and technology of approximately $3,400.</w:t>
      </w:r>
    </w:p>
    <w:p>
      <w:pPr>
        <w:spacing w:after="0" w:line="20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For the three months ended September 30, 2021, cost of services increased by 20.1%, or 16.5% in constant currency, as compared to the three months ended September 30, 2020. On a constant currency basis, this increase was substantially due to an increase in headcount</w:t>
      </w:r>
      <w:r>
        <w:rPr>
          <w:rFonts w:ascii="MS PGothic" w:cs="MS PGothic" w:eastAsia="MS PGothic" w:hAnsi="MS PGothic"/>
          <w:sz w:val="17"/>
          <w:szCs w:val="17"/>
          <w:color w:val="auto"/>
        </w:rPr>
        <w:t>‑</w:t>
      </w:r>
      <w:r>
        <w:rPr>
          <w:rFonts w:ascii="Arial" w:cs="Arial" w:eastAsia="Arial" w:hAnsi="Arial"/>
          <w:sz w:val="17"/>
          <w:szCs w:val="17"/>
          <w:color w:val="auto"/>
        </w:rPr>
        <w:t>related costs of approximately $2,800. The approximate $2,800 increase in headcount-related costs was primarily comprised of an increase in salaries and variable compensation costs of approximately $6,700, primarily driven by our digital integrator acquisitions, partially offset by a decrease in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of approximately $2,400 and the realignment costs from the 2020 program of approximately $1,500.</w:t>
      </w:r>
    </w:p>
    <w:p>
      <w:pPr>
        <w:spacing w:after="0" w:line="20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For the nine months ended September 30, 2021, cost of services increased by 33.8%, or 27.2% in constant currency, as compared to the nine months ended September 30, 2020. On a constant currency basis, this increase was substantially due to an increase in headcount</w:t>
      </w:r>
      <w:r>
        <w:rPr>
          <w:rFonts w:ascii="MS PGothic" w:cs="MS PGothic" w:eastAsia="MS PGothic" w:hAnsi="MS PGothic"/>
          <w:sz w:val="17"/>
          <w:szCs w:val="17"/>
          <w:color w:val="auto"/>
        </w:rPr>
        <w:t>‑</w:t>
      </w:r>
      <w:r>
        <w:rPr>
          <w:rFonts w:ascii="Arial" w:cs="Arial" w:eastAsia="Arial" w:hAnsi="Arial"/>
          <w:sz w:val="17"/>
          <w:szCs w:val="17"/>
          <w:color w:val="auto"/>
        </w:rPr>
        <w:t>related costs of approximately $12,100. The approximate $12,100 increase in headcount-related costs was primarily comprised of an increase in salaries and variable compensation costs of approximately $15,700, primarily driven by our digital integrator acquisitions, partially offset by a decrease in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of approximately $2,100 and the realignment costs from the 2020 program of approximately $1,500.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73"/>
              <w:spacing w:after="0"/>
              <w:rPr>
                <w:sz w:val="20"/>
                <w:szCs w:val="20"/>
                <w:color w:val="auto"/>
              </w:rPr>
            </w:pPr>
            <w:r>
              <w:rPr>
                <w:rFonts w:ascii="Arial" w:cs="Arial" w:eastAsia="Arial" w:hAnsi="Arial"/>
                <w:sz w:val="16"/>
                <w:szCs w:val="16"/>
                <w:b w:val="1"/>
                <w:bCs w:val="1"/>
                <w:color w:val="auto"/>
              </w:rPr>
              <w:t>Constant</w:t>
            </w: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Arial" w:cs="Arial" w:eastAsia="Arial" w:hAnsi="Arial"/>
                <w:sz w:val="16"/>
                <w:szCs w:val="16"/>
                <w:b w:val="1"/>
                <w:bCs w:val="1"/>
                <w:color w:val="auto"/>
              </w:rPr>
              <w:t>Currency</w:t>
            </w:r>
          </w:p>
        </w:tc>
      </w:tr>
      <w:tr>
        <w:trPr>
          <w:trHeight w:val="213"/>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57,334</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50,217</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44,392</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35,329</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Deferred compensation plan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88,965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88,915</w:t>
            </w:r>
          </w:p>
        </w:tc>
        <w:tc>
          <w:tcPr>
            <w:tcW w:w="1300" w:type="dxa"/>
            <w:vAlign w:val="bottom"/>
            <w:gridSpan w:val="2"/>
          </w:tcPr>
          <w:p>
            <w:pPr>
              <w:jc w:val="center"/>
              <w:ind w:lef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116.2 %</w:t>
            </w:r>
          </w:p>
        </w:tc>
      </w:tr>
      <w:tr>
        <w:trPr>
          <w:trHeight w:val="27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Expenses associated with initial public offering</w:t>
            </w:r>
          </w:p>
        </w:tc>
        <w:tc>
          <w:tcPr>
            <w:tcW w:w="3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26,130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(26,130)</w:t>
            </w:r>
          </w:p>
        </w:tc>
        <w:tc>
          <w:tcPr>
            <w:tcW w:w="1300" w:type="dxa"/>
            <w:vAlign w:val="bottom"/>
            <w:gridSpan w:val="2"/>
          </w:tcPr>
          <w:p>
            <w:pPr>
              <w:jc w:val="center"/>
              <w:ind w:lef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48"/>
        </w:trPr>
        <w:tc>
          <w:tcPr>
            <w:tcW w:w="43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234,696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155,046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79,650</w:t>
            </w: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51.4 %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1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tab/>
        <w:t>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8" w:name="page69"/>
    <w:bookmarkEnd w:id="68"/>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0"/>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5"/>
          </w:tcPr>
          <w:p>
            <w:pPr>
              <w:ind w:left="460"/>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73"/>
              <w:spacing w:after="0"/>
              <w:rPr>
                <w:sz w:val="20"/>
                <w:szCs w:val="20"/>
                <w:color w:val="auto"/>
              </w:rPr>
            </w:pPr>
            <w:r>
              <w:rPr>
                <w:rFonts w:ascii="Arial" w:cs="Arial" w:eastAsia="Arial" w:hAnsi="Arial"/>
                <w:sz w:val="16"/>
                <w:szCs w:val="16"/>
                <w:b w:val="1"/>
                <w:bCs w:val="1"/>
                <w:color w:val="auto"/>
              </w:rPr>
              <w:t>Constant</w:t>
            </w: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Arial" w:cs="Arial" w:eastAsia="Arial" w:hAnsi="Arial"/>
                <w:sz w:val="16"/>
                <w:szCs w:val="16"/>
                <w:b w:val="1"/>
                <w:bCs w:val="1"/>
                <w:color w:val="auto"/>
              </w:rPr>
              <w:t>Currency</w:t>
            </w:r>
          </w:p>
        </w:tc>
      </w:tr>
      <w:tr>
        <w:trPr>
          <w:trHeight w:val="213"/>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45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Arial" w:cs="Arial" w:eastAsia="Arial" w:hAnsi="Arial"/>
                <w:sz w:val="16"/>
                <w:szCs w:val="16"/>
                <w:b w:val="1"/>
                <w:bCs w:val="1"/>
                <w:color w:val="auto"/>
              </w:rPr>
              <w:t>Amount</w:t>
            </w:r>
          </w:p>
        </w:tc>
        <w:tc>
          <w:tcPr>
            <w:tcW w:w="1300" w:type="dxa"/>
            <w:vAlign w:val="bottom"/>
            <w:gridSpan w:val="2"/>
          </w:tcPr>
          <w:p>
            <w:pPr>
              <w:jc w:val="center"/>
              <w:ind w:left="51"/>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226"/>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157,913</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139,570</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18,343</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9.6 %</w:t>
            </w: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114,846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107,551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7,295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2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110,233</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27.0 %</w:t>
            </w: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Deferred compensation plan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89,327</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89,442</w:t>
            </w:r>
          </w:p>
        </w:tc>
        <w:tc>
          <w:tcPr>
            <w:tcW w:w="1300" w:type="dxa"/>
            <w:vAlign w:val="bottom"/>
            <w:gridSpan w:val="2"/>
          </w:tcPr>
          <w:p>
            <w:pPr>
              <w:jc w:val="center"/>
              <w:ind w:lef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purchased intangibles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16,703</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44.4 %</w:t>
            </w:r>
          </w:p>
        </w:tc>
      </w:tr>
      <w:tr>
        <w:trPr>
          <w:trHeight w:val="27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Expenses associated with initial public offering</w:t>
            </w:r>
          </w:p>
        </w:tc>
        <w:tc>
          <w:tcPr>
            <w:tcW w:w="3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26,130</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(26,130)</w:t>
            </w:r>
          </w:p>
        </w:tc>
        <w:tc>
          <w:tcPr>
            <w:tcW w:w="1300" w:type="dxa"/>
            <w:vAlign w:val="bottom"/>
            <w:gridSpan w:val="2"/>
          </w:tcPr>
          <w:p>
            <w:pPr>
              <w:jc w:val="center"/>
              <w:ind w:left="5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48"/>
        </w:trPr>
        <w:tc>
          <w:tcPr>
            <w:tcW w:w="43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489,022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369,510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119,512</w:t>
            </w: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bl>
    <w:p>
      <w:pPr>
        <w:spacing w:after="0" w:line="121"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25"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For the three months ended September 30, 2021, research and development expenses increased 14.2%, or 11.3% in</w:t>
      </w:r>
      <w:r>
        <w:rPr>
          <w:rFonts w:ascii="Arial" w:cs="Arial" w:eastAsia="Arial" w:hAnsi="Arial"/>
          <w:sz w:val="16"/>
          <w:szCs w:val="16"/>
          <w:i w:val="1"/>
          <w:iCs w:val="1"/>
          <w:color w:val="auto"/>
        </w:rPr>
        <w:t xml:space="preserve"> </w:t>
      </w:r>
      <w:r>
        <w:rPr>
          <w:rFonts w:ascii="Arial" w:cs="Arial" w:eastAsia="Arial" w:hAnsi="Arial"/>
          <w:sz w:val="16"/>
          <w:szCs w:val="16"/>
          <w:color w:val="auto"/>
        </w:rPr>
        <w:t>constant currency, as compared to the three months ended September 30, 2020. On a constant currency basis, this increase was primarily due to an increase in headcount-related costs of approximately $5,000. The approximate $5,000 increase in headcount-related costs was primarily comprised of an increase in salaries and variable compensation costs of approximately $13,100, primarily due to annual salary adjustments in 2021 combined with lower variable compensation costs in the prior period due to COVID</w:t>
      </w:r>
      <w:r>
        <w:rPr>
          <w:rFonts w:ascii="MS PGothic" w:cs="MS PGothic" w:eastAsia="MS PGothic" w:hAnsi="MS PGothic"/>
          <w:sz w:val="16"/>
          <w:szCs w:val="16"/>
          <w:color w:val="auto"/>
        </w:rPr>
        <w:t>‑</w:t>
      </w:r>
      <w:r>
        <w:rPr>
          <w:rFonts w:ascii="Arial" w:cs="Arial" w:eastAsia="Arial" w:hAnsi="Arial"/>
          <w:sz w:val="16"/>
          <w:szCs w:val="16"/>
          <w:color w:val="auto"/>
        </w:rPr>
        <w:t>19. Offsetting this increase is several components, the first component being a decrease of approximately $5,500 in Bonus Plan related cash compensation due to the change in our Bonus Plan (see Note 11 to our unaudited consolidated financial statements included in Part I, Item 1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which allows participants within certain limitations to elect share delivery instead of cash compensation for their non-deferred incentive bonuses. In the comparative period, non-deferred incentive bonuses earned under the Bonus Plan were paid in cash. The other components of the offsetting decrease in headcount-related costs are a decrease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of approximately $1,800 and the realignment costs from the 2020 program of approximately $800.</w:t>
      </w:r>
    </w:p>
    <w:p>
      <w:pPr>
        <w:spacing w:after="0" w:line="207"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For the nine months ended September 30, 2021, research and development expenses increased 13.1%, or 9.6% in constant currency, as compared to the nine months ended September 30, 2020. On a constant currency basis, this increase was primarily due to an increase in headcount-related costs of approximately $13,100. The approximate $13,100 increase in headcount-related costs was primarily comprised of an increase in salaries and variable compensation costs of approximately $22,900, primarily due to annual salary adjustments in 2021 combined with lower variable compensation costs in the prior period due to COVID</w:t>
      </w:r>
      <w:r>
        <w:rPr>
          <w:rFonts w:ascii="MS PGothic" w:cs="MS PGothic" w:eastAsia="MS PGothic" w:hAnsi="MS PGothic"/>
          <w:sz w:val="17"/>
          <w:szCs w:val="17"/>
          <w:color w:val="auto"/>
        </w:rPr>
        <w:t>‑</w:t>
      </w:r>
      <w:r>
        <w:rPr>
          <w:rFonts w:ascii="Arial" w:cs="Arial" w:eastAsia="Arial" w:hAnsi="Arial"/>
          <w:sz w:val="17"/>
          <w:szCs w:val="17"/>
          <w:color w:val="auto"/>
        </w:rPr>
        <w:t>19, and an increase in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of approximately $5,800. Partially offsetting these increases in headcount-related costs is a decrease of approximately $14,700 in Bonus Plan related cash compensation due to the change in our Bonus Plan as described above and the realignment costs from the 2020 program of approximately $900.</w:t>
      </w:r>
    </w:p>
    <w:p>
      <w:pPr>
        <w:spacing w:after="0" w:line="20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i w:val="1"/>
          <w:iCs w:val="1"/>
          <w:color w:val="auto"/>
        </w:rPr>
        <w:t xml:space="preserve">Selling and marketing. </w:t>
      </w:r>
      <w:r>
        <w:rPr>
          <w:rFonts w:ascii="Arial" w:cs="Arial" w:eastAsia="Arial" w:hAnsi="Arial"/>
          <w:sz w:val="16"/>
          <w:szCs w:val="16"/>
          <w:color w:val="auto"/>
        </w:rPr>
        <w:t>For the three months ended September 30, 2021, selling and marketing expenses increased 6.1%, or 5.3% in constant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three months ended September 30, 2020. On a constant currency basis, this increase was primarily due to an increase in promotional costs of approximately $1,000 and an increase in headcount-related costs of approximately $900. The approximate $900 increase headcount-related costs was primarily comprised of an increase in salaries and variable compensation costs of approximately $9,700, primarily due to annual salary adjustments in 2021 combined with lower variable compensation costs in the prior period due to COVID</w:t>
      </w:r>
      <w:r>
        <w:rPr>
          <w:rFonts w:ascii="MS PGothic" w:cs="MS PGothic" w:eastAsia="MS PGothic" w:hAnsi="MS PGothic"/>
          <w:sz w:val="16"/>
          <w:szCs w:val="16"/>
          <w:color w:val="auto"/>
        </w:rPr>
        <w:t>‑</w:t>
      </w:r>
      <w:r>
        <w:rPr>
          <w:rFonts w:ascii="Arial" w:cs="Arial" w:eastAsia="Arial" w:hAnsi="Arial"/>
          <w:sz w:val="16"/>
          <w:szCs w:val="16"/>
          <w:color w:val="auto"/>
        </w:rPr>
        <w:t>19, substantially offset by the realignment costs from the 2020 program of approximately $5,200 and a decrease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of approximately $3,600.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jc w:val="both"/>
        <w:ind w:firstLine="324"/>
        <w:spacing w:after="0" w:line="219" w:lineRule="exact"/>
        <w:rPr>
          <w:sz w:val="20"/>
          <w:szCs w:val="20"/>
          <w:color w:val="auto"/>
        </w:rPr>
      </w:pPr>
      <w:r>
        <w:rPr>
          <w:rFonts w:ascii="Arial" w:cs="Arial" w:eastAsia="Arial" w:hAnsi="Arial"/>
          <w:sz w:val="17"/>
          <w:szCs w:val="17"/>
          <w:color w:val="auto"/>
        </w:rPr>
        <w:t>For the nine months ended September 30, 2021, selling and marketing expenses increased 6.8%, or 2.9% in constant currency, as compared to the nine months ended September 30, 2020. On a constant currency basis, this increase was primarily due to an increase in headcount-related costs of approximately $1,900 and an increase in promotional costs of approximately $1,100. The approximate $1,900 increase in headcount-related costs was primarily comprised of an increase in salaries and variable compensation costs of approximately $9,300, primarily due to annual salary adjustments in 2021 combined with lower variable compensation costs in the prior period due to COVID</w:t>
      </w:r>
      <w:r>
        <w:rPr>
          <w:rFonts w:ascii="MS PGothic" w:cs="MS PGothic" w:eastAsia="MS PGothic" w:hAnsi="MS PGothic"/>
          <w:sz w:val="17"/>
          <w:szCs w:val="17"/>
          <w:color w:val="auto"/>
        </w:rPr>
        <w:t>‑</w:t>
      </w:r>
      <w:r>
        <w:rPr>
          <w:rFonts w:ascii="Arial" w:cs="Arial" w:eastAsia="Arial" w:hAnsi="Arial"/>
          <w:sz w:val="17"/>
          <w:szCs w:val="17"/>
          <w:color w:val="auto"/>
        </w:rPr>
        <w:t>19, partially offset by the realignment costs from the 2020 program of approximately $5,200 and a decrease in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of approximately $2,200.</w:t>
      </w:r>
    </w:p>
    <w:p>
      <w:pPr>
        <w:spacing w:after="0" w:line="202"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For the three months ended September 30, 2021, general and administrative expenses increased 7.2%, or 5.2% in constant</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as compared to the three months ended September 30, 2020. On a constant currency basis, this increase was primarily due to an increase in costs of computer equipment and facilities of approximately $2,000, primarily attributable to our recent acquisitions, partially offset by a decrease in headcount-related costs of approximately $700. The approximate $700 decrease in headcount-related costs was primarily comprised of a decrease of approximately $3,800 in Bonus Plan related cash compensation due to the change in our Bonus Plan as described above and the realignment costs from the 2020 program of approximately $2,300. Partially offsetting these decreases in headcount-related costs is an increase in salaries and variable compensation costs of approximately $4,100, primarily due to annual salary adjustments in 2021 combined with lower variable compensation costs in the prior period due to COVID</w:t>
      </w:r>
      <w:r>
        <w:rPr>
          <w:rFonts w:ascii="MS PGothic" w:cs="MS PGothic" w:eastAsia="MS PGothic" w:hAnsi="MS PGothic"/>
          <w:sz w:val="17"/>
          <w:szCs w:val="17"/>
          <w:color w:val="auto"/>
        </w:rPr>
        <w:t>‑</w:t>
      </w:r>
      <w:r>
        <w:rPr>
          <w:rFonts w:ascii="Arial" w:cs="Arial" w:eastAsia="Arial" w:hAnsi="Arial"/>
          <w:sz w:val="17"/>
          <w:szCs w:val="17"/>
          <w:color w:val="auto"/>
        </w:rPr>
        <w:t>19, and an increase in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of approximately $1,300.</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For the nine months ended September 30, 2021, general and administrative expenses increased 29.1%, or 27.0% in constant currency, as compared to the nine months ended September 30, 2020. On a constant currency basis, this increase was primarily due to an increase in acquisition and integration costs and other corporate initiatives of approximately $15,400, primarily due to expenses related to the acquisition of Seequent, and an increase in headcount-related costs of approximately $5,200. The approximate $5,200 increase in headcount-related costs was primarily comprised of an increase in salaries and variable compensation costs of approximately $7,300, primarily due to annual salary adjustments in 2021 combined with lower variable compensation costs in the prior period due to COVID</w:t>
      </w:r>
      <w:r>
        <w:rPr>
          <w:rFonts w:ascii="MS PGothic" w:cs="MS PGothic" w:eastAsia="MS PGothic" w:hAnsi="MS PGothic"/>
          <w:sz w:val="16"/>
          <w:szCs w:val="16"/>
          <w:color w:val="auto"/>
        </w:rPr>
        <w:t>‑</w:t>
      </w:r>
      <w:r>
        <w:rPr>
          <w:rFonts w:ascii="Arial" w:cs="Arial" w:eastAsia="Arial" w:hAnsi="Arial"/>
          <w:sz w:val="16"/>
          <w:szCs w:val="16"/>
          <w:color w:val="auto"/>
        </w:rPr>
        <w:t>19, and an increase in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of approximately $9,500. Partially offsetting these increases in headcount-related costs is a decrease of approximately $9,300 in Bonus Plan related cash compensation due to the change in our Bonus Plan as described above and the realignment costs from the 2020 program of approximately $2,300.</w:t>
      </w:r>
    </w:p>
    <w:p>
      <w:pPr>
        <w:spacing w:after="0" w:line="202"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i w:val="1"/>
          <w:iCs w:val="1"/>
          <w:color w:val="auto"/>
        </w:rPr>
        <w:t>Deferred compensation plan</w:t>
      </w:r>
      <w:r>
        <w:rPr>
          <w:rFonts w:ascii="Arial" w:cs="Arial" w:eastAsia="Arial" w:hAnsi="Arial"/>
          <w:sz w:val="17"/>
          <w:szCs w:val="17"/>
          <w:color w:val="auto"/>
        </w:rPr>
        <w:t>. For the three months ended September 30, 2021, deferred compensation plan expenses increased by $88,915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months ended September 30, 2020. For the nine months ended September 30, 2021, deferred compensation plan expenses increased by $89,442 as compared to the nine months ended September 30, 2020. These increases were primarily attributable to a one</w:t>
      </w:r>
      <w:r>
        <w:rPr>
          <w:rFonts w:ascii="MS PGothic" w:cs="MS PGothic" w:eastAsia="MS PGothic" w:hAnsi="MS PGothic"/>
          <w:sz w:val="17"/>
          <w:szCs w:val="17"/>
          <w:color w:val="auto"/>
        </w:rPr>
        <w:t>‑</w:t>
      </w:r>
      <w:r>
        <w:rPr>
          <w:rFonts w:ascii="Arial" w:cs="Arial" w:eastAsia="Arial" w:hAnsi="Arial"/>
          <w:sz w:val="17"/>
          <w:szCs w:val="17"/>
          <w:color w:val="auto"/>
        </w:rPr>
        <w:t>time $90,721 compensation charge recognized during the three and nine months ended September 30, 2021 as discussed further below.</w:t>
      </w:r>
    </w:p>
    <w:p>
      <w:pPr>
        <w:spacing w:after="0" w:line="204"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In August 2021, our Board of Directors approved an amendment to the DCP, which offered to certain active executives in the DCP a one</w:t>
      </w:r>
      <w:r>
        <w:rPr>
          <w:rFonts w:ascii="MS PGothic" w:cs="MS PGothic" w:eastAsia="MS PGothic" w:hAnsi="MS PGothic"/>
          <w:sz w:val="16"/>
          <w:szCs w:val="16"/>
          <w:color w:val="auto"/>
        </w:rPr>
        <w:t>‑</w:t>
      </w:r>
      <w:r>
        <w:rPr>
          <w:rFonts w:ascii="Arial" w:cs="Arial" w:eastAsia="Arial" w:hAnsi="Arial"/>
          <w:sz w:val="16"/>
          <w:szCs w:val="16"/>
          <w:color w:val="auto"/>
        </w:rPr>
        <w:t>time, short</w:t>
      </w:r>
      <w:r>
        <w:rPr>
          <w:rFonts w:ascii="MS PGothic" w:cs="MS PGothic" w:eastAsia="MS PGothic" w:hAnsi="MS PGothic"/>
          <w:sz w:val="16"/>
          <w:szCs w:val="16"/>
          <w:color w:val="auto"/>
        </w:rPr>
        <w:t>‑</w:t>
      </w:r>
      <w:r>
        <w:rPr>
          <w:rFonts w:ascii="Arial" w:cs="Arial" w:eastAsia="Arial" w:hAnsi="Arial"/>
          <w:sz w:val="16"/>
          <w:szCs w:val="16"/>
          <w:color w:val="auto"/>
        </w:rPr>
        <w:t>term election to reallocate a limited portion of their DCP holdings from phantom shares of the Company’s Class B Common Stock into other DCP phantom investment funds. The offer to reallocate was subject to a proration mechanism which adjusted the aggregate elections to a maximum of 1,500,000 phantom shares of the Company’s Class B Common Stock. This one</w:t>
      </w:r>
      <w:r>
        <w:rPr>
          <w:rFonts w:ascii="MS PGothic" w:cs="MS PGothic" w:eastAsia="MS PGothic" w:hAnsi="MS PGothic"/>
          <w:sz w:val="16"/>
          <w:szCs w:val="16"/>
          <w:color w:val="auto"/>
        </w:rPr>
        <w:t>‑</w:t>
      </w:r>
      <w:r>
        <w:rPr>
          <w:rFonts w:ascii="Arial" w:cs="Arial" w:eastAsia="Arial" w:hAnsi="Arial"/>
          <w:sz w:val="16"/>
          <w:szCs w:val="16"/>
          <w:color w:val="auto"/>
        </w:rPr>
        <w:t>time reallocation opportunity was offered only to certain active executives (but not to Directors or Bentley family members) in order to encourage retention, as otherwise these executives could only have materially diversified their investments in Company equity (primarily held in the DCP) by voluntarily terminating employment to trigger DCP distributions. These executives in aggregate accordingly diversified 24% of their phantom shares of the Company’s Class B Common Stock. 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As a result, during the three and nine months ended September 30, 2021, the Company recognized a one</w:t>
      </w:r>
      <w:r>
        <w:rPr>
          <w:rFonts w:ascii="MS PGothic" w:cs="MS PGothic" w:eastAsia="MS PGothic" w:hAnsi="MS PGothic"/>
          <w:sz w:val="16"/>
          <w:szCs w:val="16"/>
          <w:color w:val="auto"/>
        </w:rPr>
        <w:t>‑</w:t>
      </w:r>
      <w:r>
        <w:rPr>
          <w:rFonts w:ascii="Arial" w:cs="Arial" w:eastAsia="Arial" w:hAnsi="Arial"/>
          <w:sz w:val="16"/>
          <w:szCs w:val="16"/>
          <w:color w:val="auto"/>
        </w:rPr>
        <w:t xml:space="preserve">time compensation charge of $90,721 to </w:t>
      </w:r>
      <w:r>
        <w:rPr>
          <w:rFonts w:ascii="Arial" w:cs="Arial" w:eastAsia="Arial" w:hAnsi="Arial"/>
          <w:sz w:val="16"/>
          <w:szCs w:val="16"/>
          <w:i w:val="1"/>
          <w:iCs w:val="1"/>
          <w:color w:val="auto"/>
        </w:rPr>
        <w:t>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plan </w:t>
      </w:r>
      <w:r>
        <w:rPr>
          <w:rFonts w:ascii="Arial" w:cs="Arial" w:eastAsia="Arial" w:hAnsi="Arial"/>
          <w:sz w:val="16"/>
          <w:szCs w:val="16"/>
          <w:color w:val="auto"/>
        </w:rPr>
        <w:t>expenses in the consolidated statements of operations to record the reallocated deferred compensation plan liabilities at their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0" w:name="page71"/>
    <w:bookmarkEnd w:id="70"/>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Amortization of purchased intangibles. </w:t>
      </w:r>
      <w:r>
        <w:rPr>
          <w:rFonts w:ascii="Arial" w:cs="Arial" w:eastAsia="Arial" w:hAnsi="Arial"/>
          <w:sz w:val="18"/>
          <w:szCs w:val="18"/>
          <w:color w:val="auto"/>
        </w:rPr>
        <w:t>For the three months ended September 30, 2021, amortization of purchased intangibles increased by 124.2%, or</w:t>
      </w:r>
      <w:r>
        <w:rPr>
          <w:rFonts w:ascii="Arial" w:cs="Arial" w:eastAsia="Arial" w:hAnsi="Arial"/>
          <w:sz w:val="18"/>
          <w:szCs w:val="18"/>
          <w:i w:val="1"/>
          <w:iCs w:val="1"/>
          <w:color w:val="auto"/>
        </w:rPr>
        <w:t xml:space="preserve"> </w:t>
      </w:r>
      <w:r>
        <w:rPr>
          <w:rFonts w:ascii="Arial" w:cs="Arial" w:eastAsia="Arial" w:hAnsi="Arial"/>
          <w:sz w:val="18"/>
          <w:szCs w:val="18"/>
          <w:color w:val="auto"/>
        </w:rPr>
        <w:t>116.2% in constant currency, as compared to the three months ended September 30, 2020. On a constant currency basis, this increase was primarily attributable to amortization from recently acquired purchased intangibles.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nine months ended September 30, 2021, amortization of purchased intangibles increased by 52.1%, or 44.4% in constant currency, as compared to the nine months ended September 30, 2020. On a constant currency basis, this increase was primarily attributable to amortization from recently acquired purchased intangibles.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Expenses associated with initial public offering. </w:t>
      </w:r>
      <w:r>
        <w:rPr>
          <w:rFonts w:ascii="Arial" w:cs="Arial" w:eastAsia="Arial" w:hAnsi="Arial"/>
          <w:sz w:val="18"/>
          <w:szCs w:val="18"/>
          <w:color w:val="auto"/>
        </w:rPr>
        <w:t>For the three and nine months ended September 30, 2020, expenses associated with IPO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non-recurring costs relating to our IPO, consisting of the payment of underwriting discounts and commissions applicable to the sale of shares by the selling stockholders, professional fees, and other expenses. We completed our IPO on September 25, 2020. These fees were expensed in the period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3"/>
              </w:rPr>
              <w:t>Three Months Ended</w:t>
            </w:r>
          </w:p>
        </w:tc>
        <w:tc>
          <w:tcPr>
            <w:tcW w:w="300" w:type="dxa"/>
            <w:vAlign w:val="bottom"/>
          </w:tcPr>
          <w:p>
            <w:pPr>
              <w:spacing w:after="0"/>
              <w:rPr>
                <w:sz w:val="18"/>
                <w:szCs w:val="18"/>
                <w:color w:val="auto"/>
              </w:rPr>
            </w:pPr>
          </w:p>
        </w:tc>
        <w:tc>
          <w:tcPr>
            <w:tcW w:w="2600" w:type="dxa"/>
            <w:vAlign w:val="bottom"/>
            <w:gridSpan w:val="4"/>
          </w:tcPr>
          <w:p>
            <w:pPr>
              <w:jc w:val="center"/>
              <w:ind w:right="212"/>
              <w:spacing w:after="0"/>
              <w:rPr>
                <w:sz w:val="20"/>
                <w:szCs w:val="20"/>
                <w:color w:val="auto"/>
              </w:rPr>
            </w:pPr>
            <w:r>
              <w:rPr>
                <w:rFonts w:ascii="Arial" w:cs="Arial" w:eastAsia="Arial" w:hAnsi="Arial"/>
                <w:sz w:val="16"/>
                <w:szCs w:val="16"/>
                <w:b w:val="1"/>
                <w:bCs w:val="1"/>
                <w:color w:val="auto"/>
                <w:w w:val="92"/>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6"/>
                <w:szCs w:val="16"/>
                <w:b w:val="1"/>
                <w:bCs w:val="1"/>
                <w:color w:val="auto"/>
                <w:w w:val="91"/>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(8,608)</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21"/>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5"/>
          </w:tcPr>
          <w:p>
            <w:pPr>
              <w:jc w:val="center"/>
              <w:ind w:right="560"/>
              <w:spacing w:after="0"/>
              <w:rPr>
                <w:sz w:val="20"/>
                <w:szCs w:val="20"/>
                <w:color w:val="auto"/>
              </w:rPr>
            </w:pPr>
            <w:r>
              <w:rPr>
                <w:rFonts w:ascii="Arial" w:cs="Arial" w:eastAsia="Arial" w:hAnsi="Arial"/>
                <w:sz w:val="16"/>
                <w:szCs w:val="16"/>
                <w:b w:val="1"/>
                <w:bCs w:val="1"/>
                <w:color w:val="auto"/>
                <w:w w:val="93"/>
              </w:rPr>
              <w:t>Three Months Ended</w:t>
            </w:r>
          </w:p>
        </w:tc>
        <w:tc>
          <w:tcPr>
            <w:tcW w:w="300" w:type="dxa"/>
            <w:vAlign w:val="bottom"/>
          </w:tcPr>
          <w:p>
            <w:pPr>
              <w:spacing w:after="0"/>
              <w:rPr>
                <w:sz w:val="24"/>
                <w:szCs w:val="24"/>
                <w:color w:val="auto"/>
              </w:rPr>
            </w:pPr>
          </w:p>
        </w:tc>
        <w:tc>
          <w:tcPr>
            <w:tcW w:w="2600" w:type="dxa"/>
            <w:vAlign w:val="bottom"/>
            <w:gridSpan w:val="4"/>
          </w:tcPr>
          <w:p>
            <w:pPr>
              <w:jc w:val="center"/>
              <w:ind w:right="212"/>
              <w:spacing w:after="0"/>
              <w:rPr>
                <w:sz w:val="20"/>
                <w:szCs w:val="20"/>
                <w:color w:val="auto"/>
              </w:rPr>
            </w:pPr>
            <w:r>
              <w:rPr>
                <w:rFonts w:ascii="Arial" w:cs="Arial" w:eastAsia="Arial" w:hAnsi="Arial"/>
                <w:sz w:val="16"/>
                <w:szCs w:val="16"/>
                <w:b w:val="1"/>
                <w:bCs w:val="1"/>
                <w:color w:val="auto"/>
                <w:w w:val="92"/>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6"/>
                <w:szCs w:val="16"/>
                <w:b w:val="1"/>
                <w:bCs w:val="1"/>
                <w:color w:val="auto"/>
                <w:w w:val="91"/>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credit facility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(942)</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coupon interest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color w:val="auto"/>
              </w:rPr>
              <w:t>Amortization and write-off of deferred debt issuance costs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(1,789)</w:t>
            </w: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(4,160)</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3"/>
        </w:trPr>
        <w:tc>
          <w:tcPr>
            <w:tcW w:w="520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w:t>
            </w:r>
          </w:p>
        </w:tc>
        <w:tc>
          <w:tcPr>
            <w:tcW w:w="2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(8,608)</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For the three months ended September 30, 2021, interest expense, net increased from the three months ended September 30, 2020 primarily due to the increase in amortization and write</w:t>
      </w:r>
      <w:r>
        <w:rPr>
          <w:rFonts w:ascii="MS PGothic" w:cs="MS PGothic" w:eastAsia="MS PGothic" w:hAnsi="MS PGothic"/>
          <w:sz w:val="18"/>
          <w:szCs w:val="18"/>
          <w:color w:val="auto"/>
        </w:rPr>
        <w:t>‑</w:t>
      </w:r>
      <w:r>
        <w:rPr>
          <w:rFonts w:ascii="Arial" w:cs="Arial" w:eastAsia="Arial" w:hAnsi="Arial"/>
          <w:sz w:val="18"/>
          <w:szCs w:val="18"/>
          <w:color w:val="auto"/>
        </w:rPr>
        <w:t>off of deferred debt issuance costs in connection with the Second Amendment to the Credit Facility and the convertible senior notes, partially offset by a lower outstanding average balance under the Credit Facility.</w:t>
      </w:r>
    </w:p>
    <w:p>
      <w:pPr>
        <w:spacing w:after="0" w:line="204"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For the nine months ended September 30, 2021, interest expense, net increased from the nine months ended September 30, 2020 primarily due to the increase in amortization and write</w:t>
      </w:r>
      <w:r>
        <w:rPr>
          <w:rFonts w:ascii="MS PGothic" w:cs="MS PGothic" w:eastAsia="MS PGothic" w:hAnsi="MS PGothic"/>
          <w:sz w:val="18"/>
          <w:szCs w:val="18"/>
          <w:color w:val="auto"/>
        </w:rPr>
        <w:t>‑</w:t>
      </w:r>
      <w:r>
        <w:rPr>
          <w:rFonts w:ascii="Arial" w:cs="Arial" w:eastAsia="Arial" w:hAnsi="Arial"/>
          <w:sz w:val="18"/>
          <w:szCs w:val="18"/>
          <w:color w:val="auto"/>
        </w:rPr>
        <w:t>off of deferred debt issuance costs in connection with the Second Amendment to the Credit Facility and the convertible senior notes, partially offset by a lower outstanding average balance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Other (Expense) Income, Net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(loss) gain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w w:val="88"/>
              </w:rPr>
              <w:t>8,567</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2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9,996</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91"/>
              </w:rPr>
              <w:t>(1,811)</w:t>
            </w: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(expense) income,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13,741</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252"/>
              <w:spacing w:after="0"/>
              <w:rPr>
                <w:sz w:val="20"/>
                <w:szCs w:val="20"/>
                <w:color w:val="auto"/>
              </w:rPr>
            </w:pPr>
            <w:r>
              <w:rPr>
                <w:rFonts w:ascii="Arial" w:cs="Arial" w:eastAsia="Arial" w:hAnsi="Arial"/>
                <w:sz w:val="18"/>
                <w:szCs w:val="18"/>
                <w:color w:val="auto"/>
                <w:w w:val="88"/>
              </w:rPr>
              <w:t>6,756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three months ended September 30, 2021 and 2020, total other (expense) income, net consists of foreign exchange (losses) gains of $(2,446) and $12,830, respectively, and $(248) and $8,567 for the nine months ended September 30, 2021 and 2020, respectively. The foreign exchange (losses) gains derives primarily from U.S. Dollar denominated cash and cash equivalents, accounts receivable, and intercompany balances held by foreign subsidiaries. For the three months ended September 30, 2021 and 2020, intercompany finance transactions denominated in U.S. Dollars resulted in unrealized foreign exchange (losses) gains of $(2,741) and $12,284, respectively, and $(1,298) and $10,519 for the nine months ended September 30, 2021 and 2020, respectively.</w:t>
      </w:r>
    </w:p>
    <w:p>
      <w:pPr>
        <w:spacing w:after="0" w:line="1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the three months ended September 30, 2021 and 2020, other income (expense), net includes a gain from the change in fair value of our interest rate swap of $1,463 and $809, respectively. For the nine months ended September 30, 2021, other income (expense), net includes a gain from the change in fair value of our interest rate swap of $9,198. For the nine months ended September 30, 2020, other income (expense), net includes a loss from the change in fair value of our interest rate swap of $3,365, partially offset by a gain from the change in fair value of acquisition contingent consideration of $1,340.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(Benefit) for Income Taxes</w:t>
      </w:r>
    </w:p>
    <w:p>
      <w:pPr>
        <w:spacing w:after="0" w:line="225"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The income tax provisions for the three months ended September 30, 2021 and 2020 were based on the estimated annual effective income tax rates adjusted for discrete items occurring during the periods presented. For the three months ended September 30, 2021 and 2020, we recognized an aggregate consolidated income tax expense of $4,223 and $10,705, respectively, for U.S. domestic and foreign income taxes. For the three months ended September 30, 2021 and 2020, we recorded a discrete tax benefit of $6,724 and $3,826, respectively, associated with stock</w:t>
      </w:r>
      <w:r>
        <w:rPr>
          <w:rFonts w:ascii="MS PGothic" w:cs="MS PGothic" w:eastAsia="MS PGothic" w:hAnsi="MS PGothic"/>
          <w:sz w:val="16"/>
          <w:szCs w:val="16"/>
          <w:color w:val="auto"/>
        </w:rPr>
        <w:t>‑</w:t>
      </w:r>
      <w:r>
        <w:rPr>
          <w:rFonts w:ascii="Arial" w:cs="Arial" w:eastAsia="Arial" w:hAnsi="Arial"/>
          <w:sz w:val="16"/>
          <w:szCs w:val="16"/>
          <w:color w:val="auto"/>
        </w:rPr>
        <w:t xml:space="preserve">based compensation. The effective income tax rate was (9.3)% on </w:t>
      </w:r>
      <w:r>
        <w:rPr>
          <w:rFonts w:ascii="Arial" w:cs="Arial" w:eastAsia="Arial" w:hAnsi="Arial"/>
          <w:sz w:val="16"/>
          <w:szCs w:val="16"/>
          <w:i w:val="1"/>
          <w:iCs w:val="1"/>
          <w:color w:val="auto"/>
        </w:rPr>
        <w:t>Loss before income taxes</w:t>
      </w:r>
      <w:r>
        <w:rPr>
          <w:rFonts w:ascii="Arial" w:cs="Arial" w:eastAsia="Arial" w:hAnsi="Arial"/>
          <w:sz w:val="16"/>
          <w:szCs w:val="16"/>
          <w:color w:val="auto"/>
        </w:rPr>
        <w:t xml:space="preserve"> of $45,241 for the three months ended September 30, 2021, as compared to the effective income tax rate of 62.5% on </w:t>
      </w:r>
      <w:r>
        <w:rPr>
          <w:rFonts w:ascii="Arial" w:cs="Arial" w:eastAsia="Arial" w:hAnsi="Arial"/>
          <w:sz w:val="16"/>
          <w:szCs w:val="16"/>
          <w:i w:val="1"/>
          <w:iCs w:val="1"/>
          <w:color w:val="auto"/>
        </w:rPr>
        <w:t>Income before income taxes</w:t>
      </w:r>
      <w:r>
        <w:rPr>
          <w:rFonts w:ascii="Arial" w:cs="Arial" w:eastAsia="Arial" w:hAnsi="Arial"/>
          <w:sz w:val="16"/>
          <w:szCs w:val="16"/>
          <w:color w:val="auto"/>
        </w:rPr>
        <w:t xml:space="preserve"> of $17,130 for the three months ended September 30, 2020. For the three months ended September 30, 2021, we recognized a one</w:t>
      </w:r>
      <w:r>
        <w:rPr>
          <w:rFonts w:ascii="MS PGothic" w:cs="MS PGothic" w:eastAsia="MS PGothic" w:hAnsi="MS PGothic"/>
          <w:sz w:val="16"/>
          <w:szCs w:val="16"/>
          <w:color w:val="auto"/>
        </w:rPr>
        <w:t>‑</w:t>
      </w:r>
      <w:r>
        <w:rPr>
          <w:rFonts w:ascii="Arial" w:cs="Arial" w:eastAsia="Arial" w:hAnsi="Arial"/>
          <w:sz w:val="16"/>
          <w:szCs w:val="16"/>
          <w:color w:val="auto"/>
        </w:rPr>
        <w:t xml:space="preserve">time compensation charge of $90,721 to </w:t>
      </w:r>
      <w:r>
        <w:rPr>
          <w:rFonts w:ascii="Arial" w:cs="Arial" w:eastAsia="Arial" w:hAnsi="Arial"/>
          <w:sz w:val="16"/>
          <w:szCs w:val="16"/>
          <w:i w:val="1"/>
          <w:iCs w:val="1"/>
          <w:color w:val="auto"/>
        </w:rPr>
        <w:t>Deferred compensation plan</w:t>
      </w:r>
      <w:r>
        <w:rPr>
          <w:rFonts w:ascii="Arial" w:cs="Arial" w:eastAsia="Arial" w:hAnsi="Arial"/>
          <w:sz w:val="16"/>
          <w:szCs w:val="16"/>
          <w:color w:val="auto"/>
        </w:rPr>
        <w:t xml:space="preserve"> expensesto record its reallocated deferred compensation plan liabilities at fair value. The effective income tax rate of (9.3)% for the three months ended September 30, 2021 was primarily due to the loss before income taxes resulting from this one</w:t>
      </w:r>
      <w:r>
        <w:rPr>
          <w:rFonts w:ascii="MS PGothic" w:cs="MS PGothic" w:eastAsia="MS PGothic" w:hAnsi="MS PGothic"/>
          <w:sz w:val="16"/>
          <w:szCs w:val="16"/>
          <w:color w:val="auto"/>
        </w:rPr>
        <w:t>‑</w:t>
      </w:r>
      <w:r>
        <w:rPr>
          <w:rFonts w:ascii="Arial" w:cs="Arial" w:eastAsia="Arial" w:hAnsi="Arial"/>
          <w:sz w:val="16"/>
          <w:szCs w:val="16"/>
          <w:color w:val="auto"/>
        </w:rPr>
        <w:t>time compensation charge, combined with a significant reduction in associated tax benefits due to officer compensation limitation provisions relating to this charge. The effective income tax rate of 62.5% for the three months ended September 30, 2020 was primarily due to officer compensation limitation provisions resulting from our IPO, which went effective during the three months ended September 30, 2020, and the non</w:t>
      </w:r>
      <w:r>
        <w:rPr>
          <w:rFonts w:ascii="MS PGothic" w:cs="MS PGothic" w:eastAsia="MS PGothic" w:hAnsi="MS PGothic"/>
          <w:sz w:val="16"/>
          <w:szCs w:val="16"/>
          <w:color w:val="auto"/>
        </w:rPr>
        <w:t>‑</w:t>
      </w:r>
      <w:r>
        <w:rPr>
          <w:rFonts w:ascii="Arial" w:cs="Arial" w:eastAsia="Arial" w:hAnsi="Arial"/>
          <w:sz w:val="16"/>
          <w:szCs w:val="16"/>
          <w:color w:val="auto"/>
        </w:rPr>
        <w:t>deductibility of expenses associated with our IPO, partially offset by discrete windfall tax benefits from stock</w:t>
      </w:r>
      <w:r>
        <w:rPr>
          <w:rFonts w:ascii="MS PGothic" w:cs="MS PGothic" w:eastAsia="MS PGothic" w:hAnsi="MS PGothic"/>
          <w:sz w:val="16"/>
          <w:szCs w:val="16"/>
          <w:color w:val="auto"/>
        </w:rPr>
        <w:t>‑</w:t>
      </w:r>
      <w:r>
        <w:rPr>
          <w:rFonts w:ascii="Arial" w:cs="Arial" w:eastAsia="Arial" w:hAnsi="Arial"/>
          <w:sz w:val="16"/>
          <w:szCs w:val="16"/>
          <w:color w:val="auto"/>
        </w:rPr>
        <w:t>based compensation.</w:t>
      </w:r>
    </w:p>
    <w:p>
      <w:pPr>
        <w:spacing w:after="0" w:line="20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The income tax provisions for the nine months ended September 30, 2021 and 2020 were based on the estimated annual effective income tax rates adjusted for discrete items occurring during the periods presented. For the nine months ended September 30, 2021 and 2020, we recognized an aggregate consolidated income tax (benefit) expense of $(6,165) and $22,145, respectively, for U.S. domestic and foreign income taxes. For the nine months ended September 30, 2021 and 2020, we recorded a discrete tax benefit of $55,102 and $10,511, respectively, associated with stock</w:t>
      </w:r>
      <w:r>
        <w:rPr>
          <w:rFonts w:ascii="MS PGothic" w:cs="MS PGothic" w:eastAsia="MS PGothic" w:hAnsi="MS PGothic"/>
          <w:sz w:val="16"/>
          <w:szCs w:val="16"/>
          <w:color w:val="auto"/>
        </w:rPr>
        <w:t>‑</w:t>
      </w:r>
      <w:r>
        <w:rPr>
          <w:rFonts w:ascii="Arial" w:cs="Arial" w:eastAsia="Arial" w:hAnsi="Arial"/>
          <w:sz w:val="16"/>
          <w:szCs w:val="16"/>
          <w:color w:val="auto"/>
        </w:rPr>
        <w:t xml:space="preserve">based compensation. The effective income tax rate of (12.7)% on </w:t>
      </w:r>
      <w:r>
        <w:rPr>
          <w:rFonts w:ascii="Arial" w:cs="Arial" w:eastAsia="Arial" w:hAnsi="Arial"/>
          <w:sz w:val="16"/>
          <w:szCs w:val="16"/>
          <w:i w:val="1"/>
          <w:iCs w:val="1"/>
          <w:color w:val="auto"/>
        </w:rPr>
        <w:t>Income before income taxes</w:t>
      </w:r>
      <w:r>
        <w:rPr>
          <w:rFonts w:ascii="Arial" w:cs="Arial" w:eastAsia="Arial" w:hAnsi="Arial"/>
          <w:sz w:val="16"/>
          <w:szCs w:val="16"/>
          <w:color w:val="auto"/>
        </w:rPr>
        <w:t xml:space="preserve"> of $48,562 for the nine months ended September 30, 2021 was lower than the effective income tax rate of 22.6% on </w:t>
      </w:r>
      <w:r>
        <w:rPr>
          <w:rFonts w:ascii="Arial" w:cs="Arial" w:eastAsia="Arial" w:hAnsi="Arial"/>
          <w:sz w:val="16"/>
          <w:szCs w:val="16"/>
          <w:i w:val="1"/>
          <w:iCs w:val="1"/>
          <w:color w:val="auto"/>
        </w:rPr>
        <w:t>Income before income taxes</w:t>
      </w:r>
      <w:r>
        <w:rPr>
          <w:rFonts w:ascii="Arial" w:cs="Arial" w:eastAsia="Arial" w:hAnsi="Arial"/>
          <w:sz w:val="16"/>
          <w:szCs w:val="16"/>
          <w:color w:val="auto"/>
        </w:rPr>
        <w:t xml:space="preserve"> of $98,181 for the nine months ended September 30, 2020 primarily due to discrete windfall tax benefits from stock</w:t>
      </w:r>
      <w:r>
        <w:rPr>
          <w:rFonts w:ascii="MS PGothic" w:cs="MS PGothic" w:eastAsia="MS PGothic" w:hAnsi="MS PGothic"/>
          <w:sz w:val="16"/>
          <w:szCs w:val="16"/>
          <w:color w:val="auto"/>
        </w:rPr>
        <w:t>‑</w:t>
      </w:r>
      <w:r>
        <w:rPr>
          <w:rFonts w:ascii="Arial" w:cs="Arial" w:eastAsia="Arial" w:hAnsi="Arial"/>
          <w:sz w:val="16"/>
          <w:szCs w:val="16"/>
          <w:color w:val="auto"/>
        </w:rPr>
        <w:t>based compensation, partially offset by the impact from officer compensation limitation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Net (Loss)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gridSpan w:val="3"/>
          </w:tcPr>
          <w:p>
            <w:pPr>
              <w:jc w:val="center"/>
              <w:ind w:left="97"/>
              <w:spacing w:after="0"/>
              <w:rPr>
                <w:sz w:val="20"/>
                <w:szCs w:val="20"/>
                <w:color w:val="auto"/>
              </w:rPr>
            </w:pPr>
            <w:r>
              <w:rPr>
                <w:rFonts w:ascii="Arial" w:cs="Arial" w:eastAsia="Arial" w:hAnsi="Arial"/>
                <w:sz w:val="16"/>
                <w:szCs w:val="16"/>
                <w:b w:val="1"/>
                <w:bCs w:val="1"/>
                <w:color w:val="auto"/>
                <w:w w:val="92"/>
              </w:rPr>
              <w:t>Three Months Ended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0" w:type="dxa"/>
            <w:vAlign w:val="bottom"/>
            <w:gridSpan w:val="4"/>
          </w:tcPr>
          <w:p>
            <w:pPr>
              <w:ind w:left="460"/>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5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left="97"/>
              <w:spacing w:after="0"/>
              <w:rPr>
                <w:sz w:val="20"/>
                <w:szCs w:val="20"/>
                <w:color w:val="auto"/>
              </w:rPr>
            </w:pPr>
            <w:r>
              <w:rPr>
                <w:rFonts w:ascii="Arial" w:cs="Arial" w:eastAsia="Arial" w:hAnsi="Arial"/>
                <w:sz w:val="16"/>
                <w:szCs w:val="16"/>
                <w:b w:val="1"/>
                <w:bCs w:val="1"/>
                <w:color w:val="auto"/>
                <w:w w:val="89"/>
              </w:rPr>
              <w:t>September 30,</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w w:val="93"/>
              </w:rPr>
              <w:t>September 30,</w:t>
            </w:r>
          </w:p>
        </w:tc>
        <w:tc>
          <w:tcPr>
            <w:tcW w:w="900" w:type="dxa"/>
            <w:vAlign w:val="bottom"/>
            <w:tcBorders>
              <w:bottom w:val="single" w:sz="8" w:color="auto"/>
            </w:tcBorders>
          </w:tcPr>
          <w:p>
            <w:pPr>
              <w:spacing w:after="0"/>
              <w:rPr>
                <w:sz w:val="19"/>
                <w:szCs w:val="19"/>
                <w:color w:val="auto"/>
              </w:rPr>
            </w:pPr>
          </w:p>
        </w:tc>
      </w:tr>
      <w:tr>
        <w:trPr>
          <w:trHeight w:val="210"/>
        </w:trPr>
        <w:tc>
          <w:tcPr>
            <w:tcW w:w="5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r>
      <w:tr>
        <w:trPr>
          <w:trHeight w:val="25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(50,128)</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5,844</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51,788</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74,589</w:t>
            </w:r>
          </w:p>
        </w:tc>
      </w:tr>
    </w:tbl>
    <w:p>
      <w:pPr>
        <w:spacing w:after="0" w:line="29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September 30, 2021, we had a net loss of $50,128 compared to net income of 5,844 for the three months ended September 30, 2020. For the nine months ended September 30, 2021, net income decreased by $22,801 compared to the nine months ended September 30, 2020. The changes are due to the factors stated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Net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00" w:type="dxa"/>
            <w:vAlign w:val="bottom"/>
            <w:gridSpan w:val="4"/>
          </w:tcPr>
          <w:p>
            <w:pPr>
              <w:jc w:val="right"/>
              <w:ind w:right="673"/>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5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5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84,468</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73,655</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236,778</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188,996</w:t>
            </w: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56,289</w:t>
            </w:r>
          </w:p>
        </w:tc>
        <w:tc>
          <w:tcPr>
            <w:tcW w:w="26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51,424</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194,971</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140,502</w:t>
            </w:r>
          </w:p>
        </w:tc>
      </w:tr>
    </w:tbl>
    <w:p>
      <w:pPr>
        <w:spacing w:after="0" w:line="2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and nine months ended September 30, 2021, Adjusted EBITDA increased by $10,813 and $47,782 compared to the three and nine months ended September 30, 2020, respectively. For the three months ended September 30, 2021 and 2020, Adjusted EBITDA as a percentage of revenue was 34.0% and 36.3%, respectively. For the nine months ended September 30, 2021 and 2020, Adjusted EBITDA as a percentage of revenue was 34.1% and 32.5%, respectively.</w:t>
      </w:r>
    </w:p>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the three months ended September 30, 2021, Adjusted Net Income increased by $4,865 compared to three months ended September 30, 2020. For the nine months ended September 30, 2021, Adjusted Net Income increased by $54,469 compared to the nine months ended September 30, 2020. For the three months ended September 30, 2021 and 2020, Adjusted Net Income as a percentage of revenue was 22.7% and 25.3%, respectively. For the nine months ended September 30, 2021 and 2020, Adjusted Net Income as a percentage of revenue was 28.1% and 24.1%, respectively.</w:t>
      </w:r>
    </w:p>
    <w:p>
      <w:pPr>
        <w:spacing w:after="0" w:line="157"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6"/>
          <w:szCs w:val="16"/>
          <w:color w:val="auto"/>
        </w:rPr>
        <w:t>For additional information, including the limitations of using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and reconciliations of the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 to the most directly comparable financial measures stated in accordance with U.S. GAAP, see the section titled “—Non</w:t>
      </w:r>
      <w:r>
        <w:rPr>
          <w:rFonts w:ascii="MS PGothic" w:cs="MS PGothic" w:eastAsia="MS PGothic" w:hAnsi="MS PGothic"/>
          <w:sz w:val="16"/>
          <w:szCs w:val="16"/>
          <w:color w:val="auto"/>
        </w:rPr>
        <w:t>‑</w:t>
      </w:r>
      <w:r>
        <w:rPr>
          <w:rFonts w:ascii="Arial" w:cs="Arial" w:eastAsia="Arial" w:hAnsi="Arial"/>
          <w:sz w:val="16"/>
          <w:szCs w:val="16"/>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primary source of cash is generated from the delivery of subscriptions, perpetual licenses, and services. Our primary use of cash is payment of our operating costs, which consist primarily of colleague-related expenses, such as compensation and benefits, as well as general operating expenses for marketing, facilities, and overhead costs. In addition to operating expenses, we also use cash to fund growth initiatives, which include acquisitions of software assets and businesses. In connection with the acquisition of Seequent in June 2021, we used readily available cash, including a portion of the net proceeds from the 2026 Notes, and borrowings under our Credit Facility to fund the cash component of the transaction. As described further below, we used $25,875 of the net proceeds from the sale of the 2027 Notes to pay the premiums of the capped call options, and $536,062 to repay outstanding indebtedness under the Credit Facility and to pay related fees and expenses. We used $25,530 of the net proceeds from the sale of the 2026 Notes to pay the premiums of the capped call options, and approximately $250,500 to repay outstanding indebtedness under the Credit Facility and to pay related fees and expenses. We used the remainder of the net proceeds from the sale of the 2026 Notes for general corporate purposes and towards funding certain acquisitions, including Seequent.</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cash and cash equivalent balances are concentrated in a few locations around the world, with substantial amounts held outside of the United States. As of September 30, 2021 and December 31, 2020, 94% of our total cash and cash equivalents were located outside of the United States. We intend to continue to permanently reinvest these funds outside of the United States and current plans do not demonstrate a need to repatriate them to fund our U.S. operations. We expect to meet our U.S. liquidity needs through ongoing cash flows or external borrowings including available liquidity under the Credit Facility described below.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United States.</w:t>
      </w:r>
    </w:p>
    <w:p>
      <w:pPr>
        <w:spacing w:after="0" w:line="17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believe that existing cash and cash equivalent balances, together with cash generated from operations, and liquidity under the Credit Facility, will be sufficient to meet our domestic and international working capital and capital expenditure requirements through the next twelve months. However, our future capital requirements may be materially different than those currently planned in our budgeting and forecasting activities and depend on many factors, including our rate of revenue growth, the timing and extent of spending on research and development, the expansion of our sales and marketing activities, the timing of new product introductions, currency fluctuations, market acceptance of our products, competitive factors,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debt financing, including convertible debt, would result in debt service obligations. Such debt instruments also could introduce covenants that might restrict our operations. We cannot provide assurance that we could obtain additional financing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consider all highly liquid investments with an original maturity of three months or less at the date of purchase to be cash equivalents. Our cash and cash equivalents consisted of cash held in checking accounts and money market funds maintained at various financial institutions. The following table presents our foreign and domestic holdings of cash and cash equivalents: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right"/>
              <w:ind w:right="234"/>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7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2020</w:t>
            </w: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Held domestically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8,589</w:t>
            </w:r>
          </w:p>
        </w:tc>
        <w:tc>
          <w:tcPr>
            <w:tcW w:w="26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7,861</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Held by foreign subsidiaries</w:t>
            </w: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147,166</w:t>
            </w:r>
          </w:p>
        </w:tc>
        <w:tc>
          <w:tcPr>
            <w:tcW w:w="2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114,145</w:t>
            </w: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155,755</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122,006</w:t>
            </w:r>
          </w:p>
        </w:tc>
      </w:tr>
      <w:tr>
        <w:trPr>
          <w:trHeight w:val="21"/>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amount of cash and cash equivalents held by foreign subsidiaries is subject to translation adjustments caused by changes in foreign currency exchange rates as of the end of each respective reporting period, the offset to which is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on our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 Credit Facility</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On January 25, 2021, we entered into the Second Amendment to the Amended and Restated Credit Agreement dated December 19, 2017, which increased the senior secured revolving loan facility from $500,000 to $850,000 and extended the maturity date from December 18, 2022 to November 15, 2025. In connection with the Second Amendment, certain lenders exited the Credit Facility. We performed an extinguishment versus modification assessment on a lender</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lender basis resulting in the write</w:t>
      </w:r>
      <w:r>
        <w:rPr>
          <w:rFonts w:ascii="MS PGothic" w:cs="MS PGothic" w:eastAsia="MS PGothic" w:hAnsi="MS PGothic"/>
          <w:sz w:val="16"/>
          <w:szCs w:val="16"/>
          <w:color w:val="auto"/>
        </w:rPr>
        <w:t>‑</w:t>
      </w:r>
      <w:r>
        <w:rPr>
          <w:rFonts w:ascii="Arial" w:cs="Arial" w:eastAsia="Arial" w:hAnsi="Arial"/>
          <w:sz w:val="16"/>
          <w:szCs w:val="16"/>
          <w:color w:val="auto"/>
        </w:rPr>
        <w:t>off of unamortized debt issuance costs of $353 and the capitalization of fees paid to lenders and third parties of $3,577. Debt issuance costs are amortized to interest expense through the maturity date of November 15, 2025.</w:t>
      </w:r>
    </w:p>
    <w:p>
      <w:pPr>
        <w:spacing w:after="0" w:line="20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June 22, 2021, we entered into the Third Amendment to the Credit Facility, which increased the aggregate amount of approved convertible debt to permit the issuance and sale of additional convertible senior notes. See the section titled “—Convertible Senior Notes—2027 Notes” below.</w:t>
      </w:r>
    </w:p>
    <w:p>
      <w:pPr>
        <w:spacing w:after="0" w:line="146"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addition to the senior secured revolving loan facility, the Credit Facility also provides up to $50,000 of letters of credit and other incremental borrowings subject to availability, including a $85,000 multi</w:t>
      </w:r>
      <w:r>
        <w:rPr>
          <w:rFonts w:ascii="MS PGothic" w:cs="MS PGothic" w:eastAsia="MS PGothic" w:hAnsi="MS PGothic"/>
          <w:sz w:val="18"/>
          <w:szCs w:val="18"/>
          <w:color w:val="auto"/>
        </w:rPr>
        <w:t>‑</w:t>
      </w:r>
      <w:r>
        <w:rPr>
          <w:rFonts w:ascii="Arial" w:cs="Arial" w:eastAsia="Arial" w:hAnsi="Arial"/>
          <w:sz w:val="18"/>
          <w:szCs w:val="18"/>
          <w:color w:val="auto"/>
        </w:rPr>
        <w:t>currency swing</w:t>
      </w:r>
      <w:r>
        <w:rPr>
          <w:rFonts w:ascii="MS PGothic" w:cs="MS PGothic" w:eastAsia="MS PGothic" w:hAnsi="MS PGothic"/>
          <w:sz w:val="18"/>
          <w:szCs w:val="18"/>
          <w:color w:val="auto"/>
        </w:rPr>
        <w:t>‑</w:t>
      </w:r>
      <w:r>
        <w:rPr>
          <w:rFonts w:ascii="Arial" w:cs="Arial" w:eastAsia="Arial" w:hAnsi="Arial"/>
          <w:sz w:val="18"/>
          <w:szCs w:val="18"/>
          <w:color w:val="auto"/>
        </w:rPr>
        <w:t>line sub</w:t>
      </w:r>
      <w:r>
        <w:rPr>
          <w:rFonts w:ascii="MS PGothic" w:cs="MS PGothic" w:eastAsia="MS PGothic" w:hAnsi="MS PGothic"/>
          <w:sz w:val="18"/>
          <w:szCs w:val="18"/>
          <w:color w:val="auto"/>
        </w:rPr>
        <w:t>‑</w:t>
      </w:r>
      <w:r>
        <w:rPr>
          <w:rFonts w:ascii="Arial" w:cs="Arial" w:eastAsia="Arial" w:hAnsi="Arial"/>
          <w:sz w:val="18"/>
          <w:szCs w:val="18"/>
          <w:color w:val="auto"/>
        </w:rPr>
        <w:t>facility and a $200,000 incremental “accordion” sub</w:t>
      </w:r>
      <w:r>
        <w:rPr>
          <w:rFonts w:ascii="MS PGothic" w:cs="MS PGothic" w:eastAsia="MS PGothic" w:hAnsi="MS PGothic"/>
          <w:sz w:val="18"/>
          <w:szCs w:val="18"/>
          <w:color w:val="auto"/>
        </w:rPr>
        <w:t>‑</w:t>
      </w:r>
      <w:r>
        <w:rPr>
          <w:rFonts w:ascii="Arial" w:cs="Arial" w:eastAsia="Arial" w:hAnsi="Arial"/>
          <w:sz w:val="18"/>
          <w:szCs w:val="18"/>
          <w:color w:val="auto"/>
        </w:rPr>
        <w:t>facility. We had $150 of letters of credit and surety bonds outstanding as of September 30, 2021 and December 31, 2020. As of September 30, 2021 and December 31, 2020, we had $781,996 and $253,850 available under the Credit Facility.</w:t>
      </w:r>
    </w:p>
    <w:p>
      <w:pPr>
        <w:spacing w:after="0" w:line="123"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Under the Credit Facility, we may make either Euro currency or non</w:t>
      </w:r>
      <w:r>
        <w:rPr>
          <w:rFonts w:ascii="MS PGothic" w:cs="MS PGothic" w:eastAsia="MS PGothic" w:hAnsi="MS PGothic"/>
          <w:sz w:val="16"/>
          <w:szCs w:val="16"/>
          <w:color w:val="auto"/>
        </w:rPr>
        <w:t>‑</w:t>
      </w:r>
      <w:r>
        <w:rPr>
          <w:rFonts w:ascii="Arial" w:cs="Arial" w:eastAsia="Arial" w:hAnsi="Arial"/>
          <w:sz w:val="16"/>
          <w:szCs w:val="16"/>
          <w:color w:val="auto"/>
        </w:rPr>
        <w:t>Euro currency interest rate elections. Interest on the Euro currency borrowings bear a base interest rate of the London Interbank Offered Rate (“LIBOR”) plus a spread ranging from 125 basis points (“bps”) to 225 bps as determined by our net leverage ratio. Under the non</w:t>
      </w:r>
      <w:r>
        <w:rPr>
          <w:rFonts w:ascii="MS PGothic" w:cs="MS PGothic" w:eastAsia="MS PGothic" w:hAnsi="MS PGothic"/>
          <w:sz w:val="16"/>
          <w:szCs w:val="16"/>
          <w:color w:val="auto"/>
        </w:rPr>
        <w:t>‑</w:t>
      </w:r>
      <w:r>
        <w:rPr>
          <w:rFonts w:ascii="Arial" w:cs="Arial" w:eastAsia="Arial" w:hAnsi="Arial"/>
          <w:sz w:val="16"/>
          <w:szCs w:val="16"/>
          <w:color w:val="auto"/>
        </w:rPr>
        <w:t>Euro currency elections, Credit Facility borrowings bear a base interest rate of the highest of (i) the prime rate, (ii) the overnight bank funding effective rate plus 50 bps, or (iii) LIBOR plus 100 bps, plus a spread ranging from 25 bps to 125 bps as determined by our leverage ratio. In addition, a commitment fee for the unused Credit Facility ranges from 20 bps to 30 bps as determined by our net leverage ratio.</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Borrowings under the Credit Facility are guaranteed by all of our first tier domestic subsidiaries and are secured by a first priority security interest in substantially all of our and the guarantors’ U.S. assets and 65% of the stock of their directly owned foreign subsidiaries. The Credit Facility contains both affirmative and negative covenants, including maximum leverage ratios. As of September 30, 2021 and December 31, 2020, we were in compliance with all covenants in our Credit Facility debt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5" w:name="page76"/>
    <w:bookmarkEnd w:id="75"/>
    <w:p>
      <w:pPr>
        <w:jc w:val="both"/>
        <w:ind w:firstLine="324"/>
        <w:spacing w:after="0" w:line="273" w:lineRule="auto"/>
        <w:rPr>
          <w:sz w:val="20"/>
          <w:szCs w:val="20"/>
          <w:color w:val="auto"/>
        </w:rPr>
      </w:pPr>
      <w:r>
        <w:rPr>
          <w:rFonts w:ascii="Arial" w:cs="Arial" w:eastAsia="Arial" w:hAnsi="Arial"/>
          <w:sz w:val="17"/>
          <w:szCs w:val="17"/>
          <w:color w:val="auto"/>
        </w:rPr>
        <w:t xml:space="preserve">Interest rate risk associated with the Credit Facility is managed through an interest rate swap which we executed on March 31, 2020. The swap has an effective date of April 2, 2020 and a termination date of April 2, 2030. Under the terms of the swap, we fixed our LIBOR borrowing rate at 0.73% on a notional amount of $200,000. The interest rate swap is not designated as a hedging instrument for accounting purposes. We account for the swap as either an asset or a liability in the consolidated balance sheets and carry the derivative at fair value. Gains and losses from the change in fair value are recognized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xml:space="preserve">, in the consolidated statements of operations. As of September 30, 2021 and December 31, 2020, we recorded a swap related asset at fair value of $9,545 and $347, respectively, in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in the consolidated balance sheets.</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weighted average interest rate under the Credit Facility was 2.33% and 1.59% for the three months ended September 30, 2021 and 2020, respectively, and 2.02% and 1.92% for the nine months ended September 30, 2021 and 2020, respectively.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agreement governing the Credit Facility contains customary events of default, including, without limitation, payment defaults, breaches of representations and warranties, covenants defaults, cross-defaults to certain other indebtedness in excess of $50,000, certain events of bankruptcy and insolvency, judgment defaults in excess of $10,000, failure of any security document supporting the Credit Facility to be in full force and effect, and a change of control.</w:t>
      </w:r>
    </w:p>
    <w:p>
      <w:pPr>
        <w:spacing w:after="0" w:line="187"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Voluntary prepayments of amounts outstanding under the Credit Facility, in whole or in part, are permitted at any time, so long as we give notice as required by the Credit Facility. However, if prepayment is made with respect to a LIBOR</w:t>
      </w:r>
      <w:r>
        <w:rPr>
          <w:rFonts w:ascii="MS PGothic" w:cs="MS PGothic" w:eastAsia="MS PGothic" w:hAnsi="MS PGothic"/>
          <w:sz w:val="18"/>
          <w:szCs w:val="18"/>
          <w:color w:val="auto"/>
        </w:rPr>
        <w:t>‑</w:t>
      </w:r>
      <w:r>
        <w:rPr>
          <w:rFonts w:ascii="Arial" w:cs="Arial" w:eastAsia="Arial" w:hAnsi="Arial"/>
          <w:sz w:val="18"/>
          <w:szCs w:val="18"/>
          <w:color w:val="auto"/>
        </w:rPr>
        <w:t>based loan and the prepayment is made on a date other than an interest payment date, we must pay customary breakage costs.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 xml:space="preserve">2027 Notes. </w:t>
      </w:r>
      <w:r>
        <w:rPr>
          <w:rFonts w:ascii="Arial" w:cs="Arial" w:eastAsia="Arial" w:hAnsi="Arial"/>
          <w:sz w:val="18"/>
          <w:szCs w:val="18"/>
          <w:color w:val="auto"/>
        </w:rPr>
        <w:t>On June 28, 2021, we completed a private offering of $575,000 of 0.375% convertible senior notes due 2027. The 2027 Notes were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an indenture, dated as of June 28, 2021, between the Company and Wilmington Trust, National Association, as trustee (the “2027 Trustee”) (the “2027 Indenture”). Interest will accrue from June 28, 2021 and will be payable semi</w:t>
      </w:r>
      <w:r>
        <w:rPr>
          <w:rFonts w:ascii="MS PGothic" w:cs="MS PGothic" w:eastAsia="MS PGothic" w:hAnsi="MS PGothic"/>
          <w:sz w:val="18"/>
          <w:szCs w:val="18"/>
          <w:color w:val="auto"/>
        </w:rPr>
        <w:t>‑</w:t>
      </w:r>
      <w:r>
        <w:rPr>
          <w:rFonts w:ascii="Arial" w:cs="Arial" w:eastAsia="Arial" w:hAnsi="Arial"/>
          <w:sz w:val="18"/>
          <w:szCs w:val="18"/>
          <w:color w:val="auto"/>
        </w:rPr>
        <w:t xml:space="preserve">annually in arrears in cash on January 1 and July 1 of each year, with the first payment due on January 1, 2022. The 2027 Notes will mature on July 1, 2027, unless earlier converted, redeemed or repurchased. We incurred $15,065 of expenses in connection with the 2027 Notes offering consisting of transaction costs. As of September 30, 2021, $375 of the transaction costs were recorded in </w:t>
      </w:r>
      <w:r>
        <w:rPr>
          <w:rFonts w:ascii="Arial" w:cs="Arial" w:eastAsia="Arial" w:hAnsi="Arial"/>
          <w:sz w:val="18"/>
          <w:szCs w:val="18"/>
          <w:i w:val="1"/>
          <w:iCs w:val="1"/>
          <w:color w:val="auto"/>
        </w:rPr>
        <w:t>Accounts payable</w:t>
      </w:r>
      <w:r>
        <w:rPr>
          <w:rFonts w:ascii="Arial" w:cs="Arial" w:eastAsia="Arial" w:hAnsi="Arial"/>
          <w:sz w:val="18"/>
          <w:szCs w:val="18"/>
          <w:color w:val="auto"/>
        </w:rPr>
        <w:t xml:space="preserve"> in the consolidated balance sheet. We used $25,875 of the net proceeds from the sale of the 2027 Notes to pay the premiums of the capped call options described further below, and $536,062 to repay outstanding indebtedness under the Credit Facility and to pay related fees and expenses.</w:t>
      </w:r>
    </w:p>
    <w:p>
      <w:pPr>
        <w:spacing w:after="0" w:line="20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Prior to April 1, 2027, the 2027 Notes will be convertible at the option of the holder only under the following circumstances: (1) during any calendar quarter (and only during such quarter) commencing after the calendar quarter ending on September 30, 2021, if the last reported sale price per share of our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2027 Notes for each trading day of the measurement period was less than 98% of the product of the last reported sale price per share of our Class B Common Stock on such trading day and the conversion rate on such trading day; (3) upon the occurrence of certain corporate events or distributions on our Class B Common Stock, as described in the 2027 Indenture; and (4) if we call the 2027 Notes for redemption. On or after April 1, 2027 until 5:00 p.m., New York City time, on the second scheduled trading day immediately before the maturity date, the 2027 Notes will be convertible at the option of the holder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6" w:name="page77"/>
    <w:bookmarkEnd w:id="76"/>
    <w:p>
      <w:pPr>
        <w:jc w:val="both"/>
        <w:ind w:firstLine="324"/>
        <w:spacing w:after="0" w:line="257" w:lineRule="auto"/>
        <w:rPr>
          <w:sz w:val="20"/>
          <w:szCs w:val="20"/>
          <w:color w:val="auto"/>
        </w:rPr>
      </w:pPr>
      <w:r>
        <w:rPr>
          <w:rFonts w:ascii="Arial" w:cs="Arial" w:eastAsia="Arial" w:hAnsi="Arial"/>
          <w:sz w:val="18"/>
          <w:szCs w:val="18"/>
          <w:color w:val="auto"/>
        </w:rPr>
        <w:t>We will settle conversions by paying or delivering, as applicable, cash, shares of our Class B Common Stock or a combination of cash and shares of our Class B Common Stock, at our election, based on the applicable conversion rate. The initial conversion rate is 12.0153 shares of our Class B Common Stock per $1 principal amount of 2027 Notes, which represents an initial conversion price of approximately $83.23 per share, and is subject to adjustment as described in the 2027 Indenture. If a “make-whole fundamental change” (as defined in the 2027 Indenture) occurs, then we will, in certain circumstances, increase the conversion rate for a specified period of time.</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will have the option to redeem the 2027 Notes in whole or in part at any time on or after July 5, 2024 and on or before the 40th scheduled trading day immediately before the maturity date if the last reported sale price per share of our Class B common stock exceeds 130% of the conversion price on</w:t>
      </w:r>
    </w:p>
    <w:p>
      <w:pPr>
        <w:jc w:val="both"/>
        <w:ind w:firstLine="8"/>
        <w:spacing w:after="0" w:line="253" w:lineRule="auto"/>
        <w:tabs>
          <w:tab w:leader="none" w:pos="2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at least 20 trading days, whether or not consecutive, during any 30 consecutive trading days ending on, and including, the trading day immediately before the date we send the related redemption notice; and (2) the trading day immediately before the date we send such notice. The redemption price will be equal to the principal amount of the 2027 Notes to be redeemed, plus accrued and unpaid interest, if any, to, but excluding, the redemption date.</w:t>
      </w:r>
    </w:p>
    <w:p>
      <w:pPr>
        <w:spacing w:after="0" w:line="19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Upon a fundamental change (as defined in the 2027 Indenture), holders may, subject to certain exceptions, require us to purchase their 2027 Notes in whole or in part for cash at a price equal to the principal amount of the 2027 Notes to be purchased, plus accrued and unpaid interest, if any, to, but excluding, the fundamental change repurchase date (as defined in the 2027 Indenture). In addition, upon a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(as defined in the 2027 Indenture), we will, under certain circumstances, increase the applicable conversion rate for a holder that elects to convert its 2027 Notes in connection with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No adjustment to the conversion rate will be made if the stock price in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is either less than $61.65 per share or greater than $325.00 per share. We will not increase the conversion rate to an amount that exceeds 16.2206 shares per $1 principal amount of 2027 Notes, subject to adjustment. The 2027 Indenture also contains a customary merger covenant.</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Under the 2027 Indenture, the 2027 Notes may be accelerated upon the occurrence of certain customary events of default. If certain bankruptcy and insolvency</w:t>
      </w:r>
      <w:r>
        <w:rPr>
          <w:rFonts w:ascii="MS PGothic" w:cs="MS PGothic" w:eastAsia="MS PGothic" w:hAnsi="MS PGothic"/>
          <w:sz w:val="17"/>
          <w:szCs w:val="17"/>
          <w:color w:val="auto"/>
        </w:rPr>
        <w:t>‑</w:t>
      </w:r>
      <w:r>
        <w:rPr>
          <w:rFonts w:ascii="Arial" w:cs="Arial" w:eastAsia="Arial" w:hAnsi="Arial"/>
          <w:sz w:val="17"/>
          <w:szCs w:val="17"/>
          <w:color w:val="auto"/>
        </w:rPr>
        <w:t>related events of default with respect to us occur, the principal of, and accrued and unpaid interest on, all of the then outstanding 2027 Notes shall automatically become due and payable. If any other event of default occurs and is continuing, the 2027 Trustee by notice to us, or the holders of the 2027 Notes of at least 25% in principal amount of the outstanding 2027 Notes by notice to us and the 2027 Trustee, may declare the principal of, and accrued and unpaid interest on, all of the then outstanding 2027 Notes to be due and payable. Notwithstanding the foregoing, the 2027 Indenture provides that, to the extent we elect, the sole remedy for an event of default relating to certain failures by us to comply with reporting covenant in the 2027 Indenture consists exclusively of the right to receive additional interest on the 2027 Notes.</w:t>
      </w:r>
    </w:p>
    <w:p>
      <w:pPr>
        <w:spacing w:after="0" w:line="206"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color w:val="auto"/>
        </w:rPr>
        <w:t>We early adopted ASU No. 2020</w:t>
      </w:r>
      <w:r>
        <w:rPr>
          <w:rFonts w:ascii="MS PGothic" w:cs="MS PGothic" w:eastAsia="MS PGothic" w:hAnsi="MS PGothic"/>
          <w:sz w:val="17"/>
          <w:szCs w:val="17"/>
          <w:color w:val="auto"/>
        </w:rPr>
        <w:t>‑</w:t>
      </w:r>
      <w:r>
        <w:rPr>
          <w:rFonts w:ascii="Arial" w:cs="Arial" w:eastAsia="Arial" w:hAnsi="Arial"/>
          <w:sz w:val="17"/>
          <w:szCs w:val="17"/>
          <w:color w:val="auto"/>
        </w:rPr>
        <w:t xml:space="preserve">06, </w:t>
      </w:r>
      <w:r>
        <w:rPr>
          <w:rFonts w:ascii="Arial" w:cs="Arial" w:eastAsia="Arial" w:hAnsi="Arial"/>
          <w:sz w:val="17"/>
          <w:szCs w:val="17"/>
          <w:i w:val="1"/>
          <w:iCs w:val="1"/>
          <w:color w:val="auto"/>
        </w:rPr>
        <w:t>Debt–Debt with Conversion and Other Options (Subtopic 470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20) and Derivatives and Hedging–Contracts in</w:t>
      </w:r>
      <w:r>
        <w:rPr>
          <w:rFonts w:ascii="Arial" w:cs="Arial" w:eastAsia="Arial" w:hAnsi="Arial"/>
          <w:sz w:val="17"/>
          <w:szCs w:val="17"/>
          <w:color w:val="auto"/>
        </w:rPr>
        <w:t xml:space="preserve"> </w:t>
      </w:r>
      <w:r>
        <w:rPr>
          <w:rFonts w:ascii="Arial" w:cs="Arial" w:eastAsia="Arial" w:hAnsi="Arial"/>
          <w:sz w:val="17"/>
          <w:szCs w:val="17"/>
          <w:i w:val="1"/>
          <w:iCs w:val="1"/>
          <w:color w:val="auto"/>
        </w:rPr>
        <w:t>Entity’s Own Equity (Subtopic 815</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40): Accounting for Convertible Instruments and Contracts in an Entity’s Own Equity </w:t>
      </w:r>
      <w:r>
        <w:rPr>
          <w:rFonts w:ascii="Arial" w:cs="Arial" w:eastAsia="Arial" w:hAnsi="Arial"/>
          <w:sz w:val="17"/>
          <w:szCs w:val="17"/>
          <w:color w:val="auto"/>
        </w:rPr>
        <w:t>(“ASU 2020</w:t>
      </w:r>
      <w:r>
        <w:rPr>
          <w:rFonts w:ascii="MS PGothic" w:cs="MS PGothic" w:eastAsia="MS PGothic" w:hAnsi="MS PGothic"/>
          <w:sz w:val="17"/>
          <w:szCs w:val="17"/>
          <w:color w:val="auto"/>
        </w:rPr>
        <w:t>‑</w:t>
      </w:r>
      <w:r>
        <w:rPr>
          <w:rFonts w:ascii="Arial" w:cs="Arial" w:eastAsia="Arial" w:hAnsi="Arial"/>
          <w:sz w:val="17"/>
          <w:szCs w:val="17"/>
          <w:color w:val="auto"/>
        </w:rPr>
        <w:t>06”) as of January 1,</w:t>
      </w:r>
      <w:r>
        <w:rPr>
          <w:rFonts w:ascii="Arial" w:cs="Arial" w:eastAsia="Arial" w:hAnsi="Arial"/>
          <w:sz w:val="17"/>
          <w:szCs w:val="17"/>
          <w:i w:val="1"/>
          <w:iCs w:val="1"/>
          <w:color w:val="auto"/>
        </w:rPr>
        <w:t xml:space="preserve"> </w:t>
      </w:r>
      <w:r>
        <w:rPr>
          <w:rFonts w:ascii="Arial" w:cs="Arial" w:eastAsia="Arial" w:hAnsi="Arial"/>
          <w:sz w:val="17"/>
          <w:szCs w:val="17"/>
          <w:color w:val="auto"/>
        </w:rPr>
        <w:t>2021 and concluded the 2027 Notes will be accounted for as debt, with no bifurcation of the embedded conversion feature. Transaction costs were recorded as a direct deduction from the related debt liability in the consolidated balance sheet and are amortized to interest expense using the effective interest method over the term of the 2027 Notes. The effective interest rate for the 2027 Notes is 0.864%.</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2021, none of the conditions of the 2027 Notes to early convert has been met.</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2027 Notes are our senior, unsecured obligations that rank senior in right of payment to our future indebtedness that is expressly subordinated to the 2027 Notes, rank equally in right of payment with our existing and future senior unsecured indebtedness that is not so subordinated (including our 2026 Notes), effectively subordinated to our existing and future secured indebtedness (including obligations under our senior secured credit facilities), to the extent of the value of the collateral securing such indebtedness, and structurally subordinated to all existing and future indebtedness and other liabilities (including trade payables and preferred equity (to the extent we are not a holder thereof)) of our subsidiaries. The 2027 Notes contain both affirmative and negative covenants. As of September 30, 2021, we were in compliance with all covenants in the 2027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7" w:name="page78"/>
    <w:bookmarkEnd w:id="77"/>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Capped Call Options. </w:t>
      </w:r>
      <w:r>
        <w:rPr>
          <w:rFonts w:ascii="Arial" w:cs="Arial" w:eastAsia="Arial" w:hAnsi="Arial"/>
          <w:sz w:val="17"/>
          <w:szCs w:val="17"/>
          <w:color w:val="auto"/>
        </w:rPr>
        <w:t>In connection with the pricing of the 2027 Notes, we entered into capped call options with certain of the initial purchasers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their respective affiliates and certain other financial institutions. We incurred $50 of expenses in connection with the capped call options, which were recorded in </w:t>
      </w:r>
      <w:r>
        <w:rPr>
          <w:rFonts w:ascii="Arial" w:cs="Arial" w:eastAsia="Arial" w:hAnsi="Arial"/>
          <w:sz w:val="17"/>
          <w:szCs w:val="17"/>
          <w:i w:val="1"/>
          <w:iCs w:val="1"/>
          <w:color w:val="auto"/>
        </w:rPr>
        <w:t>Accounts payable</w:t>
      </w:r>
      <w:r>
        <w:rPr>
          <w:rFonts w:ascii="Arial" w:cs="Arial" w:eastAsia="Arial" w:hAnsi="Arial"/>
          <w:sz w:val="17"/>
          <w:szCs w:val="17"/>
          <w:color w:val="auto"/>
        </w:rPr>
        <w:t xml:space="preserve"> in the consolidated balance sheet as of September 30, 2021. The capped call options are expected to reduce potential dilution to our Class B Common Stock upon any conversion of 2027 Notes and/or offset any cash payments we are required to make in excess of the principal amount of converted notes, as the case may be, with such reduction and/or offset subject to a cap. The cap price of the capped call options is initially $95.5575 per share, which represents a premium of 55% above the last reported sale price per share of our Class B Common Stock on the Nasdaq Global Select Market on June 23, 2021 and is subject to customary adjustments under the terms of the capped call options.</w:t>
      </w:r>
    </w:p>
    <w:p>
      <w:pPr>
        <w:spacing w:after="0" w:line="17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capped call options were entered into in conjunction with the issuance of the 2027 Notes, however, they are legally separate agreements that can be separately exercised, with the receipt of shares under the capped call options having no effect on the 2027 Notes, and are legally detachable. As the capped call options are both legally detachable and separately exercisable from the 2027 Notes, we account for the capped call options separately from the 2027 Notes. The capped call options are indexed to our own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61"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2026 Notes. </w:t>
      </w:r>
      <w:r>
        <w:rPr>
          <w:rFonts w:ascii="Arial" w:cs="Arial" w:eastAsia="Arial" w:hAnsi="Arial"/>
          <w:sz w:val="17"/>
          <w:szCs w:val="17"/>
          <w:color w:val="auto"/>
        </w:rPr>
        <w:t>On January 26, 2021, we completed a private offering of $690,000 of 0.125% convertible senior notes due 2026. The 2026 Notes were</w:t>
      </w:r>
      <w:r>
        <w:rPr>
          <w:rFonts w:ascii="Arial" w:cs="Arial" w:eastAsia="Arial" w:hAnsi="Arial"/>
          <w:sz w:val="17"/>
          <w:szCs w:val="17"/>
          <w:i w:val="1"/>
          <w:iCs w:val="1"/>
          <w:color w:val="auto"/>
        </w:rPr>
        <w:t xml:space="preserve"> </w:t>
      </w:r>
      <w:r>
        <w:rPr>
          <w:rFonts w:ascii="Arial" w:cs="Arial" w:eastAsia="Arial" w:hAnsi="Arial"/>
          <w:sz w:val="17"/>
          <w:szCs w:val="17"/>
          <w:color w:val="auto"/>
        </w:rPr>
        <w:t>issued pursuant to an indenture, dated as of January 26, 2021, between the Company and Wilmington Trust, National Association, as trustee (the “2026 Trustee”) (the “2026 Indenture”). Interest will accrue from January 26, 2021 and will be payable semi</w:t>
      </w:r>
      <w:r>
        <w:rPr>
          <w:rFonts w:ascii="MS PGothic" w:cs="MS PGothic" w:eastAsia="MS PGothic" w:hAnsi="MS PGothic"/>
          <w:sz w:val="17"/>
          <w:szCs w:val="17"/>
          <w:color w:val="auto"/>
        </w:rPr>
        <w:t>‑</w:t>
      </w:r>
      <w:r>
        <w:rPr>
          <w:rFonts w:ascii="Arial" w:cs="Arial" w:eastAsia="Arial" w:hAnsi="Arial"/>
          <w:sz w:val="17"/>
          <w:szCs w:val="17"/>
          <w:color w:val="auto"/>
        </w:rPr>
        <w:t>annually in arrears in cash on January 15 and July 15 of each year, with the first payment due on July 15, 2021. The 2026 Notes will mature on January 15, 2026, unless earlier converted, redeemed or repurchased. We incurred $18,055 of expenses in connection with the 2026 Notes offering consisting of transaction costs. We used $25,530 of the net proceeds from the sale of the 2026 Notes to pay the premiums of the capped call options described further below, and approximately $250,500 to repay outstanding indebtedness under the Credit Facility and to pay related fees and expenses. We used the remainder of the net proceeds from the sale of the 2026 Notes for general corporate purposes and towards funding certain acquisitions, including Seequent.</w:t>
      </w:r>
    </w:p>
    <w:p>
      <w:pPr>
        <w:spacing w:after="0" w:line="20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Prior to October 15, 2025, the 2026 Notes will be convertible at the option of the holder only under the following circumstances: (1) during any calendar quarter (and only during such quarter) commencing after the calendar quarter ending on June 30, 2021, if the last reported sale price per share of our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our Class B Common Stock on such trading day and the conversion rate on such trading day; (3) upon the occurrence of certain corporate events or distributions on our Class B Common Stock, as described in the 2026 Indenture; and (4) if we call the 2026 Notes for redemption. On or after October 15, 2025 until 5:00 p.m., New York City time, on the second scheduled trading day immediately before the maturity date, the 2026 Notes will be convertible at the option of the holder at any time.</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settle conversions by paying or delivering, as applicable, cash, shares of our Class B Common Stock or a combination of cash and shares of our Class B Common Stock, at our election, based on the applicable conversion rate. The initial conversion rate is 15.5925 shares of our Class B Common Stock per $1 principal amount of 2026 Notes, which represents an initial conversion price of approximately $64.13 per share, and is subject to adjustment as described in the 2026 Indenture. If a “make-whole fundamental change” (as defined in the 2026 Indenture) occurs, then we will, in certain circumstances, increase the conversion rate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8" w:name="page79"/>
    <w:bookmarkEnd w:id="78"/>
    <w:p>
      <w:pPr>
        <w:jc w:val="both"/>
        <w:ind w:firstLine="324"/>
        <w:spacing w:after="0" w:line="255" w:lineRule="auto"/>
        <w:rPr>
          <w:sz w:val="20"/>
          <w:szCs w:val="20"/>
          <w:color w:val="auto"/>
        </w:rPr>
      </w:pPr>
      <w:r>
        <w:rPr>
          <w:rFonts w:ascii="Arial" w:cs="Arial" w:eastAsia="Arial" w:hAnsi="Arial"/>
          <w:sz w:val="18"/>
          <w:szCs w:val="18"/>
          <w:color w:val="auto"/>
        </w:rPr>
        <w:t>We will have the option to redeem the 2026 Notes in whole or in part at any time on or after January 20, 2024 and on or before the 40th scheduled trading day immediately before the maturity date if the last reported sale price per share of our Class B common stock exceeds 130% of the conversion price on (1) each of at least 20 trading days, whether or not consecutive, during any 30 consecutive trading days ending on, and including, the trading day immediately before the date we send the related redemption notice; and (2) the trading day immediately before the date we send such notice. The redemption price will be equal to the principal amount of the 2026 Notes to be redeemed, plus accrued and unpaid interest, if any, to, but excluding, the redemption date.</w:t>
      </w:r>
    </w:p>
    <w:p>
      <w:pPr>
        <w:spacing w:after="0" w:line="192"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Upon a fundamental change (as defined in the 2026 Indenture), holders may, subject to certain exceptions, require us to purchase their 2026 Notes in whole or in part for cash at a price equal to the principal amount of the 2026 Notes to be purchased, plus accrued and unpaid interest, if any, to, but excluding, the fundamental change repurchase date (as defined in the 2026 Indenture). In addition, upon a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(as defined in the 2026 Indenture), we will, under certain circumstances, increase the applicable conversion rate for a holder that elects to convert its 2026 Notes in connection with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No adjustment to the conversion rate will be made if the stock price in such Make</w:t>
      </w:r>
      <w:r>
        <w:rPr>
          <w:rFonts w:ascii="MS PGothic" w:cs="MS PGothic" w:eastAsia="MS PGothic" w:hAnsi="MS PGothic"/>
          <w:sz w:val="16"/>
          <w:szCs w:val="16"/>
          <w:color w:val="auto"/>
        </w:rPr>
        <w:t>‑</w:t>
      </w:r>
      <w:r>
        <w:rPr>
          <w:rFonts w:ascii="Arial" w:cs="Arial" w:eastAsia="Arial" w:hAnsi="Arial"/>
          <w:sz w:val="16"/>
          <w:szCs w:val="16"/>
          <w:color w:val="auto"/>
        </w:rPr>
        <w:t>Whole Fundamental Change is either less than $44.23 per share or greater than $210.00 per share. We will not increase the conversion rate to an amount that exceeds 22.6090 shares per $1 principal amount of 2026 Notes, subject to adjustment. The 2026 Indenture also contains a customary merger covenant.</w:t>
      </w:r>
    </w:p>
    <w:p>
      <w:pPr>
        <w:spacing w:after="0" w:line="204"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Under the 2026 Indenture, the 2026 Notes may be accelerated upon the occurrence of certain customary events of default. If certain bankruptcy and insolvency</w:t>
      </w:r>
      <w:r>
        <w:rPr>
          <w:rFonts w:ascii="MS PGothic" w:cs="MS PGothic" w:eastAsia="MS PGothic" w:hAnsi="MS PGothic"/>
          <w:sz w:val="17"/>
          <w:szCs w:val="17"/>
          <w:color w:val="auto"/>
        </w:rPr>
        <w:t>‑</w:t>
      </w:r>
      <w:r>
        <w:rPr>
          <w:rFonts w:ascii="Arial" w:cs="Arial" w:eastAsia="Arial" w:hAnsi="Arial"/>
          <w:sz w:val="17"/>
          <w:szCs w:val="17"/>
          <w:color w:val="auto"/>
        </w:rPr>
        <w:t>related events of default with respect to us occur, the principal of, and accrued and unpaid interest on, all of the then outstanding 2026 Notes shall automatically become due and payable. If any other event of default occurs and is continuing, the 2026 Trustee by notice to us, or the holders of the 2026 Notes of at least 25% in principal amount of the outstanding 2026 Notes by notice to us and the 2026 Trustee, may declare the principal of, and accrued and unpaid interest on, all of the then outstanding 2026 Notes to be due and payable. Notwithstanding the foregoing, the 2026 Indenture provides that, to the extent we elect, the sole remedy for an event of default relating to certain failures by us to comply with reporting covenant in the 2026 Indenture consists exclusively of the right to receive additional interest on the 2026 Notes.</w:t>
      </w:r>
    </w:p>
    <w:p>
      <w:pPr>
        <w:spacing w:after="0" w:line="206"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As previously mentioned, we early adopted ASU 2020</w:t>
      </w:r>
      <w:r>
        <w:rPr>
          <w:rFonts w:ascii="MS PGothic" w:cs="MS PGothic" w:eastAsia="MS PGothic" w:hAnsi="MS PGothic"/>
          <w:sz w:val="18"/>
          <w:szCs w:val="18"/>
          <w:color w:val="auto"/>
        </w:rPr>
        <w:t>‑</w:t>
      </w:r>
      <w:r>
        <w:rPr>
          <w:rFonts w:ascii="Arial" w:cs="Arial" w:eastAsia="Arial" w:hAnsi="Arial"/>
          <w:sz w:val="18"/>
          <w:szCs w:val="18"/>
          <w:color w:val="auto"/>
        </w:rPr>
        <w:t>06 as of January 1, 2021 and concluded the 2026 Notes will be accounted for as debt, with no bifurcation of the embedded conversion feature. Transaction costs were recorded as a direct deduction from the related debt liability in the consolidated balance sheet and are amortized to interest expense using the effective interest method over the term of the 2026 Notes. The effective interest rate for the 2026 Notes is 0.658%.</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2021, none of the conditions of the 2026 Notes to early convert has been met.</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2026 Notes are our senior, unsecured obligations that rank senior in right of payment to our future indebtedness that is expressly subordinated to the 2026 Notes, rank equally in right of payment with our existing and future senior unsecured indebtedness that is not so subordinated (including our 2027 Notes, see the section titled “—2027 Notes” below), effectively subordinated to our existing and future secured indebtedness (including obligations under our senior secured credit facilities), to the extent of the value of the collateral securing such indebtedness, and structurally subordinated to all existing and future indebtedness and other liabilities (including trade payables and preferred equity (to the extent we are not a holder thereof)) of our subsidiaries. The 2026 Notes contain both affirmative and negative covenants. As of September 30, 2021, we were in compliance with all covenants in the 2026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9" w:name="page80"/>
    <w:bookmarkEnd w:id="79"/>
    <w:p>
      <w:pPr>
        <w:jc w:val="both"/>
        <w:ind w:firstLine="324"/>
        <w:spacing w:after="0" w:line="254" w:lineRule="auto"/>
        <w:rPr>
          <w:sz w:val="20"/>
          <w:szCs w:val="20"/>
          <w:color w:val="auto"/>
        </w:rPr>
      </w:pPr>
      <w:r>
        <w:rPr>
          <w:rFonts w:ascii="Arial" w:cs="Arial" w:eastAsia="Arial" w:hAnsi="Arial"/>
          <w:sz w:val="18"/>
          <w:szCs w:val="18"/>
          <w:i w:val="1"/>
          <w:iCs w:val="1"/>
          <w:color w:val="auto"/>
        </w:rPr>
        <w:t>Capped Call Options</w:t>
      </w:r>
      <w:r>
        <w:rPr>
          <w:rFonts w:ascii="Arial" w:cs="Arial" w:eastAsia="Arial" w:hAnsi="Arial"/>
          <w:sz w:val="18"/>
          <w:szCs w:val="18"/>
          <w:color w:val="auto"/>
        </w:rPr>
        <w:t>. In connection with the pricing of the 2026 Notes, we entered into capped call options with certain of the initial purchasers or</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respective affiliates and certain other financial institutions. We incurred $150 of expenses in connection with the capped call options. The capped call options are expected to reduce potential dilution to our Class B Common Stock upon any conversion of 2026 Notes and/or offset any cash payments we are required to make in excess of the principal amount of converted notes, as the case may be, with such reduction and/or offset subject to a cap. The cap price of the capped call options is initially $72.9795 per share, which represents a premium of 65% above the last reported sale price per share of our Class B Common Stock on the Nasdaq Global Select Market on January 21, 2021 and is subject to customary adjustments under the terms of the capped call options.</w:t>
      </w:r>
    </w:p>
    <w:p>
      <w:pPr>
        <w:spacing w:after="0" w:line="19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capped call options were entered into in conjunction with the issuance of the 2026 Notes, however, they are legally separate agreements that can be separately exercised, with the receipt of shares under the capped call options having no effect on the 2026 Notes, and are legally detachable. As the capped call options are both legally detachable and separately exercisable from the 2026 Notes, we account for the capped call options separately from the 2026 Notes. The capped call options are indexed to our own common stock and classified in stockholders’ equity. As such, the premiums paid for the capped call options have been included as a net reduction to </w:t>
      </w:r>
      <w:r>
        <w:rPr>
          <w:rFonts w:ascii="Arial" w:cs="Arial" w:eastAsia="Arial" w:hAnsi="Arial"/>
          <w:sz w:val="16"/>
          <w:szCs w:val="16"/>
          <w:i w:val="1"/>
          <w:iCs w:val="1"/>
          <w:color w:val="auto"/>
        </w:rPr>
        <w:t>Additional paid-in capital</w:t>
      </w:r>
      <w:r>
        <w:rPr>
          <w:rFonts w:ascii="Arial" w:cs="Arial" w:eastAsia="Arial" w:hAnsi="Arial"/>
          <w:sz w:val="16"/>
          <w:szCs w:val="16"/>
          <w:color w:val="auto"/>
        </w:rPr>
        <w:t xml:space="preserve"> in the consolidated balance sheet.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 activities for the nine months ended September 30, 2021 and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0"/>
        </w:trPr>
        <w:tc>
          <w:tcPr>
            <w:tcW w:w="78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207,417</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540"/>
              <w:spacing w:after="0"/>
              <w:rPr>
                <w:sz w:val="20"/>
                <w:szCs w:val="20"/>
                <w:color w:val="auto"/>
              </w:rPr>
            </w:pPr>
            <w:r>
              <w:rPr>
                <w:rFonts w:ascii="Arial" w:cs="Arial" w:eastAsia="Arial" w:hAnsi="Arial"/>
                <w:sz w:val="18"/>
                <w:szCs w:val="18"/>
                <w:color w:val="auto"/>
                <w:w w:val="98"/>
              </w:rPr>
              <w:t>176,025</w:t>
            </w:r>
          </w:p>
        </w:tc>
      </w:tr>
      <w:tr>
        <w:trPr>
          <w:trHeight w:val="270"/>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(1,047,847)</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2"/>
              </w:rPr>
              <w:t>(88,808)</w:t>
            </w:r>
          </w:p>
        </w:tc>
      </w:tr>
      <w:tr>
        <w:trPr>
          <w:trHeight w:val="270"/>
        </w:trPr>
        <w:tc>
          <w:tcPr>
            <w:tcW w:w="78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869,649</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ind w:left="560"/>
              <w:spacing w:after="0"/>
              <w:rPr>
                <w:sz w:val="20"/>
                <w:szCs w:val="20"/>
                <w:color w:val="auto"/>
              </w:rPr>
            </w:pPr>
            <w:r>
              <w:rPr>
                <w:rFonts w:ascii="Arial" w:cs="Arial" w:eastAsia="Arial" w:hAnsi="Arial"/>
                <w:sz w:val="18"/>
                <w:szCs w:val="18"/>
                <w:color w:val="auto"/>
                <w:w w:val="92"/>
              </w:rPr>
              <w:t>(70,130)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Net cash provided by operating activities was $207,417 for the nine months ended September 30, 2021. Compared to the same period in the prior year, net cash from operating activities was higher by $31,392 due to a net increase in net cash flows from the change in operating assets and liabilities of $56,312, partially offset by a decrease in net income of $22,801 and a net decrease in non</w:t>
      </w:r>
      <w:r>
        <w:rPr>
          <w:rFonts w:ascii="MS PGothic" w:cs="MS PGothic" w:eastAsia="MS PGothic" w:hAnsi="MS PGothic"/>
          <w:sz w:val="16"/>
          <w:szCs w:val="16"/>
          <w:color w:val="auto"/>
        </w:rPr>
        <w:t>‑</w:t>
      </w:r>
      <w:r>
        <w:rPr>
          <w:rFonts w:ascii="Arial" w:cs="Arial" w:eastAsia="Arial" w:hAnsi="Arial"/>
          <w:sz w:val="16"/>
          <w:szCs w:val="16"/>
          <w:color w:val="auto"/>
        </w:rPr>
        <w:t>cash adjustments of $2,119. The net increase in cash flows from the change in operating assets and liabilities was primarily due to the increase in deferred compensation plan liabilities (as previously described above), the changes in accounts receivable due to timing of collections from customers, and an increase in prepaid income taxes.</w:t>
      </w:r>
    </w:p>
    <w:p>
      <w:pPr>
        <w:spacing w:after="0" w:line="204" w:lineRule="exact"/>
        <w:rPr>
          <w:sz w:val="20"/>
          <w:szCs w:val="20"/>
          <w:color w:val="auto"/>
        </w:rPr>
      </w:pPr>
    </w:p>
    <w:p>
      <w:pPr>
        <w:jc w:val="both"/>
        <w:ind w:right="20" w:firstLine="324"/>
        <w:spacing w:after="0" w:line="223" w:lineRule="exact"/>
        <w:rPr>
          <w:sz w:val="20"/>
          <w:szCs w:val="20"/>
          <w:color w:val="auto"/>
        </w:rPr>
      </w:pPr>
      <w:r>
        <w:rPr>
          <w:rFonts w:ascii="Arial" w:cs="Arial" w:eastAsia="Arial" w:hAnsi="Arial"/>
          <w:sz w:val="18"/>
          <w:szCs w:val="18"/>
          <w:color w:val="auto"/>
        </w:rPr>
        <w:t>For the nine months ended September 30, 2020, net cash provided by operating activities was $176,025 due to net income of $74,589 increased by $51,600 of non</w:t>
      </w:r>
      <w:r>
        <w:rPr>
          <w:rFonts w:ascii="MS PGothic" w:cs="MS PGothic" w:eastAsia="MS PGothic" w:hAnsi="MS PGothic"/>
          <w:sz w:val="18"/>
          <w:szCs w:val="18"/>
          <w:color w:val="auto"/>
        </w:rPr>
        <w:t>‑</w:t>
      </w:r>
      <w:r>
        <w:rPr>
          <w:rFonts w:ascii="Arial" w:cs="Arial" w:eastAsia="Arial" w:hAnsi="Arial"/>
          <w:sz w:val="18"/>
          <w:szCs w:val="18"/>
          <w:color w:val="auto"/>
        </w:rPr>
        <w:t>cash adjustments and $49,836 from changes in operating assets and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investing activities was $1,047,847 for the nine months ended September 30, 2021, primarily due to $11,152 related to purchases of property and equipment and investment in capitalized software and $1,033,695 in acquisition related payments, net of cash acquired.</w:t>
      </w:r>
    </w:p>
    <w:p>
      <w:pPr>
        <w:spacing w:after="0" w:line="14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For the nine months ended September 30, 2020, net cash used in investing activities was $88,808, primarily due to $13,533 related to purchases of property and equipment and investment in capitalized software and $68,920 in acquisition related payments, net of cash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cash provided by financing activities was $869,649 for the nine months ended September 30, 2021. Compared to the prior year comparative period, net cash provided by financing activities increased by $939,779, primarily due to the net proceeds from the convertible senior notes of $1,233,377 and a decrease in payments for dividends of $387,776, partially offset by a decrease in net borrowings of $534,395 under the Credit Facility, the purchase of capped call options of $51,555, and an increase in net payments for shares acquired of $38,830.</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2020, net cash used in financing activities was $70,130, primarily due to payments of dividends of $412,852, partially offset by an increase in net borrowings $356,250.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As noted above, on January 26, 2021, we completed the 2026 Notes private offering, and on June 28, 2021, we completed the 2027 Notes private offering. See Note 10 to our unaudited consolidated financial statements included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As a result of a net increase in long</w:t>
      </w:r>
      <w:r>
        <w:rPr>
          <w:rFonts w:ascii="MS PGothic" w:cs="MS PGothic" w:eastAsia="MS PGothic" w:hAnsi="MS PGothic"/>
          <w:sz w:val="18"/>
          <w:szCs w:val="18"/>
          <w:color w:val="auto"/>
        </w:rPr>
        <w:t>‑</w:t>
      </w:r>
      <w:r>
        <w:rPr>
          <w:rFonts w:ascii="Arial" w:cs="Arial" w:eastAsia="Arial" w:hAnsi="Arial"/>
          <w:sz w:val="18"/>
          <w:szCs w:val="18"/>
          <w:color w:val="auto"/>
        </w:rPr>
        <w:t>term debt, our obligation for interest on long</w:t>
      </w:r>
      <w:r>
        <w:rPr>
          <w:rFonts w:ascii="MS PGothic" w:cs="MS PGothic" w:eastAsia="MS PGothic" w:hAnsi="MS PGothic"/>
          <w:sz w:val="18"/>
          <w:szCs w:val="18"/>
          <w:color w:val="auto"/>
        </w:rPr>
        <w:t>‑</w:t>
      </w:r>
      <w:r>
        <w:rPr>
          <w:rFonts w:ascii="Arial" w:cs="Arial" w:eastAsia="Arial" w:hAnsi="Arial"/>
          <w:sz w:val="18"/>
          <w:szCs w:val="18"/>
          <w:color w:val="auto"/>
        </w:rPr>
        <w:t>term debt will also increase.</w:t>
      </w:r>
    </w:p>
    <w:p>
      <w:pPr>
        <w:spacing w:after="0" w:line="204"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Also as noted above, in August 2021, our Board of Directors approved an amendment to the DCP, which offered to certain active executives in the DCP a one</w:t>
      </w:r>
      <w:r>
        <w:rPr>
          <w:rFonts w:ascii="MS PGothic" w:cs="MS PGothic" w:eastAsia="MS PGothic" w:hAnsi="MS PGothic"/>
          <w:sz w:val="18"/>
          <w:szCs w:val="18"/>
          <w:color w:val="auto"/>
        </w:rPr>
        <w:t>‑</w:t>
      </w:r>
      <w:r>
        <w:rPr>
          <w:rFonts w:ascii="Arial" w:cs="Arial" w:eastAsia="Arial" w:hAnsi="Arial"/>
          <w:sz w:val="18"/>
          <w:szCs w:val="18"/>
          <w:color w:val="auto"/>
        </w:rPr>
        <w:t>time, short</w:t>
      </w:r>
      <w:r>
        <w:rPr>
          <w:rFonts w:ascii="MS PGothic" w:cs="MS PGothic" w:eastAsia="MS PGothic" w:hAnsi="MS PGothic"/>
          <w:sz w:val="18"/>
          <w:szCs w:val="18"/>
          <w:color w:val="auto"/>
        </w:rPr>
        <w:t>‑</w:t>
      </w:r>
      <w:r>
        <w:rPr>
          <w:rFonts w:ascii="Arial" w:cs="Arial" w:eastAsia="Arial" w:hAnsi="Arial"/>
          <w:sz w:val="18"/>
          <w:szCs w:val="18"/>
          <w:color w:val="auto"/>
        </w:rPr>
        <w:t>term election to reallocate a limited portion of their DCP holdings from phantom shares of the Company’s Class B Common Stock into other DCP phantom investment funds. While DCP participants’ investments in phantom shares remain equity classified, as they will be settled in shares of Class B Common Stock upon eventual distribution, the amendment and elections resulted in a change to liability classification for the reallocated phantom investments, as they will be settled in cash upon eventual distribution. See Note 12 to our unaudited consolidated financial statements included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03"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7"/>
          <w:szCs w:val="17"/>
          <w:color w:val="auto"/>
        </w:rPr>
        <w:t>There have been no other material changes to our contractual obligations and other commitments as disclosed in Part II, Item 7 Management’s Discussion and Analysis of Financial Condition and Results of Operations in our 2020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on file with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Section 107 of the U.S. Tax Cuts and Jobs Act (the “JOBS Act”) provides that an “emerging growth company” can use the extended transition period provided in Section 7(a)(2)(B) of the Securities Act, as amended by Section 102(b)(1) of the JOBS Act, for complying with new or revised accounting standards. This permits an “emerging growth company” to delay the adoption of new or revised accounting standards that have different effective dates for public and private companies until those standards would otherwise apply to private companies. We have elected to use the extended transition period provided in Section 7(a)(2)(B)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Section 7(a)(2)(B). As a result, our consolidated financial statements may not be comparable to those of companies that comply with public company effective dates. We expect that we will no longer qualify as an emerging growth company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There have been no significant changes in our market risk exposure as described in Part II, Item 7A. Quantitative and Qualitative Disclosures About Market Risk in our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 other than the following:</w:t>
      </w:r>
    </w:p>
    <w:p>
      <w:pPr>
        <w:spacing w:after="0" w:line="2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The fair value of our 2026 and 2027 Notes is subject to interest rate risk, market risk, and other factors due to the conversion feature.</w:t>
      </w:r>
      <w:r>
        <w:rPr>
          <w:rFonts w:ascii="Arial" w:cs="Arial" w:eastAsia="Arial" w:hAnsi="Arial"/>
          <w:sz w:val="17"/>
          <w:szCs w:val="17"/>
          <w:i w:val="1"/>
          <w:iCs w:val="1"/>
          <w:color w:val="auto"/>
        </w:rPr>
        <w:t xml:space="preserve"> </w:t>
      </w:r>
      <w:r>
        <w:rPr>
          <w:rFonts w:ascii="Arial" w:cs="Arial" w:eastAsia="Arial" w:hAnsi="Arial"/>
          <w:sz w:val="17"/>
          <w:szCs w:val="17"/>
          <w:color w:val="auto"/>
        </w:rPr>
        <w:t>The capped call options that were entered into concurrently with the issuance of our 2026 and 2027 Notes were completed to reduce the potential dilution from the conversion of the 2026 and 2027 Notes. The fair value of the 2026 and 2027 Notes will generally increase as interest rates fall and decrease as interest rates rise. In addition, the fair value of the 2026 and 2027 Notes will generally increase as our Class B Common Stock price increases and will generally decrease as the common stock price declines. The interest and market value changes affect the fair value of the 2026 Notes, but do not impact our financial position, results of operations, or cash flows due to the fixed nature of the debt obligation.</w:t>
      </w:r>
    </w:p>
    <w:p>
      <w:pPr>
        <w:spacing w:after="0" w:line="178"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7"/>
          <w:szCs w:val="17"/>
          <w:color w:val="auto"/>
        </w:rPr>
        <w:t xml:space="preserve">The Second and Third Amendments to the Credit Facility did not change our </w:t>
      </w:r>
      <w:r>
        <w:rPr>
          <w:rFonts w:ascii="Arial" w:cs="Arial" w:eastAsia="Arial" w:hAnsi="Arial"/>
          <w:sz w:val="17"/>
          <w:szCs w:val="17"/>
          <w:i w:val="1"/>
          <w:iCs w:val="1"/>
          <w:color w:val="auto"/>
        </w:rPr>
        <w:t>Interest rate risk</w:t>
      </w:r>
      <w:r>
        <w:rPr>
          <w:rFonts w:ascii="Arial" w:cs="Arial" w:eastAsia="Arial" w:hAnsi="Arial"/>
          <w:sz w:val="17"/>
          <w:szCs w:val="17"/>
          <w:color w:val="auto"/>
        </w:rPr>
        <w:t xml:space="preserve"> disclosure related to the Credit Facility included in Part II, Item 7A. Quantitative and Qualitative Disclosures About Market Risk in our 2020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on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Effectiveness of Disclosure Controls and Procedures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Our management maintains disclosure controls and procedures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September 30, 2021,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color w:val="auto"/>
        </w:rPr>
        <w:t>There was no change in our internal control over financial reporting identified in management's evaluation pursuant to Rules 13a or 15d of the Exchange Act that occurred during the quarter ended September 30, 2021 that has materially affected, or is reasonably likely to materially affect, our internal control over financial reporting. We have not experienced any material impact in our internal control over financial reporting despite our colleagues working remotely due to the COVID</w:t>
      </w:r>
      <w:r>
        <w:rPr>
          <w:rFonts w:ascii="MS PGothic" w:cs="MS PGothic" w:eastAsia="MS PGothic" w:hAnsi="MS PGothic"/>
          <w:sz w:val="18"/>
          <w:szCs w:val="18"/>
          <w:color w:val="auto"/>
        </w:rPr>
        <w:t>‑</w:t>
      </w:r>
      <w:r>
        <w:rPr>
          <w:rFonts w:ascii="Arial" w:cs="Arial" w:eastAsia="Arial" w:hAnsi="Arial"/>
          <w:sz w:val="18"/>
          <w:szCs w:val="18"/>
          <w:color w:val="auto"/>
        </w:rPr>
        <w:t>19 pandemic. We are continually monitoring and assessing the COVID</w:t>
      </w:r>
      <w:r>
        <w:rPr>
          <w:rFonts w:ascii="MS PGothic" w:cs="MS PGothic" w:eastAsia="MS PGothic" w:hAnsi="MS PGothic"/>
          <w:sz w:val="18"/>
          <w:szCs w:val="18"/>
          <w:color w:val="auto"/>
        </w:rPr>
        <w:t>‑</w:t>
      </w:r>
      <w:r>
        <w:rPr>
          <w:rFonts w:ascii="Arial" w:cs="Arial" w:eastAsia="Arial" w:hAnsi="Arial"/>
          <w:sz w:val="18"/>
          <w:szCs w:val="18"/>
          <w:color w:val="auto"/>
        </w:rPr>
        <w:t>19 pandemic on our internal controls including changes to their design and operating effectiveness.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reasonable assurance that our controls will succeed in achieving their goals under all potential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pacing w:after="0" w:line="149" w:lineRule="exact"/>
        <w:rPr>
          <w:sz w:val="20"/>
          <w:szCs w:val="20"/>
          <w:color w:val="auto"/>
        </w:rPr>
      </w:pPr>
    </w:p>
    <w:p>
      <w:pPr>
        <w:ind w:left="340"/>
        <w:spacing w:after="0" w:line="207" w:lineRule="exact"/>
        <w:rPr>
          <w:sz w:val="20"/>
          <w:szCs w:val="20"/>
          <w:color w:val="auto"/>
        </w:rPr>
      </w:pPr>
      <w:r>
        <w:rPr>
          <w:rFonts w:ascii="Arial" w:cs="Arial" w:eastAsia="Arial" w:hAnsi="Arial"/>
          <w:sz w:val="18"/>
          <w:szCs w:val="18"/>
          <w:color w:val="auto"/>
        </w:rPr>
        <w:t>See Note 18 to our unaudited consolidated financial statements included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 addition to other information set forth in this report, you should carefully consider the risk factors described in Part I. Item 1A. Risk Factors in our 2020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on file with the SEC, which could materially affect our business, financial condition or future results. Additional risks and uncertainties not currently known to us or that we currently deem to be immaterial also may materially and adversely affect our business, financial condition and/or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From July 1, 2021 to September 30, 2021, we issued 192,383 shares of our Class B Common Stock pursuant to the vesting of restricted stock awards and restricted stock units.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From July 1, 2021 to September 30, 2021, we issued 88,920 shares of our Class B Common Stock in connection with distributions from our amended and restated Bentley Systems, Incorporated Nonqualified Deferred Compensation Plan.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offers, sales, and issuances of these securities were exempt from registration under the Securities Act in reliance upon Rule 701 promulgated under the Securities Act as transactions under compensatory benefit plans and contracts relating to compensation in compliance with Rule 701 or in reliance upon Section 4(a)(2) of the Securities Act as transactions by an issuer not involving any public offering. None of the foregoing transactions involved any underwriters, underwriting discounts or commissions, or any public offering. The issuances of these securities were made without any general solicitation or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4" w:name="page85"/>
    <w:bookmarkEnd w:id="84"/>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6"/>
              </w:rPr>
              <w:t>Item 6. Exhibits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60" w:type="dxa"/>
            <w:vAlign w:val="bottom"/>
            <w:gridSpan w:val="4"/>
            <w:vMerge w:val="restart"/>
          </w:tcPr>
          <w:p>
            <w:pPr>
              <w:ind w:left="28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260" w:type="dxa"/>
            <w:vAlign w:val="bottom"/>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0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00" w:type="dxa"/>
            <w:vAlign w:val="bottom"/>
            <w:tcBorders>
              <w:top w:val="single" w:sz="8" w:color="auto"/>
            </w:tcBorders>
            <w:gridSpan w:val="6"/>
          </w:tcPr>
          <w:p>
            <w:pPr>
              <w:spacing w:after="0" w:line="182" w:lineRule="exact"/>
              <w:rPr>
                <w:rFonts w:ascii="Arial" w:cs="Arial" w:eastAsia="Arial" w:hAnsi="Arial"/>
                <w:sz w:val="18"/>
                <w:szCs w:val="18"/>
                <w:color w:val="0000FF"/>
                <w:w w:val="90"/>
              </w:rPr>
            </w:pPr>
            <w:hyperlink w:anchor="page87">
              <w:r>
                <w:rPr>
                  <w:rFonts w:ascii="Arial" w:cs="Arial" w:eastAsia="Arial" w:hAnsi="Arial"/>
                  <w:sz w:val="18"/>
                  <w:szCs w:val="18"/>
                  <w:color w:val="0000FF"/>
                  <w:w w:val="90"/>
                </w:rPr>
                <w:t>Amendment No. 1 to the Bentley Systems, Incorporated Nonqualified Deferred Compensation Plan, as amended and restated effective as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87">
              <w:r>
                <w:rPr>
                  <w:rFonts w:ascii="Arial" w:cs="Arial" w:eastAsia="Arial" w:hAnsi="Arial"/>
                  <w:sz w:val="18"/>
                  <w:szCs w:val="18"/>
                  <w:color w:val="0000FF"/>
                </w:rPr>
                <w:t>of September 22, 2020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2"/>
          </w:tcPr>
          <w:p>
            <w:pPr>
              <w:jc w:val="right"/>
              <w:ind w:right="45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6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93">
              <w:r>
                <w:rPr>
                  <w:rFonts w:ascii="Arial" w:cs="Arial" w:eastAsia="Arial" w:hAnsi="Arial"/>
                  <w:sz w:val="18"/>
                  <w:szCs w:val="18"/>
                  <w:color w:val="0000FF"/>
                  <w:w w:val="90"/>
                </w:rPr>
                <w:t>Certification of CEO pursuant to Rule 13a-14(a) and Rule 15d-14(a) of the Securities Exchange Act of 1934, as amended</w:t>
              </w:r>
            </w:hyperlink>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gridSpan w:val="2"/>
          </w:tcPr>
          <w:p>
            <w:pPr>
              <w:jc w:val="right"/>
              <w:ind w:right="45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4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94">
              <w:r>
                <w:rPr>
                  <w:rFonts w:ascii="Arial" w:cs="Arial" w:eastAsia="Arial" w:hAnsi="Arial"/>
                  <w:sz w:val="18"/>
                  <w:szCs w:val="18"/>
                  <w:color w:val="0000FF"/>
                  <w:w w:val="90"/>
                </w:rPr>
                <w:t>Certification of CFO pursuant to Rule 13a-14(a) and Rule 15d-14(a) of the Securities Exchange Act of 1934, as amended</w:t>
              </w:r>
            </w:hyperlink>
          </w:p>
        </w:tc>
        <w:tc>
          <w:tcPr>
            <w:tcW w:w="11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20" w:type="dxa"/>
            <w:vAlign w:val="bottom"/>
            <w:gridSpan w:val="2"/>
          </w:tcPr>
          <w:p>
            <w:pPr>
              <w:jc w:val="right"/>
              <w:ind w:right="45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tcBorders>
              <w:bottom w:val="single" w:sz="8" w:color="0000FF"/>
            </w:tcBorders>
            <w:gridSpan w:val="6"/>
          </w:tcPr>
          <w:p>
            <w:pPr>
              <w:spacing w:after="0"/>
              <w:rPr>
                <w:rFonts w:ascii="Arial" w:cs="Arial" w:eastAsia="Arial" w:hAnsi="Arial"/>
                <w:sz w:val="18"/>
                <w:szCs w:val="18"/>
                <w:color w:val="0000FF"/>
                <w:w w:val="93"/>
              </w:rPr>
            </w:pPr>
            <w:hyperlink w:anchor="page95">
              <w:r>
                <w:rPr>
                  <w:rFonts w:ascii="Arial" w:cs="Arial" w:eastAsia="Arial" w:hAnsi="Arial"/>
                  <w:sz w:val="18"/>
                  <w:szCs w:val="18"/>
                  <w:color w:val="0000FF"/>
                  <w:w w:val="93"/>
                </w:rPr>
                <w:t>Certification of CEO and CFO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rFonts w:ascii="Arial" w:cs="Arial" w:eastAsia="Arial" w:hAnsi="Arial"/>
                <w:sz w:val="18"/>
                <w:szCs w:val="18"/>
                <w:color w:val="0000FF"/>
                <w:w w:val="84"/>
              </w:rPr>
            </w:pPr>
            <w:hyperlink w:anchor="page95">
              <w:r>
                <w:rPr>
                  <w:rFonts w:ascii="Arial" w:cs="Arial" w:eastAsia="Arial" w:hAnsi="Arial"/>
                  <w:sz w:val="18"/>
                  <w:szCs w:val="18"/>
                  <w:color w:val="0000FF"/>
                  <w:w w:val="84"/>
                </w:rPr>
                <w:t>2002</w:t>
              </w:r>
            </w:hyperlink>
          </w:p>
        </w:tc>
        <w:tc>
          <w:tcPr>
            <w:tcW w:w="128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7"/>
                <w:szCs w:val="17"/>
                <w:color w:val="auto"/>
              </w:rPr>
            </w:pPr>
          </w:p>
        </w:tc>
        <w:tc>
          <w:tcPr>
            <w:tcW w:w="9900" w:type="dxa"/>
            <w:vAlign w:val="bottom"/>
            <w:gridSpan w:val="6"/>
          </w:tcPr>
          <w:p>
            <w:pPr>
              <w:spacing w:after="0" w:line="196" w:lineRule="exact"/>
              <w:rPr>
                <w:sz w:val="20"/>
                <w:szCs w:val="20"/>
                <w:color w:val="auto"/>
              </w:rPr>
            </w:pPr>
            <w:r>
              <w:rPr>
                <w:rFonts w:ascii="Arial" w:cs="Arial" w:eastAsia="Arial" w:hAnsi="Arial"/>
                <w:sz w:val="18"/>
                <w:szCs w:val="18"/>
                <w:color w:val="auto"/>
                <w:w w:val="92"/>
              </w:rPr>
              <w:t>Inline XBRL Instance Document—the instance document does not appear in the Interactive Data File as its XBRL tags are embedded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0"/>
                <w:szCs w:val="20"/>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bl>
    <w:p>
      <w:pPr>
        <w:ind w:left="1320" w:hanging="1236"/>
        <w:spacing w:after="0"/>
        <w:tabs>
          <w:tab w:leader="none" w:pos="13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Cover page formatted as Inline XBRL and contained in Exhibit 101</w:t>
      </w:r>
    </w:p>
    <w:p>
      <w:pPr>
        <w:spacing w:after="0" w:line="143" w:lineRule="exact"/>
        <w:rPr>
          <w:rFonts w:ascii="Arial" w:cs="Arial" w:eastAsia="Arial" w:hAnsi="Arial"/>
          <w:sz w:val="18"/>
          <w:szCs w:val="18"/>
          <w:color w:val="auto"/>
        </w:rPr>
      </w:pPr>
    </w:p>
    <w:p>
      <w:pPr>
        <w:ind w:left="480" w:hanging="445"/>
        <w:spacing w:after="0" w:line="220" w:lineRule="exact"/>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or furnished herewith. The certification attached as Exhibit 32.1 that accompanies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is not deemed filed with the U.S. Securities and Exchange Commission and is not to be incorporated by reference into any filing of Bentley Systems, Incorporated under the Securities Act of 1933, as amended, or the Securities Exchange Act of 1934, as amended, whether made before or after the date of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6880" w:type="dxa"/>
            <w:vAlign w:val="bottom"/>
            <w:gridSpan w:val="2"/>
          </w:tcPr>
          <w:p>
            <w:pPr>
              <w:ind w:left="2560"/>
              <w:spacing w:after="0"/>
              <w:rPr>
                <w:sz w:val="20"/>
                <w:szCs w:val="20"/>
                <w:color w:val="auto"/>
              </w:rPr>
            </w:pPr>
            <w:r>
              <w:rPr>
                <w:rFonts w:ascii="Arial" w:cs="Arial" w:eastAsia="Arial" w:hAnsi="Arial"/>
                <w:sz w:val="18"/>
                <w:szCs w:val="18"/>
                <w:color w:val="auto"/>
              </w:rPr>
              <w:t>Bentley Systems, Incorporated</w:t>
            </w:r>
          </w:p>
        </w:tc>
      </w:tr>
      <w:tr>
        <w:trPr>
          <w:trHeight w:val="405"/>
        </w:trPr>
        <w:tc>
          <w:tcPr>
            <w:tcW w:w="4340" w:type="dxa"/>
            <w:vAlign w:val="bottom"/>
          </w:tcPr>
          <w:p>
            <w:pPr>
              <w:spacing w:after="0"/>
              <w:rPr>
                <w:sz w:val="20"/>
                <w:szCs w:val="20"/>
                <w:color w:val="auto"/>
              </w:rPr>
            </w:pPr>
            <w:r>
              <w:rPr>
                <w:rFonts w:ascii="Arial" w:cs="Arial" w:eastAsia="Arial" w:hAnsi="Arial"/>
                <w:sz w:val="18"/>
                <w:szCs w:val="18"/>
                <w:color w:val="auto"/>
              </w:rPr>
              <w:t>Date: November 9, 2021</w:t>
            </w:r>
          </w:p>
        </w:tc>
        <w:tc>
          <w:tcPr>
            <w:tcW w:w="3420" w:type="dxa"/>
            <w:vAlign w:val="bottom"/>
          </w:tcPr>
          <w:p>
            <w:pPr>
              <w:ind w:left="2560"/>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w:t>
            </w:r>
            <w:r>
              <w:rPr>
                <w:rFonts w:ascii="Arial" w:cs="Arial" w:eastAsia="Arial" w:hAnsi="Arial"/>
                <w:sz w:val="14"/>
                <w:szCs w:val="14"/>
                <w:color w:val="auto"/>
                <w:w w:val="97"/>
              </w:rPr>
              <w:t>AVID</w:t>
            </w:r>
            <w:r>
              <w:rPr>
                <w:rFonts w:ascii="Arial" w:cs="Arial" w:eastAsia="Arial" w:hAnsi="Arial"/>
                <w:sz w:val="18"/>
                <w:szCs w:val="18"/>
                <w:color w:val="auto"/>
                <w:w w:val="97"/>
              </w:rPr>
              <w:t xml:space="preserve"> J. H</w:t>
            </w:r>
            <w:r>
              <w:rPr>
                <w:rFonts w:ascii="Arial" w:cs="Arial" w:eastAsia="Arial" w:hAnsi="Arial"/>
                <w:sz w:val="14"/>
                <w:szCs w:val="14"/>
                <w:color w:val="auto"/>
                <w:w w:val="97"/>
              </w:rPr>
              <w:t>OLLISTER</w:t>
            </w:r>
          </w:p>
        </w:tc>
      </w:tr>
      <w:tr>
        <w:trPr>
          <w:trHeight w:val="222"/>
        </w:trPr>
        <w:tc>
          <w:tcPr>
            <w:tcW w:w="4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David J. Hollister</w:t>
            </w:r>
          </w:p>
        </w:tc>
      </w:tr>
      <w:tr>
        <w:trPr>
          <w:trHeight w:val="230"/>
        </w:trPr>
        <w:tc>
          <w:tcPr>
            <w:tcW w:w="43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BENTLEY SYSTEMS, INCORPORATED</w:t>
      </w:r>
    </w:p>
    <w:p>
      <w:pPr>
        <w:spacing w:after="0" w:line="4"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NONQUALIFIED DEFERRED COMPENSATION PLAN</w:t>
      </w:r>
    </w:p>
    <w:p>
      <w:pPr>
        <w:spacing w:after="0" w:line="4"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(As Amended and Restated Effective September 22, 2020)</w:t>
      </w:r>
    </w:p>
    <w:p>
      <w:pPr>
        <w:spacing w:after="0" w:line="200" w:lineRule="exact"/>
        <w:rPr>
          <w:sz w:val="20"/>
          <w:szCs w:val="20"/>
          <w:color w:val="auto"/>
        </w:rPr>
      </w:pPr>
    </w:p>
    <w:p>
      <w:pPr>
        <w:spacing w:after="0" w:line="266" w:lineRule="exact"/>
        <w:rPr>
          <w:sz w:val="20"/>
          <w:szCs w:val="20"/>
          <w:color w:val="auto"/>
        </w:rPr>
      </w:pPr>
    </w:p>
    <w:p>
      <w:pPr>
        <w:ind w:right="360" w:firstLine="216"/>
        <w:spacing w:after="0" w:line="25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Bentley Systems, Incorporated (the “Company”), a Delaware corporation, sponsors the Bentley Systems,</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Incorporated Nonqualified Deferred Compensation Plan (the “Plan”) for its officers and key employees, originally effective January 1, 2007, in order to attract and retain such individuals and motivate them to exercise their best efforts on behalf of the Company and its subsidiaries; and</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most recently amended and restated the Plan effective as of September 22, 2020; and</w:t>
      </w:r>
    </w:p>
    <w:p>
      <w:pPr>
        <w:spacing w:after="0" w:line="247" w:lineRule="exact"/>
        <w:rPr>
          <w:sz w:val="20"/>
          <w:szCs w:val="20"/>
          <w:color w:val="auto"/>
        </w:rPr>
      </w:pPr>
    </w:p>
    <w:p>
      <w:pPr>
        <w:ind w:right="80" w:firstLine="216"/>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Section 11.1 of the Plan provides that the Board of Directors of the Company (the “Board”) may amend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from time to time; and</w:t>
      </w:r>
    </w:p>
    <w:p>
      <w:pPr>
        <w:spacing w:after="0" w:line="189" w:lineRule="exact"/>
        <w:rPr>
          <w:sz w:val="20"/>
          <w:szCs w:val="20"/>
          <w:color w:val="auto"/>
        </w:rPr>
      </w:pPr>
    </w:p>
    <w:p>
      <w:pPr>
        <w:ind w:right="160" w:firstLine="216"/>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Board desires to amend the Plan in order to permit a one-time election to change deemed investments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from Phantom Shares to the Investment Funds;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effective August 19, 2021, the Plan is hereby amended as follows:</w:t>
      </w:r>
    </w:p>
    <w:p>
      <w:pPr>
        <w:spacing w:after="0" w:line="247"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Section 1.3 of the Plan is amended to read as follows:</w:t>
      </w:r>
    </w:p>
    <w:p>
      <w:pPr>
        <w:spacing w:after="0" w:line="253" w:lineRule="exact"/>
        <w:rPr>
          <w:sz w:val="20"/>
          <w:szCs w:val="20"/>
          <w:color w:val="auto"/>
        </w:rPr>
      </w:pPr>
    </w:p>
    <w:p>
      <w:pPr>
        <w:ind w:right="100" w:firstLine="648"/>
        <w:spacing w:after="0" w:line="261" w:lineRule="auto"/>
        <w:rPr>
          <w:sz w:val="20"/>
          <w:szCs w:val="20"/>
          <w:color w:val="auto"/>
        </w:rPr>
      </w:pPr>
      <w:r>
        <w:rPr>
          <w:rFonts w:ascii="Arial" w:cs="Arial" w:eastAsia="Arial" w:hAnsi="Arial"/>
          <w:sz w:val="21"/>
          <w:szCs w:val="21"/>
          <w:color w:val="auto"/>
        </w:rPr>
        <w:t>1.3 “</w:t>
      </w:r>
      <w:r>
        <w:rPr>
          <w:rFonts w:ascii="Arial" w:cs="Arial" w:eastAsia="Arial" w:hAnsi="Arial"/>
          <w:sz w:val="21"/>
          <w:szCs w:val="21"/>
          <w:u w:val="single" w:color="auto"/>
          <w:color w:val="auto"/>
        </w:rPr>
        <w:t>Agreement</w:t>
      </w:r>
      <w:r>
        <w:rPr>
          <w:rFonts w:ascii="Arial" w:cs="Arial" w:eastAsia="Arial" w:hAnsi="Arial"/>
          <w:sz w:val="21"/>
          <w:szCs w:val="21"/>
          <w:color w:val="auto"/>
        </w:rPr>
        <w:t>” shall mean, as applicable, one of the deferred compensation agreements, substantially in the forms set forth in Appendices A attached hereto, to be entered into by a Participant and the Company to provide the Participant with the opportunity (i) to make an initial election of Employee Deferrals (Appendix A-1 attached hereto); (ii) to elect a later distribution date (or commencement of distribution date) (Appendix A-2 attached hereto); (iii) to change deemed investment requests for Company Contribution Units or Employee Deferrals (Appendix A-3 attached hereto); and (iv) to terminate Employee Deferrals (Appendix A-4 attached hereto).</w:t>
      </w:r>
    </w:p>
    <w:p>
      <w:pPr>
        <w:spacing w:after="0" w:line="200" w:lineRule="exact"/>
        <w:rPr>
          <w:sz w:val="20"/>
          <w:szCs w:val="20"/>
          <w:color w:val="auto"/>
        </w:rPr>
      </w:pPr>
    </w:p>
    <w:p>
      <w:pPr>
        <w:ind w:left="380" w:hanging="372"/>
        <w:spacing w:after="0"/>
        <w:tabs>
          <w:tab w:leader="none" w:pos="38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Section 1.10 of the Plan is amended to read as follows:</w:t>
      </w:r>
    </w:p>
    <w:p>
      <w:pPr>
        <w:spacing w:after="0" w:line="25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Company Contribution Unit</w:t>
      </w:r>
      <w:r>
        <w:rPr>
          <w:rFonts w:ascii="Arial" w:cs="Arial" w:eastAsia="Arial" w:hAnsi="Arial"/>
          <w:sz w:val="19"/>
          <w:szCs w:val="19"/>
          <w:color w:val="auto"/>
        </w:rPr>
        <w:t>” shall mean a discretionary credit made by the Company on behalf of a Participant.</w:t>
      </w:r>
    </w:p>
    <w:p>
      <w:pPr>
        <w:sectPr>
          <w:pgSz w:w="11900" w:h="16838" w:orient="portrait"/>
          <w:cols w:equalWidth="0" w:num="1">
            <w:col w:w="11240"/>
          </w:cols>
          <w:pgMar w:left="320" w:top="1422" w:right="339" w:bottom="1440" w:gutter="0" w:footer="0" w:header="0"/>
        </w:sectPr>
      </w:pPr>
    </w:p>
    <w:bookmarkStart w:id="87" w:name="page88"/>
    <w:bookmarkEnd w:id="87"/>
    <w:p>
      <w:pPr>
        <w:ind w:left="380" w:hanging="372"/>
        <w:spacing w:after="0"/>
        <w:tabs>
          <w:tab w:leader="none" w:pos="38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Section 2.3 of the Plan is amended to read as follows:</w:t>
      </w:r>
    </w:p>
    <w:p>
      <w:pPr>
        <w:spacing w:after="0" w:line="253" w:lineRule="exact"/>
        <w:rPr>
          <w:sz w:val="20"/>
          <w:szCs w:val="20"/>
          <w:color w:val="auto"/>
        </w:rPr>
      </w:pPr>
    </w:p>
    <w:p>
      <w:pPr>
        <w:ind w:firstLine="216"/>
        <w:spacing w:after="0" w:line="250"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Deemed Investment</w:t>
      </w:r>
      <w:r>
        <w:rPr>
          <w:rFonts w:ascii="Arial" w:cs="Arial" w:eastAsia="Arial" w:hAnsi="Arial"/>
          <w:sz w:val="22"/>
          <w:szCs w:val="22"/>
          <w:color w:val="auto"/>
        </w:rPr>
        <w:t>. Except as otherwise provided in Article V, Company Contribution Units shall be deemed invested in Phantom Shares, and any such units not deemed invested in Phantom Shares as of January 1, 2015 or thereafter shall be transferred to a deemed investment in Phantom Shares as of March 31, 2015. The number of Phantom Shares may contain a fraction, rounded to the nearest 1/10,000 (0.0001) of a share.</w:t>
      </w:r>
    </w:p>
    <w:p>
      <w:pPr>
        <w:spacing w:after="0" w:line="209"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Section 2.4 of the Plan is amended to read as follows:</w:t>
      </w:r>
    </w:p>
    <w:p>
      <w:pPr>
        <w:spacing w:after="0" w:line="253"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Distribution of Company Contribution Units</w:t>
      </w:r>
      <w:r>
        <w:rPr>
          <w:rFonts w:ascii="Arial" w:cs="Arial" w:eastAsia="Arial" w:hAnsi="Arial"/>
          <w:sz w:val="19"/>
          <w:szCs w:val="19"/>
          <w:color w:val="auto"/>
        </w:rPr>
        <w:t>. Except as provided in Article V:</w:t>
      </w:r>
    </w:p>
    <w:p>
      <w:pPr>
        <w:spacing w:after="0" w:line="247" w:lineRule="exact"/>
        <w:rPr>
          <w:sz w:val="20"/>
          <w:szCs w:val="20"/>
          <w:color w:val="auto"/>
        </w:rPr>
      </w:pPr>
    </w:p>
    <w:p>
      <w:pPr>
        <w:ind w:left="660" w:right="20" w:firstLine="644"/>
        <w:spacing w:after="0" w:line="290" w:lineRule="auto"/>
        <w:tabs>
          <w:tab w:leader="none" w:pos="1764" w:val="left"/>
        </w:tabs>
        <w:numPr>
          <w:ilvl w:val="0"/>
          <w:numId w:val="45"/>
        </w:numPr>
        <w:rPr>
          <w:rFonts w:ascii="Arial" w:cs="Arial" w:eastAsia="Arial" w:hAnsi="Arial"/>
          <w:sz w:val="19"/>
          <w:szCs w:val="19"/>
          <w:color w:val="010000"/>
        </w:rPr>
      </w:pPr>
      <w:r>
        <w:rPr>
          <w:rFonts w:ascii="Arial" w:cs="Arial" w:eastAsia="Arial" w:hAnsi="Arial"/>
          <w:sz w:val="19"/>
          <w:szCs w:val="19"/>
          <w:color w:val="auto"/>
        </w:rPr>
        <w:t>The Company shall distribute a Participant’s vested Company Contribution Units in seven annual installments beginning, unless the Participant elects otherwise in accordance with Section 4.1(a), on, or as soon as administratively practicable after, the April 1 following the fourth anniversary of the date on which such units were credited to the Participant’s Account, and on, or as soon as administratively practicable after, each April 1 thereafter. Such distribution shall be made in Class B Stock, except that the value of any fractional Phantom Share shall be distributed in cash on, or as soon as administratively practicable after, such April 1. For purposes of determining the value of any such fractional Phantom Share and for purposes of determining the value of any such distribution of Class B Stock for tax purposes, the value of each share of Class B Stock shall equal the Share Value on the actual distribution date.</w:t>
      </w:r>
    </w:p>
    <w:p>
      <w:pPr>
        <w:spacing w:after="0" w:line="182" w:lineRule="exact"/>
        <w:rPr>
          <w:rFonts w:ascii="Arial" w:cs="Arial" w:eastAsia="Arial" w:hAnsi="Arial"/>
          <w:sz w:val="19"/>
          <w:szCs w:val="19"/>
          <w:color w:val="010000"/>
        </w:rPr>
      </w:pPr>
    </w:p>
    <w:p>
      <w:pPr>
        <w:ind w:left="660" w:right="140" w:firstLine="644"/>
        <w:spacing w:after="0" w:line="251" w:lineRule="auto"/>
        <w:tabs>
          <w:tab w:leader="none" w:pos="1776" w:val="left"/>
        </w:tabs>
        <w:numPr>
          <w:ilvl w:val="0"/>
          <w:numId w:val="45"/>
        </w:numPr>
        <w:rPr>
          <w:rFonts w:ascii="Arial" w:cs="Arial" w:eastAsia="Arial" w:hAnsi="Arial"/>
          <w:sz w:val="21"/>
          <w:szCs w:val="21"/>
          <w:color w:val="010000"/>
        </w:rPr>
      </w:pPr>
      <w:r>
        <w:rPr>
          <w:rFonts w:ascii="Arial" w:cs="Arial" w:eastAsia="Arial" w:hAnsi="Arial"/>
          <w:sz w:val="21"/>
          <w:szCs w:val="21"/>
          <w:color w:val="auto"/>
        </w:rPr>
        <w:t xml:space="preserve">Except as provided in subsection (d) below, the amount of each installment distribution, other than the final distribution, shall equal 1/n multiplied by the number of Phantom Shares attributable to vested Company Contribution Units in the Participant’s Account as of the day prior to the stated distribution date, where “n” equals the number of distributions yet to be made. The final distribution will equal the number of Phantom Shares attributable to vested Company Contribution Units in the Participant’s Account as of the day prior to the final stated distribution date. For example, if distributions are to commence to a Participant on April 1, 2015, the first distribution will be made to the Participant on, or as soon as administratively practicable after, April 1, 2015 and will equal </w:t>
      </w:r>
      <w:r>
        <w:rPr>
          <w:rFonts w:ascii="Arial" w:cs="Arial" w:eastAsia="Arial" w:hAnsi="Arial"/>
          <w:sz w:val="27"/>
          <w:szCs w:val="27"/>
          <w:color w:val="auto"/>
          <w:vertAlign w:val="superscript"/>
        </w:rPr>
        <w:t>1</w:t>
      </w:r>
      <w:r>
        <w:rPr>
          <w:rFonts w:ascii="Arial" w:cs="Arial" w:eastAsia="Arial" w:hAnsi="Arial"/>
          <w:sz w:val="21"/>
          <w:szCs w:val="21"/>
          <w:color w:val="auto"/>
        </w:rPr>
        <w:t>/</w:t>
      </w:r>
      <w:r>
        <w:rPr>
          <w:rFonts w:ascii="Arial" w:cs="Arial" w:eastAsia="Arial" w:hAnsi="Arial"/>
          <w:sz w:val="27"/>
          <w:szCs w:val="27"/>
          <w:color w:val="auto"/>
          <w:vertAlign w:val="subscript"/>
        </w:rPr>
        <w:t>7</w:t>
      </w:r>
      <w:r>
        <w:rPr>
          <w:rFonts w:ascii="Arial" w:cs="Arial" w:eastAsia="Arial" w:hAnsi="Arial"/>
          <w:sz w:val="21"/>
          <w:szCs w:val="21"/>
          <w:color w:val="auto"/>
        </w:rPr>
        <w:t xml:space="preserve"> of the March 31, 2015 number of Phantom Shares attributable to vested Company Contribution Units in the Participant’s Account. The April 1, 2016 distribution will be made to the Participant as soon as administrative practicable on or after April 1, 2016 and will equal 1/6 of the March 31, 2016 number of Phantom Shares attributable to vested Company Contribution Units in the Participant’s Account.</w:t>
      </w:r>
    </w:p>
    <w:p>
      <w:pPr>
        <w:spacing w:after="0" w:line="228" w:lineRule="exact"/>
        <w:rPr>
          <w:sz w:val="20"/>
          <w:szCs w:val="20"/>
          <w:color w:val="auto"/>
        </w:rPr>
      </w:pPr>
    </w:p>
    <w:p>
      <w:pPr>
        <w:ind w:left="660" w:right="60" w:firstLine="648"/>
        <w:spacing w:after="0" w:line="250" w:lineRule="auto"/>
        <w:rPr>
          <w:sz w:val="20"/>
          <w:szCs w:val="20"/>
          <w:color w:val="auto"/>
        </w:rPr>
      </w:pPr>
      <w:r>
        <w:rPr>
          <w:rFonts w:ascii="Arial" w:cs="Arial" w:eastAsia="Arial" w:hAnsi="Arial"/>
          <w:sz w:val="22"/>
          <w:szCs w:val="22"/>
          <w:color w:val="auto"/>
        </w:rPr>
        <w:t>In the above example, if the Participant has 700 Phantom Shares in his or her Account as of March 31, 2015, the Participant will receive 100 shares of Class B Stock as soon as administrative practicable on or after April 1, 2015. Six hundred Phantom Shares will remain in the Participant’s Account to be distributed as soon as administratively practicable on or after each of the next six April ls in the form of Class B Stock.</w:t>
      </w:r>
    </w:p>
    <w:p>
      <w:pPr>
        <w:sectPr>
          <w:pgSz w:w="11900" w:h="16838" w:orient="portrait"/>
          <w:cols w:equalWidth="0" w:num="1">
            <w:col w:w="11220"/>
          </w:cols>
          <w:pgMar w:left="320" w:top="1422" w:right="359" w:bottom="1440" w:gutter="0" w:footer="0" w:header="0"/>
        </w:sectPr>
      </w:pPr>
    </w:p>
    <w:bookmarkStart w:id="88" w:name="page89"/>
    <w:bookmarkEnd w:id="88"/>
    <w:p>
      <w:pPr>
        <w:spacing w:after="0" w:line="245" w:lineRule="exact"/>
        <w:rPr>
          <w:sz w:val="20"/>
          <w:szCs w:val="20"/>
          <w:color w:val="auto"/>
        </w:rPr>
      </w:pPr>
    </w:p>
    <w:p>
      <w:pPr>
        <w:ind w:left="660" w:right="160" w:firstLine="644"/>
        <w:spacing w:after="0" w:line="265" w:lineRule="auto"/>
        <w:tabs>
          <w:tab w:leader="none" w:pos="1764" w:val="left"/>
        </w:tabs>
        <w:numPr>
          <w:ilvl w:val="0"/>
          <w:numId w:val="46"/>
        </w:numPr>
        <w:rPr>
          <w:rFonts w:ascii="Arial" w:cs="Arial" w:eastAsia="Arial" w:hAnsi="Arial"/>
          <w:sz w:val="21"/>
          <w:szCs w:val="21"/>
          <w:color w:val="010000"/>
        </w:rPr>
      </w:pPr>
      <w:r>
        <w:rPr>
          <w:rFonts w:ascii="Arial" w:cs="Arial" w:eastAsia="Arial" w:hAnsi="Arial"/>
          <w:sz w:val="21"/>
          <w:szCs w:val="21"/>
          <w:color w:val="auto"/>
        </w:rPr>
        <w:t>If the Participant’s death occurs during the deferral or distribution period, the number of Phantom Shares attributable to the Participant’s remaining vested Company Contribution Units (as of the day immediately preceding the date of the Participant’s death) shall be distributed in Class B Stock to the Participant’s beneficiary(ies) on, or as soon as administratively practicable after, the date of the Participant’s death.</w:t>
      </w:r>
    </w:p>
    <w:p>
      <w:pPr>
        <w:spacing w:after="0" w:line="202" w:lineRule="exact"/>
        <w:rPr>
          <w:rFonts w:ascii="Arial" w:cs="Arial" w:eastAsia="Arial" w:hAnsi="Arial"/>
          <w:sz w:val="21"/>
          <w:szCs w:val="21"/>
          <w:color w:val="010000"/>
        </w:rPr>
      </w:pPr>
    </w:p>
    <w:p>
      <w:pPr>
        <w:ind w:left="660" w:right="20" w:firstLine="644"/>
        <w:spacing w:after="0" w:line="297" w:lineRule="auto"/>
        <w:tabs>
          <w:tab w:leader="none" w:pos="1776" w:val="left"/>
        </w:tabs>
        <w:numPr>
          <w:ilvl w:val="0"/>
          <w:numId w:val="46"/>
        </w:numPr>
        <w:rPr>
          <w:rFonts w:ascii="Arial" w:cs="Arial" w:eastAsia="Arial" w:hAnsi="Arial"/>
          <w:sz w:val="19"/>
          <w:szCs w:val="19"/>
          <w:color w:val="010000"/>
        </w:rPr>
      </w:pPr>
      <w:r>
        <w:rPr>
          <w:rFonts w:ascii="Arial" w:cs="Arial" w:eastAsia="Arial" w:hAnsi="Arial"/>
          <w:sz w:val="19"/>
          <w:szCs w:val="19"/>
          <w:color w:val="auto"/>
        </w:rPr>
        <w:t>Notwithstanding the foregoing, if the value of the sum of the Company Contribution Units and Employee Deferrals in the Participant’s Account as of the date of the first scheduled distribution of either Company Contribution Units or Employee Deferrals or as of any future date is less than or equal to the limit set forth (as adjusted) in Section 402(g)(1)(B) of the Code ($19,500 for 2020), the Company may, in its sole discretion, distribute the entire amount in such Participant’s Account in Class B Stock to the Participant as soon as administratively practicable on or after such date.</w:t>
      </w:r>
    </w:p>
    <w:p>
      <w:pPr>
        <w:spacing w:after="0" w:line="168"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Section 3.2 of the Plan is amended to read as follows:</w:t>
      </w:r>
    </w:p>
    <w:p>
      <w:pPr>
        <w:spacing w:after="0" w:line="253" w:lineRule="exact"/>
        <w:rPr>
          <w:sz w:val="20"/>
          <w:szCs w:val="20"/>
          <w:color w:val="auto"/>
        </w:rPr>
      </w:pPr>
    </w:p>
    <w:p>
      <w:pPr>
        <w:ind w:right="40" w:firstLine="216"/>
        <w:spacing w:after="0" w:line="29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Deferred Compensation Account</w:t>
      </w:r>
      <w:r>
        <w:rPr>
          <w:rFonts w:ascii="Arial" w:cs="Arial" w:eastAsia="Arial" w:hAnsi="Arial"/>
          <w:sz w:val="19"/>
          <w:szCs w:val="19"/>
          <w:color w:val="auto"/>
        </w:rPr>
        <w:t>. All of a Participant’s Employee Deferrals shall be credited to the Participant’s Account in the form of a bookkeeping entry. Except as otherwise provided in Article V, Employee Deferrals credited to a Participant’s Account on and after January 1, 2015 shall be deemed invested in Phantom Shares (based on their Share Value on the date the Employee Deferrals are withheld from the Participant’s Bonus), and any such deferrals not deemed invested in Phantom Shares as of January 1, 2015 or thereafter shall be transferred to a deemed investment in Phantom Shares as of March 31, 2015.</w:t>
      </w:r>
    </w:p>
    <w:p>
      <w:pPr>
        <w:spacing w:after="0" w:line="168"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Section 3.3 of the Plan is amended to read as follows:</w:t>
      </w:r>
    </w:p>
    <w:p>
      <w:pPr>
        <w:spacing w:after="0" w:line="253" w:lineRule="exact"/>
        <w:rPr>
          <w:sz w:val="20"/>
          <w:szCs w:val="20"/>
          <w:color w:val="auto"/>
        </w:rPr>
      </w:pPr>
    </w:p>
    <w:p>
      <w:pPr>
        <w:ind w:left="220"/>
        <w:spacing w:after="0"/>
        <w:tabs>
          <w:tab w:leader="none" w:pos="70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Distribution of Employee Deferrals</w:t>
      </w:r>
      <w:r>
        <w:rPr>
          <w:rFonts w:ascii="Arial" w:cs="Arial" w:eastAsia="Arial" w:hAnsi="Arial"/>
          <w:sz w:val="19"/>
          <w:szCs w:val="19"/>
          <w:color w:val="auto"/>
        </w:rPr>
        <w:t>. Except as provided in Article V:</w:t>
      </w:r>
    </w:p>
    <w:p>
      <w:pPr>
        <w:spacing w:after="0" w:line="247" w:lineRule="exact"/>
        <w:rPr>
          <w:sz w:val="20"/>
          <w:szCs w:val="20"/>
          <w:color w:val="auto"/>
        </w:rPr>
      </w:pPr>
    </w:p>
    <w:p>
      <w:pPr>
        <w:ind w:left="660" w:firstLine="644"/>
        <w:spacing w:after="0" w:line="246" w:lineRule="auto"/>
        <w:tabs>
          <w:tab w:leader="none" w:pos="1764" w:val="left"/>
        </w:tabs>
        <w:numPr>
          <w:ilvl w:val="0"/>
          <w:numId w:val="49"/>
        </w:numPr>
        <w:rPr>
          <w:rFonts w:ascii="Arial" w:cs="Arial" w:eastAsia="Arial" w:hAnsi="Arial"/>
          <w:sz w:val="22"/>
          <w:szCs w:val="22"/>
          <w:color w:val="auto"/>
        </w:rPr>
      </w:pPr>
      <w:r>
        <w:rPr>
          <w:rFonts w:ascii="Arial" w:cs="Arial" w:eastAsia="Arial" w:hAnsi="Arial"/>
          <w:sz w:val="22"/>
          <w:szCs w:val="22"/>
          <w:color w:val="auto"/>
        </w:rPr>
        <w:t>Pursuant to a Participant’s election in his or her Agreement substantially in the form of Appendix A-1 attached hereto, his or her Employee Deferrals shall be distributed on, or as soon as administratively practicable after, either (i) his or her Separation from Service or (ii) a date(s) chosen by the Participant. The Participant may also elect to receive his or her Employee Deferrals on, or as soon as administratively practicable after, either (A) an “unforeseeable emergency,” as defined in Section 409A(a)(2)(B)(ii) of the Code, to the extent not prohibited by that Section of the Code and regulations issued thereunder or (B) a 409A Change in Control. If the Participant wishes to defer further the distribution (or commencement of distribution) date for his or her Employee Deferrals, the Participant may do so pursuant to Section 4.2.</w:t>
      </w:r>
    </w:p>
    <w:p>
      <w:pPr>
        <w:spacing w:after="0" w:line="220" w:lineRule="exact"/>
        <w:rPr>
          <w:rFonts w:ascii="Arial" w:cs="Arial" w:eastAsia="Arial" w:hAnsi="Arial"/>
          <w:sz w:val="22"/>
          <w:szCs w:val="22"/>
          <w:color w:val="auto"/>
        </w:rPr>
      </w:pPr>
    </w:p>
    <w:p>
      <w:pPr>
        <w:ind w:left="660" w:right="160" w:firstLine="644"/>
        <w:spacing w:after="0" w:line="263" w:lineRule="auto"/>
        <w:tabs>
          <w:tab w:leader="none" w:pos="1764"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Participant shall elect in an Agreement substantially in the form of Appendix A-1 attached hereto to have his or her Employee Deferrals distributed in:</w:t>
      </w:r>
    </w:p>
    <w:p>
      <w:pPr>
        <w:spacing w:after="0" w:line="201" w:lineRule="exact"/>
        <w:rPr>
          <w:rFonts w:ascii="Arial" w:cs="Arial" w:eastAsia="Arial" w:hAnsi="Arial"/>
          <w:sz w:val="22"/>
          <w:szCs w:val="22"/>
          <w:color w:val="auto"/>
        </w:rPr>
      </w:pPr>
    </w:p>
    <w:p>
      <w:pPr>
        <w:ind w:left="2420" w:hanging="468"/>
        <w:spacing w:after="0"/>
        <w:tabs>
          <w:tab w:leader="none" w:pos="2420" w:val="left"/>
        </w:tabs>
        <w:numPr>
          <w:ilvl w:val="1"/>
          <w:numId w:val="49"/>
        </w:numPr>
        <w:rPr>
          <w:rFonts w:ascii="Arial" w:cs="Arial" w:eastAsia="Arial" w:hAnsi="Arial"/>
          <w:sz w:val="22"/>
          <w:szCs w:val="22"/>
          <w:color w:val="auto"/>
        </w:rPr>
      </w:pPr>
      <w:r>
        <w:rPr>
          <w:rFonts w:ascii="Arial" w:cs="Arial" w:eastAsia="Arial" w:hAnsi="Arial"/>
          <w:sz w:val="22"/>
          <w:szCs w:val="22"/>
          <w:color w:val="auto"/>
        </w:rPr>
        <w:t>a single distribution; or</w:t>
      </w:r>
    </w:p>
    <w:p>
      <w:pPr>
        <w:sectPr>
          <w:pgSz w:w="11900" w:h="16838" w:orient="portrait"/>
          <w:cols w:equalWidth="0" w:num="1">
            <w:col w:w="11220"/>
          </w:cols>
          <w:pgMar w:left="320" w:top="1440" w:right="359" w:bottom="1440" w:gutter="0" w:footer="0" w:header="0"/>
        </w:sectPr>
      </w:pPr>
    </w:p>
    <w:bookmarkStart w:id="89" w:name="page90"/>
    <w:bookmarkEnd w:id="89"/>
    <w:p>
      <w:pPr>
        <w:spacing w:after="0" w:line="231" w:lineRule="exact"/>
        <w:rPr>
          <w:sz w:val="20"/>
          <w:szCs w:val="20"/>
          <w:color w:val="auto"/>
        </w:rPr>
      </w:pPr>
    </w:p>
    <w:p>
      <w:pPr>
        <w:ind w:left="640" w:firstLine="652"/>
        <w:spacing w:after="0" w:line="253" w:lineRule="auto"/>
        <w:tabs>
          <w:tab w:leader="none" w:pos="1756"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any number of annual installments (as calculated in the following paragraph) for a period of two to 10 years, distributable as of the same date in each calendar year until the balance in the Participant’s Account is exhausted.</w:t>
      </w:r>
    </w:p>
    <w:p>
      <w:pPr>
        <w:spacing w:after="0" w:line="212" w:lineRule="exact"/>
        <w:rPr>
          <w:sz w:val="20"/>
          <w:szCs w:val="20"/>
          <w:color w:val="auto"/>
        </w:rPr>
      </w:pPr>
    </w:p>
    <w:p>
      <w:pPr>
        <w:ind w:right="80" w:firstLine="648"/>
        <w:spacing w:after="0" w:line="288" w:lineRule="auto"/>
        <w:rPr>
          <w:sz w:val="20"/>
          <w:szCs w:val="20"/>
          <w:color w:val="auto"/>
        </w:rPr>
      </w:pPr>
      <w:r>
        <w:rPr>
          <w:rFonts w:ascii="Arial" w:cs="Arial" w:eastAsia="Arial" w:hAnsi="Arial"/>
          <w:sz w:val="19"/>
          <w:szCs w:val="19"/>
          <w:color w:val="auto"/>
        </w:rPr>
        <w:t>Except as provided in subsection (d) below, the amount of each installment distribution, other than the final distribution, shall equal 1/n multiplied by the number of Phantom Shares attributable to Employee Deferrals in the Participant’s Account as of the day prior to the stated distribution date, where “n” equals the number of distributions yet to be made. The final distribution will equal the number of Phantom Shares attributable to Employee Deferrals in the Participant’s Account as of the day prior to the final stated distribution date. For example, if distributions are to be made in 10 annual installments commencing on April 1, 2015, the first distribution will be made to the Participant on, or as soon as administratively practicable after, April 1, 2015 and will equal 1/10 of the March 31, 2015, number of Phantom Shares attributable to Employee Deferrals in the Participant’s Account. The April 1, 2016 distribution will be made to the Participant on, or as soon as administratively practicable after, April 1, 2016 and will equal 1/9 of the March 31, 2016, number of Phantom Shares attributable to Employee Deferrals in the Participant’s Account.</w:t>
      </w:r>
    </w:p>
    <w:p>
      <w:pPr>
        <w:spacing w:after="0" w:line="186"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In the above example, if the Participant has 500 Phantom Shares in his or her Account as of March 31, 2015, the Participant will receive 50 shares of Class B Stock on, or as soon as administratively practicable after, April 1, 2015. Four hundred fifty Phantom Shares will remain in the Participant’s Account to be distributed on, or as soon as administratively practicable after, each of the next nine April ls in the form of Class B Stock.</w:t>
      </w:r>
    </w:p>
    <w:p>
      <w:pPr>
        <w:spacing w:after="0" w:line="202" w:lineRule="exact"/>
        <w:rPr>
          <w:sz w:val="20"/>
          <w:szCs w:val="20"/>
          <w:color w:val="auto"/>
        </w:rPr>
      </w:pPr>
    </w:p>
    <w:p>
      <w:pPr>
        <w:jc w:val="both"/>
        <w:ind w:right="420" w:firstLine="644"/>
        <w:spacing w:after="0" w:line="250" w:lineRule="auto"/>
        <w:tabs>
          <w:tab w:leader="none" w:pos="1104"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the Participant’s death occurs during the deferral or distribution period, the number of Phantom Shares attributable to the Participant’s Employee Deferrals (as of the day immediately preceding the date of the Participant’s death) shall be distributed in Class B Stock to the Participant’s beneficiary(ies) on, or as soon as administratively practicable after, the date of the Participant’s death.</w:t>
      </w:r>
    </w:p>
    <w:p>
      <w:pPr>
        <w:spacing w:after="0" w:line="214" w:lineRule="exact"/>
        <w:rPr>
          <w:rFonts w:ascii="Arial" w:cs="Arial" w:eastAsia="Arial" w:hAnsi="Arial"/>
          <w:sz w:val="22"/>
          <w:szCs w:val="22"/>
          <w:color w:val="auto"/>
        </w:rPr>
      </w:pPr>
    </w:p>
    <w:p>
      <w:pPr>
        <w:ind w:right="40" w:firstLine="644"/>
        <w:spacing w:after="0" w:line="297" w:lineRule="auto"/>
        <w:tabs>
          <w:tab w:leader="none" w:pos="1116" w:val="left"/>
        </w:tabs>
        <w:numPr>
          <w:ilvl w:val="0"/>
          <w:numId w:val="51"/>
        </w:numPr>
        <w:rPr>
          <w:rFonts w:ascii="Arial" w:cs="Arial" w:eastAsia="Arial" w:hAnsi="Arial"/>
          <w:sz w:val="19"/>
          <w:szCs w:val="19"/>
          <w:color w:val="auto"/>
        </w:rPr>
      </w:pPr>
      <w:r>
        <w:rPr>
          <w:rFonts w:ascii="Arial" w:cs="Arial" w:eastAsia="Arial" w:hAnsi="Arial"/>
          <w:sz w:val="19"/>
          <w:szCs w:val="19"/>
          <w:color w:val="auto"/>
        </w:rPr>
        <w:t>Notwithstanding the foregoing, if the value of the sum of the Company Contribution Units and the Employee Deferrals in the Participant’s Account as of the date of the first scheduled distribution of either Company Contribution Units or Employee Deferrals or as of any future date is less than or equal to the limit set forth (as adjusted) in Section 402(g)(1)(B) of the Code ($19,500 for 2020), the Company may, in its sole discretion, distribute the entire amount in such Participant’s Account in Class B Stock to the Participant on, or as soon as administratively practicable after, such date.</w:t>
      </w:r>
    </w:p>
    <w:p>
      <w:pPr>
        <w:sectPr>
          <w:pgSz w:w="11900" w:h="16838" w:orient="portrait"/>
          <w:cols w:equalWidth="0" w:num="1">
            <w:col w:w="10580"/>
          </w:cols>
          <w:pgMar w:left="980" w:top="1440" w:right="339" w:bottom="1440" w:gutter="0" w:footer="0" w:header="0"/>
        </w:sectPr>
      </w:pPr>
    </w:p>
    <w:bookmarkStart w:id="90" w:name="page91"/>
    <w:bookmarkEnd w:id="90"/>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Article V of the Plan is amended to read as follows:</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GRANDFATHERED PARTICIPANTS AND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SPECIAL INVESTMENT ELECTIONS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The following rules shall apply notwithstanding any other provision of the Plan:</w:t>
      </w:r>
    </w:p>
    <w:p>
      <w:pPr>
        <w:spacing w:after="0" w:line="247"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Required Changes in Deemed Investments</w:t>
      </w:r>
      <w:r>
        <w:rPr>
          <w:rFonts w:ascii="Arial" w:cs="Arial" w:eastAsia="Arial" w:hAnsi="Arial"/>
          <w:sz w:val="22"/>
          <w:szCs w:val="22"/>
          <w:color w:val="auto"/>
        </w:rPr>
        <w:t>. A Grandfathered Participant (or his or her legal guardian or beneficiary, as applicable) was required to change the deemed investment of any vested Company Contribution Units and any Employee Deferrals that were still deemed invested in Phantom Shares at the time of Separation of Service among any of the available Investment Funds. If the Grandfathered Participant did not submit the change to the Plan Administrator in a timely fashion, the Grandfathered Participant’s vested Company Contribution Units and Employee Deferrals were deemed invested in the JPMorgan Prime Money Market Fund.</w:t>
      </w:r>
    </w:p>
    <w:p>
      <w:pPr>
        <w:spacing w:after="0" w:line="220"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One-Time Permitted Change in Deemed Investments</w:t>
      </w:r>
      <w:r>
        <w:rPr>
          <w:rFonts w:ascii="Arial" w:cs="Arial" w:eastAsia="Arial" w:hAnsi="Arial"/>
          <w:sz w:val="21"/>
          <w:szCs w:val="21"/>
          <w:color w:val="auto"/>
        </w:rPr>
        <w:t>. Effective August 19, 2021, any Participant identified by the Plan Administrator in its sole discretion as eligible to make an election under Section 5.2 of the Plan and as recorded as such in the books and records of the Plan Administrator (each an “Eligible Participant” and, for the purposes of this Plan, any reference to a Participant shall also include each Eligible Participant unless the context requires otherwise) may make a one-time election to change the deemed investment of any or all Company Contribution Units (whether or not vested) and any Employee Deferrals that are deemed invested in Phantom Shares as of such date among any of the available Investment Funds, provided that the Plan Administrator may limit the number of Company Contribution Units to which such election may apply. Such election shall be made prior to the effective date of the election at the time and in the manner determined by the Plan Administrator and shall be irrevocable.</w:t>
      </w:r>
    </w:p>
    <w:p>
      <w:pPr>
        <w:spacing w:after="0" w:line="20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Request to Change Deemed Investments</w:t>
      </w:r>
      <w:r>
        <w:rPr>
          <w:rFonts w:ascii="Arial" w:cs="Arial" w:eastAsia="Arial" w:hAnsi="Arial"/>
          <w:sz w:val="19"/>
          <w:szCs w:val="19"/>
          <w:color w:val="auto"/>
        </w:rPr>
        <w:t>. A Participant any of whose Company Contribution Units and Employee Deferrals are deemed invested in the Investment Funds as described in Section 5.1 or 5.2 may request (as of the first business day of any calendar quarter or as otherwise permitted by the Plan Administrator) to change the deemed investment of his or her vested Company Contribution Units and Employee Deferrals among any of the available Investment Funds.</w:t>
      </w:r>
    </w:p>
    <w:p>
      <w:pPr>
        <w:spacing w:after="0" w:line="169" w:lineRule="exact"/>
        <w:rPr>
          <w:sz w:val="20"/>
          <w:szCs w:val="20"/>
          <w:color w:val="auto"/>
        </w:rPr>
      </w:pPr>
    </w:p>
    <w:p>
      <w:pPr>
        <w:ind w:right="580" w:firstLine="648"/>
        <w:spacing w:after="0" w:line="343"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Valuation of Investment Funds</w:t>
      </w:r>
      <w:r>
        <w:rPr>
          <w:rFonts w:ascii="Arial" w:cs="Arial" w:eastAsia="Arial" w:hAnsi="Arial"/>
          <w:sz w:val="19"/>
          <w:szCs w:val="19"/>
          <w:color w:val="auto"/>
        </w:rPr>
        <w:t>. Company Contribution Units and Employee Deferrals deemed invested in the Investment Funds shall be valued based on the per-share closing price for each fund as of the applicable Valuation Date.</w:t>
      </w:r>
    </w:p>
    <w:p>
      <w:pPr>
        <w:sectPr>
          <w:pgSz w:w="11900" w:h="16838" w:orient="portrait"/>
          <w:cols w:equalWidth="0" w:num="1">
            <w:col w:w="11200"/>
          </w:cols>
          <w:pgMar w:left="320" w:top="1440" w:right="379" w:bottom="1440" w:gutter="0" w:footer="0" w:header="0"/>
        </w:sectPr>
      </w:pPr>
    </w:p>
    <w:bookmarkStart w:id="91" w:name="page92"/>
    <w:bookmarkEnd w:id="91"/>
    <w:p>
      <w:pPr>
        <w:ind w:firstLine="648"/>
        <w:spacing w:after="0" w:line="343"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Payment of Amounts Deemed Invested in Investment Funds</w:t>
      </w:r>
      <w:r>
        <w:rPr>
          <w:rFonts w:ascii="Arial" w:cs="Arial" w:eastAsia="Arial" w:hAnsi="Arial"/>
          <w:sz w:val="19"/>
          <w:szCs w:val="19"/>
          <w:color w:val="auto"/>
        </w:rPr>
        <w:t>. Notwithstanding Sections 2.4 and 3.3, a Participant shall receive payment of Company Contribution Units and Employee Deferrals deemed invested in the Investment Funds in cash.</w:t>
      </w:r>
    </w:p>
    <w:p>
      <w:pPr>
        <w:spacing w:after="0" w:line="131"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u w:val="single" w:color="auto"/>
          <w:color w:val="auto"/>
        </w:rPr>
        <w:t>Earnings on Investment Funds</w:t>
      </w:r>
      <w:r>
        <w:rPr>
          <w:rFonts w:ascii="Arial" w:cs="Arial" w:eastAsia="Arial" w:hAnsi="Arial"/>
          <w:sz w:val="21"/>
          <w:szCs w:val="21"/>
          <w:color w:val="auto"/>
        </w:rPr>
        <w:t>. The Account of a Participant that is deemed invested in the Investment Funds shall be credited daily with any income, gains and losses that would have been realized if amounts equal to the Company Contribution Units or Employee Deferrals had actually been invested in the chosen Investment Funds on the date the Plan Administrator approves the Participant’s deemed investment request. For this purpose, any amounts that would have been received, had amounts been invested as described above, from a chosen Investment Fund will be treated as if reinvested in that Investment Fund on the date such amounts would have been received.</w:t>
      </w:r>
    </w:p>
    <w:p>
      <w:pPr>
        <w:spacing w:after="0" w:line="200" w:lineRule="exact"/>
        <w:rPr>
          <w:sz w:val="20"/>
          <w:szCs w:val="20"/>
          <w:color w:val="auto"/>
        </w:rPr>
      </w:pPr>
    </w:p>
    <w:p>
      <w:pPr>
        <w:spacing w:after="0" w:line="243"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Bentley Systems, Incorporated has caused this Amendment No. 1 to be executed this 19th</w:t>
      </w:r>
      <w:r>
        <w:rPr>
          <w:rFonts w:ascii="Arial" w:cs="Arial" w:eastAsia="Arial" w:hAnsi="Arial"/>
          <w:sz w:val="22"/>
          <w:szCs w:val="22"/>
          <w:b w:val="1"/>
          <w:bCs w:val="1"/>
          <w:color w:val="auto"/>
        </w:rPr>
        <w:t xml:space="preserve"> </w:t>
      </w:r>
      <w:r>
        <w:rPr>
          <w:rFonts w:ascii="Arial" w:cs="Arial" w:eastAsia="Arial" w:hAnsi="Arial"/>
          <w:sz w:val="22"/>
          <w:szCs w:val="22"/>
          <w:color w:val="auto"/>
        </w:rPr>
        <w:t>day of August, 2021.</w:t>
      </w:r>
    </w:p>
    <w:p>
      <w:pPr>
        <w:spacing w:after="0" w:line="195"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BENTLEY SYSTEMS, INCORPORATED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By: /s/ David R. Shaman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-17780</wp:posOffset>
            </wp:positionV>
            <wp:extent cx="13830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83030" cy="8255"/>
                    </a:xfrm>
                    <a:prstGeom prst="rect">
                      <a:avLst/>
                    </a:prstGeom>
                    <a:noFill/>
                  </pic:spPr>
                </pic:pic>
              </a:graphicData>
            </a:graphic>
          </wp:anchor>
        </w:drawing>
      </w:r>
    </w:p>
    <w:p>
      <w:pPr>
        <w:spacing w:after="0" w:line="1"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Name: David R. Shaman</w:t>
      </w:r>
    </w:p>
    <w:p>
      <w:pPr>
        <w:spacing w:after="0" w:line="4" w:lineRule="exact"/>
        <w:rPr>
          <w:sz w:val="20"/>
          <w:szCs w:val="20"/>
          <w:color w:val="auto"/>
        </w:rPr>
      </w:pPr>
    </w:p>
    <w:p>
      <w:pPr>
        <w:ind w:left="1800"/>
        <w:spacing w:after="0"/>
        <w:rPr>
          <w:sz w:val="20"/>
          <w:szCs w:val="20"/>
          <w:color w:val="auto"/>
        </w:rPr>
      </w:pPr>
      <w:r>
        <w:rPr>
          <w:rFonts w:ascii="Arial" w:cs="Arial" w:eastAsia="Arial" w:hAnsi="Arial"/>
          <w:sz w:val="22"/>
          <w:szCs w:val="22"/>
          <w:color w:val="auto"/>
        </w:rPr>
        <w:t>Title: Chief Legal Officer</w:t>
      </w:r>
    </w:p>
    <w:p>
      <w:pPr>
        <w:sectPr>
          <w:pgSz w:w="11900" w:h="16838" w:orient="portrait"/>
          <w:cols w:equalWidth="0" w:num="1">
            <w:col w:w="11200"/>
          </w:cols>
          <w:pgMar w:left="320" w:top="1428" w:right="37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Gregory S. Bentley, certify that:</w:t>
      </w:r>
    </w:p>
    <w:p>
      <w:pPr>
        <w:spacing w:after="0" w:line="252"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Bentley Systems, Incorporated (the “registrant”);</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40" w:hanging="308"/>
        <w:spacing w:after="0"/>
        <w:tabs>
          <w:tab w:leader="none" w:pos="6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S. B</w:t>
      </w:r>
      <w:r>
        <w:rPr>
          <w:rFonts w:ascii="Arial" w:cs="Arial" w:eastAsia="Arial" w:hAnsi="Arial"/>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93"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J. Hollister, certify that:</w:t>
      </w:r>
    </w:p>
    <w:p>
      <w:pPr>
        <w:spacing w:after="0" w:line="252"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Bentley Systems, Incorporated (the “registrant”);</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40" w:hanging="308"/>
        <w:spacing w:after="0"/>
        <w:tabs>
          <w:tab w:leader="none" w:pos="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left="660" w:hanging="328"/>
        <w:spacing w:after="0" w:line="308" w:lineRule="auto"/>
        <w:tabs>
          <w:tab w:leader="none" w:pos="651"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4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J. H</w:t>
      </w:r>
      <w:r>
        <w:rPr>
          <w:rFonts w:ascii="Arial" w:cs="Arial" w:eastAsia="Arial" w:hAnsi="Arial"/>
          <w:sz w:val="14"/>
          <w:szCs w:val="14"/>
          <w:color w:val="auto"/>
        </w:rPr>
        <w:t>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Hollister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093"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spacing w:after="0" w:line="226" w:lineRule="exact"/>
        <w:rPr>
          <w:sz w:val="20"/>
          <w:szCs w:val="20"/>
          <w:color w:val="auto"/>
        </w:rPr>
      </w:pPr>
      <w:r>
        <w:rPr>
          <w:rFonts w:ascii="Arial" w:cs="Arial" w:eastAsia="Arial" w:hAnsi="Arial"/>
          <w:sz w:val="17"/>
          <w:szCs w:val="17"/>
          <w:color w:val="auto"/>
        </w:rPr>
        <w:t>In connection with the Quarterly Report of Bentley Systems, Incorporated (the “Company”) on Form 10</w:t>
      </w:r>
      <w:r>
        <w:rPr>
          <w:rFonts w:ascii="MS PGothic" w:cs="MS PGothic" w:eastAsia="MS PGothic" w:hAnsi="MS PGothic"/>
          <w:sz w:val="18"/>
          <w:szCs w:val="18"/>
          <w:color w:val="auto"/>
        </w:rPr>
        <w:t>‑Q</w:t>
      </w:r>
      <w:r>
        <w:rPr>
          <w:rFonts w:ascii="Arial" w:cs="Arial" w:eastAsia="Arial" w:hAnsi="Arial"/>
          <w:sz w:val="17"/>
          <w:szCs w:val="17"/>
          <w:color w:val="auto"/>
        </w:rPr>
        <w:t xml:space="preserve"> for the period ended September 30, 2021,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spacing w:after="0" w:line="229"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140" w:firstLine="332"/>
        <w:spacing w:after="0" w:line="559" w:lineRule="auto"/>
        <w:tabs>
          <w:tab w:leader="none" w:pos="64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9, 2021</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REGORY</w:t>
      </w:r>
      <w:r>
        <w:rPr>
          <w:rFonts w:ascii="Arial" w:cs="Arial" w:eastAsia="Arial" w:hAnsi="Arial"/>
          <w:sz w:val="18"/>
          <w:szCs w:val="18"/>
          <w:color w:val="auto"/>
        </w:rPr>
        <w:t xml:space="preserve"> S. B</w:t>
      </w:r>
      <w:r>
        <w:rPr>
          <w:rFonts w:ascii="Arial" w:cs="Arial" w:eastAsia="Arial" w:hAnsi="Arial"/>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J. H</w:t>
      </w:r>
      <w:r>
        <w:rPr>
          <w:rFonts w:ascii="Arial" w:cs="Arial" w:eastAsia="Arial" w:hAnsi="Arial"/>
          <w:sz w:val="14"/>
          <w:szCs w:val="14"/>
          <w:color w:val="auto"/>
        </w:rPr>
        <w:t>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746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Hollister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741"/>
    </w:lvl>
  </w:abstractNum>
  <w:abstractNum w:abstractNumId="3">
    <w:nsid w:val="2901D82"/>
    <w:multiLevelType w:val="hybridMultilevel"/>
    <w:lvl w:ilvl="0">
      <w:lvlJc w:val="left"/>
      <w:lvlText w:val="\emdash "/>
      <w:numFmt w:val="bullet"/>
      <w:start w:val="1"/>
    </w:lvl>
  </w:abstractNum>
  <w:abstractNum w:abstractNumId="4">
    <w:nsid w:val="3A95F874"/>
    <w:multiLevelType w:val="hybridMultilevel"/>
    <w:lvl w:ilvl="0">
      <w:lvlJc w:val="left"/>
      <w:lvlText w:val="%1"/>
      <w:numFmt w:val="decimal"/>
      <w:start w:val="375"/>
    </w:lvl>
  </w:abstractNum>
  <w:abstractNum w:abstractNumId="5">
    <w:nsid w:val="8138641"/>
    <w:multiLevelType w:val="hybridMultilevel"/>
    <w:lvl w:ilvl="0">
      <w:lvlJc w:val="left"/>
      <w:lvlText w:val="%1"/>
      <w:numFmt w:val="decimal"/>
      <w:start w:val="50"/>
    </w:lvl>
  </w:abstractNum>
  <w:abstractNum w:abstractNumId="6">
    <w:nsid w:val="1E7FF521"/>
    <w:multiLevelType w:val="hybridMultilevel"/>
    <w:lvl w:ilvl="0">
      <w:lvlJc w:val="left"/>
      <w:lvlText w:val="(%1)"/>
      <w:numFmt w:val="lowerRoman"/>
      <w:start w:val="2"/>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decimal"/>
      <w:start w:val="1"/>
    </w:lvl>
  </w:abstractNum>
  <w:abstractNum w:abstractNumId="14">
    <w:nsid w:val="419AC241"/>
    <w:multiLevelType w:val="hybridMultilevel"/>
    <w:lvl w:ilvl="0">
      <w:lvlJc w:val="left"/>
      <w:lvlText w:val="(%1)"/>
      <w:numFmt w:val="decimal"/>
      <w:start w:val="1"/>
    </w:lvl>
  </w:abstractNum>
  <w:abstractNum w:abstractNumId="15">
    <w:nsid w:val="5577F8E1"/>
    <w:multiLevelType w:val="hybridMultilevel"/>
    <w:lvl w:ilvl="0">
      <w:lvlJc w:val="left"/>
      <w:lvlText w:val="(%1)"/>
      <w:numFmt w:val="decimal"/>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1)"/>
      <w:numFmt w:val="decimal"/>
      <w:start w:val="4"/>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5"/>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lowerRoman"/>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
      <w:numFmt w:val="bullet"/>
      <w:start w:val="1"/>
    </w:lvl>
    <w:lvl w:ilvl="1">
      <w:lvlJc w:val="left"/>
      <w:lvlText w:val="%2"/>
      <w:numFmt w:val="decimal"/>
      <w:start w:val="104"/>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2"/>
    </w:lvl>
  </w:abstractNum>
  <w:abstractNum w:abstractNumId="42">
    <w:nsid w:val="32FFF902"/>
    <w:multiLevelType w:val="hybridMultilevel"/>
    <w:lvl w:ilvl="0">
      <w:lvlJc w:val="left"/>
      <w:lvlText w:val="%1."/>
      <w:numFmt w:val="decimal"/>
      <w:start w:val="3"/>
    </w:lvl>
  </w:abstractNum>
  <w:abstractNum w:abstractNumId="43">
    <w:nsid w:val="684A481A"/>
    <w:multiLevelType w:val="hybridMultilevel"/>
    <w:lvl w:ilvl="0">
      <w:lvlJc w:val="left"/>
      <w:lvlText w:val="%1."/>
      <w:numFmt w:val="decimal"/>
      <w:start w:val="4"/>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lowerLetter"/>
      <w:start w:val="3"/>
    </w:lvl>
  </w:abstractNum>
  <w:abstractNum w:abstractNumId="46">
    <w:nsid w:val="3DC240FB"/>
    <w:multiLevelType w:val="hybridMultilevel"/>
    <w:lvl w:ilvl="0">
      <w:lvlJc w:val="left"/>
      <w:lvlText w:val="%1."/>
      <w:numFmt w:val="decimal"/>
      <w:start w:val="5"/>
    </w:lvl>
  </w:abstractNum>
  <w:abstractNum w:abstractNumId="47">
    <w:nsid w:val="1BA026FA"/>
    <w:multiLevelType w:val="hybridMultilevel"/>
    <w:lvl w:ilvl="0">
      <w:lvlJc w:val="left"/>
      <w:lvlText w:val="%1."/>
      <w:numFmt w:val="decimal"/>
      <w:start w:val="6"/>
    </w:lvl>
  </w:abstractNum>
  <w:abstractNum w:abstractNumId="48">
    <w:nsid w:val="79A1DEAA"/>
    <w:multiLevelType w:val="hybridMultilevel"/>
    <w:lvl w:ilvl="0">
      <w:lvlJc w:val="left"/>
      <w:lvlText w:val="(%1)"/>
      <w:numFmt w:val="lowerLetter"/>
      <w:start w:val="1"/>
    </w:lvl>
    <w:lvl w:ilvl="1">
      <w:lvlJc w:val="left"/>
      <w:lvlText w:val="(%2)"/>
      <w:numFmt w:val="decimal"/>
      <w:start w:val="1"/>
    </w:lvl>
  </w:abstractNum>
  <w:abstractNum w:abstractNumId="49">
    <w:nsid w:val="75C6C33A"/>
    <w:multiLevelType w:val="hybridMultilevel"/>
    <w:lvl w:ilvl="0">
      <w:lvlJc w:val="left"/>
      <w:lvlText w:val="(%1)"/>
      <w:numFmt w:val="decimal"/>
      <w:start w:val="2"/>
    </w:lvl>
  </w:abstractNum>
  <w:abstractNum w:abstractNumId="50">
    <w:nsid w:val="12E685FB"/>
    <w:multiLevelType w:val="hybridMultilevel"/>
    <w:lvl w:ilvl="0">
      <w:lvlJc w:val="left"/>
      <w:lvlText w:val="(%1)"/>
      <w:numFmt w:val="lowerLetter"/>
      <w:start w:val="3"/>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2021-11-09T15:19:06Z</dcterms:created>
  <dcterms:modified xsi:type="dcterms:W3CDTF">2021-11-09T15:19:06Z</dcterms:modified>
</cp:coreProperties>
</file>