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6"/>
          <w:szCs w:val="16"/>
          <w:b w:val="1"/>
          <w:bCs w:val="1"/>
          <w:color w:val="auto"/>
        </w:rPr>
        <w:t>November 5, 2026</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BENTLEY SYSTEMS, INCORPORATED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440" w:right="339" w:bottom="1440" w:gutter="0" w:footer="0" w:header="0"/>
        </w:sectPr>
      </w:pPr>
    </w:p>
    <w:p>
      <w:pPr>
        <w:spacing w:after="0" w:line="28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001-39548</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3">
            <w:col w:w="4680" w:space="720"/>
            <w:col w:w="2800" w:space="720"/>
            <w:col w:w="2320"/>
          </w:cols>
          <w:pgMar w:left="320" w:top="1440"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40" w:space="720"/>
            <w:col w:w="2640" w:space="720"/>
            <w:col w:w="2920"/>
          </w:cols>
          <w:pgMar w:left="320" w:top="1440" w:right="339" w:bottom="1440" w:gutter="0" w:footer="0" w:header="0"/>
          <w:type w:val="continuous"/>
        </w:sectPr>
      </w:pPr>
    </w:p>
    <w:p>
      <w:pPr>
        <w:spacing w:after="0" w:line="5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8380" w:space="720"/>
            <w:col w:w="214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260" w:space="720"/>
            <w:col w:w="2260"/>
          </w:cols>
          <w:pgMar w:left="320" w:top="1440" w:right="339" w:bottom="1440" w:gutter="0" w:footer="0" w:header="0"/>
          <w:type w:val="continuous"/>
        </w:sectPr>
      </w:pPr>
    </w:p>
    <w:p>
      <w:pPr>
        <w:spacing w:after="0" w:line="20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(610) 458-5000</w:t>
      </w:r>
    </w:p>
    <w:p>
      <w:pPr>
        <w:spacing w:after="0" w:line="39" w:lineRule="exact"/>
        <w:rPr>
          <w:sz w:val="24"/>
          <w:szCs w:val="24"/>
          <w:color w:val="auto"/>
        </w:rPr>
      </w:pPr>
    </w:p>
    <w:p>
      <w:pPr>
        <w:sectPr>
          <w:pgSz w:w="11900" w:h="16838" w:orient="portrait"/>
          <w:cols w:equalWidth="0" w:num="2">
            <w:col w:w="6600" w:space="40"/>
            <w:col w:w="4600"/>
          </w:cols>
          <w:pgMar w:left="320" w:top="1440" w:right="339" w:bottom="1440" w:gutter="0" w:footer="0" w:header="0"/>
          <w:type w:val="continuous"/>
        </w:sect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459"/>
        </w:trPr>
        <w:tc>
          <w:tcPr>
            <w:tcW w:w="1220" w:type="dxa"/>
            <w:vAlign w:val="bottom"/>
          </w:tcPr>
          <w:p>
            <w:pPr>
              <w:spacing w:after="0"/>
              <w:rPr>
                <w:sz w:val="24"/>
                <w:szCs w:val="24"/>
                <w:color w:val="auto"/>
              </w:rPr>
            </w:pPr>
          </w:p>
        </w:tc>
        <w:tc>
          <w:tcPr>
            <w:tcW w:w="3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1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0"/>
        </w:trPr>
        <w:tc>
          <w:tcPr>
            <w:tcW w:w="1220" w:type="dxa"/>
            <w:vAlign w:val="bottom"/>
          </w:tcPr>
          <w:p>
            <w:pPr>
              <w:spacing w:after="0"/>
              <w:rPr>
                <w:sz w:val="20"/>
                <w:szCs w:val="20"/>
                <w:color w:val="auto"/>
              </w:rPr>
            </w:pPr>
          </w:p>
        </w:tc>
        <w:tc>
          <w:tcPr>
            <w:tcW w:w="3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Class B Common Stock, $0.01 Par Value</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BSY</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07"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jc w:val="right"/>
        <w:spacing w:after="0" w:line="196"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1249045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5, 2026, Bentley Systems, Incorporated (the “Company”) issued a press release announcing its financial results for the three and nine months ended September 30, 2026. A copy of the release is furnished as Exhibit 99.1 and incorporated by reference herein. Exhibit 99.2 sets forth the reasons the Company believes that presentation of the non-GAAP financial measures contained in the press release provides useful information to investors regarding the Company’s results of operations and financial condition. To the extent material, Exhibit 99.2 also discloses the additional purposes, if any, for which the Company’s management uses these non-GAAP financial measures. Reconciliations of these non-GAAP financial measures to their most directly comparable GAAP financial measures are included in the press release itself.</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and Exhibit 99.2, is being furnished and shall not be deemed “filed” for the purposes of Section 18 of the Securities Exchange Act of 1934, as amended (the “Exchange Act”) or otherwise subject to the liabilities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7"/>
        </w:trPr>
        <w:tc>
          <w:tcPr>
            <w:tcW w:w="1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7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5, 2026</w:t>
            </w:r>
          </w:p>
        </w:tc>
        <w:tc>
          <w:tcPr>
            <w:tcW w:w="6840" w:type="dxa"/>
            <w:vAlign w:val="bottom"/>
            <w:tcBorders>
              <w:top w:val="single" w:sz="8" w:color="auto"/>
            </w:tcBorders>
            <w:gridSpan w:val="2"/>
          </w:tcPr>
          <w:p>
            <w:pPr>
              <w:spacing w:after="0"/>
              <w:rPr>
                <w:sz w:val="24"/>
                <w:szCs w:val="24"/>
                <w:color w:val="auto"/>
              </w:rPr>
            </w:pPr>
          </w:p>
        </w:tc>
      </w:tr>
      <w:tr>
        <w:trPr>
          <w:trHeight w:val="39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9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21"/>
        </w:trPr>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60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Bentley Systems, Incorporated</w:t>
            </w:r>
          </w:p>
        </w:tc>
      </w:tr>
      <w:tr>
        <w:trPr>
          <w:trHeight w:val="40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36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tc>
      </w:tr>
      <w:tr>
        <w:trPr>
          <w:trHeight w:val="40"/>
        </w:trPr>
        <w:tc>
          <w:tcPr>
            <w:tcW w:w="45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r>
        <w:trPr>
          <w:trHeight w:val="250"/>
        </w:trPr>
        <w:tc>
          <w:tcPr>
            <w:tcW w:w="4580" w:type="dxa"/>
            <w:vAlign w:val="bottom"/>
          </w:tcPr>
          <w:p>
            <w:pPr>
              <w:spacing w:after="0"/>
              <w:rPr>
                <w:sz w:val="21"/>
                <w:szCs w:val="21"/>
                <w:color w:val="auto"/>
              </w:rPr>
            </w:pPr>
          </w:p>
        </w:tc>
        <w:tc>
          <w:tcPr>
            <w:tcW w:w="36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Name: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Werner Andre</w:t>
            </w:r>
          </w:p>
        </w:tc>
      </w:tr>
      <w:tr>
        <w:trPr>
          <w:trHeight w:val="297"/>
        </w:trPr>
        <w:tc>
          <w:tcPr>
            <w:tcW w:w="4580" w:type="dxa"/>
            <w:vAlign w:val="bottom"/>
          </w:tcPr>
          <w:p>
            <w:pPr>
              <w:spacing w:after="0"/>
              <w:rPr>
                <w:sz w:val="24"/>
                <w:szCs w:val="24"/>
                <w:color w:val="auto"/>
              </w:rPr>
            </w:pPr>
          </w:p>
        </w:tc>
        <w:tc>
          <w:tcPr>
            <w:tcW w:w="36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Title: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3444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Bentley Systems Announces Third Quarter 2026 Results</w:t>
      </w:r>
    </w:p>
    <w:p>
      <w:pPr>
        <w:spacing w:after="0" w:line="3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EXTON, PA – November 5, 2026 – </w:t>
      </w:r>
      <w:r>
        <w:rPr>
          <w:rFonts w:ascii="Arial" w:cs="Arial" w:eastAsia="Arial" w:hAnsi="Arial"/>
          <w:sz w:val="18"/>
          <w:szCs w:val="18"/>
          <w:u w:val="single" w:color="auto"/>
          <w:color w:val="0E32E1"/>
        </w:rPr>
        <w:t>Bentley Systems,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BSY), the infrastructure engineering software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results for the quarter ended September 30,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Results</w:t>
      </w:r>
    </w:p>
    <w:p>
      <w:pPr>
        <w:spacing w:after="0" w:line="252"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were $421.5 million, up 12.2% or 12.7% on a constant currency basis, year-over-year;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Subscriptions revenues </w:t>
      </w:r>
      <w:r>
        <w:rPr>
          <w:rFonts w:ascii="Arial" w:cs="Arial" w:eastAsia="Arial" w:hAnsi="Arial"/>
          <w:sz w:val="18"/>
          <w:szCs w:val="18"/>
          <w:color w:val="auto"/>
        </w:rPr>
        <w:t>were $386.8 million, up 12.4% or 12.9% on a constant currency basis, year-over-year;</w:t>
      </w:r>
    </w:p>
    <w:p>
      <w:pPr>
        <w:spacing w:after="0" w:line="198" w:lineRule="exact"/>
        <w:rPr>
          <w:rFonts w:ascii="Arial" w:cs="Arial" w:eastAsia="Arial" w:hAnsi="Arial"/>
          <w:sz w:val="18"/>
          <w:szCs w:val="18"/>
          <w:b w:val="1"/>
          <w:bCs w:val="1"/>
          <w:color w:val="auto"/>
        </w:rPr>
      </w:pPr>
    </w:p>
    <w:p>
      <w:pPr>
        <w:ind w:left="660" w:right="640" w:hanging="328"/>
        <w:spacing w:after="0" w:line="287" w:lineRule="auto"/>
        <w:tabs>
          <w:tab w:leader="none" w:pos="628"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Annualized Recurring Revenues (“ARR”) </w:t>
      </w:r>
      <w:r>
        <w:rPr>
          <w:rFonts w:ascii="Arial" w:cs="Arial" w:eastAsia="Arial" w:hAnsi="Arial"/>
          <w:sz w:val="18"/>
          <w:szCs w:val="18"/>
          <w:color w:val="auto"/>
        </w:rPr>
        <w:t>were $1,582.8 million as of September 30, 2026, compared to $1,405.2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30, 2025. </w:t>
      </w:r>
      <w:r>
        <w:rPr>
          <w:rFonts w:ascii="Arial" w:cs="Arial" w:eastAsia="Arial" w:hAnsi="Arial"/>
          <w:sz w:val="18"/>
          <w:szCs w:val="18"/>
          <w:i w:val="1"/>
          <w:iCs w:val="1"/>
          <w:color w:val="auto"/>
        </w:rPr>
        <w:t>Constant currency ARR growth rate</w:t>
      </w:r>
      <w:r>
        <w:rPr>
          <w:rFonts w:ascii="Arial" w:cs="Arial" w:eastAsia="Arial" w:hAnsi="Arial"/>
          <w:sz w:val="18"/>
          <w:szCs w:val="18"/>
          <w:color w:val="auto"/>
        </w:rPr>
        <w:t xml:space="preserve"> was 13%;</w:t>
      </w:r>
    </w:p>
    <w:p>
      <w:pPr>
        <w:spacing w:after="0" w:line="112"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Last twelve-months recurring revenues dollar-based net retention rate </w:t>
      </w:r>
      <w:r>
        <w:rPr>
          <w:rFonts w:ascii="Arial" w:cs="Arial" w:eastAsia="Arial" w:hAnsi="Arial"/>
          <w:sz w:val="18"/>
          <w:szCs w:val="18"/>
          <w:color w:val="auto"/>
        </w:rPr>
        <w:t>was 110%, compared to 109%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Operating income margin </w:t>
      </w:r>
      <w:r>
        <w:rPr>
          <w:rFonts w:ascii="Arial" w:cs="Arial" w:eastAsia="Arial" w:hAnsi="Arial"/>
          <w:sz w:val="18"/>
          <w:szCs w:val="18"/>
          <w:color w:val="auto"/>
        </w:rPr>
        <w:t>was 29.1%, compared to 22.5% for the same period last year;</w:t>
      </w:r>
    </w:p>
    <w:p>
      <w:pPr>
        <w:spacing w:after="0" w:line="198" w:lineRule="exact"/>
        <w:rPr>
          <w:rFonts w:ascii="Arial" w:cs="Arial" w:eastAsia="Arial" w:hAnsi="Arial"/>
          <w:sz w:val="18"/>
          <w:szCs w:val="18"/>
          <w:b w:val="1"/>
          <w:bCs w:val="1"/>
          <w:color w:val="auto"/>
        </w:rPr>
      </w:pPr>
    </w:p>
    <w:p>
      <w:pPr>
        <w:ind w:left="660" w:right="580" w:hanging="328"/>
        <w:spacing w:after="0" w:line="287" w:lineRule="auto"/>
        <w:tabs>
          <w:tab w:leader="none" w:pos="628"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Adjusted operating income less operating stock-based compensation expense (“AOI less Operating SBC”) margin </w:t>
      </w:r>
      <w:r>
        <w:rPr>
          <w:rFonts w:ascii="Arial" w:cs="Arial" w:eastAsia="Arial" w:hAnsi="Arial"/>
          <w:sz w:val="18"/>
          <w:szCs w:val="18"/>
          <w:color w:val="auto"/>
        </w:rPr>
        <w:t>was 32.1%,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28.1% for the same period last year;</w:t>
      </w:r>
    </w:p>
    <w:p>
      <w:pPr>
        <w:spacing w:after="0" w:line="112"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Net income per diluted share </w:t>
      </w:r>
      <w:r>
        <w:rPr>
          <w:rFonts w:ascii="Arial" w:cs="Arial" w:eastAsia="Arial" w:hAnsi="Arial"/>
          <w:sz w:val="18"/>
          <w:szCs w:val="18"/>
          <w:color w:val="auto"/>
        </w:rPr>
        <w:t>was $0.29, compared to $0.18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Adjusted net income per diluted share </w:t>
      </w:r>
      <w:r>
        <w:rPr>
          <w:rFonts w:ascii="Arial" w:cs="Arial" w:eastAsia="Arial" w:hAnsi="Arial"/>
          <w:sz w:val="18"/>
          <w:szCs w:val="18"/>
          <w:color w:val="auto"/>
        </w:rPr>
        <w:t>(“</w:t>
      </w:r>
      <w:r>
        <w:rPr>
          <w:rFonts w:ascii="Arial" w:cs="Arial" w:eastAsia="Arial" w:hAnsi="Arial"/>
          <w:sz w:val="18"/>
          <w:szCs w:val="18"/>
          <w:i w:val="1"/>
          <w:iCs w:val="1"/>
          <w:color w:val="auto"/>
        </w:rPr>
        <w:t>Adjusted EPS</w:t>
      </w:r>
      <w:r>
        <w:rPr>
          <w:rFonts w:ascii="Arial" w:cs="Arial" w:eastAsia="Arial" w:hAnsi="Arial"/>
          <w:sz w:val="18"/>
          <w:szCs w:val="18"/>
          <w:color w:val="auto"/>
        </w:rPr>
        <w:t>”) was $0.36, compared to $0.27 for the same period last year;</w:t>
      </w:r>
    </w:p>
    <w:p>
      <w:pPr>
        <w:spacing w:after="0" w:line="198"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were $109.4 million, compared to $116.4 million for the same period last year; and</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was $101.4 million, compared to $110.7 million for the same period last year.</w:t>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Nine Months Ended September 30, 2026 Results</w:t>
      </w:r>
    </w:p>
    <w:p>
      <w:pPr>
        <w:spacing w:after="0" w:line="252"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were $1,256.4 million, up 13.2% or 12.3% on a constant currency basis, year-over-year;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Subscriptions revenues </w:t>
      </w:r>
      <w:r>
        <w:rPr>
          <w:rFonts w:ascii="Arial" w:cs="Arial" w:eastAsia="Arial" w:hAnsi="Arial"/>
          <w:sz w:val="18"/>
          <w:szCs w:val="18"/>
          <w:color w:val="auto"/>
        </w:rPr>
        <w:t>were $1,157.9 million, up 13.5% or 12.7% on a constant currency basis, year-over-year;</w:t>
      </w:r>
    </w:p>
    <w:p>
      <w:pPr>
        <w:spacing w:after="0" w:line="198"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Operating income margin </w:t>
      </w:r>
      <w:r>
        <w:rPr>
          <w:rFonts w:ascii="Arial" w:cs="Arial" w:eastAsia="Arial" w:hAnsi="Arial"/>
          <w:sz w:val="18"/>
          <w:szCs w:val="18"/>
          <w:color w:val="auto"/>
        </w:rPr>
        <w:t>was 26.9%, compared to 25.6%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AOI less Operating SBC margin </w:t>
      </w:r>
      <w:r>
        <w:rPr>
          <w:rFonts w:ascii="Arial" w:cs="Arial" w:eastAsia="Arial" w:hAnsi="Arial"/>
          <w:sz w:val="18"/>
          <w:szCs w:val="18"/>
          <w:color w:val="auto"/>
        </w:rPr>
        <w:t>was 31.2%, compared to 30.7% for the same period last year;</w:t>
      </w:r>
    </w:p>
    <w:p>
      <w:pPr>
        <w:spacing w:after="0" w:line="184"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Net income per diluted share </w:t>
      </w:r>
      <w:r>
        <w:rPr>
          <w:rFonts w:ascii="Arial" w:cs="Arial" w:eastAsia="Arial" w:hAnsi="Arial"/>
          <w:sz w:val="18"/>
          <w:szCs w:val="18"/>
          <w:color w:val="auto"/>
        </w:rPr>
        <w:t>was $0.83, compared to $0.67 for the same period last year;</w:t>
      </w:r>
    </w:p>
    <w:p>
      <w:pPr>
        <w:spacing w:after="0" w:line="198"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was $1.09, compared to $0.94 for the same period last year;</w:t>
      </w:r>
    </w:p>
    <w:p>
      <w:pPr>
        <w:spacing w:after="0" w:line="184" w:lineRule="exact"/>
        <w:rPr>
          <w:rFonts w:ascii="Arial" w:cs="Arial" w:eastAsia="Arial" w:hAnsi="Arial"/>
          <w:sz w:val="18"/>
          <w:szCs w:val="18"/>
          <w:b w:val="1"/>
          <w:bCs w:val="1"/>
          <w:color w:val="auto"/>
        </w:rPr>
      </w:pPr>
    </w:p>
    <w:p>
      <w:pPr>
        <w:ind w:left="660" w:right="140" w:hanging="328"/>
        <w:spacing w:after="0" w:line="268" w:lineRule="auto"/>
        <w:tabs>
          <w:tab w:leader="none" w:pos="628"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xml:space="preserve">were $374.4 million, compared to $396.9 million for the same period last year. Last twelve-months ended September 30, 2026 </w:t>
      </w: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xml:space="preserve"> were $515.9 million, compared to $478.5 million for the last twelve-months ended September 30, 2025; and</w:t>
      </w:r>
    </w:p>
    <w:p>
      <w:pPr>
        <w:spacing w:after="0" w:line="130" w:lineRule="exact"/>
        <w:rPr>
          <w:rFonts w:ascii="Arial" w:cs="Arial" w:eastAsia="Arial" w:hAnsi="Arial"/>
          <w:sz w:val="18"/>
          <w:szCs w:val="18"/>
          <w:b w:val="1"/>
          <w:bCs w:val="1"/>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was $353.1 million, compared to $384.0 million for the same period last year. Last twelve-months ended</w:t>
      </w:r>
    </w:p>
    <w:p>
      <w:pPr>
        <w:spacing w:after="0" w:line="27" w:lineRule="exact"/>
        <w:rPr>
          <w:sz w:val="20"/>
          <w:szCs w:val="20"/>
          <w:color w:val="auto"/>
        </w:rPr>
      </w:pPr>
    </w:p>
    <w:p>
      <w:pPr>
        <w:ind w:left="660" w:right="80"/>
        <w:spacing w:after="0" w:line="266" w:lineRule="auto"/>
        <w:rPr>
          <w:sz w:val="20"/>
          <w:szCs w:val="20"/>
          <w:color w:val="auto"/>
        </w:rPr>
      </w:pPr>
      <w:r>
        <w:rPr>
          <w:rFonts w:ascii="Arial" w:cs="Arial" w:eastAsia="Arial" w:hAnsi="Arial"/>
          <w:sz w:val="18"/>
          <w:szCs w:val="18"/>
          <w:color w:val="auto"/>
        </w:rPr>
        <w:t xml:space="preserve">September 30, 2026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was $489.3 million, compared to $460.1 million for the last twelve-months ended September 30, 2025.</w:t>
      </w:r>
    </w:p>
    <w:p>
      <w:pPr>
        <w:spacing w:after="0" w:line="200" w:lineRule="exact"/>
        <w:rPr>
          <w:sz w:val="20"/>
          <w:szCs w:val="20"/>
          <w:color w:val="auto"/>
        </w:rPr>
      </w:pPr>
    </w:p>
    <w:p>
      <w:pPr>
        <w:spacing w:after="0" w:line="2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Executive Chair Greg Bentley said, “The progression throughout 2026 to date of BSY’s year-over-year ARR growth rate to 13%, exceeding our annual outlook range, reflects both the robustness of our focused end markets, and accounts’ confidence in our mutual trajectories for infrastructure AI. Complementing BSY’s stalwart operating execution, I am pleased that we have recently concluded two strategic capital allocation transactions: the divestment of Cohesive into our investee and successor consolidator, Naviam, and the acquisition of Eliis for seismic interpretation, further expanding Seequent’s comprehensive subsurface modeling scope and reach.”</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CEO Nicholas Cumins said, “We delivered another quarter of accelerated growth, driven by strength in Resources and continued momentum in Public Works &amp; Utilities. The engineering firms we serve are benefiting from an unprecedented level of investment in </w:t>
      </w:r>
      <w:r>
        <w:rPr>
          <w:rFonts w:ascii="Arial" w:cs="Arial" w:eastAsia="Arial" w:hAnsi="Arial"/>
          <w:sz w:val="18"/>
          <w:szCs w:val="18"/>
          <w:i w:val="1"/>
          <w:iCs w:val="1"/>
          <w:color w:val="auto"/>
        </w:rPr>
        <w:t>infrastructure for AI</w:t>
      </w:r>
      <w:r>
        <w:rPr>
          <w:rFonts w:ascii="Arial" w:cs="Arial" w:eastAsia="Arial" w:hAnsi="Arial"/>
          <w:sz w:val="18"/>
          <w:szCs w:val="18"/>
          <w:color w:val="auto"/>
        </w:rPr>
        <w:t xml:space="preserve">. In parallel, Bentley is uniquely positioned to unlock the potential of </w:t>
      </w:r>
      <w:r>
        <w:rPr>
          <w:rFonts w:ascii="Arial" w:cs="Arial" w:eastAsia="Arial" w:hAnsi="Arial"/>
          <w:sz w:val="18"/>
          <w:szCs w:val="18"/>
          <w:i w:val="1"/>
          <w:iCs w:val="1"/>
          <w:color w:val="auto"/>
        </w:rPr>
        <w:t>AI for infrastructure</w:t>
      </w:r>
      <w:r>
        <w:rPr>
          <w:rFonts w:ascii="Arial" w:cs="Arial" w:eastAsia="Arial" w:hAnsi="Arial"/>
          <w:sz w:val="18"/>
          <w:szCs w:val="18"/>
          <w:color w:val="auto"/>
        </w:rPr>
        <w:t>. At our Year in Infrastructure Awards last month, nearly 70% of our finalists leveraged AI in their projects, demonstrating how our software used at machine speed can significantly expand engineering capability to deliver better, more resilient infrastructure.”</w:t>
      </w:r>
    </w:p>
    <w:p>
      <w:pPr>
        <w:spacing w:after="0" w:line="206"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CFO Werner Andre said, “Our strong Q3 results, expected continued momentum, and the programmatic acquisition of Eliis provide confidence in raising our constant currency ARR 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growth range—excluding the impact from the Cohesive divestiture—to 12.5-13.5%. Revenues excluding the Cohesive divestiture, AOI less Operating SBC and free cash flow remain on track to deliver within their respective outlook ranges. With net debt leverage of 1.7 times and our revolving credit facility, we have ample financial flexibility to fund programmatic acquisitions, return capital through dividends and opportunistic share repurchases, and repay our 2027 convertible notes at maturity.”</w:t>
      </w:r>
    </w:p>
    <w:p>
      <w:pPr>
        <w:sectPr>
          <w:pgSz w:w="11900" w:h="16838" w:orient="portrait"/>
          <w:cols w:equalWidth="0" w:num="1">
            <w:col w:w="11200"/>
          </w:cols>
          <w:pgMar w:left="320" w:top="141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660" w:right="100" w:hanging="328"/>
        <w:spacing w:after="0" w:line="232" w:lineRule="exact"/>
        <w:tabs>
          <w:tab w:leader="none" w:pos="62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 October 13, 2026, we completed the divestiture of Cohesive—a business that provides IBM Maximo</w:t>
      </w:r>
      <w:r>
        <w:rPr>
          <w:rFonts w:ascii="MS PGothic" w:cs="MS PGothic" w:eastAsia="MS PGothic" w:hAnsi="MS PGothic"/>
          <w:sz w:val="18"/>
          <w:szCs w:val="18"/>
          <w:color w:val="auto"/>
        </w:rPr>
        <w:t>‑</w:t>
      </w:r>
      <w:r>
        <w:rPr>
          <w:rFonts w:ascii="Arial" w:cs="Arial" w:eastAsia="Arial" w:hAnsi="Arial"/>
          <w:sz w:val="18"/>
          <w:szCs w:val="18"/>
          <w:color w:val="auto"/>
        </w:rPr>
        <w:t>related implementation and consulting services and operated separately from our infrastructure engineering software offerings—by contributing it to Naviam, a leading IBM Maximo partner. In exchange, we received an equity interest in Naviam and warrants to acquire additional equity interests therein; and</w:t>
      </w:r>
    </w:p>
    <w:p>
      <w:pPr>
        <w:spacing w:after="0" w:line="155" w:lineRule="exact"/>
        <w:rPr>
          <w:rFonts w:ascii="Arial" w:cs="Arial" w:eastAsia="Arial" w:hAnsi="Arial"/>
          <w:sz w:val="18"/>
          <w:szCs w:val="18"/>
          <w:b w:val="1"/>
          <w:bCs w:val="1"/>
          <w:color w:val="auto"/>
        </w:rPr>
      </w:pPr>
    </w:p>
    <w:p>
      <w:pPr>
        <w:ind w:left="660" w:hanging="328"/>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On October 29, 2026, we completed the acquisition of Eliis, a seismic interpretation software company. The acquisition is expected to complement our </w:t>
      </w:r>
      <w:r>
        <w:rPr>
          <w:rFonts w:ascii="Arial" w:cs="Arial" w:eastAsia="Arial" w:hAnsi="Arial"/>
          <w:sz w:val="18"/>
          <w:szCs w:val="18"/>
          <w:i w:val="1"/>
          <w:iCs w:val="1"/>
          <w:color w:val="auto"/>
        </w:rPr>
        <w:t>Seequent</w:t>
      </w:r>
      <w:r>
        <w:rPr>
          <w:rFonts w:ascii="Arial" w:cs="Arial" w:eastAsia="Arial" w:hAnsi="Arial"/>
          <w:sz w:val="18"/>
          <w:szCs w:val="18"/>
          <w:color w:val="auto"/>
        </w:rPr>
        <w:t xml:space="preserve"> subsurface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Details</w:t>
      </w:r>
    </w:p>
    <w:p>
      <w:pPr>
        <w:spacing w:after="0" w:line="25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Bentley Systems will host a live Zoom video webinar on November 5, 2026 at 8:15 a.m. EST to discuss results for its third quarter ended September 30, 2026.</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Those wishing to participate should access the live Zoom video webinar of the event through a direct registration link at </w:t>
      </w:r>
      <w:r>
        <w:rPr>
          <w:rFonts w:ascii="Arial" w:cs="Arial" w:eastAsia="Arial" w:hAnsi="Arial"/>
          <w:sz w:val="18"/>
          <w:szCs w:val="18"/>
          <w:u w:val="single" w:color="auto"/>
          <w:color w:val="0E32E1"/>
        </w:rPr>
        <w:t>https://bentley-com.zoom.us/webinar/register/WN_T9StoRzJTMSMNGnMCu6j3Q#/registration</w:t>
      </w:r>
      <w:r>
        <w:rPr>
          <w:rFonts w:ascii="Arial" w:cs="Arial" w:eastAsia="Arial" w:hAnsi="Arial"/>
          <w:sz w:val="18"/>
          <w:szCs w:val="18"/>
          <w:color w:val="000000"/>
        </w:rPr>
        <w:t>. Alternatively, the event can be accessed from the Events &amp;</w:t>
      </w:r>
      <w:r>
        <w:rPr>
          <w:rFonts w:ascii="Arial" w:cs="Arial" w:eastAsia="Arial" w:hAnsi="Arial"/>
          <w:sz w:val="18"/>
          <w:szCs w:val="18"/>
          <w:color w:val="0E32E1"/>
        </w:rPr>
        <w:t xml:space="preserve"> </w:t>
      </w:r>
      <w:r>
        <w:rPr>
          <w:rFonts w:ascii="Arial" w:cs="Arial" w:eastAsia="Arial" w:hAnsi="Arial"/>
          <w:sz w:val="18"/>
          <w:szCs w:val="18"/>
          <w:color w:val="000000"/>
        </w:rPr>
        <w:t xml:space="preserve">Presentations page on Bentley Systems’ Investor Relations website at </w:t>
      </w:r>
      <w:r>
        <w:rPr>
          <w:rFonts w:ascii="Arial" w:cs="Arial" w:eastAsia="Arial" w:hAnsi="Arial"/>
          <w:sz w:val="18"/>
          <w:szCs w:val="18"/>
          <w:u w:val="single" w:color="auto"/>
          <w:color w:val="0E32E1"/>
        </w:rPr>
        <w:t>https://investors.bentley.com</w:t>
      </w:r>
      <w:r>
        <w:rPr>
          <w:rFonts w:ascii="Arial" w:cs="Arial" w:eastAsia="Arial" w:hAnsi="Arial"/>
          <w:sz w:val="18"/>
          <w:szCs w:val="18"/>
          <w:color w:val="000000"/>
        </w:rPr>
        <w:t>. In addition, a replay and transcript will be available after the conclusion of the live event on Bentley Systems’ Investor Relations website for one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ind w:right="20"/>
        <w:spacing w:after="0" w:line="228" w:lineRule="exact"/>
        <w:rPr>
          <w:sz w:val="20"/>
          <w:szCs w:val="20"/>
          <w:color w:val="auto"/>
        </w:rPr>
      </w:pPr>
      <w:r>
        <w:rPr>
          <w:rFonts w:ascii="Arial" w:cs="Arial" w:eastAsia="Arial" w:hAnsi="Arial"/>
          <w:sz w:val="18"/>
          <w:szCs w:val="18"/>
          <w:color w:val="auto"/>
        </w:rPr>
        <w:t>In this press release, we sometimes refer to financial measures that are not presented in accordance with U.S. generally accepted accounting principles (“GAAP”). Certain of these measures are considered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under the United States Securities and Exchange Commission (“SEC”) regulations. Those rules require the supplemental explanations and reconciliations that are in Bentley Systems’ Form 8</w:t>
      </w:r>
      <w:r>
        <w:rPr>
          <w:rFonts w:ascii="MS PGothic" w:cs="MS PGothic" w:eastAsia="MS PGothic" w:hAnsi="MS PGothic"/>
          <w:sz w:val="18"/>
          <w:szCs w:val="18"/>
          <w:color w:val="auto"/>
        </w:rPr>
        <w:t>‑</w:t>
      </w:r>
      <w:r>
        <w:rPr>
          <w:rFonts w:ascii="Arial" w:cs="Arial" w:eastAsia="Arial" w:hAnsi="Arial"/>
          <w:sz w:val="18"/>
          <w:szCs w:val="18"/>
          <w:color w:val="auto"/>
        </w:rPr>
        <w:t>K (Quarterly Earnings Release) furnished to the SEC.</w:t>
      </w:r>
    </w:p>
    <w:p>
      <w:pPr>
        <w:spacing w:after="0" w:line="19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use AOI less Operating SBC as our primary performance measure because we believe it better reflects our core operating results by excluding items that are not indicative of the ordinary operation of our business, including costs arising directly from our acquisition activity and the costs of discrete realignment initiatives. Consistent with that objective, we refined the measure during 2026: beginning in the first quarter of 2026, we expanded our acquisition expenses adjustment to include cash- and equity</w:t>
      </w:r>
      <w:r>
        <w:rPr>
          <w:rFonts w:ascii="MS PGothic" w:cs="MS PGothic" w:eastAsia="MS PGothic" w:hAnsi="MS PGothic"/>
          <w:sz w:val="18"/>
          <w:szCs w:val="18"/>
          <w:color w:val="auto"/>
        </w:rPr>
        <w:t>‑</w:t>
      </w:r>
      <w:r>
        <w:rPr>
          <w:rFonts w:ascii="Arial" w:cs="Arial" w:eastAsia="Arial" w:hAnsi="Arial"/>
          <w:sz w:val="18"/>
          <w:szCs w:val="18"/>
          <w:color w:val="auto"/>
        </w:rPr>
        <w:t>settled retention incentives provided to key employees of acquired companies, and renamed the measure from Adjusted operating income less stock-based compensation expense (“AOI less SBC”) to “AOI less Operating SBC”; and beginning in the second quarter of 2026, applying the same principle, we began adjusting for integration costs incurred to integrate acquired businesses into our operations. We continue to adjust for discrete realignment initiatives, and we do not adjust for severance or organizational and workforce changes undertaken in the ordinary course of managing our business, which remain reflected in AOI less Operating SBC. Prior period amounts have been revised to conform to the current definition; no integration costs were incurred in periods prior to the second quarter of 2026.</w:t>
      </w:r>
    </w:p>
    <w:p>
      <w:pPr>
        <w:sectPr>
          <w:pgSz w:w="11900" w:h="16838" w:orient="portrait"/>
          <w:cols w:equalWidth="0" w:num="1">
            <w:col w:w="11200"/>
          </w:cols>
          <w:pgMar w:left="320" w:top="141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This press release includes forward-looking statements regarding the future results of operations and financial condition, business strategy, and plans and objectives for future operations of Bentley Systems, Incorporated (the “Company,” “we,” “us,” and words of similar import). All such statements contained in this press release, other than statements of historical facts, are forward-looking statements. The words “believe,” “may,” “will,” “estimate,” “continue,” “anticipate,” “intend,” “expect,” and similar expressions are intended to identify forward-looking statements. We have based these forward-looking statements largely on our current expectations, projections, and assumptions about future events and financial trends that we believe may affect our financial condition, results of operations, business strategy, short-term and long-</w:t>
      </w:r>
    </w:p>
    <w:p>
      <w:pPr>
        <w:spacing w:after="0" w:line="2" w:lineRule="exact"/>
        <w:rPr>
          <w:sz w:val="20"/>
          <w:szCs w:val="20"/>
          <w:color w:val="auto"/>
        </w:rPr>
      </w:pPr>
    </w:p>
    <w:p>
      <w:pPr>
        <w:ind w:right="840"/>
        <w:spacing w:after="0"/>
        <w:rPr>
          <w:sz w:val="20"/>
          <w:szCs w:val="20"/>
          <w:color w:val="auto"/>
        </w:rPr>
      </w:pPr>
      <w:r>
        <w:rPr>
          <w:rFonts w:ascii="Arial" w:cs="Arial" w:eastAsia="Arial" w:hAnsi="Arial"/>
          <w:sz w:val="17"/>
          <w:szCs w:val="17"/>
          <w:color w:val="auto"/>
        </w:rPr>
        <w:t>term business operations and objectives, and financial needs. These forward-looking statements are subject to a number of risks, uncertainties and assumptions, and there are a significant number of factors that could cause actual results to differ materially from</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statements made in this press release including: adverse changes in global economic and/or political conditions; the impact of tariffs and related policies on our business and the businesses of the industries we serve; the impact of current and future sanctions, embargoes and other similar laws at the state and/or federal level that impose restrictions on our counterparties or upon our ability to operate our business within the subject jurisdictions; political, economic, regulatory and public health and safety risks and uncertainties in the countries and regions in which we operate; failure to retain personnel necessary for the operation of our business or those that we acquire; failure to effectively manage succession; changes in the industries in which our accounts operate; the competitive environment in which we operate; the quality of our products; our ability to develop and market new products to address our accounts’ rapidly changing technological needs; the impact of artificial intelligence and related technologies on our business and strategy and those of the industries we serve; changes in capital markets and our ability to access financing on terms satisfactory to us or at all; the impact of changing or uncertain interest rates on us and on the industries we serve; our ability to integrate acquired businesses successfully; and our ability to identify and consummate future investments and/or acquisitions on terms satisfactory to us or at all.</w:t>
      </w:r>
    </w:p>
    <w:p>
      <w:pPr>
        <w:spacing w:after="0" w:line="187" w:lineRule="exact"/>
        <w:rPr>
          <w:sz w:val="20"/>
          <w:szCs w:val="20"/>
          <w:color w:val="auto"/>
        </w:rPr>
      </w:pPr>
    </w:p>
    <w:p>
      <w:pPr>
        <w:ind w:right="180"/>
        <w:spacing w:after="0" w:line="237" w:lineRule="exact"/>
        <w:rPr>
          <w:sz w:val="20"/>
          <w:szCs w:val="20"/>
          <w:color w:val="auto"/>
        </w:rPr>
      </w:pPr>
      <w:r>
        <w:rPr>
          <w:rFonts w:ascii="Arial" w:cs="Arial" w:eastAsia="Arial" w:hAnsi="Arial"/>
          <w:sz w:val="18"/>
          <w:szCs w:val="18"/>
          <w:color w:val="auto"/>
        </w:rPr>
        <w:t>Further information on potential factors that could affect the financial results of the Company are included in the Company’s Form 10</w:t>
      </w:r>
      <w:r>
        <w:rPr>
          <w:rFonts w:ascii="MS PGothic" w:cs="MS PGothic" w:eastAsia="MS PGothic" w:hAnsi="MS PGothic"/>
          <w:sz w:val="18"/>
          <w:szCs w:val="18"/>
          <w:color w:val="auto"/>
        </w:rPr>
        <w:t>‑</w:t>
      </w:r>
      <w:r>
        <w:rPr>
          <w:rFonts w:ascii="Arial" w:cs="Arial" w:eastAsia="Arial" w:hAnsi="Arial"/>
          <w:sz w:val="18"/>
          <w:szCs w:val="18"/>
          <w:color w:val="auto"/>
        </w:rPr>
        <w:t>K and subsequent Form 10</w:t>
      </w:r>
      <w:r>
        <w:rPr>
          <w:rFonts w:ascii="MS PGothic" w:cs="MS PGothic" w:eastAsia="MS PGothic" w:hAnsi="MS PGothic"/>
          <w:sz w:val="18"/>
          <w:szCs w:val="18"/>
          <w:color w:val="auto"/>
        </w:rPr>
        <w:t>‑</w:t>
      </w:r>
      <w:r>
        <w:rPr>
          <w:rFonts w:ascii="Arial" w:cs="Arial" w:eastAsia="Arial" w:hAnsi="Arial"/>
          <w:sz w:val="18"/>
          <w:szCs w:val="18"/>
          <w:color w:val="auto"/>
        </w:rPr>
        <w:t>Qs, which are on file with the SEC. The Company disclaims any obligation to update the forward-looking statements provided to reflect events that occur or circumstances that exist after the date on which they were made.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Bentley Systems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Around the world, infrastructure professionals rely on software from Bentley Systems to help them design, build, and operate better and more resilient infrastructure for transportation, water, energy, cities, and more. Founded in 1984 by engineers for engineers, Bentley is the partner of choice for engineering firms and owner-operators worldwide, with software that spans engineering disciplines, industry sectors, and all phases of the infrastructure lifecycle. Through our digital twin solutions, we help infrastructure professionals unlock the value of their data to transform project delivery and asset performance.</w:t>
      </w:r>
    </w:p>
    <w:p>
      <w:pPr>
        <w:spacing w:after="0" w:line="216" w:lineRule="exact"/>
        <w:rPr>
          <w:sz w:val="20"/>
          <w:szCs w:val="20"/>
          <w:color w:val="auto"/>
        </w:rPr>
      </w:pPr>
    </w:p>
    <w:p>
      <w:pPr>
        <w:ind w:right="320" w:firstLine="8"/>
        <w:spacing w:after="0" w:line="285" w:lineRule="auto"/>
        <w:tabs>
          <w:tab w:leader="none" w:pos="146" w:val="left"/>
        </w:tabs>
        <w:numPr>
          <w:ilvl w:val="0"/>
          <w:numId w:val="5"/>
        </w:numPr>
        <w:rPr>
          <w:rFonts w:ascii="Arial" w:cs="Arial" w:eastAsia="Arial" w:hAnsi="Arial"/>
          <w:sz w:val="14"/>
          <w:szCs w:val="14"/>
          <w:i w:val="1"/>
          <w:iCs w:val="1"/>
          <w:color w:val="auto"/>
        </w:rPr>
      </w:pPr>
      <w:r>
        <w:rPr>
          <w:rFonts w:ascii="Arial" w:cs="Arial" w:eastAsia="Arial" w:hAnsi="Arial"/>
          <w:sz w:val="14"/>
          <w:szCs w:val="14"/>
          <w:color w:val="auto"/>
        </w:rPr>
        <w:t xml:space="preserve">2026 </w:t>
      </w:r>
      <w:r>
        <w:rPr>
          <w:rFonts w:ascii="Arial" w:cs="Arial" w:eastAsia="Arial" w:hAnsi="Arial"/>
          <w:sz w:val="14"/>
          <w:szCs w:val="14"/>
          <w:i w:val="1"/>
          <w:iCs w:val="1"/>
          <w:color w:val="auto"/>
        </w:rPr>
        <w:t>Bentley Systems, Incorporated. Bentley Systems, the Bentley logo, Eliis, and Seequent are either registered or unregistered trademarks or service marks of Bentley</w:t>
      </w:r>
      <w:r>
        <w:rPr>
          <w:rFonts w:ascii="Arial" w:cs="Arial" w:eastAsia="Arial" w:hAnsi="Arial"/>
          <w:sz w:val="14"/>
          <w:szCs w:val="14"/>
          <w:color w:val="auto"/>
        </w:rPr>
        <w:t xml:space="preserve"> </w:t>
      </w:r>
      <w:r>
        <w:rPr>
          <w:rFonts w:ascii="Arial" w:cs="Arial" w:eastAsia="Arial" w:hAnsi="Arial"/>
          <w:sz w:val="14"/>
          <w:szCs w:val="14"/>
          <w:i w:val="1"/>
          <w:iCs w:val="1"/>
          <w:color w:val="auto"/>
        </w:rPr>
        <w:t>Systems, Incorporated or one of its direct or indirect wholly owned subsidiaries. All other brands and product names are trademarks of their respective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Eric Boyer, </w:t>
      </w:r>
      <w:r>
        <w:rPr>
          <w:rFonts w:ascii="Arial" w:cs="Arial" w:eastAsia="Arial" w:hAnsi="Arial"/>
          <w:sz w:val="18"/>
          <w:szCs w:val="18"/>
          <w:u w:val="single" w:color="auto"/>
          <w:color w:val="0E32E1"/>
        </w:rPr>
        <w:t>IR@bentley.com</w:t>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2026</w:t>
            </w:r>
          </w:p>
        </w:tc>
        <w:tc>
          <w:tcPr>
            <w:tcW w:w="260" w:type="dxa"/>
            <w:vAlign w:val="bottom"/>
          </w:tcPr>
          <w:p>
            <w:pPr>
              <w:spacing w:after="0"/>
              <w:rPr>
                <w:sz w:val="17"/>
                <w:szCs w:val="17"/>
                <w:color w:val="auto"/>
              </w:rPr>
            </w:pPr>
          </w:p>
        </w:tc>
        <w:tc>
          <w:tcPr>
            <w:tcW w:w="1840" w:type="dxa"/>
            <w:vAlign w:val="bottom"/>
          </w:tcPr>
          <w:p>
            <w:pPr>
              <w:jc w:val="right"/>
              <w:ind w:right="319"/>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150,874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123,278</w:t>
            </w: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324,129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350,299</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credit losses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(7,609)</w:t>
            </w: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23,818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19,805</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68,576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53,260</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62,052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619,517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539,033</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45,378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36,031</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37,455</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31,141</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158,333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193,018</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2,441,893</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2,482,154</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42,265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27,920</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144,218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170,368</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80,152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75,502</w:t>
            </w:r>
          </w:p>
        </w:tc>
        <w:tc>
          <w:tcPr>
            <w:tcW w:w="0" w:type="dxa"/>
            <w:vAlign w:val="bottom"/>
          </w:tcPr>
          <w:p>
            <w:pPr>
              <w:spacing w:after="0"/>
              <w:rPr>
                <w:sz w:val="1"/>
                <w:szCs w:val="1"/>
                <w:color w:val="auto"/>
              </w:rPr>
            </w:pPr>
          </w:p>
        </w:tc>
      </w:tr>
      <w:tr>
        <w:trPr>
          <w:trHeight w:val="262"/>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3,569,211</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3,555,167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20,606</w:t>
            </w:r>
          </w:p>
        </w:tc>
        <w:tc>
          <w:tcPr>
            <w:tcW w:w="2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26,952</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Accruals and other current liabilities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167,253</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173,255</w:t>
            </w: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Cloud Services Subscription deposits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480,907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463,312</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237,886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278,244</w:t>
            </w: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11,485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13,669</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13,750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 held for sale</w:t>
            </w:r>
          </w:p>
        </w:tc>
        <w:tc>
          <w:tcPr>
            <w:tcW w:w="2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17,073</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959,822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960,210</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1,148,496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1,248,912</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111,985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106,831</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22,150</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19,235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18,410</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w:t>
            </w: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2,286,096</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2,365,675</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0" w:type="dxa"/>
            <w:vAlign w:val="bottom"/>
          </w:tcPr>
          <w:p>
            <w:pPr>
              <w:spacing w:after="0"/>
              <w:rPr>
                <w:sz w:val="1"/>
                <w:szCs w:val="1"/>
                <w:color w:val="auto"/>
              </w:rPr>
            </w:pPr>
          </w:p>
        </w:tc>
      </w:tr>
      <w:tr>
        <w:trPr>
          <w:trHeight w:val="235"/>
        </w:trPr>
        <w:tc>
          <w:tcPr>
            <w:tcW w:w="67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1,376,352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1,301,205</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(88,175)</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(74,558)</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(40,258)</w:t>
            </w: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Bentley Systems stockholders’ equity</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1,283,067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1,189,413</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1,283,115</w:t>
            </w:r>
          </w:p>
        </w:tc>
        <w:tc>
          <w:tcPr>
            <w:tcW w:w="2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1,189,492</w:t>
            </w: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3,569,211</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3,555,167</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88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180"/>
              <w:spacing w:after="0"/>
              <w:rPr>
                <w:sz w:val="20"/>
                <w:szCs w:val="20"/>
                <w:color w:val="auto"/>
              </w:rPr>
            </w:pPr>
            <w:r>
              <w:rPr>
                <w:rFonts w:ascii="Arial" w:cs="Arial" w:eastAsia="Arial" w:hAnsi="Arial"/>
                <w:sz w:val="16"/>
                <w:szCs w:val="16"/>
                <w:color w:val="auto"/>
              </w:rPr>
              <w:t>Subscriptions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386,819</w:t>
            </w:r>
          </w:p>
        </w:tc>
        <w:tc>
          <w:tcPr>
            <w:tcW w:w="26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344,293</w:t>
            </w:r>
          </w:p>
        </w:tc>
        <w:tc>
          <w:tcPr>
            <w:tcW w:w="24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1,157,938</w:t>
            </w:r>
          </w:p>
        </w:tc>
        <w:tc>
          <w:tcPr>
            <w:tcW w:w="26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1,020,063</w:t>
            </w: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Perpetual licenses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12,631</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31,395</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31,898</w:t>
            </w:r>
          </w:p>
        </w:tc>
        <w:tc>
          <w:tcPr>
            <w:tcW w:w="0" w:type="dxa"/>
            <w:vAlign w:val="bottom"/>
          </w:tcPr>
          <w:p>
            <w:pPr>
              <w:spacing w:after="0"/>
              <w:rPr>
                <w:sz w:val="1"/>
                <w:szCs w:val="1"/>
                <w:color w:val="auto"/>
              </w:rPr>
            </w:pPr>
          </w:p>
        </w:tc>
      </w:tr>
      <w:tr>
        <w:trPr>
          <w:trHeight w:val="235"/>
        </w:trPr>
        <w:tc>
          <w:tcPr>
            <w:tcW w:w="4640" w:type="dxa"/>
            <w:vAlign w:val="bottom"/>
          </w:tcPr>
          <w:p>
            <w:pPr>
              <w:ind w:left="360"/>
              <w:spacing w:after="0"/>
              <w:rPr>
                <w:sz w:val="20"/>
                <w:szCs w:val="20"/>
                <w:color w:val="auto"/>
              </w:rPr>
            </w:pPr>
            <w:r>
              <w:rPr>
                <w:rFonts w:ascii="Arial" w:cs="Arial" w:eastAsia="Arial" w:hAnsi="Arial"/>
                <w:sz w:val="16"/>
                <w:szCs w:val="16"/>
                <w:color w:val="auto"/>
              </w:rPr>
              <w:t>Subscriptions and licenses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399,450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355,206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1,189,333</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1,051,961</w:t>
            </w: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22,057</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20,343</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67,082</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58,236</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421,507</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375,549</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1,256,415</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1,110,197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180"/>
              <w:spacing w:after="0"/>
              <w:rPr>
                <w:sz w:val="20"/>
                <w:szCs w:val="20"/>
                <w:color w:val="auto"/>
              </w:rPr>
            </w:pPr>
            <w:r>
              <w:rPr>
                <w:rFonts w:ascii="Arial" w:cs="Arial" w:eastAsia="Arial" w:hAnsi="Arial"/>
                <w:sz w:val="16"/>
                <w:szCs w:val="16"/>
                <w:color w:val="auto"/>
              </w:rPr>
              <w:t>Cost of subscriptions and licenses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52,004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53,824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159,129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148,080</w:t>
            </w: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19,952</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18,371</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60,588</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58,550</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71,956</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72,195</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219,717</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206,630</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349,551</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303,354</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1,036,698</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903,567</w:t>
            </w:r>
          </w:p>
        </w:tc>
        <w:tc>
          <w:tcPr>
            <w:tcW w:w="0" w:type="dxa"/>
            <w:vAlign w:val="bottom"/>
          </w:tcPr>
          <w:p>
            <w:pPr>
              <w:spacing w:after="0"/>
              <w:rPr>
                <w:sz w:val="1"/>
                <w:szCs w:val="1"/>
                <w:color w:val="auto"/>
              </w:rPr>
            </w:pPr>
          </w:p>
        </w:tc>
      </w:tr>
      <w:tr>
        <w:trPr>
          <w:trHeight w:val="215"/>
        </w:trPr>
        <w:tc>
          <w:tcPr>
            <w:tcW w:w="4640" w:type="dxa"/>
            <w:vAlign w:val="bottom"/>
          </w:tcPr>
          <w:p>
            <w:pPr>
              <w:ind w:left="20"/>
              <w:spacing w:after="0"/>
              <w:rPr>
                <w:sz w:val="20"/>
                <w:szCs w:val="20"/>
                <w:color w:val="auto"/>
              </w:rPr>
            </w:pPr>
            <w:r>
              <w:rPr>
                <w:rFonts w:ascii="Arial" w:cs="Arial" w:eastAsia="Arial" w:hAnsi="Arial"/>
                <w:sz w:val="16"/>
                <w:szCs w:val="16"/>
                <w:color w:val="auto"/>
              </w:rPr>
              <w:t>Operating expense (income):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81,469</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78,751</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246,565</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226,586</w:t>
            </w:r>
          </w:p>
        </w:tc>
        <w:tc>
          <w:tcPr>
            <w:tcW w:w="0" w:type="dxa"/>
            <w:vAlign w:val="bottom"/>
          </w:tcPr>
          <w:p>
            <w:pPr>
              <w:spacing w:after="0"/>
              <w:rPr>
                <w:sz w:val="1"/>
                <w:szCs w:val="1"/>
                <w:color w:val="auto"/>
              </w:rPr>
            </w:pPr>
          </w:p>
        </w:tc>
      </w:tr>
      <w:tr>
        <w:trPr>
          <w:trHeight w:val="235"/>
        </w:trPr>
        <w:tc>
          <w:tcPr>
            <w:tcW w:w="4640" w:type="dxa"/>
            <w:vAlign w:val="bottom"/>
          </w:tcPr>
          <w:p>
            <w:pPr>
              <w:ind w:left="180"/>
              <w:spacing w:after="0"/>
              <w:rPr>
                <w:sz w:val="20"/>
                <w:szCs w:val="20"/>
                <w:color w:val="auto"/>
              </w:rPr>
            </w:pPr>
            <w:r>
              <w:rPr>
                <w:rFonts w:ascii="Arial" w:cs="Arial" w:eastAsia="Arial" w:hAnsi="Arial"/>
                <w:sz w:val="16"/>
                <w:szCs w:val="16"/>
                <w:color w:val="auto"/>
              </w:rPr>
              <w:t>Selling and marketing</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76,591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72,107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232,733</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205,039</w:t>
            </w:r>
          </w:p>
        </w:tc>
        <w:tc>
          <w:tcPr>
            <w:tcW w:w="0" w:type="dxa"/>
            <w:vAlign w:val="bottom"/>
          </w:tcPr>
          <w:p>
            <w:pPr>
              <w:spacing w:after="0"/>
              <w:rPr>
                <w:sz w:val="1"/>
                <w:szCs w:val="1"/>
                <w:color w:val="auto"/>
              </w:rPr>
            </w:pPr>
          </w:p>
        </w:tc>
      </w:tr>
      <w:tr>
        <w:trPr>
          <w:trHeight w:val="251"/>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61,502</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53,818</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185,227</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150,903</w:t>
            </w:r>
          </w:p>
        </w:tc>
        <w:tc>
          <w:tcPr>
            <w:tcW w:w="0" w:type="dxa"/>
            <w:vAlign w:val="bottom"/>
          </w:tcPr>
          <w:p>
            <w:pPr>
              <w:spacing w:after="0"/>
              <w:rPr>
                <w:sz w:val="1"/>
                <w:szCs w:val="1"/>
                <w:color w:val="auto"/>
              </w:rPr>
            </w:pPr>
          </w:p>
        </w:tc>
      </w:tr>
      <w:tr>
        <w:trPr>
          <w:trHeight w:val="235"/>
        </w:trPr>
        <w:tc>
          <w:tcPr>
            <w:tcW w:w="4640" w:type="dxa"/>
            <w:vAlign w:val="bottom"/>
          </w:tcPr>
          <w:p>
            <w:pPr>
              <w:ind w:left="180"/>
              <w:spacing w:after="0"/>
              <w:rPr>
                <w:sz w:val="20"/>
                <w:szCs w:val="20"/>
                <w:color w:val="auto"/>
              </w:rPr>
            </w:pPr>
            <w:r>
              <w:rPr>
                <w:rFonts w:ascii="Arial" w:cs="Arial" w:eastAsia="Arial" w:hAnsi="Arial"/>
                <w:sz w:val="16"/>
                <w:szCs w:val="16"/>
                <w:color w:val="auto"/>
              </w:rPr>
              <w:t>Deferred compensation plan</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9,801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12,371</w:t>
            </w: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8,152</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8,148</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24,881</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24,557</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226,928</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218,857</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699,207</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619,456</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122,623</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84,497</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337,491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284,111</w:t>
            </w:r>
          </w:p>
        </w:tc>
        <w:tc>
          <w:tcPr>
            <w:tcW w:w="0" w:type="dxa"/>
            <w:vAlign w:val="bottom"/>
          </w:tcPr>
          <w:p>
            <w:pPr>
              <w:spacing w:after="0"/>
              <w:rPr>
                <w:sz w:val="1"/>
                <w:szCs w:val="1"/>
                <w:color w:val="auto"/>
              </w:rPr>
            </w:pPr>
          </w:p>
        </w:tc>
      </w:tr>
      <w:tr>
        <w:trPr>
          <w:trHeight w:val="235"/>
        </w:trPr>
        <w:tc>
          <w:tcPr>
            <w:tcW w:w="46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(9,851)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(27,154)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18,824</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35"/>
        </w:trPr>
        <w:tc>
          <w:tcPr>
            <w:tcW w:w="46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115,535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83,707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329,161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274,847</w:t>
            </w:r>
          </w:p>
        </w:tc>
        <w:tc>
          <w:tcPr>
            <w:tcW w:w="0" w:type="dxa"/>
            <w:vAlign w:val="bottom"/>
          </w:tcPr>
          <w:p>
            <w:pPr>
              <w:spacing w:after="0"/>
              <w:rPr>
                <w:sz w:val="1"/>
                <w:szCs w:val="1"/>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(65,264)</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(55,620)</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net losses of investees, net of tax</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89,997</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57,289</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263,861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219,127</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6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Bentley Systems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89,933</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57,373</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263,892</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219,223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Bentley Systems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26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310,474,561</w:t>
            </w: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314,626,191</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311,671,484</w:t>
            </w: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314,826,779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317,691,424</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333,277,478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319,549,126</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333,214,695</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Nine Months Ended</w:t>
            </w:r>
          </w:p>
        </w:tc>
      </w:tr>
      <w:tr>
        <w:trPr>
          <w:trHeight w:val="239"/>
        </w:trPr>
        <w:tc>
          <w:tcPr>
            <w:tcW w:w="8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2025</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263,861</w:t>
            </w:r>
          </w:p>
        </w:tc>
        <w:tc>
          <w:tcPr>
            <w:tcW w:w="26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219,127</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46,399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50,125</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27,244</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23,339</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64,800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55,037</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plan</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Amortization of deferred debt issuance costs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5,682</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derivative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Foreign currency remeasurement (gain) loss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51"/>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r>
      <w:tr>
        <w:trPr>
          <w:trHeight w:val="235"/>
        </w:trPr>
        <w:tc>
          <w:tcPr>
            <w:tcW w:w="836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 from acquisitions: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40,813</w:t>
            </w:r>
          </w:p>
        </w:tc>
      </w:tr>
      <w:tr>
        <w:trPr>
          <w:trHeight w:val="235"/>
        </w:trPr>
        <w:tc>
          <w:tcPr>
            <w:tcW w:w="8360" w:type="dxa"/>
            <w:vAlign w:val="bottom"/>
          </w:tcPr>
          <w:p>
            <w:pPr>
              <w:ind w:left="520"/>
              <w:spacing w:after="0"/>
              <w:rPr>
                <w:sz w:val="20"/>
                <w:szCs w:val="20"/>
                <w:color w:val="auto"/>
              </w:rPr>
            </w:pPr>
            <w:r>
              <w:rPr>
                <w:rFonts w:ascii="Arial" w:cs="Arial" w:eastAsia="Arial" w:hAnsi="Arial"/>
                <w:sz w:val="16"/>
                <w:szCs w:val="16"/>
                <w:color w:val="auto"/>
              </w:rPr>
              <w:t>Prepaid and other assets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2,128</w:t>
            </w:r>
          </w:p>
        </w:tc>
      </w:tr>
      <w:tr>
        <w:trPr>
          <w:trHeight w:val="251"/>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 accruals, and other liabilities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(36,984)</w:t>
            </w:r>
          </w:p>
        </w:tc>
      </w:tr>
      <w:tr>
        <w:trPr>
          <w:trHeight w:val="235"/>
        </w:trPr>
        <w:tc>
          <w:tcPr>
            <w:tcW w:w="8360" w:type="dxa"/>
            <w:vAlign w:val="bottom"/>
          </w:tcPr>
          <w:p>
            <w:pPr>
              <w:ind w:left="520"/>
              <w:spacing w:after="0"/>
              <w:rPr>
                <w:sz w:val="20"/>
                <w:szCs w:val="20"/>
                <w:color w:val="auto"/>
              </w:rPr>
            </w:pPr>
            <w:r>
              <w:rPr>
                <w:rFonts w:ascii="Arial" w:cs="Arial" w:eastAsia="Arial" w:hAnsi="Arial"/>
                <w:sz w:val="16"/>
                <w:szCs w:val="16"/>
                <w:color w:val="auto"/>
              </w:rPr>
              <w:t>Cloud Services Subscription deposits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23,586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42,359</w:t>
            </w:r>
          </w:p>
        </w:tc>
      </w:tr>
      <w:tr>
        <w:trPr>
          <w:trHeight w:val="251"/>
        </w:trPr>
        <w:tc>
          <w:tcPr>
            <w:tcW w:w="8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revenues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(28,109)</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(24,369)</w:t>
            </w:r>
          </w:p>
        </w:tc>
      </w:tr>
      <w:tr>
        <w:trPr>
          <w:trHeight w:val="236"/>
        </w:trPr>
        <w:tc>
          <w:tcPr>
            <w:tcW w:w="83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Income taxes payable, net of prepaid income taxes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374,355</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396,876</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 and investment in capitalized software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(21,260)</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(12,836)</w:t>
            </w:r>
          </w:p>
        </w:tc>
      </w:tr>
      <w:tr>
        <w:trPr>
          <w:trHeight w:val="236"/>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(21,627)</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(13,774)</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credit facility</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1,220,439</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258,750</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Repayments of credit facility</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(1,180,186)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(394,065)</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term loan</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Repayments of convertible senior notes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(677,830)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(9,797)</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dividends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(63,574)</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(63,756)</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Proceeds from stock purchases under employee stock purchase plan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11,759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11,534</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shares acquired including shares withheld for taxes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(28,382)</w:t>
            </w:r>
          </w:p>
        </w:tc>
      </w:tr>
      <w:tr>
        <w:trPr>
          <w:trHeight w:val="235"/>
        </w:trPr>
        <w:tc>
          <w:tcPr>
            <w:tcW w:w="8360" w:type="dxa"/>
            <w:vAlign w:val="bottom"/>
          </w:tcPr>
          <w:p>
            <w:pPr>
              <w:ind w:left="180"/>
              <w:spacing w:after="0"/>
              <w:rPr>
                <w:sz w:val="20"/>
                <w:szCs w:val="20"/>
                <w:color w:val="auto"/>
              </w:rPr>
            </w:pPr>
            <w:r>
              <w:rPr>
                <w:rFonts w:ascii="Arial" w:cs="Arial" w:eastAsia="Arial" w:hAnsi="Arial"/>
                <w:sz w:val="16"/>
                <w:szCs w:val="16"/>
                <w:color w:val="auto"/>
              </w:rPr>
              <w:t>Repurchases of Class B common stock under approved program</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(135,081)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(65,029)</w:t>
            </w:r>
          </w:p>
        </w:tc>
      </w:tr>
      <w:tr>
        <w:trPr>
          <w:trHeight w:val="251"/>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(309,015)</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(291,207)</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9,507</w:t>
            </w: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Increase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40,060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101,402</w:t>
            </w:r>
          </w:p>
        </w:tc>
      </w:tr>
      <w:tr>
        <w:trPr>
          <w:trHeight w:val="25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123,278</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64,009</w:t>
            </w: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 including cash classified within Assets held for sale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163,338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165,411</w:t>
            </w:r>
          </w:p>
        </w:tc>
      </w:tr>
      <w:tr>
        <w:trPr>
          <w:trHeight w:val="244"/>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Reclassification of cash to Assets held for sale</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12,464</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3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150,874</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165,411</w:t>
            </w: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operating income to AOI less Operating SBC and to Adjusted operating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4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238"/>
        </w:trPr>
        <w:tc>
          <w:tcPr>
            <w:tcW w:w="2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0"/>
                <w:szCs w:val="20"/>
                <w:color w:val="auto"/>
              </w:rPr>
            </w:pPr>
          </w:p>
        </w:tc>
      </w:tr>
      <w:tr>
        <w:trPr>
          <w:trHeight w:val="223"/>
        </w:trPr>
        <w:tc>
          <w:tcPr>
            <w:tcW w:w="27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122,623</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84,497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337,491</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284,111</w:t>
            </w:r>
          </w:p>
        </w:tc>
      </w:tr>
      <w:tr>
        <w:trPr>
          <w:trHeight w:val="235"/>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9,789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11,339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33,400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34,188</w:t>
            </w:r>
          </w:p>
        </w:tc>
      </w:tr>
      <w:tr>
        <w:trPr>
          <w:trHeight w:val="25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compensation plan</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Acquisition expenses</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9,923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9,996</w:t>
            </w: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Integration costs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Realignment expenses (income)</w:t>
            </w:r>
          </w:p>
        </w:tc>
        <w:tc>
          <w:tcPr>
            <w:tcW w:w="2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AOI less Operating SBC</w:t>
            </w: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135,456</w:t>
            </w: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105,589</w:t>
            </w:r>
          </w:p>
        </w:tc>
        <w:tc>
          <w:tcPr>
            <w:tcW w:w="2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392,415</w:t>
            </w:r>
          </w:p>
        </w:tc>
        <w:tc>
          <w:tcPr>
            <w:tcW w:w="26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340,666</w:t>
            </w:r>
          </w:p>
        </w:tc>
      </w:tr>
      <w:tr>
        <w:trPr>
          <w:trHeight w:val="237"/>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stock-based compensation expense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19,581</w:t>
            </w:r>
          </w:p>
        </w:tc>
        <w:tc>
          <w:tcPr>
            <w:tcW w:w="2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16,310</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59,349</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49,300</w:t>
            </w:r>
          </w:p>
        </w:tc>
      </w:tr>
      <w:tr>
        <w:trPr>
          <w:trHeight w:val="262"/>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155,037</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121,899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451,764</w:t>
            </w:r>
          </w:p>
        </w:tc>
        <w:tc>
          <w:tcPr>
            <w:tcW w:w="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389,966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2780" w:type="dxa"/>
            <w:vAlign w:val="bottom"/>
            <w:tcBorders>
              <w:bottom w:val="single" w:sz="8" w:color="auto"/>
            </w:tcBorders>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02" w:lineRule="exact"/>
        <w:rPr>
          <w:sz w:val="20"/>
          <w:szCs w:val="20"/>
          <w:color w:val="auto"/>
        </w:rPr>
      </w:pPr>
    </w:p>
    <w:p>
      <w:pPr>
        <w:ind w:left="260" w:right="120" w:hanging="240"/>
        <w:spacing w:after="0" w:line="164" w:lineRule="exact"/>
        <w:tabs>
          <w:tab w:leader="none" w:pos="264" w:val="left"/>
        </w:tabs>
        <w:numPr>
          <w:ilvl w:val="1"/>
          <w:numId w:val="6"/>
        </w:numPr>
        <w:rPr>
          <w:rFonts w:ascii="Arial" w:cs="Arial" w:eastAsia="Arial" w:hAnsi="Arial"/>
          <w:sz w:val="13"/>
          <w:szCs w:val="13"/>
          <w:color w:val="auto"/>
        </w:rPr>
      </w:pPr>
      <w:r>
        <w:rPr>
          <w:rFonts w:ascii="Arial" w:cs="Arial" w:eastAsia="Arial" w:hAnsi="Arial"/>
          <w:sz w:val="13"/>
          <w:szCs w:val="13"/>
          <w:color w:val="auto"/>
        </w:rPr>
        <w:t>Beginning in the first quarter of 2026, we expanded our acquisition expenses adjustment to include cash- and equity</w:t>
      </w:r>
      <w:r>
        <w:rPr>
          <w:rFonts w:ascii="MS PGothic" w:cs="MS PGothic" w:eastAsia="MS PGothic" w:hAnsi="MS PGothic"/>
          <w:sz w:val="13"/>
          <w:szCs w:val="13"/>
          <w:color w:val="auto"/>
        </w:rPr>
        <w:t>‑</w:t>
      </w:r>
      <w:r>
        <w:rPr>
          <w:rFonts w:ascii="Arial" w:cs="Arial" w:eastAsia="Arial" w:hAnsi="Arial"/>
          <w:sz w:val="13"/>
          <w:szCs w:val="13"/>
          <w:color w:val="auto"/>
        </w:rPr>
        <w:t>settled retention incentives provided to key employees of acquired companies, and renamed the measure from AOI less SBC to AOI less Operating SBC. Prior period amounts have been revised to conform to the current definition. Refer to the section titled “Non</w:t>
      </w:r>
      <w:r>
        <w:rPr>
          <w:rFonts w:ascii="MS PGothic" w:cs="MS PGothic" w:eastAsia="MS PGothic" w:hAnsi="MS PGothic"/>
          <w:sz w:val="13"/>
          <w:szCs w:val="13"/>
          <w:color w:val="auto"/>
        </w:rPr>
        <w:t>‑</w:t>
      </w:r>
      <w:r>
        <w:rPr>
          <w:rFonts w:ascii="Arial" w:cs="Arial" w:eastAsia="Arial" w:hAnsi="Arial"/>
          <w:sz w:val="13"/>
          <w:szCs w:val="13"/>
          <w:color w:val="auto"/>
        </w:rPr>
        <w:t>GAAP Financial Measures” for details.</w:t>
      </w:r>
    </w:p>
    <w:p>
      <w:pPr>
        <w:spacing w:after="0" w:line="50" w:lineRule="exact"/>
        <w:rPr>
          <w:rFonts w:ascii="Arial" w:cs="Arial" w:eastAsia="Arial" w:hAnsi="Arial"/>
          <w:sz w:val="13"/>
          <w:szCs w:val="13"/>
          <w:color w:val="auto"/>
        </w:rPr>
      </w:pPr>
    </w:p>
    <w:p>
      <w:pPr>
        <w:ind w:left="260" w:hanging="257"/>
        <w:spacing w:after="0" w:line="160" w:lineRule="exact"/>
        <w:tabs>
          <w:tab w:leader="none" w:pos="247" w:val="left"/>
        </w:tabs>
        <w:numPr>
          <w:ilvl w:val="0"/>
          <w:numId w:val="7"/>
        </w:numPr>
        <w:rPr>
          <w:rFonts w:ascii="Arial" w:cs="Arial" w:eastAsia="Arial" w:hAnsi="Arial"/>
          <w:sz w:val="12"/>
          <w:szCs w:val="12"/>
          <w:color w:val="auto"/>
        </w:rPr>
      </w:pPr>
      <w:r>
        <w:rPr>
          <w:rFonts w:ascii="Arial" w:cs="Arial" w:eastAsia="Arial" w:hAnsi="Arial"/>
          <w:sz w:val="12"/>
          <w:szCs w:val="12"/>
          <w:color w:val="auto"/>
        </w:rPr>
        <w:t>Beginning in the second quarter of 2026, applying the same principle, we began adjusting for integration costs incurred to integrate acquired businesses into our operations. We continue to adjust for discrete realignment initiatives, and we do not adjust for severance or organizational and workforce changes undertaken in the ordinary course of managing our business, which remain reflected in AOI less Operating SBC. No integration costs were incurred in periods prior to the second quarter of 2026. Refer to the section titled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Measures” for details.</w:t>
      </w:r>
    </w:p>
    <w:p>
      <w:pPr>
        <w:sectPr>
          <w:pgSz w:w="11900" w:h="16838" w:orient="portrait"/>
          <w:cols w:equalWidth="0" w:num="1">
            <w:col w:w="11240"/>
          </w:cols>
          <w:pgMar w:left="320" w:top="1417" w:right="339" w:bottom="1440" w:gutter="0" w:footer="0" w:header="0"/>
        </w:sectPr>
      </w:pPr>
    </w:p>
    <w:bookmarkStart w:id="11" w:name="page12"/>
    <w:bookmarkEnd w:id="11"/>
    <w:p>
      <w:pPr>
        <w:ind w:left="2"/>
        <w:spacing w:after="0"/>
        <w:rPr>
          <w:sz w:val="20"/>
          <w:szCs w:val="20"/>
          <w:color w:val="auto"/>
        </w:rPr>
      </w:pPr>
      <w:r>
        <w:rPr>
          <w:rFonts w:ascii="Arial" w:cs="Arial" w:eastAsia="Arial" w:hAnsi="Arial"/>
          <w:sz w:val="18"/>
          <w:szCs w:val="18"/>
          <w:color w:val="auto"/>
        </w:rPr>
        <w:t>Reconciliation of net income attributable to Bentley Systems to Adjusted net income:</w:t>
      </w:r>
    </w:p>
    <w:p>
      <w:pPr>
        <w:spacing w:after="0" w:line="307"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3"/>
        </w:trPr>
        <w:tc>
          <w:tcPr>
            <w:tcW w:w="2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b w:val="1"/>
                <w:bCs w:val="1"/>
                <w:color w:val="auto"/>
              </w:rPr>
              <w:t>September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4"/>
        </w:trPr>
        <w:tc>
          <w:tcPr>
            <w:tcW w:w="2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2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EPS</w:t>
            </w:r>
            <w:r>
              <w:rPr>
                <w:rFonts w:ascii="Arial" w:cs="Arial" w:eastAsia="Arial" w:hAnsi="Arial"/>
                <w:sz w:val="8"/>
                <w:szCs w:val="8"/>
                <w:b w:val="1"/>
                <w:bCs w:val="1"/>
                <w:color w:val="auto"/>
              </w:rPr>
              <w:t>(1)</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22"/>
                <w:szCs w:val="22"/>
                <w:b w:val="1"/>
                <w:bCs w:val="1"/>
                <w:color w:val="auto"/>
                <w:vertAlign w:val="subscript"/>
              </w:rPr>
              <w:t>EPS</w:t>
            </w:r>
            <w:r>
              <w:rPr>
                <w:rFonts w:ascii="Arial" w:cs="Arial" w:eastAsia="Arial" w:hAnsi="Arial"/>
                <w:sz w:val="8"/>
                <w:szCs w:val="8"/>
                <w:b w:val="1"/>
                <w:bCs w:val="1"/>
                <w:color w:val="auto"/>
              </w:rPr>
              <w:t>(1)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89"/>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
              <w:spacing w:after="0" w:line="195" w:lineRule="exact"/>
              <w:rPr>
                <w:sz w:val="20"/>
                <w:szCs w:val="20"/>
                <w:color w:val="auto"/>
              </w:rPr>
            </w:pPr>
            <w:r>
              <w:rPr>
                <w:rFonts w:ascii="Arial" w:cs="Arial" w:eastAsia="Arial" w:hAnsi="Arial"/>
                <w:sz w:val="22"/>
                <w:szCs w:val="22"/>
                <w:b w:val="1"/>
                <w:bCs w:val="1"/>
                <w:color w:val="auto"/>
                <w:vertAlign w:val="subscript"/>
              </w:rPr>
              <w:t>EPS</w:t>
            </w:r>
            <w:r>
              <w:rPr>
                <w:rFonts w:ascii="Arial" w:cs="Arial" w:eastAsia="Arial" w:hAnsi="Arial"/>
                <w:sz w:val="8"/>
                <w:szCs w:val="8"/>
                <w:b w:val="1"/>
                <w:bCs w:val="1"/>
                <w:color w:val="auto"/>
              </w:rPr>
              <w:t>(1)</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89"/>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1"/>
              <w:spacing w:after="0" w:line="195" w:lineRule="exact"/>
              <w:rPr>
                <w:sz w:val="20"/>
                <w:szCs w:val="20"/>
                <w:color w:val="auto"/>
              </w:rPr>
            </w:pPr>
            <w:r>
              <w:rPr>
                <w:rFonts w:ascii="Arial" w:cs="Arial" w:eastAsia="Arial" w:hAnsi="Arial"/>
                <w:sz w:val="22"/>
                <w:szCs w:val="22"/>
                <w:b w:val="1"/>
                <w:bCs w:val="1"/>
                <w:color w:val="auto"/>
                <w:w w:val="91"/>
                <w:vertAlign w:val="subscript"/>
              </w:rPr>
              <w:t>EPS</w:t>
            </w:r>
            <w:r>
              <w:rPr>
                <w:rFonts w:ascii="Arial" w:cs="Arial" w:eastAsia="Arial" w:hAnsi="Arial"/>
                <w:sz w:val="8"/>
                <w:szCs w:val="8"/>
                <w:b w:val="1"/>
                <w:bCs w:val="1"/>
                <w:color w:val="auto"/>
                <w:w w:val="91"/>
              </w:rPr>
              <w:t>(1)</w:t>
            </w:r>
          </w:p>
        </w:tc>
      </w:tr>
      <w:tr>
        <w:trPr>
          <w:trHeight w:val="20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Bentley Systems</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89,933</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0.29</w:t>
            </w: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57,373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32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263,892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219,223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0.67</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Non-GAAP adjustments, prior to income taxes: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08"/>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Amortization of purchased intangibles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33,400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34,188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Operating stock-based compensation expense</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0.06</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59,349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49,300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208"/>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Deferred compensation plan</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9,801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9"/>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Acquisition expenses</w:t>
            </w:r>
            <w:r>
              <w:rPr>
                <w:rFonts w:ascii="Arial" w:cs="Arial" w:eastAsia="Arial" w:hAnsi="Arial"/>
                <w:sz w:val="18"/>
                <w:szCs w:val="18"/>
                <w:color w:val="auto"/>
                <w:vertAlign w:val="superscript"/>
              </w:rPr>
              <w:t>(3)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30"/>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Integration costs</w:t>
            </w:r>
            <w:r>
              <w:rPr>
                <w:rFonts w:ascii="Arial" w:cs="Arial" w:eastAsia="Arial" w:hAnsi="Arial"/>
                <w:sz w:val="18"/>
                <w:szCs w:val="18"/>
                <w:color w:val="auto"/>
                <w:vertAlign w:val="superscript"/>
              </w:rPr>
              <w:t>(4)</w:t>
            </w: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Realignment expenses (income)</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Other income, net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3"/>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non-GAAP adjustments, prior to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29,651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0.09</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95,449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105,065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0.32</w:t>
            </w:r>
          </w:p>
        </w:tc>
      </w:tr>
      <w:tr>
        <w:trPr>
          <w:trHeight w:val="208"/>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Income tax effect of non-GAAP adjustments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(4,842)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22"/>
        </w:trPr>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9"/>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 net losses of investees, net of tax</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(2)</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113,940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0.36</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346,156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308,213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0.94</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2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Adjusted diluted weighted average shares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color w:val="auto"/>
              </w:rPr>
              <w:t>317,691,424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333,277,478</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color w:val="auto"/>
              </w:rPr>
              <w:t>319,549,126</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color w:val="auto"/>
              </w:rPr>
              <w:t>333,214,695</w:t>
            </w:r>
          </w:p>
        </w:tc>
      </w:tr>
      <w:tr>
        <w:trPr>
          <w:trHeight w:val="24"/>
        </w:trPr>
        <w:tc>
          <w:tcPr>
            <w:tcW w:w="2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278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117" w:lineRule="exact"/>
        <w:rPr>
          <w:sz w:val="20"/>
          <w:szCs w:val="20"/>
          <w:color w:val="auto"/>
        </w:rPr>
      </w:pPr>
    </w:p>
    <w:p>
      <w:pPr>
        <w:ind w:left="262" w:hanging="240"/>
        <w:spacing w:after="0"/>
        <w:tabs>
          <w:tab w:leader="none" w:pos="262" w:val="left"/>
        </w:tabs>
        <w:numPr>
          <w:ilvl w:val="1"/>
          <w:numId w:val="8"/>
        </w:numPr>
        <w:rPr>
          <w:rFonts w:ascii="Arial" w:cs="Arial" w:eastAsia="Arial" w:hAnsi="Arial"/>
          <w:sz w:val="13"/>
          <w:szCs w:val="13"/>
          <w:color w:val="auto"/>
        </w:rPr>
      </w:pPr>
      <w:r>
        <w:rPr>
          <w:rFonts w:ascii="Arial" w:cs="Arial" w:eastAsia="Arial" w:hAnsi="Arial"/>
          <w:sz w:val="13"/>
          <w:szCs w:val="13"/>
          <w:color w:val="auto"/>
        </w:rPr>
        <w:t>Adjusted EPS was computed independently for each reconciling item presented; therefore, the sum of Adjusted EPS for each line item may not equal total Adjusted EPS due to rounding.</w:t>
      </w:r>
    </w:p>
    <w:p>
      <w:pPr>
        <w:spacing w:after="0" w:line="66" w:lineRule="exact"/>
        <w:rPr>
          <w:rFonts w:ascii="Arial" w:cs="Arial" w:eastAsia="Arial" w:hAnsi="Arial"/>
          <w:sz w:val="13"/>
          <w:szCs w:val="13"/>
          <w:color w:val="auto"/>
        </w:rPr>
      </w:pPr>
    </w:p>
    <w:p>
      <w:pPr>
        <w:ind w:left="262" w:right="80" w:hanging="257"/>
        <w:spacing w:after="0" w:line="166" w:lineRule="exact"/>
        <w:tabs>
          <w:tab w:leader="none" w:pos="249"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EPS numerator includes $874 and $1,721 for the three months ended September 30, 2026 and 2025, respectively, and $2,756 and $5,005 for the nine months ended September 30, 2026 and 2025, respectively, related to interest expense, net of tax, attributable to the convertible senior notes using the if</w:t>
      </w:r>
      <w:r>
        <w:rPr>
          <w:rFonts w:ascii="MS PGothic" w:cs="MS PGothic" w:eastAsia="MS PGothic" w:hAnsi="MS PGothic"/>
          <w:sz w:val="13"/>
          <w:szCs w:val="13"/>
          <w:color w:val="auto"/>
        </w:rPr>
        <w:t>‑</w:t>
      </w:r>
      <w:r>
        <w:rPr>
          <w:rFonts w:ascii="Arial" w:cs="Arial" w:eastAsia="Arial" w:hAnsi="Arial"/>
          <w:sz w:val="13"/>
          <w:szCs w:val="13"/>
          <w:color w:val="auto"/>
        </w:rPr>
        <w:t>converted method.</w:t>
      </w:r>
    </w:p>
    <w:p>
      <w:pPr>
        <w:spacing w:after="0" w:line="19" w:lineRule="exact"/>
        <w:rPr>
          <w:rFonts w:ascii="Arial" w:cs="Arial" w:eastAsia="Arial" w:hAnsi="Arial"/>
          <w:sz w:val="13"/>
          <w:szCs w:val="13"/>
          <w:color w:val="auto"/>
        </w:rPr>
      </w:pPr>
    </w:p>
    <w:p>
      <w:pPr>
        <w:ind w:left="242" w:hanging="241"/>
        <w:spacing w:after="0"/>
        <w:tabs>
          <w:tab w:leader="none" w:pos="242" w:val="left"/>
        </w:tabs>
        <w:numPr>
          <w:ilvl w:val="0"/>
          <w:numId w:val="9"/>
        </w:numPr>
        <w:rPr>
          <w:rFonts w:ascii="Arial" w:cs="Arial" w:eastAsia="Arial" w:hAnsi="Arial"/>
          <w:sz w:val="13"/>
          <w:szCs w:val="13"/>
          <w:color w:val="auto"/>
        </w:rPr>
      </w:pPr>
      <w:r>
        <w:rPr>
          <w:rFonts w:ascii="Arial" w:cs="Arial" w:eastAsia="Arial" w:hAnsi="Arial"/>
          <w:sz w:val="13"/>
          <w:szCs w:val="13"/>
          <w:color w:val="auto"/>
        </w:rPr>
        <w:t>See footnote (1) to the reconciliation of operating income to AOI less Operating SBC and to Adjusted operating income presented above.</w:t>
      </w:r>
    </w:p>
    <w:p>
      <w:pPr>
        <w:spacing w:after="0" w:line="53" w:lineRule="exact"/>
        <w:rPr>
          <w:rFonts w:ascii="Arial" w:cs="Arial" w:eastAsia="Arial" w:hAnsi="Arial"/>
          <w:sz w:val="13"/>
          <w:szCs w:val="13"/>
          <w:color w:val="auto"/>
        </w:rPr>
      </w:pPr>
    </w:p>
    <w:p>
      <w:pPr>
        <w:ind w:left="242" w:hanging="242"/>
        <w:spacing w:after="0"/>
        <w:tabs>
          <w:tab w:leader="none" w:pos="242" w:val="left"/>
        </w:tabs>
        <w:numPr>
          <w:ilvl w:val="0"/>
          <w:numId w:val="9"/>
        </w:numPr>
        <w:rPr>
          <w:rFonts w:ascii="Arial" w:cs="Arial" w:eastAsia="Arial" w:hAnsi="Arial"/>
          <w:sz w:val="13"/>
          <w:szCs w:val="13"/>
          <w:color w:val="auto"/>
        </w:rPr>
      </w:pPr>
      <w:r>
        <w:rPr>
          <w:rFonts w:ascii="Arial" w:cs="Arial" w:eastAsia="Arial" w:hAnsi="Arial"/>
          <w:sz w:val="13"/>
          <w:szCs w:val="13"/>
          <w:color w:val="auto"/>
        </w:rPr>
        <w:t>See footnote (2) to the reconciliation of operating income to AOI less Operating SBC and to Adjusted operating income presented above.</w:t>
      </w:r>
    </w:p>
    <w:p>
      <w:pPr>
        <w:sectPr>
          <w:pgSz w:w="11900" w:h="16838" w:orient="portrait"/>
          <w:cols w:equalWidth="0" w:num="1">
            <w:col w:w="11242"/>
          </w:cols>
          <w:pgMar w:left="318" w:top="14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Reconciliation of cash flows from operating activities to free cash flow: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4"/>
                <w:szCs w:val="14"/>
                <w:color w:val="auto"/>
              </w:rPr>
            </w:pPr>
          </w:p>
        </w:tc>
        <w:tc>
          <w:tcPr>
            <w:tcW w:w="2520" w:type="dxa"/>
            <w:vAlign w:val="bottom"/>
            <w:gridSpan w:val="5"/>
          </w:tcPr>
          <w:p>
            <w:pPr>
              <w:ind w:left="360"/>
              <w:spacing w:after="0"/>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4"/>
                <w:szCs w:val="14"/>
                <w:color w:val="auto"/>
              </w:rPr>
            </w:pPr>
          </w:p>
        </w:tc>
        <w:tc>
          <w:tcPr>
            <w:tcW w:w="2140" w:type="dxa"/>
            <w:vAlign w:val="bottom"/>
            <w:gridSpan w:val="4"/>
          </w:tcPr>
          <w:p>
            <w:pPr>
              <w:jc w:val="right"/>
              <w:ind w:right="310"/>
              <w:spacing w:after="0"/>
              <w:rPr>
                <w:sz w:val="20"/>
                <w:szCs w:val="20"/>
                <w:color w:val="auto"/>
              </w:rPr>
            </w:pPr>
            <w:r>
              <w:rPr>
                <w:rFonts w:ascii="Arial" w:cs="Arial" w:eastAsia="Arial" w:hAnsi="Arial"/>
                <w:sz w:val="13"/>
                <w:szCs w:val="13"/>
                <w:b w:val="1"/>
                <w:bCs w:val="1"/>
                <w:color w:val="auto"/>
              </w:rPr>
              <w:t>Last Twelve-Months Ended</w:t>
            </w:r>
          </w:p>
        </w:tc>
      </w:tr>
      <w:tr>
        <w:trPr>
          <w:trHeight w:val="203"/>
        </w:trPr>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Pr>
          <w:p>
            <w:pPr>
              <w:spacing w:after="0"/>
              <w:rPr>
                <w:sz w:val="17"/>
                <w:szCs w:val="17"/>
                <w:color w:val="auto"/>
              </w:rPr>
            </w:pPr>
          </w:p>
        </w:tc>
      </w:tr>
      <w:tr>
        <w:trPr>
          <w:trHeight w:val="22"/>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b w:val="1"/>
                <w:bCs w:val="1"/>
                <w:color w:val="auto"/>
              </w:rPr>
              <w:t>2026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330"/>
              <w:spacing w:after="0"/>
              <w:rPr>
                <w:sz w:val="20"/>
                <w:szCs w:val="20"/>
                <w:color w:val="auto"/>
              </w:rPr>
            </w:pPr>
            <w:r>
              <w:rPr>
                <w:rFonts w:ascii="Arial" w:cs="Arial" w:eastAsia="Arial" w:hAnsi="Arial"/>
                <w:sz w:val="13"/>
                <w:szCs w:val="13"/>
                <w:b w:val="1"/>
                <w:bCs w:val="1"/>
                <w:color w:val="auto"/>
              </w:rPr>
              <w:t>2025</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Arial" w:cs="Arial" w:eastAsia="Arial" w:hAnsi="Arial"/>
                <w:sz w:val="13"/>
                <w:szCs w:val="13"/>
                <w:b w:val="1"/>
                <w:bCs w:val="1"/>
                <w:color w:val="auto"/>
              </w:rPr>
              <w:t>2026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310"/>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Arial" w:cs="Arial" w:eastAsia="Arial" w:hAnsi="Arial"/>
                <w:sz w:val="13"/>
                <w:szCs w:val="13"/>
                <w:b w:val="1"/>
                <w:bCs w:val="1"/>
                <w:color w:val="auto"/>
              </w:rPr>
              <w:t>2026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330"/>
              <w:spacing w:after="0"/>
              <w:rPr>
                <w:sz w:val="20"/>
                <w:szCs w:val="20"/>
                <w:color w:val="auto"/>
              </w:rPr>
            </w:pPr>
            <w:r>
              <w:rPr>
                <w:rFonts w:ascii="Arial" w:cs="Arial" w:eastAsia="Arial" w:hAnsi="Arial"/>
                <w:sz w:val="13"/>
                <w:szCs w:val="13"/>
                <w:b w:val="1"/>
                <w:bCs w:val="1"/>
                <w:color w:val="auto"/>
              </w:rPr>
              <w:t>2025</w:t>
            </w:r>
          </w:p>
        </w:tc>
      </w:tr>
      <w:tr>
        <w:trPr>
          <w:trHeight w:val="22"/>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109,434</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116,376</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374,355</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396,876</w:t>
            </w: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515,943</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478,508</w:t>
            </w:r>
          </w:p>
        </w:tc>
      </w:tr>
      <w:tr>
        <w:trPr>
          <w:trHeight w:val="193"/>
        </w:trPr>
        <w:tc>
          <w:tcPr>
            <w:tcW w:w="3360" w:type="dxa"/>
            <w:vAlign w:val="bottom"/>
          </w:tcPr>
          <w:p>
            <w:pPr>
              <w:ind w:left="20"/>
              <w:spacing w:after="0"/>
              <w:rPr>
                <w:sz w:val="20"/>
                <w:szCs w:val="20"/>
                <w:color w:val="auto"/>
              </w:rPr>
            </w:pPr>
            <w:r>
              <w:rPr>
                <w:rFonts w:ascii="Arial" w:cs="Arial" w:eastAsia="Arial" w:hAnsi="Arial"/>
                <w:sz w:val="14"/>
                <w:szCs w:val="14"/>
                <w:color w:val="auto"/>
              </w:rPr>
              <w:t>Purchases of property and equipment and</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3360" w:type="dxa"/>
            <w:vAlign w:val="bottom"/>
          </w:tcPr>
          <w:p>
            <w:pPr>
              <w:ind w:left="180"/>
              <w:spacing w:after="0"/>
              <w:rPr>
                <w:sz w:val="20"/>
                <w:szCs w:val="20"/>
                <w:color w:val="auto"/>
              </w:rPr>
            </w:pPr>
            <w:r>
              <w:rPr>
                <w:rFonts w:ascii="Arial" w:cs="Arial" w:eastAsia="Arial" w:hAnsi="Arial"/>
                <w:sz w:val="14"/>
                <w:szCs w:val="14"/>
                <w:color w:val="auto"/>
              </w:rPr>
              <w:t>investment in capitalized software</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(7,994)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(5,701)</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(21,260)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(12,836)</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(26,679)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(18,383)</w:t>
            </w:r>
          </w:p>
        </w:tc>
      </w:tr>
      <w:tr>
        <w:trPr>
          <w:trHeight w:val="22"/>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101,440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110,675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353,095</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384,040</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489,264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460,125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cash flows from operating activities to Adjusted EBITDA: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239"/>
        </w:trPr>
        <w:tc>
          <w:tcPr>
            <w:tcW w:w="2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29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r>
      <w:tr>
        <w:trPr>
          <w:trHeight w:val="24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109,434</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116,376</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374,355</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396,876</w:t>
            </w:r>
          </w:p>
        </w:tc>
      </w:tr>
      <w:tr>
        <w:trPr>
          <w:trHeight w:val="23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interest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10,111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25,429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5,844</w:t>
            </w:r>
          </w:p>
        </w:tc>
      </w:tr>
      <w:tr>
        <w:trPr>
          <w:trHeight w:val="25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taxes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36,253</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34,027</w:t>
            </w:r>
          </w:p>
        </w:tc>
      </w:tr>
      <w:tr>
        <w:trPr>
          <w:trHeight w:val="23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deferred compensation plan distributions</w:t>
            </w:r>
          </w:p>
        </w:tc>
        <w:tc>
          <w:tcPr>
            <w:tcW w:w="3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4,289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3,766</w:t>
            </w:r>
          </w:p>
        </w:tc>
      </w:tr>
      <w:tr>
        <w:trPr>
          <w:trHeight w:val="25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acquisition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5,628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9,354</w:t>
            </w:r>
          </w:p>
        </w:tc>
      </w:tr>
      <w:tr>
        <w:trPr>
          <w:trHeight w:val="23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integration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1,513</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28,467</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24,760</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(37,039)</w:t>
            </w:r>
          </w:p>
        </w:tc>
      </w:tr>
      <w:tr>
        <w:trPr>
          <w:trHeight w:val="24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2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(4,610)</w:t>
            </w:r>
          </w:p>
        </w:tc>
        <w:tc>
          <w:tcPr>
            <w:tcW w:w="2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(5,646)</w:t>
            </w:r>
          </w:p>
        </w:tc>
      </w:tr>
      <w:tr>
        <w:trPr>
          <w:trHeight w:val="262"/>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160,895</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129,722</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467,617</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407,182</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96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Includes receipts related to interest rate swap.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total revenues and subscriptions revenues to total revenues and subscriptions revenues in constant currency:</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10"/>
          </w:tcPr>
          <w:p>
            <w:pPr>
              <w:jc w:val="right"/>
              <w:spacing w:after="0"/>
              <w:rPr>
                <w:sz w:val="20"/>
                <w:szCs w:val="20"/>
                <w:color w:val="auto"/>
              </w:rPr>
            </w:pPr>
            <w:r>
              <w:rPr>
                <w:rFonts w:ascii="Arial" w:cs="Arial" w:eastAsia="Arial" w:hAnsi="Arial"/>
                <w:sz w:val="13"/>
                <w:szCs w:val="13"/>
                <w:b w:val="1"/>
                <w:bCs w:val="1"/>
                <w:color w:val="auto"/>
              </w:rPr>
              <w:t>Three Months Ended September 30, 2026</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6"/>
          </w:tcPr>
          <w:p>
            <w:pPr>
              <w:jc w:val="center"/>
              <w:ind w:left="448"/>
              <w:spacing w:after="0"/>
              <w:rPr>
                <w:sz w:val="20"/>
                <w:szCs w:val="20"/>
                <w:color w:val="auto"/>
              </w:rPr>
            </w:pPr>
            <w:r>
              <w:rPr>
                <w:rFonts w:ascii="Arial" w:cs="Arial" w:eastAsia="Arial" w:hAnsi="Arial"/>
                <w:sz w:val="13"/>
                <w:szCs w:val="13"/>
                <w:b w:val="1"/>
                <w:bCs w:val="1"/>
                <w:color w:val="auto"/>
                <w:w w:val="96"/>
              </w:rPr>
              <w:t>Three Months Ended September 30, 2025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spacing w:after="0" w:line="115" w:lineRule="exact"/>
              <w:rPr>
                <w:sz w:val="20"/>
                <w:szCs w:val="20"/>
                <w:color w:val="auto"/>
              </w:rPr>
            </w:pPr>
            <w:r>
              <w:rPr>
                <w:rFonts w:ascii="Arial" w:cs="Arial" w:eastAsia="Arial" w:hAnsi="Arial"/>
                <w:sz w:val="13"/>
                <w:szCs w:val="13"/>
                <w:b w:val="1"/>
                <w:bCs w:val="1"/>
                <w:color w:val="auto"/>
                <w:w w:val="95"/>
              </w:rPr>
              <w:t>Impact of Foreign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160"/>
              <w:spacing w:after="0" w:line="115" w:lineRule="exact"/>
              <w:rPr>
                <w:sz w:val="20"/>
                <w:szCs w:val="20"/>
                <w:color w:val="auto"/>
              </w:rPr>
            </w:pPr>
            <w:r>
              <w:rPr>
                <w:rFonts w:ascii="Arial" w:cs="Arial" w:eastAsia="Arial" w:hAnsi="Arial"/>
                <w:sz w:val="13"/>
                <w:szCs w:val="13"/>
                <w:b w:val="1"/>
                <w:bCs w:val="1"/>
                <w:color w:val="auto"/>
                <w:w w:val="97"/>
              </w:rPr>
              <w:t>Impact of Foreign</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Exchange at 2025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Constant Currency</w:t>
            </w:r>
          </w:p>
        </w:tc>
        <w:tc>
          <w:tcPr>
            <w:tcW w:w="260" w:type="dxa"/>
            <w:vAlign w:val="bottom"/>
            <w:gridSpan w:val="2"/>
            <w:vMerge w:val="restart"/>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ind w:right="388"/>
              <w:spacing w:after="0"/>
              <w:rPr>
                <w:sz w:val="20"/>
                <w:szCs w:val="20"/>
                <w:color w:val="auto"/>
              </w:rPr>
            </w:pPr>
            <w:r>
              <w:rPr>
                <w:rFonts w:ascii="Arial" w:cs="Arial" w:eastAsia="Arial" w:hAnsi="Arial"/>
                <w:sz w:val="13"/>
                <w:szCs w:val="13"/>
                <w:b w:val="1"/>
                <w:bCs w:val="1"/>
                <w:color w:val="auto"/>
              </w:rPr>
              <w:t>Actual</w:t>
            </w:r>
          </w:p>
        </w:tc>
        <w:tc>
          <w:tcPr>
            <w:tcW w:w="140" w:type="dxa"/>
            <w:vAlign w:val="bottom"/>
            <w:vMerge w:val="restart"/>
          </w:tcPr>
          <w:p>
            <w:pPr>
              <w:spacing w:after="0"/>
              <w:rPr>
                <w:sz w:val="10"/>
                <w:szCs w:val="10"/>
                <w:color w:val="auto"/>
              </w:rPr>
            </w:pPr>
          </w:p>
        </w:tc>
        <w:tc>
          <w:tcPr>
            <w:tcW w:w="138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97"/>
              </w:rPr>
              <w:t>Exchange at 2025</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Constant Currency</w:t>
            </w:r>
          </w:p>
        </w:tc>
        <w:tc>
          <w:tcPr>
            <w:tcW w:w="0" w:type="dxa"/>
            <w:vAlign w:val="bottom"/>
          </w:tcPr>
          <w:p>
            <w:pPr>
              <w:spacing w:after="0"/>
              <w:rPr>
                <w:sz w:val="1"/>
                <w:szCs w:val="1"/>
                <w:color w:val="auto"/>
              </w:rPr>
            </w:pPr>
          </w:p>
        </w:tc>
      </w:tr>
      <w:tr>
        <w:trPr>
          <w:trHeight w:val="185"/>
        </w:trPr>
        <w:tc>
          <w:tcPr>
            <w:tcW w:w="2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Rates</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05"/>
              <w:spacing w:after="0"/>
              <w:rPr>
                <w:sz w:val="20"/>
                <w:szCs w:val="20"/>
                <w:color w:val="auto"/>
              </w:rPr>
            </w:pPr>
            <w:r>
              <w:rPr>
                <w:rFonts w:ascii="Arial" w:cs="Arial" w:eastAsia="Arial" w:hAnsi="Arial"/>
                <w:sz w:val="13"/>
                <w:szCs w:val="13"/>
                <w:b w:val="1"/>
                <w:bCs w:val="1"/>
                <w:color w:val="auto"/>
                <w:w w:val="95"/>
              </w:rPr>
              <w:t>Rates</w:t>
            </w: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421,507</w:t>
            </w:r>
          </w:p>
        </w:tc>
        <w:tc>
          <w:tcPr>
            <w:tcW w:w="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317"/>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421,612</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375,549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374,003</w:t>
            </w:r>
          </w:p>
        </w:tc>
        <w:tc>
          <w:tcPr>
            <w:tcW w:w="0" w:type="dxa"/>
            <w:vAlign w:val="bottom"/>
          </w:tcPr>
          <w:p>
            <w:pPr>
              <w:spacing w:after="0"/>
              <w:rPr>
                <w:sz w:val="1"/>
                <w:szCs w:val="1"/>
                <w:color w:val="auto"/>
              </w:rPr>
            </w:pPr>
          </w:p>
        </w:tc>
      </w:tr>
      <w:tr>
        <w:trPr>
          <w:trHeight w:val="228"/>
        </w:trPr>
        <w:tc>
          <w:tcPr>
            <w:tcW w:w="2760" w:type="dxa"/>
            <w:vAlign w:val="bottom"/>
          </w:tcPr>
          <w:p>
            <w:pPr>
              <w:ind w:left="20"/>
              <w:spacing w:after="0"/>
              <w:rPr>
                <w:sz w:val="20"/>
                <w:szCs w:val="20"/>
                <w:color w:val="auto"/>
              </w:rPr>
            </w:pPr>
            <w:r>
              <w:rPr>
                <w:rFonts w:ascii="Arial" w:cs="Arial" w:eastAsia="Arial" w:hAnsi="Arial"/>
                <w:sz w:val="16"/>
                <w:szCs w:val="16"/>
                <w:color w:val="auto"/>
              </w:rPr>
              <w:t>Subscriptions revenues</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386,819</w:t>
            </w:r>
          </w:p>
        </w:tc>
        <w:tc>
          <w:tcPr>
            <w:tcW w:w="20" w:type="dxa"/>
            <w:vAlign w:val="bottom"/>
          </w:tcPr>
          <w:p>
            <w:pPr>
              <w:spacing w:after="0"/>
              <w:rPr>
                <w:sz w:val="19"/>
                <w:szCs w:val="19"/>
                <w:color w:val="auto"/>
              </w:rPr>
            </w:pPr>
          </w:p>
        </w:tc>
        <w:tc>
          <w:tcPr>
            <w:tcW w:w="420" w:type="dxa"/>
            <w:vAlign w:val="bottom"/>
            <w:gridSpan w:val="3"/>
          </w:tcPr>
          <w:p>
            <w:pPr>
              <w:jc w:val="right"/>
              <w:ind w:right="97"/>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c>
          <w:tcPr>
            <w:tcW w:w="640" w:type="dxa"/>
            <w:vAlign w:val="bottom"/>
            <w:gridSpan w:val="3"/>
          </w:tcPr>
          <w:p>
            <w:pPr>
              <w:jc w:val="right"/>
              <w:ind w:right="317"/>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386,836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344,293</w:t>
            </w:r>
          </w:p>
        </w:tc>
        <w:tc>
          <w:tcPr>
            <w:tcW w:w="140" w:type="dxa"/>
            <w:vAlign w:val="bottom"/>
          </w:tcPr>
          <w:p>
            <w:pPr>
              <w:spacing w:after="0"/>
              <w:rPr>
                <w:sz w:val="19"/>
                <w:szCs w:val="19"/>
                <w:color w:val="auto"/>
              </w:rPr>
            </w:pPr>
          </w:p>
        </w:tc>
        <w:tc>
          <w:tcPr>
            <w:tcW w:w="280" w:type="dxa"/>
            <w:vAlign w:val="bottom"/>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(1,522)</w:t>
            </w:r>
          </w:p>
        </w:tc>
        <w:tc>
          <w:tcPr>
            <w:tcW w:w="160" w:type="dxa"/>
            <w:vAlign w:val="bottom"/>
          </w:tcPr>
          <w:p>
            <w:pPr>
              <w:spacing w:after="0"/>
              <w:rPr>
                <w:sz w:val="19"/>
                <w:szCs w:val="19"/>
                <w:color w:val="auto"/>
              </w:rPr>
            </w:pPr>
          </w:p>
        </w:tc>
        <w:tc>
          <w:tcPr>
            <w:tcW w:w="480" w:type="dxa"/>
            <w:vAlign w:val="bottom"/>
          </w:tcPr>
          <w:p>
            <w:pPr>
              <w:jc w:val="right"/>
              <w:ind w:right="305"/>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342,771</w:t>
            </w:r>
          </w:p>
        </w:tc>
        <w:tc>
          <w:tcPr>
            <w:tcW w:w="0" w:type="dxa"/>
            <w:vAlign w:val="bottom"/>
          </w:tcPr>
          <w:p>
            <w:pPr>
              <w:spacing w:after="0"/>
              <w:rPr>
                <w:sz w:val="1"/>
                <w:szCs w:val="1"/>
                <w:color w:val="auto"/>
              </w:rPr>
            </w:pPr>
          </w:p>
        </w:tc>
      </w:tr>
      <w:tr>
        <w:trPr>
          <w:trHeight w:val="54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10"/>
          </w:tcPr>
          <w:p>
            <w:pPr>
              <w:jc w:val="center"/>
              <w:ind w:left="428"/>
              <w:spacing w:after="0"/>
              <w:rPr>
                <w:sz w:val="20"/>
                <w:szCs w:val="20"/>
                <w:color w:val="auto"/>
              </w:rPr>
            </w:pPr>
            <w:r>
              <w:rPr>
                <w:rFonts w:ascii="Arial" w:cs="Arial" w:eastAsia="Arial" w:hAnsi="Arial"/>
                <w:sz w:val="13"/>
                <w:szCs w:val="13"/>
                <w:b w:val="1"/>
                <w:bCs w:val="1"/>
                <w:color w:val="auto"/>
                <w:w w:val="97"/>
              </w:rPr>
              <w:t>Nine Months Ended September 30, 2026</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center"/>
              <w:ind w:left="428"/>
              <w:spacing w:after="0"/>
              <w:rPr>
                <w:sz w:val="20"/>
                <w:szCs w:val="20"/>
                <w:color w:val="auto"/>
              </w:rPr>
            </w:pPr>
            <w:r>
              <w:rPr>
                <w:rFonts w:ascii="Arial" w:cs="Arial" w:eastAsia="Arial" w:hAnsi="Arial"/>
                <w:sz w:val="13"/>
                <w:szCs w:val="13"/>
                <w:b w:val="1"/>
                <w:bCs w:val="1"/>
                <w:color w:val="auto"/>
                <w:w w:val="96"/>
              </w:rPr>
              <w:t>Nine Months Ended September 30, 2025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7"/>
              </w:rPr>
              <w:t>Impact of Foreign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7"/>
              </w:rPr>
              <w:t>Impact of Foreign</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Actual</w:t>
            </w:r>
          </w:p>
        </w:tc>
        <w:tc>
          <w:tcPr>
            <w:tcW w:w="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60"/>
              <w:spacing w:after="0" w:line="126" w:lineRule="exact"/>
              <w:rPr>
                <w:sz w:val="20"/>
                <w:szCs w:val="20"/>
                <w:color w:val="auto"/>
              </w:rPr>
            </w:pPr>
            <w:r>
              <w:rPr>
                <w:rFonts w:ascii="Arial" w:cs="Arial" w:eastAsia="Arial" w:hAnsi="Arial"/>
                <w:sz w:val="13"/>
                <w:szCs w:val="13"/>
                <w:b w:val="1"/>
                <w:bCs w:val="1"/>
                <w:color w:val="auto"/>
                <w:w w:val="97"/>
              </w:rPr>
              <w:t>Exchange at 2025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Constant Currency</w:t>
            </w:r>
          </w:p>
        </w:tc>
        <w:tc>
          <w:tcPr>
            <w:tcW w:w="26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ind w:right="388"/>
              <w:spacing w:after="0"/>
              <w:rPr>
                <w:sz w:val="20"/>
                <w:szCs w:val="20"/>
                <w:color w:val="auto"/>
              </w:rPr>
            </w:pPr>
            <w:r>
              <w:rPr>
                <w:rFonts w:ascii="Arial" w:cs="Arial" w:eastAsia="Arial" w:hAnsi="Arial"/>
                <w:sz w:val="13"/>
                <w:szCs w:val="13"/>
                <w:b w:val="1"/>
                <w:bCs w:val="1"/>
                <w:color w:val="auto"/>
              </w:rPr>
              <w:t>Actual</w:t>
            </w:r>
          </w:p>
        </w:tc>
        <w:tc>
          <w:tcPr>
            <w:tcW w:w="140" w:type="dxa"/>
            <w:vAlign w:val="bottom"/>
            <w:vMerge w:val="restart"/>
          </w:tcPr>
          <w:p>
            <w:pPr>
              <w:spacing w:after="0"/>
              <w:rPr>
                <w:sz w:val="10"/>
                <w:szCs w:val="10"/>
                <w:color w:val="auto"/>
              </w:rPr>
            </w:pPr>
          </w:p>
        </w:tc>
        <w:tc>
          <w:tcPr>
            <w:tcW w:w="138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Exchange at 2025</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Constant Currency</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5"/>
              </w:rPr>
              <w:t>Rates</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5"/>
              <w:spacing w:after="0"/>
              <w:rPr>
                <w:sz w:val="20"/>
                <w:szCs w:val="20"/>
                <w:color w:val="auto"/>
              </w:rPr>
            </w:pPr>
            <w:r>
              <w:rPr>
                <w:rFonts w:ascii="Arial" w:cs="Arial" w:eastAsia="Arial" w:hAnsi="Arial"/>
                <w:sz w:val="13"/>
                <w:szCs w:val="13"/>
                <w:b w:val="1"/>
                <w:bCs w:val="1"/>
                <w:color w:val="auto"/>
                <w:w w:val="95"/>
              </w:rPr>
              <w:t>Rates</w:t>
            </w:r>
          </w:p>
        </w:tc>
        <w:tc>
          <w:tcPr>
            <w:tcW w:w="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1,256,415</w:t>
            </w:r>
          </w:p>
        </w:tc>
        <w:tc>
          <w:tcPr>
            <w:tcW w:w="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17"/>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(11,078)</w:t>
            </w:r>
          </w:p>
        </w:tc>
        <w:tc>
          <w:tcPr>
            <w:tcW w:w="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337"/>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1,245,337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1,110,197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1,108,901</w:t>
            </w:r>
          </w:p>
        </w:tc>
        <w:tc>
          <w:tcPr>
            <w:tcW w:w="0" w:type="dxa"/>
            <w:vAlign w:val="bottom"/>
          </w:tcPr>
          <w:p>
            <w:pPr>
              <w:spacing w:after="0"/>
              <w:rPr>
                <w:sz w:val="1"/>
                <w:szCs w:val="1"/>
                <w:color w:val="auto"/>
              </w:rPr>
            </w:pPr>
          </w:p>
        </w:tc>
      </w:tr>
      <w:tr>
        <w:trPr>
          <w:trHeight w:val="228"/>
        </w:trPr>
        <w:tc>
          <w:tcPr>
            <w:tcW w:w="2760" w:type="dxa"/>
            <w:vAlign w:val="bottom"/>
          </w:tcPr>
          <w:p>
            <w:pPr>
              <w:ind w:left="20"/>
              <w:spacing w:after="0"/>
              <w:rPr>
                <w:sz w:val="20"/>
                <w:szCs w:val="20"/>
                <w:color w:val="auto"/>
              </w:rPr>
            </w:pPr>
            <w:r>
              <w:rPr>
                <w:rFonts w:ascii="Arial" w:cs="Arial" w:eastAsia="Arial" w:hAnsi="Arial"/>
                <w:sz w:val="16"/>
                <w:szCs w:val="16"/>
                <w:color w:val="auto"/>
              </w:rPr>
              <w:t>Subscriptions revenues</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200"/>
              <w:spacing w:after="0"/>
              <w:rPr>
                <w:sz w:val="20"/>
                <w:szCs w:val="20"/>
                <w:color w:val="auto"/>
              </w:rPr>
            </w:pPr>
            <w:r>
              <w:rPr>
                <w:rFonts w:ascii="Arial" w:cs="Arial" w:eastAsia="Arial" w:hAnsi="Arial"/>
                <w:sz w:val="16"/>
                <w:szCs w:val="16"/>
                <w:color w:val="auto"/>
              </w:rPr>
              <w:t>1,157,938</w:t>
            </w:r>
          </w:p>
        </w:tc>
        <w:tc>
          <w:tcPr>
            <w:tcW w:w="20" w:type="dxa"/>
            <w:vAlign w:val="bottom"/>
          </w:tcPr>
          <w:p>
            <w:pPr>
              <w:spacing w:after="0"/>
              <w:rPr>
                <w:sz w:val="19"/>
                <w:szCs w:val="19"/>
                <w:color w:val="auto"/>
              </w:rPr>
            </w:pPr>
          </w:p>
        </w:tc>
        <w:tc>
          <w:tcPr>
            <w:tcW w:w="420" w:type="dxa"/>
            <w:vAlign w:val="bottom"/>
            <w:gridSpan w:val="3"/>
          </w:tcPr>
          <w:p>
            <w:pPr>
              <w:jc w:val="right"/>
              <w:ind w:right="117"/>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(9,974)</w:t>
            </w:r>
          </w:p>
        </w:tc>
        <w:tc>
          <w:tcPr>
            <w:tcW w:w="20" w:type="dxa"/>
            <w:vAlign w:val="bottom"/>
          </w:tcPr>
          <w:p>
            <w:pPr>
              <w:spacing w:after="0"/>
              <w:rPr>
                <w:sz w:val="19"/>
                <w:szCs w:val="19"/>
                <w:color w:val="auto"/>
              </w:rPr>
            </w:pPr>
          </w:p>
        </w:tc>
        <w:tc>
          <w:tcPr>
            <w:tcW w:w="640" w:type="dxa"/>
            <w:vAlign w:val="bottom"/>
            <w:gridSpan w:val="3"/>
          </w:tcPr>
          <w:p>
            <w:pPr>
              <w:jc w:val="right"/>
              <w:ind w:right="337"/>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1,147,964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1,020,063</w:t>
            </w:r>
          </w:p>
        </w:tc>
        <w:tc>
          <w:tcPr>
            <w:tcW w:w="140" w:type="dxa"/>
            <w:vAlign w:val="bottom"/>
          </w:tcPr>
          <w:p>
            <w:pPr>
              <w:spacing w:after="0"/>
              <w:rPr>
                <w:sz w:val="19"/>
                <w:szCs w:val="19"/>
                <w:color w:val="auto"/>
              </w:rPr>
            </w:pPr>
          </w:p>
        </w:tc>
        <w:tc>
          <w:tcPr>
            <w:tcW w:w="280" w:type="dxa"/>
            <w:vAlign w:val="bottom"/>
          </w:tcPr>
          <w:p>
            <w:pPr>
              <w:jc w:val="right"/>
              <w:ind w:right="8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(1,280)</w:t>
            </w:r>
          </w:p>
        </w:tc>
        <w:tc>
          <w:tcPr>
            <w:tcW w:w="160" w:type="dxa"/>
            <w:vAlign w:val="bottom"/>
          </w:tcPr>
          <w:p>
            <w:pPr>
              <w:spacing w:after="0"/>
              <w:rPr>
                <w:sz w:val="19"/>
                <w:szCs w:val="19"/>
                <w:color w:val="auto"/>
              </w:rPr>
            </w:pPr>
          </w:p>
        </w:tc>
        <w:tc>
          <w:tcPr>
            <w:tcW w:w="480" w:type="dxa"/>
            <w:vAlign w:val="bottom"/>
          </w:tcPr>
          <w:p>
            <w:pPr>
              <w:jc w:val="right"/>
              <w:ind w:right="305"/>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1,018,783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Non-GAAP and Other Financial Measures</w:t>
      </w:r>
    </w:p>
    <w:p>
      <w:pPr>
        <w:spacing w:after="0" w:line="198"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This Exhibit 99.2 to the accompanying Current Report on Form 8-K for Bentley Systems, Incorporated (“Bentley Systems,” the “Company,” “we,” “our,” and words of similar import) sets forth the reasons we believe that presentation of financial measures not in accordance with GAAP contained in this press release filed as Exhibit 99.1 to the Current Report on Form 8-K provides useful information to investors regarding our results of operations, financial condition, and liquidity. To the extent material, this Exhibit also discloses the additional purposes, if any, for which our management uses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Reconciliations between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to their most directly comparable GAAP financial measures are included in this press release itself.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should be considered in addition to, not as a substitute for, or in isolation from, the financial information prepared in accordance with GAAP, including operating income, net income, diluted net income per share attributable to Bentley Systems stockholders, cash flows from operating activities or other measures of performance or liquidity, and should be read in conjunction with the financial statements included in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filed with the United States Securities and Exchange Commission.</w:t>
      </w:r>
    </w:p>
    <w:p>
      <w:pPr>
        <w:spacing w:after="0" w:line="96" w:lineRule="exact"/>
        <w:rPr>
          <w:sz w:val="20"/>
          <w:szCs w:val="20"/>
          <w:color w:val="auto"/>
        </w:rPr>
      </w:pPr>
    </w:p>
    <w:p>
      <w:pPr>
        <w:ind w:right="60"/>
        <w:spacing w:after="0" w:line="247" w:lineRule="exact"/>
        <w:rPr>
          <w:sz w:val="20"/>
          <w:szCs w:val="20"/>
          <w:color w:val="auto"/>
        </w:rPr>
      </w:pPr>
      <w:r>
        <w:rPr>
          <w:rFonts w:ascii="Arial" w:cs="Arial" w:eastAsia="Arial" w:hAnsi="Arial"/>
          <w:sz w:val="18"/>
          <w:szCs w:val="18"/>
          <w:color w:val="auto"/>
        </w:rPr>
        <w:t>Our non</w:t>
      </w:r>
      <w:r>
        <w:rPr>
          <w:rFonts w:ascii="MS PGothic" w:cs="MS PGothic" w:eastAsia="MS PGothic" w:hAnsi="MS PGothic"/>
          <w:sz w:val="18"/>
          <w:szCs w:val="18"/>
          <w:color w:val="auto"/>
        </w:rPr>
        <w:t>‑</w:t>
      </w:r>
      <w:r>
        <w:rPr>
          <w:rFonts w:ascii="Arial" w:cs="Arial" w:eastAsia="Arial" w:hAnsi="Arial"/>
          <w:sz w:val="18"/>
          <w:szCs w:val="18"/>
          <w:color w:val="auto"/>
        </w:rPr>
        <w:t xml:space="preserve"> GAAP and other financial measures may vary significantly from period to period for reasons unrelated to our operating performance and may differ from similarly titled measures presented by other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Constant currency</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99" w:lineRule="exact"/>
        <w:rPr>
          <w:sz w:val="20"/>
          <w:szCs w:val="20"/>
          <w:color w:val="auto"/>
        </w:rPr>
      </w:pPr>
    </w:p>
    <w:p>
      <w:pPr>
        <w:ind w:right="60"/>
        <w:spacing w:after="0" w:line="237"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except for ARR as discussed further below,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revenues</w:t>
      </w:r>
    </w:p>
    <w:p>
      <w:pPr>
        <w:spacing w:after="0" w:line="19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Recurring revenues </w:t>
      </w:r>
      <w:r>
        <w:rPr>
          <w:rFonts w:ascii="Arial" w:cs="Arial" w:eastAsia="Arial" w:hAnsi="Arial"/>
          <w:sz w:val="18"/>
          <w:szCs w:val="18"/>
          <w:color w:val="auto"/>
        </w:rPr>
        <w:t>are the basis for our other revenue-related key business metrics. We believe this measure is useful in evaluating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consistently retain and grow our revenues from accounts with revenues in the prior period (“existing accounts”).</w:t>
      </w:r>
    </w:p>
    <w:p>
      <w:pPr>
        <w:spacing w:after="0" w:line="1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i w:val="1"/>
          <w:iCs w:val="1"/>
          <w:color w:val="auto"/>
        </w:rPr>
        <w:t xml:space="preserve">Recurring revenues </w:t>
      </w:r>
      <w:r>
        <w:rPr>
          <w:rFonts w:ascii="Arial" w:cs="Arial" w:eastAsia="Arial" w:hAnsi="Arial"/>
          <w:sz w:val="18"/>
          <w:szCs w:val="18"/>
          <w:color w:val="auto"/>
        </w:rPr>
        <w:t>are subscriptions revenues that recur monthly, quarterly, or annually with specific or automatic renewal clauses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revenues in which the underlying contract is based on a fixed fee and contains automatic annual renewal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Annualized recurring revenues (“ARR”)</w:t>
      </w:r>
    </w:p>
    <w:p>
      <w:pPr>
        <w:spacing w:after="0" w:line="198" w:lineRule="exact"/>
        <w:rPr>
          <w:sz w:val="20"/>
          <w:szCs w:val="20"/>
          <w:color w:val="auto"/>
        </w:rPr>
      </w:pPr>
    </w:p>
    <w:p>
      <w:pPr>
        <w:ind w:right="740"/>
        <w:spacing w:after="0" w:line="232" w:lineRule="exact"/>
        <w:rPr>
          <w:sz w:val="20"/>
          <w:szCs w:val="20"/>
          <w:color w:val="auto"/>
        </w:rPr>
      </w:pPr>
      <w:r>
        <w:rPr>
          <w:rFonts w:ascii="Arial" w:cs="Arial" w:eastAsia="Arial" w:hAnsi="Arial"/>
          <w:sz w:val="18"/>
          <w:szCs w:val="18"/>
          <w:i w:val="1"/>
          <w:iCs w:val="1"/>
          <w:color w:val="auto"/>
        </w:rPr>
        <w:t xml:space="preserve">ARR </w:t>
      </w:r>
      <w:r>
        <w:rPr>
          <w:rFonts w:ascii="Arial" w:cs="Arial" w:eastAsia="Arial" w:hAnsi="Arial"/>
          <w:sz w:val="18"/>
          <w:szCs w:val="18"/>
          <w:color w:val="auto"/>
        </w:rPr>
        <w:t>is a key business metric that we believe is useful in evaluating the scale and growth of our business as well as to assist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evaluation of underlying trends in our business. Furthermore, we believe </w:t>
      </w:r>
      <w:r>
        <w:rPr>
          <w:rFonts w:ascii="Arial" w:cs="Arial" w:eastAsia="Arial" w:hAnsi="Arial"/>
          <w:sz w:val="18"/>
          <w:szCs w:val="18"/>
          <w:i w:val="1"/>
          <w:iCs w:val="1"/>
          <w:color w:val="auto"/>
        </w:rPr>
        <w:t>ARR</w:t>
      </w:r>
      <w:r>
        <w:rPr>
          <w:rFonts w:ascii="Arial" w:cs="Arial" w:eastAsia="Arial" w:hAnsi="Arial"/>
          <w:sz w:val="18"/>
          <w:szCs w:val="18"/>
          <w:color w:val="auto"/>
        </w:rPr>
        <w:t xml:space="preserve">, considered in connection with our </w:t>
      </w:r>
      <w:r>
        <w:rPr>
          <w:rFonts w:ascii="Arial" w:cs="Arial" w:eastAsia="Arial" w:hAnsi="Arial"/>
          <w:sz w:val="18"/>
          <w:szCs w:val="18"/>
          <w:i w:val="1"/>
          <w:iCs w:val="1"/>
          <w:color w:val="auto"/>
        </w:rPr>
        <w:t>last twelve</w:t>
      </w:r>
      <w:r>
        <w:rPr>
          <w:rFonts w:ascii="MS PGothic" w:cs="MS PGothic" w:eastAsia="MS PGothic" w:hAnsi="MS PGothic"/>
          <w:sz w:val="18"/>
          <w:szCs w:val="18"/>
          <w:color w:val="auto"/>
        </w:rPr>
        <w:t>‑</w:t>
      </w:r>
      <w:r>
        <w:rPr>
          <w:rFonts w:ascii="Arial" w:cs="Arial" w:eastAsia="Arial" w:hAnsi="Arial"/>
          <w:sz w:val="18"/>
          <w:szCs w:val="18"/>
          <w:i w:val="1"/>
          <w:iCs w:val="1"/>
          <w:color w:val="auto"/>
        </w:rPr>
        <w:t>months</w:t>
      </w:r>
      <w:r>
        <w:rPr>
          <w:rFonts w:ascii="Arial" w:cs="Arial" w:eastAsia="Arial" w:hAnsi="Arial"/>
          <w:sz w:val="18"/>
          <w:szCs w:val="18"/>
          <w:color w:val="auto"/>
        </w:rPr>
        <w:t xml:space="preserve"> </w:t>
      </w:r>
      <w:r>
        <w:rPr>
          <w:rFonts w:ascii="Arial" w:cs="Arial" w:eastAsia="Arial" w:hAnsi="Arial"/>
          <w:sz w:val="18"/>
          <w:szCs w:val="18"/>
          <w:i w:val="1"/>
          <w:iCs w:val="1"/>
          <w:color w:val="auto"/>
        </w:rPr>
        <w:t>recurring revenues dollar</w:t>
      </w:r>
      <w:r>
        <w:rPr>
          <w:rFonts w:ascii="MS PGothic" w:cs="MS PGothic" w:eastAsia="MS PGothic" w:hAnsi="MS PGothic"/>
          <w:sz w:val="18"/>
          <w:szCs w:val="18"/>
          <w:color w:val="auto"/>
        </w:rPr>
        <w:t>‑</w:t>
      </w:r>
      <w:r>
        <w:rPr>
          <w:rFonts w:ascii="Arial" w:cs="Arial" w:eastAsia="Arial" w:hAnsi="Arial"/>
          <w:sz w:val="18"/>
          <w:szCs w:val="18"/>
          <w:i w:val="1"/>
          <w:iCs w:val="1"/>
          <w:color w:val="auto"/>
        </w:rPr>
        <w:t>based net retention rate</w:t>
      </w:r>
      <w:r>
        <w:rPr>
          <w:rFonts w:ascii="Arial" w:cs="Arial" w:eastAsia="Arial" w:hAnsi="Arial"/>
          <w:sz w:val="18"/>
          <w:szCs w:val="18"/>
          <w:color w:val="auto"/>
        </w:rPr>
        <w:t>, is a leading indicator of revenue growth.</w:t>
      </w:r>
    </w:p>
    <w:p>
      <w:pPr>
        <w:sectPr>
          <w:pgSz w:w="11900" w:h="16838" w:orient="portrait"/>
          <w:cols w:equalWidth="0" w:num="1">
            <w:col w:w="11240"/>
          </w:cols>
          <w:pgMar w:left="320" w:top="1093" w:right="339" w:bottom="1440" w:gutter="0" w:footer="0" w:header="0"/>
        </w:sectPr>
      </w:pPr>
    </w:p>
    <w:bookmarkStart w:id="14" w:name="page15"/>
    <w:bookmarkEnd w:id="14"/>
    <w:p>
      <w:pPr>
        <w:spacing w:after="0" w:line="220" w:lineRule="exact"/>
        <w:rPr>
          <w:sz w:val="20"/>
          <w:szCs w:val="20"/>
          <w:color w:val="auto"/>
        </w:rPr>
      </w:pPr>
      <w:r>
        <w:rPr>
          <w:rFonts w:ascii="Arial" w:cs="Arial" w:eastAsia="Arial" w:hAnsi="Arial"/>
          <w:sz w:val="18"/>
          <w:szCs w:val="18"/>
          <w:i w:val="1"/>
          <w:iCs w:val="1"/>
          <w:color w:val="auto"/>
        </w:rPr>
        <w:t xml:space="preserve">ARR </w:t>
      </w:r>
      <w:r>
        <w:rPr>
          <w:rFonts w:ascii="Arial" w:cs="Arial" w:eastAsia="Arial" w:hAnsi="Arial"/>
          <w:sz w:val="18"/>
          <w:szCs w:val="18"/>
          <w:color w:val="auto"/>
        </w:rPr>
        <w:t>is defined as the sum of the annualized value of our portfolio of contracts that produce recurring revenues as of the last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Arial" w:cs="Arial" w:eastAsia="Arial" w:hAnsi="Arial"/>
          <w:sz w:val="18"/>
          <w:szCs w:val="18"/>
          <w:color w:val="auto"/>
        </w:rPr>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117"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i w:val="1"/>
          <w:iCs w:val="1"/>
          <w:color w:val="auto"/>
        </w:rPr>
        <w:t xml:space="preserve">Constant currency ARR growth rate </w:t>
      </w:r>
      <w:r>
        <w:rPr>
          <w:rFonts w:ascii="Arial" w:cs="Arial" w:eastAsia="Arial" w:hAnsi="Arial"/>
          <w:sz w:val="18"/>
          <w:szCs w:val="18"/>
          <w:color w:val="auto"/>
        </w:rPr>
        <w:t>is the growth rate of</w:t>
      </w:r>
      <w:r>
        <w:rPr>
          <w:rFonts w:ascii="Arial" w:cs="Arial" w:eastAsia="Arial" w:hAnsi="Arial"/>
          <w:sz w:val="18"/>
          <w:szCs w:val="18"/>
          <w:i w:val="1"/>
          <w:iCs w:val="1"/>
          <w:color w:val="auto"/>
        </w:rPr>
        <w:t xml:space="preserve"> ARR </w:t>
      </w:r>
      <w:r>
        <w:rPr>
          <w:rFonts w:ascii="Arial" w:cs="Arial" w:eastAsia="Arial" w:hAnsi="Arial"/>
          <w:sz w:val="18"/>
          <w:szCs w:val="18"/>
          <w:color w:val="auto"/>
        </w:rPr>
        <w:t>measured on a constant currency basis. In reporting period</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ARR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growth rates in constant currency, we calculate constant currency growth rates by translating current and prior period ARR on a transactional basis to our reporting currency using current year budget exchange rates. </w:t>
      </w:r>
      <w:r>
        <w:rPr>
          <w:rFonts w:ascii="Arial" w:cs="Arial" w:eastAsia="Arial" w:hAnsi="Arial"/>
          <w:sz w:val="18"/>
          <w:szCs w:val="18"/>
          <w:i w:val="1"/>
          <w:iCs w:val="1"/>
          <w:color w:val="auto"/>
        </w:rPr>
        <w:t>Constant currency ARR growth rate from business performance</w:t>
      </w:r>
      <w:r>
        <w:rPr>
          <w:rFonts w:ascii="Arial" w:cs="Arial" w:eastAsia="Arial" w:hAnsi="Arial"/>
          <w:sz w:val="18"/>
          <w:szCs w:val="18"/>
          <w:color w:val="auto"/>
        </w:rPr>
        <w:t xml:space="preserve"> excludes the </w:t>
      </w:r>
      <w:r>
        <w:rPr>
          <w:rFonts w:ascii="Arial" w:cs="Arial" w:eastAsia="Arial" w:hAnsi="Arial"/>
          <w:sz w:val="18"/>
          <w:szCs w:val="18"/>
          <w:i w:val="1"/>
          <w:iCs w:val="1"/>
          <w:color w:val="auto"/>
        </w:rPr>
        <w:t>ARR</w:t>
      </w:r>
      <w:r>
        <w:rPr>
          <w:rFonts w:ascii="Arial" w:cs="Arial" w:eastAsia="Arial" w:hAnsi="Arial"/>
          <w:sz w:val="18"/>
          <w:szCs w:val="18"/>
          <w:color w:val="auto"/>
        </w:rPr>
        <w:t xml:space="preserve"> onboarding of our </w:t>
      </w:r>
      <w:r>
        <w:rPr>
          <w:rFonts w:ascii="Arial" w:cs="Arial" w:eastAsia="Arial" w:hAnsi="Arial"/>
          <w:sz w:val="18"/>
          <w:szCs w:val="18"/>
          <w:i w:val="1"/>
          <w:iCs w:val="1"/>
          <w:color w:val="auto"/>
        </w:rPr>
        <w:t>platform acquisitions</w:t>
      </w:r>
      <w:r>
        <w:rPr>
          <w:rFonts w:ascii="Arial" w:cs="Arial" w:eastAsia="Arial" w:hAnsi="Arial"/>
          <w:sz w:val="18"/>
          <w:szCs w:val="18"/>
          <w:color w:val="auto"/>
        </w:rPr>
        <w:t xml:space="preserve"> and includes the impact from the </w:t>
      </w:r>
      <w:r>
        <w:rPr>
          <w:rFonts w:ascii="Arial" w:cs="Arial" w:eastAsia="Arial" w:hAnsi="Arial"/>
          <w:sz w:val="18"/>
          <w:szCs w:val="18"/>
          <w:i w:val="1"/>
          <w:iCs w:val="1"/>
          <w:color w:val="auto"/>
        </w:rPr>
        <w:t>ARR</w:t>
      </w:r>
      <w:r>
        <w:rPr>
          <w:rFonts w:ascii="Arial" w:cs="Arial" w:eastAsia="Arial" w:hAnsi="Arial"/>
          <w:sz w:val="18"/>
          <w:szCs w:val="18"/>
          <w:color w:val="auto"/>
        </w:rPr>
        <w:t xml:space="preserve"> onboarding of </w:t>
      </w:r>
      <w:r>
        <w:rPr>
          <w:rFonts w:ascii="Arial" w:cs="Arial" w:eastAsia="Arial" w:hAnsi="Arial"/>
          <w:sz w:val="18"/>
          <w:szCs w:val="18"/>
          <w:i w:val="1"/>
          <w:iCs w:val="1"/>
          <w:color w:val="auto"/>
        </w:rPr>
        <w:t>programmatic acquisitions</w:t>
      </w:r>
      <w:r>
        <w:rPr>
          <w:rFonts w:ascii="Arial" w:cs="Arial" w:eastAsia="Arial" w:hAnsi="Arial"/>
          <w:sz w:val="18"/>
          <w:szCs w:val="18"/>
          <w:color w:val="auto"/>
        </w:rPr>
        <w:t>, which generally are immaterial, individually and in the aggregate. We believe these ARR growth rates are important metrics indicating the scale and growth of our business.</w:t>
      </w:r>
    </w:p>
    <w:p>
      <w:pPr>
        <w:spacing w:after="0" w:line="129"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Last twelve</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months recurring revenues dollar</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based net retention rate</w:t>
      </w:r>
    </w:p>
    <w:p>
      <w:pPr>
        <w:spacing w:after="0" w:line="185" w:lineRule="exact"/>
        <w:rPr>
          <w:sz w:val="20"/>
          <w:szCs w:val="20"/>
          <w:color w:val="auto"/>
        </w:rPr>
      </w:pPr>
    </w:p>
    <w:p>
      <w:pPr>
        <w:ind w:right="380"/>
        <w:spacing w:after="0" w:line="247" w:lineRule="exact"/>
        <w:rPr>
          <w:sz w:val="20"/>
          <w:szCs w:val="20"/>
          <w:color w:val="auto"/>
        </w:rPr>
      </w:pPr>
      <w:r>
        <w:rPr>
          <w:rFonts w:ascii="Arial" w:cs="Arial" w:eastAsia="Arial" w:hAnsi="Arial"/>
          <w:sz w:val="18"/>
          <w:szCs w:val="18"/>
          <w:i w:val="1"/>
          <w:iCs w:val="1"/>
          <w:color w:val="auto"/>
        </w:rPr>
        <w:t>Last twelve</w:t>
      </w:r>
      <w:r>
        <w:rPr>
          <w:rFonts w:ascii="MS PGothic" w:cs="MS PGothic" w:eastAsia="MS PGothic" w:hAnsi="MS PGothic"/>
          <w:sz w:val="18"/>
          <w:szCs w:val="18"/>
          <w:color w:val="auto"/>
        </w:rPr>
        <w:t>‑</w:t>
      </w:r>
      <w:r>
        <w:rPr>
          <w:rFonts w:ascii="Arial" w:cs="Arial" w:eastAsia="Arial" w:hAnsi="Arial"/>
          <w:sz w:val="18"/>
          <w:szCs w:val="18"/>
          <w:i w:val="1"/>
          <w:iCs w:val="1"/>
          <w:color w:val="auto"/>
        </w:rPr>
        <w:t>months recurring revenues dollar</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based net retention rate </w:t>
      </w:r>
      <w:r>
        <w:rPr>
          <w:rFonts w:ascii="Arial" w:cs="Arial" w:eastAsia="Arial" w:hAnsi="Arial"/>
          <w:sz w:val="18"/>
          <w:szCs w:val="18"/>
          <w:color w:val="auto"/>
        </w:rPr>
        <w:t>is a key business metric that we believe is useful in evaluating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consistently retain and grow our recurring revenues.</w:t>
      </w:r>
    </w:p>
    <w:p>
      <w:pPr>
        <w:spacing w:after="0" w:line="114" w:lineRule="exact"/>
        <w:rPr>
          <w:sz w:val="20"/>
          <w:szCs w:val="20"/>
          <w:color w:val="auto"/>
        </w:rPr>
      </w:pPr>
    </w:p>
    <w:p>
      <w:pPr>
        <w:spacing w:after="0" w:line="226" w:lineRule="exact"/>
        <w:rPr>
          <w:sz w:val="20"/>
          <w:szCs w:val="20"/>
          <w:color w:val="auto"/>
        </w:rPr>
      </w:pPr>
      <w:r>
        <w:rPr>
          <w:rFonts w:ascii="Arial" w:cs="Arial" w:eastAsia="Arial" w:hAnsi="Arial"/>
          <w:sz w:val="18"/>
          <w:szCs w:val="18"/>
          <w:i w:val="1"/>
          <w:iCs w:val="1"/>
          <w:color w:val="auto"/>
        </w:rPr>
        <w:t>Last twelve</w:t>
      </w:r>
      <w:r>
        <w:rPr>
          <w:rFonts w:ascii="MS PGothic" w:cs="MS PGothic" w:eastAsia="MS PGothic" w:hAnsi="MS PGothic"/>
          <w:sz w:val="18"/>
          <w:szCs w:val="18"/>
          <w:color w:val="auto"/>
        </w:rPr>
        <w:t>‑</w:t>
      </w:r>
      <w:r>
        <w:rPr>
          <w:rFonts w:ascii="Arial" w:cs="Arial" w:eastAsia="Arial" w:hAnsi="Arial"/>
          <w:sz w:val="18"/>
          <w:szCs w:val="18"/>
          <w:i w:val="1"/>
          <w:iCs w:val="1"/>
          <w:color w:val="auto"/>
        </w:rPr>
        <w:t>months recurring revenues dollar</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based net retention rate </w:t>
      </w:r>
      <w:r>
        <w:rPr>
          <w:rFonts w:ascii="Arial" w:cs="Arial" w:eastAsia="Arial" w:hAnsi="Arial"/>
          <w:sz w:val="18"/>
          <w:szCs w:val="18"/>
          <w:color w:val="auto"/>
        </w:rPr>
        <w:t>is calculated, using the average exchange rates for the prior period,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w:t>
      </w:r>
      <w:r>
        <w:rPr>
          <w:rFonts w:ascii="Arial" w:cs="Arial" w:eastAsia="Arial" w:hAnsi="Arial"/>
          <w:sz w:val="18"/>
          <w:szCs w:val="18"/>
          <w:i w:val="1"/>
          <w:iCs w:val="1"/>
          <w:color w:val="auto"/>
        </w:rPr>
        <w:t>platform acquisitions</w:t>
      </w:r>
      <w:r>
        <w:rPr>
          <w:rFonts w:ascii="Arial" w:cs="Arial" w:eastAsia="Arial" w:hAnsi="Arial"/>
          <w:sz w:val="18"/>
          <w:szCs w:val="18"/>
          <w:color w:val="auto"/>
        </w:rPr>
        <w:t>, recurring revenues into new accounts will be captured as existing accounts starting with the second anniversary of the acquisition when such data conforms to the calculation methodology. This may cause variability in the comparison.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operating income less operating stock-based compensation expense (“AOI less Operating SBC”)</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AOI less Operating SBC </w:t>
      </w:r>
      <w:r>
        <w:rPr>
          <w:rFonts w:ascii="Arial" w:cs="Arial" w:eastAsia="Arial" w:hAnsi="Arial"/>
          <w:sz w:val="18"/>
          <w:szCs w:val="18"/>
          <w:color w:val="auto"/>
        </w:rPr>
        <w:t>is a non-GAAP financial measure and is used to measure the operational strength and performance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to assist in the evaluation of underlying trends in our business.</w:t>
      </w:r>
    </w:p>
    <w:p>
      <w:pPr>
        <w:spacing w:after="0" w:line="11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i w:val="1"/>
          <w:iCs w:val="1"/>
          <w:color w:val="auto"/>
        </w:rPr>
        <w:t xml:space="preserve">AOI less Operating SBC </w:t>
      </w:r>
      <w:r>
        <w:rPr>
          <w:rFonts w:ascii="Arial" w:cs="Arial" w:eastAsia="Arial" w:hAnsi="Arial"/>
          <w:sz w:val="18"/>
          <w:szCs w:val="18"/>
          <w:color w:val="auto"/>
        </w:rPr>
        <w:t>is defined as operating income adjusted for the following: amortization of purchased intangibles, expense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deferred compensation plan liabilities, acquisition expenses (inclusive of cash- and equity-settled retention incentives provided to key employees of acquired companies), integration costs, and realignment expenses (income), for the respective periods.</w:t>
      </w:r>
    </w:p>
    <w:p>
      <w:pPr>
        <w:spacing w:after="0" w:line="144"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i w:val="1"/>
          <w:iCs w:val="1"/>
          <w:color w:val="auto"/>
        </w:rPr>
        <w:t xml:space="preserve">AOI less Operating SBC </w:t>
      </w:r>
      <w:r>
        <w:rPr>
          <w:rFonts w:ascii="Arial" w:cs="Arial" w:eastAsia="Arial" w:hAnsi="Arial"/>
          <w:sz w:val="18"/>
          <w:szCs w:val="18"/>
          <w:color w:val="auto"/>
        </w:rPr>
        <w:t>is our primary performance measure, which excludes certain expenses and charges, including cash- and equity-settled retention incentives provided to key employees of acquired companies, as we believe these may not be indicative of the Company’s core business operating results. We intentionally include operating stock-based compensation expense (non</w:t>
      </w:r>
      <w:r>
        <w:rPr>
          <w:rFonts w:ascii="MS PGothic" w:cs="MS PGothic" w:eastAsia="MS PGothic" w:hAnsi="MS PGothic"/>
          <w:sz w:val="18"/>
          <w:szCs w:val="18"/>
          <w:color w:val="auto"/>
        </w:rPr>
        <w:t>‑</w:t>
      </w:r>
      <w:r>
        <w:rPr>
          <w:rFonts w:ascii="Arial" w:cs="Arial" w:eastAsia="Arial" w:hAnsi="Arial"/>
          <w:sz w:val="18"/>
          <w:szCs w:val="18"/>
          <w:color w:val="auto"/>
        </w:rPr>
        <w:t>cash stock</w:t>
      </w:r>
      <w:r>
        <w:rPr>
          <w:rFonts w:ascii="MS PGothic" w:cs="MS PGothic" w:eastAsia="MS PGothic" w:hAnsi="MS PGothic"/>
          <w:sz w:val="18"/>
          <w:szCs w:val="18"/>
          <w:color w:val="auto"/>
        </w:rPr>
        <w:t>‑</w:t>
      </w:r>
      <w:r>
        <w:rPr>
          <w:rFonts w:ascii="Arial" w:cs="Arial" w:eastAsia="Arial" w:hAnsi="Arial"/>
          <w:sz w:val="18"/>
          <w:szCs w:val="18"/>
          <w:color w:val="auto"/>
        </w:rPr>
        <w:t xml:space="preserve"> based compensation expense less equity</w:t>
      </w:r>
      <w:r>
        <w:rPr>
          <w:rFonts w:ascii="MS PGothic" w:cs="MS PGothic" w:eastAsia="MS PGothic" w:hAnsi="MS PGothic"/>
          <w:sz w:val="18"/>
          <w:szCs w:val="18"/>
          <w:color w:val="auto"/>
        </w:rPr>
        <w:t>‑</w:t>
      </w:r>
      <w:r>
        <w:rPr>
          <w:rFonts w:ascii="Arial" w:cs="Arial" w:eastAsia="Arial" w:hAnsi="Arial"/>
          <w:sz w:val="18"/>
          <w:szCs w:val="18"/>
          <w:color w:val="auto"/>
        </w:rPr>
        <w:t>settled retention incentives provided to key employees of acquired companies) in this measure as we believe it better captures the economic costs of our business.</w:t>
      </w:r>
    </w:p>
    <w:p>
      <w:pPr>
        <w:sectPr>
          <w:pgSz w:w="11900" w:h="16838" w:orient="portrait"/>
          <w:cols w:equalWidth="0" w:num="1">
            <w:col w:w="11240"/>
          </w:cols>
          <w:pgMar w:left="320" w:top="1093" w:right="339" w:bottom="1440" w:gutter="0" w:footer="0" w:header="0"/>
        </w:sectPr>
      </w:pPr>
    </w:p>
    <w:bookmarkStart w:id="15" w:name="page16"/>
    <w:bookmarkEnd w:id="15"/>
    <w:p>
      <w:pPr>
        <w:ind w:right="300"/>
        <w:spacing w:after="0" w:line="268" w:lineRule="auto"/>
        <w:rPr>
          <w:sz w:val="20"/>
          <w:szCs w:val="20"/>
          <w:color w:val="auto"/>
        </w:rPr>
      </w:pPr>
      <w:r>
        <w:rPr>
          <w:rFonts w:ascii="Arial" w:cs="Arial" w:eastAsia="Arial" w:hAnsi="Arial"/>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AOI less Operating SBC margin </w:t>
      </w:r>
      <w:r>
        <w:rPr>
          <w:rFonts w:ascii="Arial" w:cs="Arial" w:eastAsia="Arial" w:hAnsi="Arial"/>
          <w:sz w:val="18"/>
          <w:szCs w:val="18"/>
          <w:color w:val="auto"/>
        </w:rPr>
        <w:t>is calculated by dividing</w:t>
      </w:r>
      <w:r>
        <w:rPr>
          <w:rFonts w:ascii="Arial" w:cs="Arial" w:eastAsia="Arial" w:hAnsi="Arial"/>
          <w:sz w:val="18"/>
          <w:szCs w:val="18"/>
          <w:i w:val="1"/>
          <w:iCs w:val="1"/>
          <w:color w:val="auto"/>
        </w:rPr>
        <w:t xml:space="preserve"> AOI less Operating SBC </w:t>
      </w:r>
      <w:r>
        <w:rPr>
          <w:rFonts w:ascii="Arial" w:cs="Arial" w:eastAsia="Arial" w:hAnsi="Arial"/>
          <w:sz w:val="18"/>
          <w:szCs w:val="18"/>
          <w:color w:val="auto"/>
        </w:rPr>
        <w:t>by total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operating income (“AOI”)</w:t>
      </w:r>
    </w:p>
    <w:p>
      <w:pPr>
        <w:spacing w:after="0" w:line="18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i w:val="1"/>
          <w:iCs w:val="1"/>
          <w:color w:val="auto"/>
        </w:rPr>
        <w:t xml:space="preserve">Adjusted operating income </w:t>
      </w:r>
      <w:r>
        <w:rPr>
          <w:rFonts w:ascii="Arial" w:cs="Arial" w:eastAsia="Arial" w:hAnsi="Arial"/>
          <w:sz w:val="18"/>
          <w:szCs w:val="18"/>
          <w:color w:val="auto"/>
        </w:rPr>
        <w:t>is a non-GAAP financial measure that we believe is useful to investors in making comparisons to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although this measure may not be directly comparable to similar measures used by other companies.</w:t>
      </w:r>
    </w:p>
    <w:p>
      <w:pPr>
        <w:spacing w:after="0" w:line="112"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Adjusted operating income is defined as operating income adjusted for the following: amortization of purchased intangibles, expense (income) relating to deferred compensation plan liabilities, acquisition expenses (inclusive of cash- and equity-settled retention incentives provided to key employees of acquired companies), integration costs, realignment expenses (income), and operating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(non</w:t>
      </w:r>
      <w:r>
        <w:rPr>
          <w:rFonts w:ascii="MS PGothic" w:cs="MS PGothic" w:eastAsia="MS PGothic" w:hAnsi="MS PGothic"/>
          <w:sz w:val="18"/>
          <w:szCs w:val="18"/>
          <w:color w:val="auto"/>
        </w:rPr>
        <w:t>‑</w:t>
      </w:r>
      <w:r>
        <w:rPr>
          <w:rFonts w:ascii="Arial" w:cs="Arial" w:eastAsia="Arial" w:hAnsi="Arial"/>
          <w:sz w:val="18"/>
          <w:szCs w:val="18"/>
          <w:color w:val="auto"/>
        </w:rPr>
        <w:t xml:space="preserve"> cash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less equity</w:t>
      </w:r>
      <w:r>
        <w:rPr>
          <w:rFonts w:ascii="MS PGothic" w:cs="MS PGothic" w:eastAsia="MS PGothic" w:hAnsi="MS PGothic"/>
          <w:sz w:val="18"/>
          <w:szCs w:val="18"/>
          <w:color w:val="auto"/>
        </w:rPr>
        <w:t>‑</w:t>
      </w:r>
      <w:r>
        <w:rPr>
          <w:rFonts w:ascii="Arial" w:cs="Arial" w:eastAsia="Arial" w:hAnsi="Arial"/>
          <w:sz w:val="18"/>
          <w:szCs w:val="18"/>
          <w:color w:val="auto"/>
        </w:rPr>
        <w:t>settled retention incentives provided to key employees of acquired companies), for the respective periods.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EPS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Adjusted EPS </w:t>
      </w:r>
      <w:r>
        <w:rPr>
          <w:rFonts w:ascii="Arial" w:cs="Arial" w:eastAsia="Arial" w:hAnsi="Arial"/>
          <w:sz w:val="18"/>
          <w:szCs w:val="18"/>
          <w:color w:val="auto"/>
        </w:rPr>
        <w:t>are non-GAAP financial measures presenting the earnings generated by our ongoing operations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is useful to investors in making meaningful comparisons to other companies, although these measures may not be directly comparable to similar measures used by other companies, and period-over-period comparisons.</w:t>
      </w:r>
    </w:p>
    <w:p>
      <w:pPr>
        <w:spacing w:after="0" w:line="130"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is defined as net income attributable to Bentley Systems adjusted for the following: amortization of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operating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(non</w:t>
      </w:r>
      <w:r>
        <w:rPr>
          <w:rFonts w:ascii="MS PGothic" w:cs="MS PGothic" w:eastAsia="MS PGothic" w:hAnsi="MS PGothic"/>
          <w:sz w:val="18"/>
          <w:szCs w:val="18"/>
          <w:color w:val="auto"/>
        </w:rPr>
        <w:t>‑</w:t>
      </w:r>
      <w:r>
        <w:rPr>
          <w:rFonts w:ascii="Arial" w:cs="Arial" w:eastAsia="Arial" w:hAnsi="Arial"/>
          <w:sz w:val="18"/>
          <w:szCs w:val="18"/>
          <w:color w:val="auto"/>
        </w:rPr>
        <w:t>cash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less equity</w:t>
      </w:r>
      <w:r>
        <w:rPr>
          <w:rFonts w:ascii="MS PGothic" w:cs="MS PGothic" w:eastAsia="MS PGothic" w:hAnsi="MS PGothic"/>
          <w:sz w:val="18"/>
          <w:szCs w:val="18"/>
          <w:color w:val="auto"/>
        </w:rPr>
        <w:t>‑</w:t>
      </w:r>
      <w:r>
        <w:rPr>
          <w:rFonts w:ascii="Arial" w:cs="Arial" w:eastAsia="Arial" w:hAnsi="Arial"/>
          <w:sz w:val="18"/>
          <w:szCs w:val="18"/>
          <w:color w:val="auto"/>
        </w:rPr>
        <w:t>settled retention incentives provided to key employees of acquired companies), expense (income) relating to deferred compensation plan liabilities, acquisition expenses (inclusive of cash- and equity-settled retention incentives provided to key employees of acquired companies), integration costs, realignment expenses (income),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the tax effect of the above adjustments to net income, and equity in net (income) losses of investees, net of tax, for the respective periods. The income tax effect of non</w:t>
      </w:r>
      <w:r>
        <w:rPr>
          <w:rFonts w:ascii="MS PGothic" w:cs="MS PGothic" w:eastAsia="MS PGothic" w:hAnsi="MS PGothic"/>
          <w:sz w:val="18"/>
          <w:szCs w:val="18"/>
          <w:color w:val="auto"/>
        </w:rPr>
        <w:t>‑</w:t>
      </w:r>
      <w:r>
        <w:rPr>
          <w:rFonts w:ascii="Arial" w:cs="Arial" w:eastAsia="Arial" w:hAnsi="Arial"/>
          <w:sz w:val="18"/>
          <w:szCs w:val="18"/>
          <w:color w:val="auto"/>
        </w:rPr>
        <w:t>GAAP adjustments was determined using the applicable rates in the taxing jurisdictions in which income or expense occurred, and represent both current and deferred income tax expense or benefit based on the nature of the non</w:t>
      </w:r>
      <w:r>
        <w:rPr>
          <w:rFonts w:ascii="MS PGothic" w:cs="MS PGothic" w:eastAsia="MS PGothic" w:hAnsi="MS PGothic"/>
          <w:sz w:val="18"/>
          <w:szCs w:val="18"/>
          <w:color w:val="auto"/>
        </w:rPr>
        <w:t>‑</w:t>
      </w:r>
      <w:r>
        <w:rPr>
          <w:rFonts w:ascii="Arial" w:cs="Arial" w:eastAsia="Arial" w:hAnsi="Arial"/>
          <w:sz w:val="18"/>
          <w:szCs w:val="18"/>
          <w:color w:val="auto"/>
        </w:rPr>
        <w:t>GAAP adjustments, including the tax effects of non</w:t>
      </w:r>
      <w:r>
        <w:rPr>
          <w:rFonts w:ascii="MS PGothic" w:cs="MS PGothic" w:eastAsia="MS PGothic" w:hAnsi="MS PGothic"/>
          <w:sz w:val="18"/>
          <w:szCs w:val="18"/>
          <w:color w:val="auto"/>
        </w:rPr>
        <w:t>‑</w:t>
      </w:r>
      <w:r>
        <w:rPr>
          <w:rFonts w:ascii="Arial" w:cs="Arial" w:eastAsia="Arial" w:hAnsi="Arial"/>
          <w:sz w:val="18"/>
          <w:szCs w:val="18"/>
          <w:color w:val="auto"/>
        </w:rPr>
        <w:t>cash operating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46"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is calculated as</w:t>
      </w:r>
      <w:r>
        <w:rPr>
          <w:rFonts w:ascii="Arial" w:cs="Arial" w:eastAsia="Arial" w:hAnsi="Arial"/>
          <w:sz w:val="18"/>
          <w:szCs w:val="18"/>
          <w:i w:val="1"/>
          <w:iCs w:val="1"/>
          <w:color w:val="auto"/>
        </w:rPr>
        <w:t xml:space="preserve"> Adjusted net income</w:t>
      </w:r>
      <w:r>
        <w:rPr>
          <w:rFonts w:ascii="Arial" w:cs="Arial" w:eastAsia="Arial" w:hAnsi="Arial"/>
          <w:sz w:val="18"/>
          <w:szCs w:val="18"/>
          <w:color w:val="auto"/>
        </w:rPr>
        <w:t>, less net income attributable to Bentley Systems allocated to participating securities, plus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tax, attributable to the convertible senior notes using the if</w:t>
      </w:r>
      <w:r>
        <w:rPr>
          <w:rFonts w:ascii="MS PGothic" w:cs="MS PGothic" w:eastAsia="MS PGothic" w:hAnsi="MS PGothic"/>
          <w:sz w:val="18"/>
          <w:szCs w:val="18"/>
          <w:color w:val="auto"/>
        </w:rPr>
        <w:t>‑</w:t>
      </w:r>
      <w:r>
        <w:rPr>
          <w:rFonts w:ascii="Arial" w:cs="Arial" w:eastAsia="Arial" w:hAnsi="Arial"/>
          <w:sz w:val="18"/>
          <w:szCs w:val="18"/>
          <w:color w:val="auto"/>
        </w:rPr>
        <w:t xml:space="preserve">converted method, if applicable, (numerator) divided by </w:t>
      </w:r>
      <w:r>
        <w:rPr>
          <w:rFonts w:ascii="Arial" w:cs="Arial" w:eastAsia="Arial" w:hAnsi="Arial"/>
          <w:sz w:val="18"/>
          <w:szCs w:val="18"/>
          <w:i w:val="1"/>
          <w:iCs w:val="1"/>
          <w:color w:val="auto"/>
        </w:rPr>
        <w:t xml:space="preserve">Adjusted diluted weighted average shares </w:t>
      </w:r>
      <w:r>
        <w:rPr>
          <w:rFonts w:ascii="Arial" w:cs="Arial" w:eastAsia="Arial" w:hAnsi="Arial"/>
          <w:sz w:val="18"/>
          <w:szCs w:val="18"/>
          <w:color w:val="auto"/>
        </w:rPr>
        <w:t>(denominator).</w:t>
      </w:r>
      <w:r>
        <w:rPr>
          <w:rFonts w:ascii="Arial" w:cs="Arial" w:eastAsia="Arial" w:hAnsi="Arial"/>
          <w:sz w:val="18"/>
          <w:szCs w:val="18"/>
          <w:i w:val="1"/>
          <w:iCs w:val="1"/>
          <w:color w:val="auto"/>
        </w:rPr>
        <w:t xml:space="preserve"> Adjusted diluted weighted average shares </w:t>
      </w:r>
      <w:r>
        <w:rPr>
          <w:rFonts w:ascii="Arial" w:cs="Arial" w:eastAsia="Arial" w:hAnsi="Arial"/>
          <w:sz w:val="18"/>
          <w:szCs w:val="18"/>
          <w:color w:val="auto"/>
        </w:rPr>
        <w:t>is calculated by adding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related to the dilutive effect of convertible senior notes using the if</w:t>
      </w:r>
      <w:r>
        <w:rPr>
          <w:rFonts w:ascii="MS PGothic" w:cs="MS PGothic" w:eastAsia="MS PGothic" w:hAnsi="MS PGothic"/>
          <w:sz w:val="18"/>
          <w:szCs w:val="18"/>
          <w:color w:val="auto"/>
        </w:rPr>
        <w:t>‑</w:t>
      </w:r>
      <w:r>
        <w:rPr>
          <w:rFonts w:ascii="Arial" w:cs="Arial" w:eastAsia="Arial" w:hAnsi="Arial"/>
          <w:sz w:val="18"/>
          <w:szCs w:val="18"/>
          <w:color w:val="auto"/>
        </w:rPr>
        <w:t>converted method, if applicable, to diluted weighted average shares.</w:t>
      </w:r>
    </w:p>
    <w:p>
      <w:pPr>
        <w:sectPr>
          <w:pgSz w:w="11900" w:h="16838" w:orient="portrait"/>
          <w:cols w:equalWidth="0" w:num="1">
            <w:col w:w="11200"/>
          </w:cols>
          <w:pgMar w:left="320" w:top="1093"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Free cash flow</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is a non-GAAP financial measure and our primary liquidity measure that we believe provides a meaningful measure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liquidity and a useful basis for assessing our ability to service our debt obligations, make strategic acquisitions and investments, and return capital to investors through dividends and stock repurchases. Additionally, we believe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is useful to investors as a basis for comparing our results with other companies in our industries, although our measure of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may not be directly comparable to similar measures used by other companies.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has certain limitations, including that it does not represent the residual cash flow available for discretionary expenditures since other non-discretionary payments, such as mandatory debt repayments, are not deducted from the measure.</w:t>
      </w:r>
    </w:p>
    <w:p>
      <w:pPr>
        <w:spacing w:after="0" w:line="15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is defined as cash flows from operating activities less purchases of property and equipment and investment in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Last twelve-months free cash flow </w:t>
      </w:r>
      <w:r>
        <w:rPr>
          <w:rFonts w:ascii="Arial" w:cs="Arial" w:eastAsia="Arial" w:hAnsi="Arial"/>
          <w:sz w:val="18"/>
          <w:szCs w:val="18"/>
          <w:color w:val="auto"/>
        </w:rPr>
        <w:t>is defined as free cash flow for the trailing twelve</w:t>
      </w:r>
      <w:r>
        <w:rPr>
          <w:rFonts w:ascii="Arial" w:cs="Arial" w:eastAsia="Arial" w:hAnsi="Arial"/>
          <w:sz w:val="18"/>
          <w:szCs w:val="18"/>
          <w:i w:val="1"/>
          <w:iCs w:val="1"/>
          <w:color w:val="auto"/>
        </w:rPr>
        <w:t>-</w:t>
      </w:r>
      <w:r>
        <w:rPr>
          <w:rFonts w:ascii="Arial" w:cs="Arial" w:eastAsia="Arial" w:hAnsi="Arial"/>
          <w:sz w:val="18"/>
          <w:szCs w:val="18"/>
          <w:color w:val="auto"/>
        </w:rPr>
        <w:t>month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19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measure that we believe provides a meaningful measure of liquidity and a useful basis for</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our ability to repay debt, make strategic acquisitions and investments, and return capital to investors.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defined as cash flows from operating activities adjusted for the following: cash interest, cash taxes, cash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compensation plan distributions, cash acquisition expenses, cash integration costs, cash realignment costs, changes in operating assets and liabilities, and other cash items (such as those related to our interest rate swap). From time to time, we may exclude from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the impact of certain cash receipts or payments that affect period-to-period comparability.</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1)"/>
      <w:numFmt w:val="decimal"/>
      <w:start w:val="2"/>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2026-11-05T06:10:57Z</dcterms:created>
  <dcterms:modified xsi:type="dcterms:W3CDTF">2026-11-05T06:10:57Z</dcterms:modified>
</cp:coreProperties>
</file>